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B90C7" w14:textId="3DA09007" w:rsidR="002227B3" w:rsidRDefault="002227B3" w:rsidP="00CE0A0B">
      <w:pPr>
        <w:tabs>
          <w:tab w:val="left" w:pos="1613"/>
        </w:tabs>
        <w:spacing w:after="0" w:line="240" w:lineRule="auto"/>
        <w:ind w:left="426" w:hanging="357"/>
        <w:jc w:val="center"/>
        <w:rPr>
          <w:rFonts w:cstheme="minorHAnsi"/>
          <w:b/>
          <w:bCs/>
          <w:szCs w:val="20"/>
        </w:rPr>
      </w:pPr>
      <w:r w:rsidRPr="00663E17">
        <w:rPr>
          <w:rFonts w:cstheme="minorHAnsi"/>
          <w:b/>
          <w:bCs/>
          <w:szCs w:val="20"/>
        </w:rPr>
        <w:t>Memorandum on freedom of expression and media freedom in Hungary</w:t>
      </w:r>
    </w:p>
    <w:p w14:paraId="49345EAF" w14:textId="20C6B1DA" w:rsidR="00EC4851" w:rsidRDefault="00EC4851" w:rsidP="001A7208">
      <w:pPr>
        <w:tabs>
          <w:tab w:val="left" w:pos="1613"/>
        </w:tabs>
        <w:spacing w:after="0" w:line="240" w:lineRule="auto"/>
        <w:ind w:left="714"/>
        <w:jc w:val="both"/>
        <w:rPr>
          <w:rFonts w:cstheme="minorHAnsi"/>
          <w:b/>
          <w:bCs/>
          <w:szCs w:val="20"/>
          <w:lang w:val="en-GB"/>
        </w:rPr>
      </w:pPr>
    </w:p>
    <w:p w14:paraId="01A1B112" w14:textId="77777777" w:rsidR="001414C9" w:rsidRDefault="001414C9" w:rsidP="001A7208">
      <w:pPr>
        <w:tabs>
          <w:tab w:val="left" w:pos="1613"/>
        </w:tabs>
        <w:spacing w:after="0" w:line="240" w:lineRule="auto"/>
        <w:ind w:left="714"/>
        <w:jc w:val="both"/>
        <w:rPr>
          <w:rFonts w:cstheme="minorHAnsi"/>
          <w:b/>
          <w:bCs/>
          <w:szCs w:val="20"/>
          <w:lang w:val="en-GB"/>
        </w:rPr>
      </w:pPr>
    </w:p>
    <w:p w14:paraId="24ECB591" w14:textId="663CE544" w:rsidR="002227B3" w:rsidRPr="00CE0A0B" w:rsidRDefault="002227B3" w:rsidP="001A7208">
      <w:pPr>
        <w:tabs>
          <w:tab w:val="left" w:pos="1613"/>
        </w:tabs>
        <w:spacing w:after="0" w:line="240" w:lineRule="auto"/>
        <w:ind w:left="714"/>
        <w:jc w:val="both"/>
        <w:rPr>
          <w:rFonts w:cstheme="minorHAnsi"/>
          <w:b/>
          <w:bCs/>
          <w:szCs w:val="20"/>
          <w:lang w:val="en-GB"/>
        </w:rPr>
      </w:pPr>
      <w:r w:rsidRPr="00CE0A0B">
        <w:rPr>
          <w:rFonts w:cstheme="minorHAnsi"/>
          <w:b/>
          <w:bCs/>
          <w:szCs w:val="20"/>
          <w:lang w:val="en-GB"/>
        </w:rPr>
        <w:t>Introduction</w:t>
      </w:r>
    </w:p>
    <w:p w14:paraId="583A91B6" w14:textId="77777777" w:rsidR="00663E17" w:rsidRPr="00663E17" w:rsidRDefault="00663E17" w:rsidP="001A7208">
      <w:pPr>
        <w:pStyle w:val="ListParagraph"/>
        <w:tabs>
          <w:tab w:val="left" w:pos="1613"/>
        </w:tabs>
        <w:spacing w:after="0" w:line="240" w:lineRule="auto"/>
        <w:ind w:left="426"/>
        <w:jc w:val="both"/>
        <w:rPr>
          <w:rFonts w:cstheme="minorHAnsi"/>
          <w:b/>
          <w:bCs/>
          <w:szCs w:val="20"/>
          <w:lang w:val="en-GB"/>
        </w:rPr>
      </w:pPr>
    </w:p>
    <w:p w14:paraId="6A129AA0" w14:textId="6E1E16B0" w:rsidR="000B691B" w:rsidRDefault="002227B3" w:rsidP="000B691B">
      <w:pPr>
        <w:numPr>
          <w:ilvl w:val="0"/>
          <w:numId w:val="2"/>
        </w:numPr>
        <w:tabs>
          <w:tab w:val="left" w:pos="1613"/>
        </w:tabs>
        <w:spacing w:after="0" w:line="240" w:lineRule="auto"/>
        <w:ind w:left="714" w:hanging="357"/>
        <w:jc w:val="both"/>
        <w:rPr>
          <w:rFonts w:cstheme="minorHAnsi"/>
          <w:szCs w:val="20"/>
          <w:lang w:val="en-GB"/>
        </w:rPr>
      </w:pPr>
      <w:r w:rsidRPr="00663E17">
        <w:rPr>
          <w:rFonts w:cstheme="minorHAnsi"/>
          <w:szCs w:val="20"/>
          <w:lang w:val="en-GB"/>
        </w:rPr>
        <w:t xml:space="preserve">The present memorandum by the Council of Europe Commissioner for Human Rights (hereinafter, “the Commissioner”) addresses the </w:t>
      </w:r>
      <w:r w:rsidR="003B79E0" w:rsidRPr="00663E17">
        <w:rPr>
          <w:rFonts w:cstheme="minorHAnsi"/>
          <w:szCs w:val="20"/>
          <w:lang w:val="en-GB"/>
        </w:rPr>
        <w:t xml:space="preserve">conditions for </w:t>
      </w:r>
      <w:r w:rsidRPr="00663E17">
        <w:rPr>
          <w:rFonts w:cstheme="minorHAnsi"/>
          <w:szCs w:val="20"/>
          <w:lang w:val="en-GB"/>
        </w:rPr>
        <w:t>freedom of expression and media freedom in Hungary.</w:t>
      </w:r>
      <w:r w:rsidR="000B691B">
        <w:rPr>
          <w:rFonts w:cstheme="minorHAnsi"/>
          <w:szCs w:val="20"/>
          <w:lang w:val="en-GB"/>
        </w:rPr>
        <w:t xml:space="preserve"> It</w:t>
      </w:r>
      <w:r w:rsidR="000B691B" w:rsidRPr="00663E17">
        <w:rPr>
          <w:rFonts w:cstheme="minorHAnsi"/>
          <w:szCs w:val="20"/>
          <w:lang w:val="en-GB"/>
        </w:rPr>
        <w:t xml:space="preserve"> builds on the Commissioner’s thematic work related to the protection of </w:t>
      </w:r>
      <w:hyperlink r:id="rId11" w:history="1">
        <w:r w:rsidR="000B691B" w:rsidRPr="00663E17">
          <w:rPr>
            <w:rStyle w:val="Hyperlink"/>
            <w:rFonts w:cstheme="minorHAnsi"/>
            <w:szCs w:val="20"/>
            <w:lang w:val="en-GB"/>
          </w:rPr>
          <w:t>freedom of expression, media freedom and the safety of journalists</w:t>
        </w:r>
      </w:hyperlink>
      <w:r w:rsidR="000B691B" w:rsidRPr="00663E17">
        <w:rPr>
          <w:rFonts w:cstheme="minorHAnsi"/>
          <w:szCs w:val="20"/>
          <w:lang w:val="en-GB"/>
        </w:rPr>
        <w:t xml:space="preserve"> across all Council of Europe member states. It also draws on her previous work focusing on Hungary, including the </w:t>
      </w:r>
      <w:hyperlink r:id="rId12" w:history="1">
        <w:r w:rsidR="000B691B" w:rsidRPr="00663E17">
          <w:rPr>
            <w:rStyle w:val="Hyperlink"/>
            <w:rFonts w:cstheme="minorHAnsi"/>
            <w:szCs w:val="20"/>
            <w:lang w:val="en-GB"/>
          </w:rPr>
          <w:t>report</w:t>
        </w:r>
      </w:hyperlink>
      <w:r w:rsidR="000B691B" w:rsidRPr="00663E17">
        <w:rPr>
          <w:rFonts w:cstheme="minorHAnsi"/>
          <w:szCs w:val="20"/>
          <w:lang w:val="en-GB"/>
        </w:rPr>
        <w:t xml:space="preserve"> </w:t>
      </w:r>
      <w:r w:rsidR="00B75ECF">
        <w:rPr>
          <w:rFonts w:cstheme="minorHAnsi"/>
          <w:szCs w:val="20"/>
          <w:lang w:val="en-GB"/>
        </w:rPr>
        <w:t xml:space="preserve">of May 2019 </w:t>
      </w:r>
      <w:r w:rsidR="000B691B" w:rsidRPr="00663E17">
        <w:rPr>
          <w:rFonts w:cstheme="minorHAnsi"/>
          <w:szCs w:val="20"/>
          <w:lang w:val="en-GB"/>
        </w:rPr>
        <w:t xml:space="preserve">following her country visit in February 2019, the </w:t>
      </w:r>
      <w:hyperlink r:id="rId13" w:history="1">
        <w:r w:rsidR="000B691B" w:rsidRPr="00663E17">
          <w:rPr>
            <w:rStyle w:val="Hyperlink"/>
            <w:rFonts w:cstheme="minorHAnsi"/>
            <w:szCs w:val="20"/>
            <w:lang w:val="en-GB"/>
          </w:rPr>
          <w:t>report</w:t>
        </w:r>
      </w:hyperlink>
      <w:r w:rsidR="000B691B" w:rsidRPr="00663E17">
        <w:rPr>
          <w:rFonts w:cstheme="minorHAnsi"/>
          <w:szCs w:val="20"/>
          <w:lang w:val="en-GB"/>
        </w:rPr>
        <w:t xml:space="preserve"> of </w:t>
      </w:r>
      <w:r w:rsidR="00B75ECF" w:rsidRPr="00663E17">
        <w:rPr>
          <w:rFonts w:cstheme="minorHAnsi"/>
          <w:szCs w:val="20"/>
          <w:lang w:val="en-GB"/>
        </w:rPr>
        <w:t xml:space="preserve">December 2014 </w:t>
      </w:r>
      <w:r w:rsidR="00B75ECF">
        <w:rPr>
          <w:rFonts w:cstheme="minorHAnsi"/>
          <w:szCs w:val="20"/>
          <w:lang w:val="en-GB"/>
        </w:rPr>
        <w:t xml:space="preserve">by </w:t>
      </w:r>
      <w:r w:rsidR="000B691B" w:rsidRPr="00663E17">
        <w:rPr>
          <w:rFonts w:cstheme="minorHAnsi"/>
          <w:szCs w:val="20"/>
          <w:lang w:val="en-GB"/>
        </w:rPr>
        <w:t xml:space="preserve">her predecessor following his visit in July 2014, the </w:t>
      </w:r>
      <w:hyperlink r:id="rId14" w:history="1">
        <w:r w:rsidR="000B691B" w:rsidRPr="00663E17">
          <w:rPr>
            <w:rStyle w:val="Hyperlink"/>
            <w:rFonts w:cstheme="minorHAnsi"/>
            <w:szCs w:val="20"/>
            <w:lang w:val="en-GB"/>
          </w:rPr>
          <w:t>Opinion</w:t>
        </w:r>
      </w:hyperlink>
      <w:r w:rsidR="000B691B" w:rsidRPr="00663E17">
        <w:rPr>
          <w:rFonts w:cstheme="minorHAnsi"/>
          <w:szCs w:val="20"/>
          <w:lang w:val="en-GB"/>
        </w:rPr>
        <w:t xml:space="preserve"> o</w:t>
      </w:r>
      <w:r w:rsidR="00B75ECF">
        <w:rPr>
          <w:rFonts w:cstheme="minorHAnsi"/>
          <w:szCs w:val="20"/>
          <w:lang w:val="en-GB"/>
        </w:rPr>
        <w:t>f</w:t>
      </w:r>
      <w:r w:rsidR="000B691B" w:rsidRPr="00663E17">
        <w:rPr>
          <w:rFonts w:cstheme="minorHAnsi"/>
          <w:szCs w:val="20"/>
          <w:lang w:val="en-GB"/>
        </w:rPr>
        <w:t xml:space="preserve"> </w:t>
      </w:r>
      <w:r w:rsidR="00B75ECF" w:rsidRPr="00663E17">
        <w:rPr>
          <w:rFonts w:cstheme="minorHAnsi"/>
          <w:szCs w:val="20"/>
          <w:lang w:val="en-GB"/>
        </w:rPr>
        <w:t xml:space="preserve">February 2011 </w:t>
      </w:r>
      <w:r w:rsidR="00B75ECF">
        <w:rPr>
          <w:rFonts w:cstheme="minorHAnsi"/>
          <w:szCs w:val="20"/>
          <w:lang w:val="en-GB"/>
        </w:rPr>
        <w:t xml:space="preserve">on </w:t>
      </w:r>
      <w:r w:rsidR="000B691B" w:rsidRPr="00663E17">
        <w:rPr>
          <w:rFonts w:cstheme="minorHAnsi"/>
          <w:szCs w:val="20"/>
          <w:lang w:val="en-GB"/>
        </w:rPr>
        <w:t xml:space="preserve">Hungary’s </w:t>
      </w:r>
      <w:r w:rsidR="000B691B">
        <w:rPr>
          <w:rFonts w:cstheme="minorHAnsi"/>
          <w:szCs w:val="20"/>
          <w:lang w:val="en-GB"/>
        </w:rPr>
        <w:t>m</w:t>
      </w:r>
      <w:r w:rsidR="000B691B" w:rsidRPr="00663E17">
        <w:rPr>
          <w:rFonts w:cstheme="minorHAnsi"/>
          <w:szCs w:val="20"/>
          <w:lang w:val="en-GB"/>
        </w:rPr>
        <w:t xml:space="preserve">edia </w:t>
      </w:r>
      <w:r w:rsidR="000B691B">
        <w:rPr>
          <w:rFonts w:cstheme="minorHAnsi"/>
          <w:szCs w:val="20"/>
          <w:lang w:val="en-GB"/>
        </w:rPr>
        <w:t>l</w:t>
      </w:r>
      <w:r w:rsidR="000B691B" w:rsidRPr="00663E17">
        <w:rPr>
          <w:rFonts w:cstheme="minorHAnsi"/>
          <w:szCs w:val="20"/>
          <w:lang w:val="en-GB"/>
        </w:rPr>
        <w:t xml:space="preserve">egislation in </w:t>
      </w:r>
      <w:r w:rsidR="00B75ECF">
        <w:rPr>
          <w:rFonts w:cstheme="minorHAnsi"/>
          <w:szCs w:val="20"/>
          <w:lang w:val="en-GB"/>
        </w:rPr>
        <w:t xml:space="preserve">the </w:t>
      </w:r>
      <w:r w:rsidR="000B691B" w:rsidRPr="00663E17">
        <w:rPr>
          <w:rFonts w:cstheme="minorHAnsi"/>
          <w:szCs w:val="20"/>
          <w:lang w:val="en-GB"/>
        </w:rPr>
        <w:t>light of Council of Europe standards on freedom of the media, and her continuous monitoring of the situation related to freedom of expression in the country</w:t>
      </w:r>
      <w:r w:rsidR="000B691B">
        <w:rPr>
          <w:rFonts w:cstheme="minorHAnsi"/>
          <w:szCs w:val="20"/>
          <w:lang w:val="en-GB"/>
        </w:rPr>
        <w:t>.</w:t>
      </w:r>
      <w:r w:rsidR="000710F0">
        <w:rPr>
          <w:rStyle w:val="FootnoteReference"/>
          <w:rFonts w:cstheme="minorHAnsi"/>
          <w:szCs w:val="20"/>
          <w:lang w:val="en-GB"/>
        </w:rPr>
        <w:footnoteReference w:id="1"/>
      </w:r>
    </w:p>
    <w:p w14:paraId="24DC8E6F" w14:textId="77777777" w:rsidR="000B691B" w:rsidRPr="00663E17" w:rsidRDefault="000B691B" w:rsidP="000B691B">
      <w:pPr>
        <w:tabs>
          <w:tab w:val="left" w:pos="1613"/>
        </w:tabs>
        <w:spacing w:after="0" w:line="240" w:lineRule="auto"/>
        <w:ind w:left="714"/>
        <w:jc w:val="both"/>
        <w:rPr>
          <w:rFonts w:cstheme="minorHAnsi"/>
          <w:szCs w:val="20"/>
          <w:lang w:val="en-GB"/>
        </w:rPr>
      </w:pPr>
    </w:p>
    <w:p w14:paraId="5DA8B9BC" w14:textId="2CB28327" w:rsidR="002227B3" w:rsidRPr="00663E17" w:rsidRDefault="000B691B" w:rsidP="001A7208">
      <w:pPr>
        <w:numPr>
          <w:ilvl w:val="0"/>
          <w:numId w:val="2"/>
        </w:numPr>
        <w:tabs>
          <w:tab w:val="left" w:pos="1613"/>
        </w:tabs>
        <w:spacing w:after="0" w:line="240" w:lineRule="auto"/>
        <w:ind w:left="714" w:hanging="357"/>
        <w:jc w:val="both"/>
        <w:rPr>
          <w:rFonts w:cstheme="minorHAnsi"/>
          <w:szCs w:val="20"/>
          <w:lang w:val="en-GB"/>
        </w:rPr>
      </w:pPr>
      <w:r>
        <w:rPr>
          <w:rFonts w:cstheme="minorHAnsi"/>
          <w:szCs w:val="20"/>
          <w:lang w:val="en-GB"/>
        </w:rPr>
        <w:t xml:space="preserve">The memorandum </w:t>
      </w:r>
      <w:r w:rsidR="00B75ECF">
        <w:rPr>
          <w:rFonts w:cstheme="minorHAnsi"/>
          <w:szCs w:val="20"/>
          <w:lang w:val="en-GB"/>
        </w:rPr>
        <w:t>constitutes</w:t>
      </w:r>
      <w:r w:rsidR="002227B3" w:rsidRPr="00663E17">
        <w:rPr>
          <w:rFonts w:cstheme="minorHAnsi"/>
          <w:szCs w:val="20"/>
          <w:lang w:val="en-GB"/>
        </w:rPr>
        <w:t xml:space="preserve"> a</w:t>
      </w:r>
      <w:r w:rsidR="003B79E0" w:rsidRPr="00663E17">
        <w:rPr>
          <w:rFonts w:cstheme="minorHAnsi"/>
          <w:szCs w:val="20"/>
          <w:lang w:val="en-GB"/>
        </w:rPr>
        <w:t xml:space="preserve"> </w:t>
      </w:r>
      <w:r w:rsidR="0040666D" w:rsidRPr="00663E17">
        <w:rPr>
          <w:rFonts w:cstheme="minorHAnsi"/>
          <w:szCs w:val="20"/>
          <w:lang w:val="en-GB"/>
        </w:rPr>
        <w:t>reaction</w:t>
      </w:r>
      <w:r w:rsidR="003B79E0" w:rsidRPr="00663E17">
        <w:rPr>
          <w:rFonts w:cstheme="minorHAnsi"/>
          <w:szCs w:val="20"/>
          <w:lang w:val="en-GB"/>
        </w:rPr>
        <w:t xml:space="preserve"> to the </w:t>
      </w:r>
      <w:r w:rsidR="00724C66" w:rsidRPr="00663E17">
        <w:rPr>
          <w:rFonts w:cstheme="minorHAnsi"/>
          <w:szCs w:val="20"/>
          <w:lang w:val="en-GB"/>
        </w:rPr>
        <w:t xml:space="preserve">deterioration of </w:t>
      </w:r>
      <w:r w:rsidR="003B79E0" w:rsidRPr="00663E17">
        <w:rPr>
          <w:rFonts w:cstheme="minorHAnsi"/>
          <w:szCs w:val="20"/>
          <w:lang w:val="en-GB"/>
        </w:rPr>
        <w:t xml:space="preserve">the environment </w:t>
      </w:r>
      <w:r w:rsidR="00724C66" w:rsidRPr="00663E17">
        <w:rPr>
          <w:rFonts w:cstheme="minorHAnsi"/>
          <w:szCs w:val="20"/>
          <w:lang w:val="en-GB"/>
        </w:rPr>
        <w:t>for media pluralism and transparency of media ownership in the country, as also observed by numerous international</w:t>
      </w:r>
      <w:r w:rsidR="002F01EB">
        <w:rPr>
          <w:rFonts w:cstheme="minorHAnsi"/>
          <w:szCs w:val="20"/>
          <w:lang w:val="en-GB"/>
        </w:rPr>
        <w:t xml:space="preserve">, </w:t>
      </w:r>
      <w:r w:rsidR="00724C66" w:rsidRPr="00663E17">
        <w:rPr>
          <w:rFonts w:cstheme="minorHAnsi"/>
          <w:szCs w:val="20"/>
          <w:lang w:val="en-GB"/>
        </w:rPr>
        <w:t>national, governmental and non-governmental organisations working to protect and promot</w:t>
      </w:r>
      <w:r w:rsidR="00A911EA">
        <w:rPr>
          <w:rFonts w:cstheme="minorHAnsi"/>
          <w:szCs w:val="20"/>
          <w:lang w:val="en-GB"/>
        </w:rPr>
        <w:t>e</w:t>
      </w:r>
      <w:r w:rsidR="00724C66" w:rsidRPr="00663E17">
        <w:rPr>
          <w:rFonts w:cstheme="minorHAnsi"/>
          <w:szCs w:val="20"/>
          <w:lang w:val="en-GB"/>
        </w:rPr>
        <w:t xml:space="preserve"> the rights enshrined in Article 10 of the European Convention on Human Rights (</w:t>
      </w:r>
      <w:r w:rsidR="009A545F">
        <w:rPr>
          <w:rFonts w:cstheme="minorHAnsi"/>
          <w:szCs w:val="20"/>
          <w:lang w:val="en-GB"/>
        </w:rPr>
        <w:t xml:space="preserve">hereinafter </w:t>
      </w:r>
      <w:r w:rsidR="00724C66" w:rsidRPr="00663E17">
        <w:rPr>
          <w:rFonts w:cstheme="minorHAnsi"/>
          <w:szCs w:val="20"/>
          <w:lang w:val="en-GB"/>
        </w:rPr>
        <w:t>“the Convention”).</w:t>
      </w:r>
    </w:p>
    <w:p w14:paraId="238F681F" w14:textId="77777777" w:rsidR="00037FD3" w:rsidRPr="00663E17" w:rsidRDefault="00037FD3" w:rsidP="001A7208">
      <w:pPr>
        <w:pStyle w:val="ListParagraph"/>
        <w:spacing w:after="0" w:line="240" w:lineRule="auto"/>
        <w:ind w:left="426" w:hanging="357"/>
        <w:contextualSpacing w:val="0"/>
        <w:jc w:val="both"/>
        <w:rPr>
          <w:rFonts w:cstheme="minorHAnsi"/>
          <w:szCs w:val="20"/>
          <w:lang w:val="en-GB"/>
        </w:rPr>
      </w:pPr>
    </w:p>
    <w:p w14:paraId="7772067E" w14:textId="743E3B8B" w:rsidR="00260168" w:rsidRPr="00663E17" w:rsidRDefault="00260168" w:rsidP="001A7208">
      <w:pPr>
        <w:numPr>
          <w:ilvl w:val="0"/>
          <w:numId w:val="2"/>
        </w:numPr>
        <w:tabs>
          <w:tab w:val="left" w:pos="1613"/>
        </w:tabs>
        <w:spacing w:after="0" w:line="240" w:lineRule="auto"/>
        <w:ind w:left="714" w:hanging="357"/>
        <w:jc w:val="both"/>
        <w:rPr>
          <w:rFonts w:cstheme="minorHAnsi"/>
          <w:szCs w:val="20"/>
          <w:lang w:val="en-GB"/>
        </w:rPr>
      </w:pPr>
      <w:r w:rsidRPr="00663E17">
        <w:rPr>
          <w:rFonts w:cstheme="minorHAnsi"/>
          <w:szCs w:val="20"/>
          <w:lang w:val="en-GB"/>
        </w:rPr>
        <w:t>A</w:t>
      </w:r>
      <w:r w:rsidR="002227B3" w:rsidRPr="00663E17">
        <w:rPr>
          <w:rFonts w:cstheme="minorHAnsi"/>
          <w:szCs w:val="20"/>
          <w:lang w:val="en-GB"/>
        </w:rPr>
        <w:t xml:space="preserve"> key step in the preparation of the memorandum was the online consultation with </w:t>
      </w:r>
      <w:r w:rsidRPr="00663E17">
        <w:rPr>
          <w:rFonts w:cstheme="minorHAnsi"/>
          <w:szCs w:val="20"/>
          <w:lang w:val="en-GB"/>
        </w:rPr>
        <w:t>Hungarian authorities</w:t>
      </w:r>
      <w:r w:rsidR="002227B3" w:rsidRPr="00663E17">
        <w:rPr>
          <w:rFonts w:cstheme="minorHAnsi"/>
          <w:szCs w:val="20"/>
          <w:lang w:val="en-GB"/>
        </w:rPr>
        <w:t>, national human rights structures</w:t>
      </w:r>
      <w:r w:rsidRPr="00663E17">
        <w:rPr>
          <w:rFonts w:cstheme="minorHAnsi"/>
          <w:szCs w:val="20"/>
          <w:lang w:val="en-GB"/>
        </w:rPr>
        <w:t xml:space="preserve"> </w:t>
      </w:r>
      <w:r w:rsidR="00FA7D59" w:rsidRPr="00663E17">
        <w:rPr>
          <w:rFonts w:cstheme="minorHAnsi"/>
          <w:szCs w:val="20"/>
          <w:lang w:val="en-GB"/>
        </w:rPr>
        <w:t>and representatives of</w:t>
      </w:r>
      <w:r w:rsidR="00B75ECF">
        <w:rPr>
          <w:rFonts w:cstheme="minorHAnsi"/>
          <w:szCs w:val="20"/>
          <w:lang w:val="en-GB"/>
        </w:rPr>
        <w:t xml:space="preserve"> Hungary’s </w:t>
      </w:r>
      <w:r w:rsidR="00FA7D59" w:rsidRPr="00663E17">
        <w:rPr>
          <w:rFonts w:cstheme="minorHAnsi"/>
          <w:szCs w:val="20"/>
          <w:lang w:val="en-GB"/>
        </w:rPr>
        <w:t>civil society and media community</w:t>
      </w:r>
      <w:r w:rsidR="001F2C95">
        <w:rPr>
          <w:rFonts w:cstheme="minorHAnsi"/>
          <w:szCs w:val="20"/>
          <w:lang w:val="en-GB"/>
        </w:rPr>
        <w:t>,</w:t>
      </w:r>
      <w:r w:rsidR="00FA7D59" w:rsidRPr="00663E17">
        <w:rPr>
          <w:rFonts w:cstheme="minorHAnsi"/>
          <w:szCs w:val="20"/>
          <w:lang w:val="en-GB"/>
        </w:rPr>
        <w:t xml:space="preserve"> </w:t>
      </w:r>
      <w:r w:rsidR="002227B3" w:rsidRPr="00663E17">
        <w:rPr>
          <w:rFonts w:cstheme="minorHAnsi"/>
          <w:szCs w:val="20"/>
          <w:lang w:val="en-GB"/>
        </w:rPr>
        <w:t xml:space="preserve">held between </w:t>
      </w:r>
      <w:r w:rsidR="00FA7D59" w:rsidRPr="00663E17">
        <w:rPr>
          <w:rFonts w:cstheme="minorHAnsi"/>
          <w:szCs w:val="20"/>
          <w:lang w:val="en-GB"/>
        </w:rPr>
        <w:t>29 January and 4 February 2021</w:t>
      </w:r>
      <w:r w:rsidR="002227B3" w:rsidRPr="00663E17">
        <w:rPr>
          <w:rFonts w:cstheme="minorHAnsi"/>
          <w:szCs w:val="20"/>
          <w:lang w:val="en-GB"/>
        </w:rPr>
        <w:t xml:space="preserve">. The Commissioner had </w:t>
      </w:r>
      <w:r w:rsidR="00B75ECF">
        <w:rPr>
          <w:rFonts w:cstheme="minorHAnsi"/>
          <w:szCs w:val="20"/>
          <w:lang w:val="en-GB"/>
        </w:rPr>
        <w:t>the</w:t>
      </w:r>
      <w:r w:rsidR="002227B3" w:rsidRPr="00663E17">
        <w:rPr>
          <w:rFonts w:cstheme="minorHAnsi"/>
          <w:szCs w:val="20"/>
          <w:lang w:val="en-GB"/>
        </w:rPr>
        <w:t xml:space="preserve"> opportunity to talk, in particular, to</w:t>
      </w:r>
      <w:r w:rsidR="008F6A96" w:rsidRPr="00663E17">
        <w:rPr>
          <w:rFonts w:cstheme="minorHAnsi"/>
          <w:szCs w:val="20"/>
          <w:lang w:val="en-GB"/>
        </w:rPr>
        <w:t xml:space="preserve"> Judit Varga, Minister of Justice</w:t>
      </w:r>
      <w:r w:rsidR="00B75ECF">
        <w:rPr>
          <w:rFonts w:cstheme="minorHAnsi"/>
          <w:szCs w:val="20"/>
          <w:lang w:val="en-GB"/>
        </w:rPr>
        <w:t>,</w:t>
      </w:r>
      <w:r w:rsidR="008F6A96" w:rsidRPr="00663E17">
        <w:rPr>
          <w:rFonts w:cstheme="minorHAnsi"/>
          <w:szCs w:val="20"/>
          <w:lang w:val="en-GB"/>
        </w:rPr>
        <w:t xml:space="preserve"> </w:t>
      </w:r>
      <w:proofErr w:type="spellStart"/>
      <w:r w:rsidR="008F6A96" w:rsidRPr="00663E17">
        <w:rPr>
          <w:rFonts w:cstheme="minorHAnsi"/>
          <w:szCs w:val="20"/>
          <w:lang w:val="en-GB"/>
        </w:rPr>
        <w:t>Bal</w:t>
      </w:r>
      <w:r w:rsidR="006A71FF" w:rsidRPr="00663E17">
        <w:rPr>
          <w:rFonts w:cstheme="minorHAnsi"/>
          <w:szCs w:val="20"/>
          <w:lang w:val="en-GB"/>
        </w:rPr>
        <w:t>á</w:t>
      </w:r>
      <w:r w:rsidR="006A71FF">
        <w:rPr>
          <w:rFonts w:cstheme="minorHAnsi"/>
          <w:szCs w:val="20"/>
          <w:lang w:val="en-GB"/>
        </w:rPr>
        <w:t>z</w:t>
      </w:r>
      <w:r w:rsidR="008F6A96" w:rsidRPr="00663E17">
        <w:rPr>
          <w:rFonts w:cstheme="minorHAnsi"/>
          <w:szCs w:val="20"/>
          <w:lang w:val="en-GB"/>
        </w:rPr>
        <w:t>s</w:t>
      </w:r>
      <w:proofErr w:type="spellEnd"/>
      <w:r w:rsidR="008F6A96" w:rsidRPr="00663E17">
        <w:rPr>
          <w:rFonts w:cstheme="minorHAnsi"/>
          <w:szCs w:val="20"/>
          <w:lang w:val="en-GB"/>
        </w:rPr>
        <w:t xml:space="preserve"> </w:t>
      </w:r>
      <w:proofErr w:type="spellStart"/>
      <w:r w:rsidR="008F6A96" w:rsidRPr="00663E17">
        <w:rPr>
          <w:rFonts w:cstheme="minorHAnsi"/>
          <w:szCs w:val="20"/>
          <w:lang w:val="en-GB"/>
        </w:rPr>
        <w:t>Orbán</w:t>
      </w:r>
      <w:proofErr w:type="spellEnd"/>
      <w:r w:rsidR="008F6A96" w:rsidRPr="00663E17">
        <w:rPr>
          <w:rFonts w:cstheme="minorHAnsi"/>
          <w:szCs w:val="20"/>
          <w:lang w:val="en-GB"/>
        </w:rPr>
        <w:t>, Deputy Minister of the Prime Minister’s Office</w:t>
      </w:r>
      <w:r w:rsidR="00B75ECF">
        <w:rPr>
          <w:rFonts w:cstheme="minorHAnsi"/>
          <w:szCs w:val="20"/>
          <w:lang w:val="en-GB"/>
        </w:rPr>
        <w:t>,</w:t>
      </w:r>
      <w:r w:rsidR="008F6A96" w:rsidRPr="00663E17">
        <w:rPr>
          <w:rFonts w:cstheme="minorHAnsi"/>
          <w:szCs w:val="20"/>
          <w:lang w:val="en-GB"/>
        </w:rPr>
        <w:t xml:space="preserve"> Moni</w:t>
      </w:r>
      <w:r w:rsidR="004556D4">
        <w:rPr>
          <w:rFonts w:cstheme="minorHAnsi"/>
          <w:szCs w:val="20"/>
          <w:lang w:val="en-GB"/>
        </w:rPr>
        <w:t>k</w:t>
      </w:r>
      <w:r w:rsidR="008F6A96" w:rsidRPr="00663E17">
        <w:rPr>
          <w:rFonts w:cstheme="minorHAnsi"/>
          <w:szCs w:val="20"/>
          <w:lang w:val="en-GB"/>
        </w:rPr>
        <w:t xml:space="preserve">a </w:t>
      </w:r>
      <w:proofErr w:type="spellStart"/>
      <w:r w:rsidR="008F6A96" w:rsidRPr="00663E17">
        <w:rPr>
          <w:rFonts w:cstheme="minorHAnsi"/>
          <w:szCs w:val="20"/>
          <w:lang w:val="en-GB"/>
        </w:rPr>
        <w:t>Karas</w:t>
      </w:r>
      <w:proofErr w:type="spellEnd"/>
      <w:r w:rsidR="008F6A96" w:rsidRPr="00663E17">
        <w:rPr>
          <w:rFonts w:cstheme="minorHAnsi"/>
          <w:szCs w:val="20"/>
          <w:lang w:val="en-GB"/>
        </w:rPr>
        <w:t>, President of the National Media and Info</w:t>
      </w:r>
      <w:r w:rsidR="00AB5545" w:rsidRPr="00663E17">
        <w:rPr>
          <w:rFonts w:cstheme="minorHAnsi"/>
          <w:szCs w:val="20"/>
          <w:lang w:val="en-GB"/>
        </w:rPr>
        <w:t>-</w:t>
      </w:r>
      <w:r w:rsidR="008F6A96" w:rsidRPr="00663E17">
        <w:rPr>
          <w:rFonts w:cstheme="minorHAnsi"/>
          <w:szCs w:val="20"/>
          <w:lang w:val="en-GB"/>
        </w:rPr>
        <w:t>communications Authority and Chairperson of the Media Council</w:t>
      </w:r>
      <w:r w:rsidR="00B75ECF">
        <w:rPr>
          <w:rFonts w:cstheme="minorHAnsi"/>
          <w:szCs w:val="20"/>
          <w:lang w:val="en-GB"/>
        </w:rPr>
        <w:t>,</w:t>
      </w:r>
      <w:r w:rsidR="008F6A96" w:rsidRPr="00663E17">
        <w:rPr>
          <w:rFonts w:cstheme="minorHAnsi"/>
          <w:szCs w:val="20"/>
          <w:lang w:val="en-GB"/>
        </w:rPr>
        <w:t xml:space="preserve"> and </w:t>
      </w:r>
      <w:proofErr w:type="spellStart"/>
      <w:r w:rsidR="003B79E0" w:rsidRPr="00663E17">
        <w:rPr>
          <w:rFonts w:cstheme="minorHAnsi"/>
          <w:szCs w:val="20"/>
          <w:lang w:val="en-GB"/>
        </w:rPr>
        <w:t>Á</w:t>
      </w:r>
      <w:r w:rsidR="008F6A96" w:rsidRPr="00663E17">
        <w:rPr>
          <w:rFonts w:cstheme="minorHAnsi"/>
          <w:szCs w:val="20"/>
          <w:lang w:val="en-GB"/>
        </w:rPr>
        <w:t>ko</w:t>
      </w:r>
      <w:r w:rsidR="001F2C95">
        <w:rPr>
          <w:rFonts w:cstheme="minorHAnsi"/>
          <w:szCs w:val="20"/>
          <w:lang w:val="en-GB"/>
        </w:rPr>
        <w:t>s</w:t>
      </w:r>
      <w:proofErr w:type="spellEnd"/>
      <w:r w:rsidR="008F6A96" w:rsidRPr="00663E17">
        <w:rPr>
          <w:rFonts w:cstheme="minorHAnsi"/>
          <w:szCs w:val="20"/>
          <w:lang w:val="en-GB"/>
        </w:rPr>
        <w:t xml:space="preserve"> </w:t>
      </w:r>
      <w:proofErr w:type="spellStart"/>
      <w:r w:rsidR="008F6A96" w:rsidRPr="00663E17">
        <w:rPr>
          <w:rFonts w:cstheme="minorHAnsi"/>
          <w:szCs w:val="20"/>
          <w:lang w:val="en-GB"/>
        </w:rPr>
        <w:t>Kozma</w:t>
      </w:r>
      <w:proofErr w:type="spellEnd"/>
      <w:r w:rsidR="008F6A96" w:rsidRPr="00663E17">
        <w:rPr>
          <w:rFonts w:cstheme="minorHAnsi"/>
          <w:szCs w:val="20"/>
          <w:lang w:val="en-GB"/>
        </w:rPr>
        <w:t xml:space="preserve">, Commissioner for Fundamental Rights. </w:t>
      </w:r>
      <w:r w:rsidR="002227B3" w:rsidRPr="00663E17">
        <w:rPr>
          <w:rFonts w:cstheme="minorHAnsi"/>
          <w:szCs w:val="20"/>
          <w:lang w:val="en-GB"/>
        </w:rPr>
        <w:t xml:space="preserve">The Commissioner would like to </w:t>
      </w:r>
      <w:r w:rsidR="00FA7D59" w:rsidRPr="00663E17">
        <w:rPr>
          <w:rFonts w:cstheme="minorHAnsi"/>
          <w:szCs w:val="20"/>
          <w:lang w:val="en-GB"/>
        </w:rPr>
        <w:t xml:space="preserve">express her </w:t>
      </w:r>
      <w:r w:rsidR="008F6A96" w:rsidRPr="00663E17">
        <w:rPr>
          <w:rFonts w:cstheme="minorHAnsi"/>
          <w:szCs w:val="20"/>
          <w:lang w:val="en-GB"/>
        </w:rPr>
        <w:t>appreciation</w:t>
      </w:r>
      <w:r w:rsidR="00FA7D59" w:rsidRPr="00663E17">
        <w:rPr>
          <w:rFonts w:cstheme="minorHAnsi"/>
          <w:szCs w:val="20"/>
          <w:lang w:val="en-GB"/>
        </w:rPr>
        <w:t xml:space="preserve"> to </w:t>
      </w:r>
      <w:r w:rsidR="002227B3" w:rsidRPr="00663E17">
        <w:rPr>
          <w:rFonts w:cstheme="minorHAnsi"/>
          <w:szCs w:val="20"/>
          <w:lang w:val="en-GB"/>
        </w:rPr>
        <w:t xml:space="preserve">the </w:t>
      </w:r>
      <w:r w:rsidRPr="00663E17">
        <w:rPr>
          <w:rFonts w:cstheme="minorHAnsi"/>
          <w:szCs w:val="20"/>
          <w:lang w:val="en-GB"/>
        </w:rPr>
        <w:t xml:space="preserve">Hungarian </w:t>
      </w:r>
      <w:r w:rsidR="002227B3" w:rsidRPr="00663E17">
        <w:rPr>
          <w:rFonts w:cstheme="minorHAnsi"/>
          <w:szCs w:val="20"/>
          <w:lang w:val="en-GB"/>
        </w:rPr>
        <w:t xml:space="preserve">authorities in Strasbourg and in </w:t>
      </w:r>
      <w:r w:rsidRPr="00663E17">
        <w:rPr>
          <w:rFonts w:cstheme="minorHAnsi"/>
          <w:szCs w:val="20"/>
          <w:lang w:val="en-GB"/>
        </w:rPr>
        <w:t>Budapest</w:t>
      </w:r>
      <w:r w:rsidR="002227B3" w:rsidRPr="00663E17">
        <w:rPr>
          <w:rFonts w:cstheme="minorHAnsi"/>
          <w:szCs w:val="20"/>
          <w:lang w:val="en-GB"/>
        </w:rPr>
        <w:t xml:space="preserve"> for their </w:t>
      </w:r>
      <w:r w:rsidR="008F6A96" w:rsidRPr="00663E17">
        <w:rPr>
          <w:rFonts w:cstheme="minorHAnsi"/>
          <w:szCs w:val="20"/>
          <w:lang w:val="en-GB"/>
        </w:rPr>
        <w:t xml:space="preserve">kind </w:t>
      </w:r>
      <w:r w:rsidR="002227B3" w:rsidRPr="00663E17">
        <w:rPr>
          <w:rFonts w:cstheme="minorHAnsi"/>
          <w:szCs w:val="20"/>
          <w:lang w:val="en-GB"/>
        </w:rPr>
        <w:t>assistance in organising and facilitating her meetings with officials. She is</w:t>
      </w:r>
      <w:r w:rsidR="008F6A96" w:rsidRPr="00663E17">
        <w:rPr>
          <w:rFonts w:cstheme="minorHAnsi"/>
          <w:szCs w:val="20"/>
          <w:lang w:val="en-GB"/>
        </w:rPr>
        <w:t xml:space="preserve"> </w:t>
      </w:r>
      <w:r w:rsidR="002227B3" w:rsidRPr="00663E17">
        <w:rPr>
          <w:rFonts w:cstheme="minorHAnsi"/>
          <w:szCs w:val="20"/>
          <w:lang w:val="en-GB"/>
        </w:rPr>
        <w:t xml:space="preserve">grateful to all the people she spoke to in </w:t>
      </w:r>
      <w:r w:rsidRPr="00663E17">
        <w:rPr>
          <w:rFonts w:cstheme="minorHAnsi"/>
          <w:szCs w:val="20"/>
          <w:lang w:val="en-GB"/>
        </w:rPr>
        <w:t xml:space="preserve">Hungary </w:t>
      </w:r>
      <w:r w:rsidR="002227B3" w:rsidRPr="00663E17">
        <w:rPr>
          <w:rFonts w:cstheme="minorHAnsi"/>
          <w:szCs w:val="20"/>
          <w:lang w:val="en-GB"/>
        </w:rPr>
        <w:t>for sharing their views, knowledge and insights.</w:t>
      </w:r>
    </w:p>
    <w:p w14:paraId="140B5D7E" w14:textId="77777777" w:rsidR="00260168" w:rsidRPr="00663E17" w:rsidRDefault="00260168" w:rsidP="001A7208">
      <w:pPr>
        <w:pStyle w:val="ListParagraph"/>
        <w:spacing w:after="0" w:line="240" w:lineRule="auto"/>
        <w:ind w:left="426" w:hanging="357"/>
        <w:contextualSpacing w:val="0"/>
        <w:jc w:val="both"/>
        <w:rPr>
          <w:rFonts w:cstheme="minorHAnsi"/>
          <w:szCs w:val="20"/>
          <w:lang w:val="en-GB"/>
        </w:rPr>
      </w:pPr>
    </w:p>
    <w:p w14:paraId="3F51A641" w14:textId="3129BE3E" w:rsidR="002D557B" w:rsidRDefault="00260168" w:rsidP="001A7208">
      <w:pPr>
        <w:numPr>
          <w:ilvl w:val="0"/>
          <w:numId w:val="2"/>
        </w:numPr>
        <w:tabs>
          <w:tab w:val="left" w:pos="1613"/>
        </w:tabs>
        <w:spacing w:after="0" w:line="240" w:lineRule="auto"/>
        <w:ind w:left="714" w:hanging="357"/>
        <w:jc w:val="both"/>
        <w:rPr>
          <w:rFonts w:cstheme="minorHAnsi"/>
          <w:szCs w:val="20"/>
          <w:lang w:val="en-GB"/>
        </w:rPr>
      </w:pPr>
      <w:r w:rsidRPr="00663E17">
        <w:rPr>
          <w:rFonts w:cstheme="minorHAnsi"/>
          <w:szCs w:val="20"/>
          <w:lang w:val="en-GB"/>
        </w:rPr>
        <w:t xml:space="preserve">The memorandum </w:t>
      </w:r>
      <w:r w:rsidR="00B75ECF">
        <w:rPr>
          <w:rFonts w:cstheme="minorHAnsi"/>
          <w:szCs w:val="20"/>
          <w:lang w:val="en-GB"/>
        </w:rPr>
        <w:t xml:space="preserve">begins by </w:t>
      </w:r>
      <w:r w:rsidR="002401FA" w:rsidRPr="00663E17">
        <w:rPr>
          <w:rFonts w:cstheme="minorHAnsi"/>
          <w:szCs w:val="20"/>
          <w:lang w:val="en-GB"/>
        </w:rPr>
        <w:t>outlin</w:t>
      </w:r>
      <w:r w:rsidR="00B75ECF">
        <w:rPr>
          <w:rFonts w:cstheme="minorHAnsi"/>
          <w:szCs w:val="20"/>
          <w:lang w:val="en-GB"/>
        </w:rPr>
        <w:t>ing</w:t>
      </w:r>
      <w:r w:rsidR="002401FA" w:rsidRPr="00663E17">
        <w:rPr>
          <w:rFonts w:cstheme="minorHAnsi"/>
          <w:szCs w:val="20"/>
          <w:lang w:val="en-GB"/>
        </w:rPr>
        <w:t xml:space="preserve"> the key </w:t>
      </w:r>
      <w:r w:rsidR="00217C66">
        <w:rPr>
          <w:rFonts w:cstheme="minorHAnsi"/>
          <w:szCs w:val="20"/>
          <w:lang w:val="en-GB"/>
        </w:rPr>
        <w:t xml:space="preserve">issues </w:t>
      </w:r>
      <w:r w:rsidR="002F01EB">
        <w:rPr>
          <w:rFonts w:cstheme="minorHAnsi"/>
          <w:szCs w:val="20"/>
          <w:lang w:val="en-GB"/>
        </w:rPr>
        <w:t>regarding the</w:t>
      </w:r>
      <w:r w:rsidR="002401FA" w:rsidRPr="00663E17">
        <w:rPr>
          <w:rFonts w:cstheme="minorHAnsi"/>
          <w:szCs w:val="20"/>
          <w:lang w:val="en-GB"/>
        </w:rPr>
        <w:t xml:space="preserve"> legislative framework pertaining to freedom of expression and media pluralism (Section I). It then explores the effects on media freedom stemming from the media market situation</w:t>
      </w:r>
      <w:r w:rsidR="002F01EB">
        <w:rPr>
          <w:rFonts w:cstheme="minorHAnsi"/>
          <w:szCs w:val="20"/>
          <w:lang w:val="en-GB"/>
        </w:rPr>
        <w:t xml:space="preserve">, significant </w:t>
      </w:r>
      <w:r w:rsidR="002401FA" w:rsidRPr="00663E17">
        <w:rPr>
          <w:rFonts w:cstheme="minorHAnsi"/>
          <w:szCs w:val="20"/>
          <w:lang w:val="en-GB"/>
        </w:rPr>
        <w:t xml:space="preserve">media concentration and lack of transparency </w:t>
      </w:r>
      <w:r w:rsidR="002F01EB">
        <w:rPr>
          <w:rFonts w:cstheme="minorHAnsi"/>
          <w:szCs w:val="20"/>
          <w:lang w:val="en-GB"/>
        </w:rPr>
        <w:t xml:space="preserve">related to </w:t>
      </w:r>
      <w:r w:rsidR="002401FA" w:rsidRPr="00663E17">
        <w:rPr>
          <w:rFonts w:cstheme="minorHAnsi"/>
          <w:szCs w:val="20"/>
          <w:lang w:val="en-GB"/>
        </w:rPr>
        <w:t xml:space="preserve">state aid </w:t>
      </w:r>
      <w:r w:rsidR="00B75ECF">
        <w:rPr>
          <w:rFonts w:cstheme="minorHAnsi"/>
          <w:szCs w:val="20"/>
          <w:lang w:val="en-GB"/>
        </w:rPr>
        <w:t>for the</w:t>
      </w:r>
      <w:r w:rsidR="002F01EB">
        <w:rPr>
          <w:rFonts w:cstheme="minorHAnsi"/>
          <w:szCs w:val="20"/>
          <w:lang w:val="en-GB"/>
        </w:rPr>
        <w:t xml:space="preserve"> media </w:t>
      </w:r>
      <w:r w:rsidR="002401FA" w:rsidRPr="00663E17">
        <w:rPr>
          <w:rFonts w:cstheme="minorHAnsi"/>
          <w:szCs w:val="20"/>
          <w:lang w:val="en-GB"/>
        </w:rPr>
        <w:t xml:space="preserve">(Section II). </w:t>
      </w:r>
      <w:r w:rsidR="00B75ECF">
        <w:rPr>
          <w:rFonts w:cstheme="minorHAnsi"/>
          <w:szCs w:val="20"/>
          <w:lang w:val="en-GB"/>
        </w:rPr>
        <w:t>Lastly</w:t>
      </w:r>
      <w:r w:rsidR="002401FA" w:rsidRPr="00663E17">
        <w:rPr>
          <w:rFonts w:cstheme="minorHAnsi"/>
          <w:szCs w:val="20"/>
          <w:lang w:val="en-GB"/>
        </w:rPr>
        <w:t xml:space="preserve">, </w:t>
      </w:r>
      <w:r w:rsidR="00B75ECF">
        <w:rPr>
          <w:rFonts w:cstheme="minorHAnsi"/>
          <w:szCs w:val="20"/>
          <w:lang w:val="en-GB"/>
        </w:rPr>
        <w:t xml:space="preserve">it </w:t>
      </w:r>
      <w:r w:rsidR="002401FA" w:rsidRPr="00663E17">
        <w:rPr>
          <w:rFonts w:cstheme="minorHAnsi"/>
          <w:szCs w:val="20"/>
          <w:lang w:val="en-GB"/>
        </w:rPr>
        <w:t xml:space="preserve">analyses the combined </w:t>
      </w:r>
      <w:r w:rsidR="002F01EB">
        <w:rPr>
          <w:rFonts w:cstheme="minorHAnsi"/>
          <w:szCs w:val="20"/>
          <w:lang w:val="en-GB"/>
        </w:rPr>
        <w:t xml:space="preserve">effects </w:t>
      </w:r>
      <w:r w:rsidR="002401FA" w:rsidRPr="00663E17">
        <w:rPr>
          <w:rFonts w:cstheme="minorHAnsi"/>
          <w:szCs w:val="20"/>
          <w:lang w:val="en-GB"/>
        </w:rPr>
        <w:t xml:space="preserve">of the legal and </w:t>
      </w:r>
      <w:r w:rsidR="002F01EB">
        <w:rPr>
          <w:rFonts w:cstheme="minorHAnsi"/>
          <w:szCs w:val="20"/>
          <w:lang w:val="en-GB"/>
        </w:rPr>
        <w:t xml:space="preserve">market </w:t>
      </w:r>
      <w:r w:rsidR="002401FA" w:rsidRPr="00663E17">
        <w:rPr>
          <w:rFonts w:cstheme="minorHAnsi"/>
          <w:szCs w:val="20"/>
          <w:lang w:val="en-GB"/>
        </w:rPr>
        <w:t>conditions on freedom of expression</w:t>
      </w:r>
      <w:r w:rsidR="002F01EB">
        <w:rPr>
          <w:rFonts w:cstheme="minorHAnsi"/>
          <w:szCs w:val="20"/>
          <w:lang w:val="en-GB"/>
        </w:rPr>
        <w:t xml:space="preserve"> across Hungarian society, highlighting specific </w:t>
      </w:r>
      <w:r w:rsidR="00217C66">
        <w:rPr>
          <w:rFonts w:cstheme="minorHAnsi"/>
          <w:szCs w:val="20"/>
          <w:lang w:val="en-GB"/>
        </w:rPr>
        <w:t xml:space="preserve">issues of </w:t>
      </w:r>
      <w:r w:rsidR="002F01EB">
        <w:rPr>
          <w:rFonts w:cstheme="minorHAnsi"/>
          <w:szCs w:val="20"/>
          <w:lang w:val="en-GB"/>
        </w:rPr>
        <w:t xml:space="preserve">concern that arise with respect to </w:t>
      </w:r>
      <w:r w:rsidR="002401FA" w:rsidRPr="00663E17">
        <w:rPr>
          <w:rFonts w:cstheme="minorHAnsi"/>
          <w:szCs w:val="20"/>
          <w:lang w:val="en-GB"/>
        </w:rPr>
        <w:t xml:space="preserve">pro-government and public service media, </w:t>
      </w:r>
      <w:r w:rsidR="00B75ECF">
        <w:rPr>
          <w:rFonts w:cstheme="minorHAnsi"/>
          <w:szCs w:val="20"/>
          <w:lang w:val="en-GB"/>
        </w:rPr>
        <w:t xml:space="preserve">the </w:t>
      </w:r>
      <w:r w:rsidR="002401FA" w:rsidRPr="00663E17">
        <w:rPr>
          <w:rFonts w:cstheme="minorHAnsi"/>
          <w:szCs w:val="20"/>
          <w:lang w:val="en-GB"/>
        </w:rPr>
        <w:t>independent media and investigative journalists, judges and public officials, civil society organisations engaged in the defence of human rights, and selected marginalised groups and their ability to speak freely (Section III). The memorandum closes with the Commissioner’s conclusions and recommendations</w:t>
      </w:r>
      <w:r w:rsidR="005264F8">
        <w:rPr>
          <w:rFonts w:cstheme="minorHAnsi"/>
          <w:szCs w:val="20"/>
          <w:lang w:val="en-GB"/>
        </w:rPr>
        <w:t>.</w:t>
      </w:r>
    </w:p>
    <w:p w14:paraId="05942FF7" w14:textId="77777777" w:rsidR="001A7208" w:rsidRDefault="001A7208" w:rsidP="001A7208">
      <w:pPr>
        <w:pStyle w:val="ListParagraph"/>
        <w:spacing w:after="0" w:line="240" w:lineRule="auto"/>
        <w:rPr>
          <w:rFonts w:cstheme="minorHAnsi"/>
          <w:szCs w:val="20"/>
          <w:lang w:val="en-GB"/>
        </w:rPr>
      </w:pPr>
    </w:p>
    <w:p w14:paraId="625594D1" w14:textId="2022C62C" w:rsidR="00501A2D" w:rsidRPr="00AF582E" w:rsidRDefault="00501A2D" w:rsidP="001A7208">
      <w:pPr>
        <w:pStyle w:val="ListParagraph"/>
        <w:numPr>
          <w:ilvl w:val="0"/>
          <w:numId w:val="19"/>
        </w:numPr>
        <w:autoSpaceDE w:val="0"/>
        <w:autoSpaceDN w:val="0"/>
        <w:adjustRightInd w:val="0"/>
        <w:spacing w:after="0" w:line="240" w:lineRule="auto"/>
        <w:ind w:left="1134" w:hanging="425"/>
        <w:contextualSpacing w:val="0"/>
        <w:rPr>
          <w:rFonts w:eastAsiaTheme="minorEastAsia" w:cs="Arial"/>
          <w:b/>
          <w:bCs/>
          <w:szCs w:val="20"/>
          <w:lang w:val="en-GB" w:eastAsia="zh-CN"/>
        </w:rPr>
      </w:pPr>
      <w:r w:rsidRPr="00AF582E">
        <w:rPr>
          <w:rFonts w:eastAsiaTheme="minorEastAsia" w:cs="Arial"/>
          <w:b/>
          <w:bCs/>
          <w:szCs w:val="20"/>
          <w:lang w:val="en-GB" w:eastAsia="zh-CN"/>
        </w:rPr>
        <w:t>Hungary’s media legislation and the right to freedom of expression</w:t>
      </w:r>
    </w:p>
    <w:p w14:paraId="083AFAA2" w14:textId="77777777" w:rsidR="00501A2D" w:rsidRPr="00663E17" w:rsidRDefault="00501A2D" w:rsidP="001A7208">
      <w:pPr>
        <w:tabs>
          <w:tab w:val="left" w:pos="1613"/>
        </w:tabs>
        <w:spacing w:after="0" w:line="240" w:lineRule="auto"/>
        <w:ind w:left="426" w:hanging="357"/>
        <w:jc w:val="both"/>
        <w:rPr>
          <w:rFonts w:cstheme="minorHAnsi"/>
          <w:szCs w:val="20"/>
          <w:lang w:val="en-GB"/>
        </w:rPr>
      </w:pPr>
    </w:p>
    <w:p w14:paraId="16BFAED3" w14:textId="541D6D9A" w:rsidR="000F1C79" w:rsidRPr="00663E17" w:rsidRDefault="004164B6" w:rsidP="001A7208">
      <w:pPr>
        <w:numPr>
          <w:ilvl w:val="0"/>
          <w:numId w:val="2"/>
        </w:numPr>
        <w:tabs>
          <w:tab w:val="left" w:pos="1613"/>
        </w:tabs>
        <w:spacing w:after="0" w:line="240" w:lineRule="auto"/>
        <w:ind w:left="714" w:hanging="357"/>
        <w:jc w:val="both"/>
        <w:rPr>
          <w:rFonts w:cstheme="minorHAnsi"/>
          <w:szCs w:val="20"/>
          <w:lang w:val="en-GB"/>
        </w:rPr>
      </w:pPr>
      <w:r w:rsidRPr="00663E17">
        <w:rPr>
          <w:rFonts w:cstheme="minorHAnsi"/>
          <w:szCs w:val="20"/>
          <w:lang w:val="en-GB"/>
        </w:rPr>
        <w:t xml:space="preserve">Freedom of expression and information </w:t>
      </w:r>
      <w:r w:rsidR="00A77FB8">
        <w:rPr>
          <w:rFonts w:cstheme="minorHAnsi"/>
          <w:szCs w:val="20"/>
          <w:lang w:val="en-GB"/>
        </w:rPr>
        <w:t>are</w:t>
      </w:r>
      <w:r w:rsidRPr="00663E17">
        <w:rPr>
          <w:rFonts w:cstheme="minorHAnsi"/>
          <w:szCs w:val="20"/>
          <w:lang w:val="en-GB"/>
        </w:rPr>
        <w:t xml:space="preserve"> pre</w:t>
      </w:r>
      <w:r w:rsidR="00B75ECF">
        <w:rPr>
          <w:rFonts w:cstheme="minorHAnsi"/>
          <w:szCs w:val="20"/>
          <w:lang w:val="en-GB"/>
        </w:rPr>
        <w:t xml:space="preserve">requisites for </w:t>
      </w:r>
      <w:r w:rsidRPr="00663E17">
        <w:rPr>
          <w:rFonts w:cstheme="minorHAnsi"/>
          <w:szCs w:val="20"/>
          <w:lang w:val="en-GB"/>
        </w:rPr>
        <w:t xml:space="preserve">any functioning democracy and </w:t>
      </w:r>
      <w:r w:rsidR="00B75ECF">
        <w:rPr>
          <w:rFonts w:cstheme="minorHAnsi"/>
          <w:szCs w:val="20"/>
          <w:lang w:val="en-GB"/>
        </w:rPr>
        <w:t xml:space="preserve">the </w:t>
      </w:r>
      <w:r w:rsidRPr="00663E17">
        <w:rPr>
          <w:rFonts w:cstheme="minorHAnsi"/>
          <w:szCs w:val="20"/>
          <w:lang w:val="en-GB"/>
        </w:rPr>
        <w:t xml:space="preserve">media play a crucial role in promoting </w:t>
      </w:r>
      <w:r w:rsidR="00B75ECF">
        <w:rPr>
          <w:rFonts w:cstheme="minorHAnsi"/>
          <w:szCs w:val="20"/>
          <w:lang w:val="en-GB"/>
        </w:rPr>
        <w:t xml:space="preserve">public </w:t>
      </w:r>
      <w:r w:rsidRPr="00663E17">
        <w:rPr>
          <w:rFonts w:cstheme="minorHAnsi"/>
          <w:szCs w:val="20"/>
          <w:lang w:val="en-GB"/>
        </w:rPr>
        <w:t xml:space="preserve">access to </w:t>
      </w:r>
      <w:r w:rsidR="00B75ECF">
        <w:rPr>
          <w:rFonts w:cstheme="minorHAnsi"/>
          <w:szCs w:val="20"/>
          <w:lang w:val="en-GB"/>
        </w:rPr>
        <w:t xml:space="preserve">a </w:t>
      </w:r>
      <w:r w:rsidRPr="00663E17">
        <w:rPr>
          <w:rFonts w:cstheme="minorHAnsi"/>
          <w:szCs w:val="20"/>
          <w:lang w:val="en-GB"/>
        </w:rPr>
        <w:t xml:space="preserve">diverse </w:t>
      </w:r>
      <w:r w:rsidR="00B75ECF">
        <w:rPr>
          <w:rFonts w:cstheme="minorHAnsi"/>
          <w:szCs w:val="20"/>
          <w:lang w:val="en-GB"/>
        </w:rPr>
        <w:t xml:space="preserve">range of </w:t>
      </w:r>
      <w:r w:rsidRPr="00663E17">
        <w:rPr>
          <w:rFonts w:cstheme="minorHAnsi"/>
          <w:szCs w:val="20"/>
          <w:lang w:val="en-GB"/>
        </w:rPr>
        <w:t>information</w:t>
      </w:r>
      <w:r w:rsidR="00A77FB8">
        <w:rPr>
          <w:rFonts w:cstheme="minorHAnsi"/>
          <w:szCs w:val="20"/>
          <w:lang w:val="en-GB"/>
        </w:rPr>
        <w:t>. S</w:t>
      </w:r>
      <w:r w:rsidRPr="00663E17">
        <w:rPr>
          <w:rFonts w:cstheme="minorHAnsi"/>
          <w:szCs w:val="20"/>
          <w:lang w:val="en-GB"/>
        </w:rPr>
        <w:t xml:space="preserve">tates </w:t>
      </w:r>
      <w:r w:rsidR="00A77FB8">
        <w:rPr>
          <w:rFonts w:cstheme="minorHAnsi"/>
          <w:szCs w:val="20"/>
          <w:lang w:val="en-GB"/>
        </w:rPr>
        <w:lastRenderedPageBreak/>
        <w:t xml:space="preserve">therefore </w:t>
      </w:r>
      <w:r w:rsidRPr="00663E17">
        <w:rPr>
          <w:rFonts w:cstheme="minorHAnsi"/>
          <w:szCs w:val="20"/>
          <w:lang w:val="en-GB"/>
        </w:rPr>
        <w:t>have a positive obligation to create an environment that is favourable to media pluralism.</w:t>
      </w:r>
      <w:r w:rsidRPr="00663E17">
        <w:rPr>
          <w:rStyle w:val="FootnoteReference"/>
          <w:rFonts w:cstheme="minorHAnsi"/>
          <w:szCs w:val="20"/>
          <w:lang w:val="en-GB"/>
        </w:rPr>
        <w:footnoteReference w:id="2"/>
      </w:r>
      <w:r w:rsidRPr="00663E17">
        <w:rPr>
          <w:rFonts w:cstheme="minorHAnsi"/>
          <w:szCs w:val="20"/>
          <w:lang w:val="en-GB"/>
        </w:rPr>
        <w:t xml:space="preserve"> </w:t>
      </w:r>
      <w:r w:rsidR="00965A0D" w:rsidRPr="00663E17">
        <w:rPr>
          <w:rFonts w:cstheme="minorHAnsi"/>
          <w:szCs w:val="20"/>
          <w:lang w:val="en-GB"/>
        </w:rPr>
        <w:t xml:space="preserve">Hungary’s media legislation has been </w:t>
      </w:r>
      <w:r w:rsidR="0026145D" w:rsidRPr="00663E17">
        <w:rPr>
          <w:rFonts w:cstheme="minorHAnsi"/>
          <w:szCs w:val="20"/>
          <w:lang w:val="en-GB"/>
        </w:rPr>
        <w:t xml:space="preserve">the </w:t>
      </w:r>
      <w:r w:rsidR="00965A0D" w:rsidRPr="00663E17">
        <w:rPr>
          <w:rFonts w:cstheme="minorHAnsi"/>
          <w:szCs w:val="20"/>
          <w:lang w:val="en-GB"/>
        </w:rPr>
        <w:t xml:space="preserve">subject of </w:t>
      </w:r>
      <w:r w:rsidR="00D14888" w:rsidRPr="00663E17">
        <w:rPr>
          <w:rFonts w:cstheme="minorHAnsi"/>
          <w:szCs w:val="20"/>
          <w:lang w:val="en-GB"/>
        </w:rPr>
        <w:t>sustained criticism both nationally and interna</w:t>
      </w:r>
      <w:r w:rsidR="00062919" w:rsidRPr="00663E17">
        <w:rPr>
          <w:rFonts w:cstheme="minorHAnsi"/>
          <w:szCs w:val="20"/>
          <w:lang w:val="en-GB"/>
        </w:rPr>
        <w:t>tiona</w:t>
      </w:r>
      <w:r w:rsidR="00D14888" w:rsidRPr="00663E17">
        <w:rPr>
          <w:rFonts w:cstheme="minorHAnsi"/>
          <w:szCs w:val="20"/>
          <w:lang w:val="en-GB"/>
        </w:rPr>
        <w:t>lly</w:t>
      </w:r>
      <w:r w:rsidR="00062919" w:rsidRPr="00663E17">
        <w:rPr>
          <w:rFonts w:cstheme="minorHAnsi"/>
          <w:szCs w:val="20"/>
          <w:lang w:val="en-GB"/>
        </w:rPr>
        <w:t xml:space="preserve"> </w:t>
      </w:r>
      <w:r w:rsidR="00C90E83" w:rsidRPr="00663E17">
        <w:rPr>
          <w:rFonts w:cstheme="minorHAnsi"/>
          <w:szCs w:val="20"/>
          <w:lang w:val="en-GB"/>
        </w:rPr>
        <w:t>since its introduction in 2010.</w:t>
      </w:r>
      <w:r w:rsidR="00D14888" w:rsidRPr="00663E17">
        <w:rPr>
          <w:rStyle w:val="FootnoteReference"/>
          <w:rFonts w:cstheme="minorHAnsi"/>
          <w:szCs w:val="20"/>
          <w:lang w:val="en-GB"/>
        </w:rPr>
        <w:footnoteReference w:id="3"/>
      </w:r>
      <w:r w:rsidR="00C90E83" w:rsidRPr="00663E17">
        <w:rPr>
          <w:rFonts w:cstheme="minorHAnsi"/>
          <w:szCs w:val="20"/>
          <w:lang w:val="en-GB"/>
        </w:rPr>
        <w:t xml:space="preserve"> </w:t>
      </w:r>
      <w:r w:rsidR="0026145D" w:rsidRPr="00663E17">
        <w:rPr>
          <w:rFonts w:cstheme="minorHAnsi"/>
          <w:szCs w:val="20"/>
          <w:lang w:val="en-GB"/>
        </w:rPr>
        <w:t xml:space="preserve">While minor adjustments </w:t>
      </w:r>
      <w:r w:rsidR="00A911EA">
        <w:rPr>
          <w:rFonts w:cstheme="minorHAnsi"/>
          <w:szCs w:val="20"/>
          <w:lang w:val="en-GB"/>
        </w:rPr>
        <w:t xml:space="preserve">were made </w:t>
      </w:r>
      <w:r w:rsidR="00ED03B4" w:rsidRPr="00663E17">
        <w:rPr>
          <w:rFonts w:cstheme="minorHAnsi"/>
          <w:szCs w:val="20"/>
          <w:lang w:val="en-GB"/>
        </w:rPr>
        <w:t xml:space="preserve">to the </w:t>
      </w:r>
      <w:r w:rsidR="00024A36" w:rsidRPr="00663E17">
        <w:rPr>
          <w:rFonts w:cstheme="minorHAnsi"/>
          <w:szCs w:val="20"/>
          <w:lang w:val="en-GB"/>
        </w:rPr>
        <w:t>legislation</w:t>
      </w:r>
      <w:r w:rsidR="00ED03B4" w:rsidRPr="00663E17">
        <w:rPr>
          <w:rFonts w:cstheme="minorHAnsi"/>
          <w:szCs w:val="20"/>
          <w:lang w:val="en-GB"/>
        </w:rPr>
        <w:t xml:space="preserve"> </w:t>
      </w:r>
      <w:r w:rsidR="00A911EA">
        <w:rPr>
          <w:rFonts w:cstheme="minorHAnsi"/>
          <w:szCs w:val="20"/>
          <w:lang w:val="en-GB"/>
        </w:rPr>
        <w:t>i</w:t>
      </w:r>
      <w:r w:rsidR="0026145D" w:rsidRPr="00663E17">
        <w:rPr>
          <w:rFonts w:cstheme="minorHAnsi"/>
          <w:szCs w:val="20"/>
          <w:lang w:val="en-GB"/>
        </w:rPr>
        <w:t>n 201</w:t>
      </w:r>
      <w:r w:rsidR="00EE25C8" w:rsidRPr="00663E17">
        <w:rPr>
          <w:rFonts w:cstheme="minorHAnsi"/>
          <w:szCs w:val="20"/>
          <w:lang w:val="en-GB"/>
        </w:rPr>
        <w:t>3</w:t>
      </w:r>
      <w:r w:rsidR="0026145D" w:rsidRPr="00663E17">
        <w:rPr>
          <w:rFonts w:cstheme="minorHAnsi"/>
          <w:szCs w:val="20"/>
          <w:lang w:val="en-GB"/>
        </w:rPr>
        <w:t xml:space="preserve">, the main </w:t>
      </w:r>
      <w:r w:rsidR="000F1C79" w:rsidRPr="00663E17">
        <w:rPr>
          <w:rFonts w:cstheme="minorHAnsi"/>
          <w:szCs w:val="20"/>
          <w:lang w:val="en-GB"/>
        </w:rPr>
        <w:t xml:space="preserve">causes for concern remained </w:t>
      </w:r>
      <w:r w:rsidR="00A911EA">
        <w:rPr>
          <w:rFonts w:cstheme="minorHAnsi"/>
          <w:szCs w:val="20"/>
          <w:lang w:val="en-GB"/>
        </w:rPr>
        <w:t>intact</w:t>
      </w:r>
      <w:r w:rsidR="000F1C79" w:rsidRPr="00663E17">
        <w:rPr>
          <w:rFonts w:cstheme="minorHAnsi"/>
          <w:szCs w:val="20"/>
          <w:lang w:val="en-GB"/>
        </w:rPr>
        <w:t xml:space="preserve">, shaping the environment for media pluralism in Hungary </w:t>
      </w:r>
      <w:r w:rsidR="00A911EA">
        <w:rPr>
          <w:rFonts w:cstheme="minorHAnsi"/>
          <w:szCs w:val="20"/>
          <w:lang w:val="en-GB"/>
        </w:rPr>
        <w:t>up to the present d</w:t>
      </w:r>
      <w:r w:rsidR="000F1C79" w:rsidRPr="00663E17">
        <w:rPr>
          <w:rFonts w:cstheme="minorHAnsi"/>
          <w:szCs w:val="20"/>
          <w:lang w:val="en-GB"/>
        </w:rPr>
        <w:t>ay.</w:t>
      </w:r>
      <w:r w:rsidR="00A75C8F" w:rsidRPr="00663E17">
        <w:rPr>
          <w:rStyle w:val="FootnoteReference"/>
          <w:rFonts w:cstheme="minorHAnsi"/>
          <w:szCs w:val="20"/>
          <w:lang w:val="en-GB"/>
        </w:rPr>
        <w:footnoteReference w:id="4"/>
      </w:r>
    </w:p>
    <w:p w14:paraId="38BD08CF" w14:textId="77777777" w:rsidR="000F1C79" w:rsidRPr="00663E17" w:rsidRDefault="000F1C79" w:rsidP="001A7208">
      <w:pPr>
        <w:tabs>
          <w:tab w:val="left" w:pos="1613"/>
        </w:tabs>
        <w:spacing w:after="0" w:line="240" w:lineRule="auto"/>
        <w:ind w:left="426" w:hanging="357"/>
        <w:jc w:val="both"/>
        <w:rPr>
          <w:rFonts w:cstheme="minorHAnsi"/>
          <w:szCs w:val="20"/>
          <w:lang w:val="en-GB"/>
        </w:rPr>
      </w:pPr>
    </w:p>
    <w:p w14:paraId="50E7FCCF" w14:textId="0A223779" w:rsidR="000F1C79" w:rsidRPr="00AF582E" w:rsidRDefault="00A77FB8" w:rsidP="001A7208">
      <w:pPr>
        <w:pStyle w:val="ListParagraph"/>
        <w:numPr>
          <w:ilvl w:val="0"/>
          <w:numId w:val="20"/>
        </w:numPr>
        <w:spacing w:after="0" w:line="240" w:lineRule="auto"/>
        <w:ind w:left="1134" w:hanging="425"/>
        <w:contextualSpacing w:val="0"/>
        <w:rPr>
          <w:rFonts w:eastAsia="Times New Roman" w:cs="Arial"/>
          <w:b/>
          <w:bCs/>
          <w:szCs w:val="20"/>
          <w:lang w:val="en-GB" w:eastAsia="zh-CN"/>
        </w:rPr>
      </w:pPr>
      <w:r>
        <w:rPr>
          <w:rFonts w:eastAsia="Times New Roman" w:cs="Arial"/>
          <w:b/>
          <w:bCs/>
          <w:szCs w:val="20"/>
          <w:lang w:val="en-GB" w:eastAsia="zh-CN"/>
        </w:rPr>
        <w:t>I</w:t>
      </w:r>
      <w:r w:rsidR="007C280E" w:rsidRPr="00AF582E">
        <w:rPr>
          <w:rFonts w:eastAsia="Times New Roman" w:cs="Arial"/>
          <w:b/>
          <w:bCs/>
          <w:szCs w:val="20"/>
          <w:lang w:val="en-GB" w:eastAsia="zh-CN"/>
        </w:rPr>
        <w:t>ndependence of media regulation</w:t>
      </w:r>
    </w:p>
    <w:p w14:paraId="0EAB307C" w14:textId="77777777" w:rsidR="000F1C79" w:rsidRPr="00663E17" w:rsidRDefault="000F1C79" w:rsidP="001A7208">
      <w:pPr>
        <w:tabs>
          <w:tab w:val="left" w:pos="1613"/>
        </w:tabs>
        <w:spacing w:after="0" w:line="240" w:lineRule="auto"/>
        <w:ind w:left="426" w:hanging="357"/>
        <w:jc w:val="both"/>
        <w:rPr>
          <w:rFonts w:cstheme="minorHAnsi"/>
          <w:szCs w:val="20"/>
          <w:lang w:val="en-GB"/>
        </w:rPr>
      </w:pPr>
    </w:p>
    <w:p w14:paraId="6830E20E" w14:textId="10D1BFE6" w:rsidR="00157C23" w:rsidRPr="00663E17" w:rsidRDefault="007E0A96" w:rsidP="001A7208">
      <w:pPr>
        <w:numPr>
          <w:ilvl w:val="0"/>
          <w:numId w:val="2"/>
        </w:numPr>
        <w:tabs>
          <w:tab w:val="left" w:pos="1613"/>
        </w:tabs>
        <w:spacing w:after="0" w:line="240" w:lineRule="auto"/>
        <w:ind w:left="714" w:hanging="357"/>
        <w:jc w:val="both"/>
        <w:rPr>
          <w:rFonts w:cstheme="minorHAnsi"/>
          <w:szCs w:val="20"/>
          <w:lang w:val="en-GB"/>
        </w:rPr>
      </w:pPr>
      <w:r w:rsidRPr="00663E17">
        <w:rPr>
          <w:rFonts w:cstheme="minorHAnsi"/>
          <w:szCs w:val="20"/>
          <w:lang w:val="en-GB"/>
        </w:rPr>
        <w:t>Media regulatory authorities</w:t>
      </w:r>
      <w:r w:rsidR="00402B7B" w:rsidRPr="00402B7B">
        <w:rPr>
          <w:rFonts w:cstheme="minorHAnsi"/>
          <w:szCs w:val="20"/>
          <w:lang w:val="en-GB"/>
        </w:rPr>
        <w:t xml:space="preserve"> </w:t>
      </w:r>
      <w:r w:rsidR="00402B7B" w:rsidRPr="00663E17">
        <w:rPr>
          <w:rFonts w:cstheme="minorHAnsi"/>
          <w:szCs w:val="20"/>
          <w:lang w:val="en-GB"/>
        </w:rPr>
        <w:t>play an essential role in f</w:t>
      </w:r>
      <w:proofErr w:type="spellStart"/>
      <w:r w:rsidR="00402B7B" w:rsidRPr="00663E17">
        <w:rPr>
          <w:rFonts w:cstheme="minorHAnsi"/>
          <w:szCs w:val="20"/>
        </w:rPr>
        <w:t>ostering</w:t>
      </w:r>
      <w:proofErr w:type="spellEnd"/>
      <w:r w:rsidR="00402B7B" w:rsidRPr="00663E17">
        <w:rPr>
          <w:rFonts w:cstheme="minorHAnsi"/>
          <w:szCs w:val="20"/>
        </w:rPr>
        <w:t xml:space="preserve"> a </w:t>
      </w:r>
      <w:proofErr w:type="spellStart"/>
      <w:r w:rsidR="00402B7B" w:rsidRPr="00663E17">
        <w:rPr>
          <w:rFonts w:cstheme="minorHAnsi"/>
          <w:szCs w:val="20"/>
        </w:rPr>
        <w:t>favourable</w:t>
      </w:r>
      <w:proofErr w:type="spellEnd"/>
      <w:r w:rsidR="00402B7B" w:rsidRPr="00663E17">
        <w:rPr>
          <w:rFonts w:cstheme="minorHAnsi"/>
          <w:szCs w:val="20"/>
        </w:rPr>
        <w:t xml:space="preserve"> environment for freedom of expression and media pluralism</w:t>
      </w:r>
      <w:r w:rsidRPr="00663E17">
        <w:rPr>
          <w:rFonts w:cstheme="minorHAnsi"/>
          <w:szCs w:val="20"/>
          <w:lang w:val="en-GB"/>
        </w:rPr>
        <w:t xml:space="preserve"> </w:t>
      </w:r>
      <w:r w:rsidR="00402B7B">
        <w:rPr>
          <w:rFonts w:cstheme="minorHAnsi"/>
          <w:szCs w:val="20"/>
          <w:lang w:val="en-GB"/>
        </w:rPr>
        <w:t xml:space="preserve">as they </w:t>
      </w:r>
      <w:r w:rsidRPr="00663E17">
        <w:rPr>
          <w:rFonts w:cstheme="minorHAnsi"/>
          <w:szCs w:val="20"/>
          <w:lang w:val="en-GB"/>
        </w:rPr>
        <w:t xml:space="preserve">are </w:t>
      </w:r>
      <w:r w:rsidR="00A911EA">
        <w:rPr>
          <w:rFonts w:cstheme="minorHAnsi"/>
          <w:szCs w:val="20"/>
          <w:lang w:val="en-GB"/>
        </w:rPr>
        <w:t xml:space="preserve">assigned </w:t>
      </w:r>
      <w:r w:rsidRPr="00663E17">
        <w:rPr>
          <w:rFonts w:cstheme="minorHAnsi"/>
          <w:szCs w:val="20"/>
          <w:lang w:val="en-GB"/>
        </w:rPr>
        <w:t xml:space="preserve">the responsibility </w:t>
      </w:r>
      <w:r w:rsidR="00A911EA">
        <w:rPr>
          <w:rFonts w:cstheme="minorHAnsi"/>
          <w:szCs w:val="20"/>
          <w:lang w:val="en-GB"/>
        </w:rPr>
        <w:t>for</w:t>
      </w:r>
      <w:r w:rsidRPr="00663E17">
        <w:rPr>
          <w:rFonts w:cstheme="minorHAnsi"/>
          <w:szCs w:val="20"/>
          <w:lang w:val="en-GB"/>
        </w:rPr>
        <w:t xml:space="preserve"> regulating the audio-visual sector at national level. T</w:t>
      </w:r>
      <w:r w:rsidRPr="00663E17">
        <w:rPr>
          <w:rFonts w:cstheme="minorHAnsi"/>
          <w:szCs w:val="20"/>
        </w:rPr>
        <w:t xml:space="preserve">o carry out their remit in an effective, transparent and accountable manner, they </w:t>
      </w:r>
      <w:r w:rsidRPr="00663E17">
        <w:rPr>
          <w:rFonts w:cstheme="minorHAnsi"/>
          <w:szCs w:val="20"/>
          <w:lang w:val="en-GB"/>
        </w:rPr>
        <w:t>must enjoy</w:t>
      </w:r>
      <w:r w:rsidRPr="00663E17">
        <w:rPr>
          <w:rFonts w:cstheme="minorHAnsi"/>
          <w:szCs w:val="20"/>
        </w:rPr>
        <w:t xml:space="preserve"> genuine independence in law and in practice from all political, commercial, or other unwarranted influences.</w:t>
      </w:r>
      <w:r w:rsidR="00157C23" w:rsidRPr="00663E17">
        <w:rPr>
          <w:rFonts w:cstheme="minorHAnsi"/>
          <w:szCs w:val="20"/>
        </w:rPr>
        <w:t xml:space="preserve"> In Hungary, m</w:t>
      </w:r>
      <w:proofErr w:type="spellStart"/>
      <w:r w:rsidR="00BB3FF0" w:rsidRPr="00663E17">
        <w:rPr>
          <w:rFonts w:cstheme="minorHAnsi"/>
          <w:szCs w:val="20"/>
          <w:lang w:val="en-GB"/>
        </w:rPr>
        <w:t>edia</w:t>
      </w:r>
      <w:proofErr w:type="spellEnd"/>
      <w:r w:rsidR="00BB3FF0" w:rsidRPr="00663E17">
        <w:rPr>
          <w:rFonts w:cstheme="minorHAnsi"/>
          <w:szCs w:val="20"/>
          <w:lang w:val="en-GB"/>
        </w:rPr>
        <w:t xml:space="preserve"> regulation is performed by the </w:t>
      </w:r>
      <w:r w:rsidR="00F505E1" w:rsidRPr="00663E17">
        <w:rPr>
          <w:rFonts w:cstheme="minorHAnsi"/>
          <w:szCs w:val="20"/>
        </w:rPr>
        <w:t>National Media and Info-communications Authority (Media Authority)</w:t>
      </w:r>
      <w:r w:rsidR="00BB3FF0" w:rsidRPr="00663E17">
        <w:rPr>
          <w:rFonts w:cstheme="minorHAnsi"/>
          <w:szCs w:val="20"/>
        </w:rPr>
        <w:t xml:space="preserve">, which is </w:t>
      </w:r>
      <w:r w:rsidR="00A911EA">
        <w:rPr>
          <w:rFonts w:cstheme="minorHAnsi"/>
          <w:szCs w:val="20"/>
        </w:rPr>
        <w:t xml:space="preserve">made up </w:t>
      </w:r>
      <w:r w:rsidR="00BB3FF0" w:rsidRPr="00663E17">
        <w:rPr>
          <w:rFonts w:cstheme="minorHAnsi"/>
          <w:szCs w:val="20"/>
        </w:rPr>
        <w:t xml:space="preserve">of three </w:t>
      </w:r>
      <w:r w:rsidR="00A911EA">
        <w:rPr>
          <w:rFonts w:cstheme="minorHAnsi"/>
          <w:szCs w:val="20"/>
        </w:rPr>
        <w:t>component</w:t>
      </w:r>
      <w:r w:rsidR="00BB3FF0" w:rsidRPr="00663E17">
        <w:rPr>
          <w:rFonts w:cstheme="minorHAnsi"/>
          <w:szCs w:val="20"/>
        </w:rPr>
        <w:t>s: the President, the Media Council, and the Office of the Media Council.</w:t>
      </w:r>
      <w:r w:rsidR="00BB3FF0" w:rsidRPr="00663E17">
        <w:rPr>
          <w:rStyle w:val="FootnoteReference"/>
          <w:rFonts w:cstheme="minorHAnsi"/>
          <w:szCs w:val="20"/>
        </w:rPr>
        <w:footnoteReference w:id="5"/>
      </w:r>
      <w:r w:rsidR="00BB3FF0" w:rsidRPr="00663E17">
        <w:rPr>
          <w:rFonts w:cstheme="minorHAnsi"/>
          <w:szCs w:val="20"/>
        </w:rPr>
        <w:t xml:space="preserve"> </w:t>
      </w:r>
      <w:r w:rsidR="00A77FB8">
        <w:rPr>
          <w:rFonts w:cstheme="minorHAnsi"/>
          <w:szCs w:val="20"/>
        </w:rPr>
        <w:t>The Commissioner notes that t</w:t>
      </w:r>
      <w:r w:rsidR="00BB3FF0" w:rsidRPr="00663E17">
        <w:rPr>
          <w:rFonts w:cstheme="minorHAnsi"/>
          <w:szCs w:val="20"/>
        </w:rPr>
        <w:t xml:space="preserve">he President of the Media Authority </w:t>
      </w:r>
      <w:r w:rsidR="00A911EA">
        <w:rPr>
          <w:rFonts w:cstheme="minorHAnsi"/>
          <w:szCs w:val="20"/>
        </w:rPr>
        <w:t xml:space="preserve">exercises </w:t>
      </w:r>
      <w:r w:rsidR="00BB3FF0" w:rsidRPr="00663E17">
        <w:rPr>
          <w:rFonts w:cstheme="minorHAnsi"/>
          <w:szCs w:val="20"/>
        </w:rPr>
        <w:t xml:space="preserve">a range of very important powers, including the </w:t>
      </w:r>
      <w:r w:rsidR="008A40CC" w:rsidRPr="00663E17">
        <w:rPr>
          <w:rFonts w:cstheme="minorHAnsi"/>
          <w:szCs w:val="20"/>
        </w:rPr>
        <w:t xml:space="preserve">appointment of the main decision-makers in the </w:t>
      </w:r>
      <w:r w:rsidR="00402B7B">
        <w:rPr>
          <w:rFonts w:cstheme="minorHAnsi"/>
          <w:szCs w:val="20"/>
        </w:rPr>
        <w:t xml:space="preserve">Media Authority, </w:t>
      </w:r>
      <w:r w:rsidR="008A40CC" w:rsidRPr="00663E17">
        <w:rPr>
          <w:rFonts w:cstheme="minorHAnsi"/>
          <w:szCs w:val="20"/>
        </w:rPr>
        <w:t xml:space="preserve">the </w:t>
      </w:r>
      <w:r w:rsidR="00BB3FF0" w:rsidRPr="00663E17">
        <w:rPr>
          <w:rFonts w:cstheme="minorHAnsi"/>
          <w:szCs w:val="20"/>
        </w:rPr>
        <w:t xml:space="preserve">nomination of candidates for the </w:t>
      </w:r>
      <w:r w:rsidR="00157C23" w:rsidRPr="00663E17">
        <w:rPr>
          <w:rFonts w:cstheme="minorHAnsi"/>
          <w:szCs w:val="20"/>
        </w:rPr>
        <w:t xml:space="preserve">most senior </w:t>
      </w:r>
      <w:r w:rsidR="00BB3FF0" w:rsidRPr="00663E17">
        <w:rPr>
          <w:rFonts w:cstheme="minorHAnsi"/>
          <w:szCs w:val="20"/>
        </w:rPr>
        <w:t xml:space="preserve">position </w:t>
      </w:r>
      <w:r w:rsidR="00A911EA">
        <w:rPr>
          <w:rFonts w:cstheme="minorHAnsi"/>
          <w:szCs w:val="20"/>
        </w:rPr>
        <w:t>in</w:t>
      </w:r>
      <w:r w:rsidR="00BB3FF0" w:rsidRPr="00663E17">
        <w:rPr>
          <w:rFonts w:cstheme="minorHAnsi"/>
          <w:szCs w:val="20"/>
        </w:rPr>
        <w:t xml:space="preserve"> each public service media provider</w:t>
      </w:r>
      <w:r w:rsidR="008A40CC" w:rsidRPr="00663E17">
        <w:rPr>
          <w:rFonts w:cstheme="minorHAnsi"/>
          <w:szCs w:val="20"/>
        </w:rPr>
        <w:t>,</w:t>
      </w:r>
      <w:r w:rsidR="00BB3FF0" w:rsidRPr="00663E17">
        <w:rPr>
          <w:rFonts w:cstheme="minorHAnsi"/>
          <w:szCs w:val="20"/>
        </w:rPr>
        <w:t xml:space="preserve"> and the appointment of the executive director of the </w:t>
      </w:r>
      <w:r w:rsidR="00EE25C8" w:rsidRPr="00663E17">
        <w:rPr>
          <w:rFonts w:cstheme="minorHAnsi"/>
          <w:szCs w:val="20"/>
        </w:rPr>
        <w:t xml:space="preserve">national public service broadcasting </w:t>
      </w:r>
      <w:proofErr w:type="spellStart"/>
      <w:r w:rsidR="00EE25C8" w:rsidRPr="00663E17">
        <w:rPr>
          <w:rFonts w:cstheme="minorHAnsi"/>
          <w:szCs w:val="20"/>
        </w:rPr>
        <w:t>organisation</w:t>
      </w:r>
      <w:proofErr w:type="spellEnd"/>
      <w:r w:rsidR="00EE25C8" w:rsidRPr="00663E17">
        <w:rPr>
          <w:rFonts w:cstheme="minorHAnsi"/>
          <w:szCs w:val="20"/>
        </w:rPr>
        <w:t xml:space="preserve"> </w:t>
      </w:r>
      <w:r w:rsidR="00157C23" w:rsidRPr="00663E17">
        <w:rPr>
          <w:rFonts w:cstheme="minorHAnsi"/>
          <w:szCs w:val="20"/>
        </w:rPr>
        <w:t>(</w:t>
      </w:r>
      <w:r w:rsidR="00BB3FF0" w:rsidRPr="00663E17">
        <w:rPr>
          <w:rFonts w:cstheme="minorHAnsi"/>
          <w:szCs w:val="20"/>
        </w:rPr>
        <w:t>MTVA</w:t>
      </w:r>
      <w:r w:rsidR="00157C23" w:rsidRPr="00663E17">
        <w:rPr>
          <w:rFonts w:cstheme="minorHAnsi"/>
          <w:szCs w:val="20"/>
        </w:rPr>
        <w:t>)</w:t>
      </w:r>
      <w:r w:rsidR="0040666D" w:rsidRPr="00663E17">
        <w:rPr>
          <w:rFonts w:cstheme="minorHAnsi"/>
          <w:szCs w:val="20"/>
        </w:rPr>
        <w:t xml:space="preserve">. The </w:t>
      </w:r>
      <w:r w:rsidR="00EE25C8" w:rsidRPr="00663E17">
        <w:rPr>
          <w:rFonts w:cstheme="minorHAnsi"/>
          <w:szCs w:val="20"/>
        </w:rPr>
        <w:t>MTVA, in turn,</w:t>
      </w:r>
      <w:r w:rsidR="00BB3FF0" w:rsidRPr="00663E17">
        <w:rPr>
          <w:rFonts w:cstheme="minorHAnsi"/>
          <w:szCs w:val="20"/>
        </w:rPr>
        <w:t xml:space="preserve"> provides funding to </w:t>
      </w:r>
      <w:r w:rsidR="00A911EA">
        <w:rPr>
          <w:rFonts w:cstheme="minorHAnsi"/>
          <w:szCs w:val="20"/>
        </w:rPr>
        <w:t xml:space="preserve">the </w:t>
      </w:r>
      <w:r w:rsidR="00BB3FF0" w:rsidRPr="00663E17">
        <w:rPr>
          <w:rFonts w:cstheme="minorHAnsi"/>
          <w:szCs w:val="20"/>
        </w:rPr>
        <w:t xml:space="preserve">public service media, employs its staff, and controls </w:t>
      </w:r>
      <w:r w:rsidR="0042634A" w:rsidRPr="00663E17">
        <w:rPr>
          <w:rFonts w:cstheme="minorHAnsi"/>
          <w:szCs w:val="20"/>
        </w:rPr>
        <w:t xml:space="preserve">most of the production of media content supplied to </w:t>
      </w:r>
      <w:r w:rsidR="00A911EA">
        <w:rPr>
          <w:rFonts w:cstheme="minorHAnsi"/>
          <w:szCs w:val="20"/>
        </w:rPr>
        <w:t xml:space="preserve">the </w:t>
      </w:r>
      <w:r w:rsidR="0042634A" w:rsidRPr="00663E17">
        <w:rPr>
          <w:rFonts w:cstheme="minorHAnsi"/>
          <w:szCs w:val="20"/>
        </w:rPr>
        <w:t>public service media.</w:t>
      </w:r>
    </w:p>
    <w:p w14:paraId="29BAD811" w14:textId="77777777" w:rsidR="00157C23" w:rsidRPr="00663E17" w:rsidRDefault="00157C23" w:rsidP="001A7208">
      <w:pPr>
        <w:tabs>
          <w:tab w:val="left" w:pos="1613"/>
        </w:tabs>
        <w:spacing w:after="0" w:line="240" w:lineRule="auto"/>
        <w:ind w:left="426"/>
        <w:jc w:val="both"/>
        <w:rPr>
          <w:rFonts w:cstheme="minorHAnsi"/>
          <w:szCs w:val="20"/>
          <w:lang w:val="en-GB"/>
        </w:rPr>
      </w:pPr>
    </w:p>
    <w:p w14:paraId="7B140B77" w14:textId="7BBAABCA" w:rsidR="00992544" w:rsidRPr="00663E17" w:rsidRDefault="00157C23" w:rsidP="001A7208">
      <w:pPr>
        <w:numPr>
          <w:ilvl w:val="0"/>
          <w:numId w:val="2"/>
        </w:numPr>
        <w:tabs>
          <w:tab w:val="left" w:pos="1613"/>
        </w:tabs>
        <w:spacing w:after="0" w:line="240" w:lineRule="auto"/>
        <w:ind w:left="714" w:hanging="357"/>
        <w:jc w:val="both"/>
        <w:rPr>
          <w:rFonts w:cstheme="minorHAnsi"/>
          <w:szCs w:val="20"/>
          <w:lang w:val="en-GB"/>
        </w:rPr>
      </w:pPr>
      <w:r w:rsidRPr="00663E17">
        <w:rPr>
          <w:rFonts w:cstheme="minorHAnsi"/>
          <w:szCs w:val="20"/>
        </w:rPr>
        <w:t>The President of the Media Authority is nominated by the Prime Minister and appointed by the President</w:t>
      </w:r>
      <w:r w:rsidR="00A77FB8">
        <w:rPr>
          <w:rFonts w:cstheme="minorHAnsi"/>
          <w:szCs w:val="20"/>
        </w:rPr>
        <w:t xml:space="preserve">, who </w:t>
      </w:r>
      <w:r w:rsidR="00A77FB8" w:rsidRPr="00663E17">
        <w:rPr>
          <w:rFonts w:cstheme="minorHAnsi"/>
          <w:szCs w:val="20"/>
        </w:rPr>
        <w:t>m</w:t>
      </w:r>
      <w:r w:rsidR="00A77FB8" w:rsidRPr="00663E17">
        <w:rPr>
          <w:rFonts w:cstheme="minorHAnsi"/>
          <w:szCs w:val="20"/>
          <w:lang w:val="en-GB"/>
        </w:rPr>
        <w:t>ay re</w:t>
      </w:r>
      <w:r w:rsidR="00E9068C">
        <w:rPr>
          <w:rFonts w:cstheme="minorHAnsi"/>
          <w:szCs w:val="20"/>
          <w:lang w:val="en-GB"/>
        </w:rPr>
        <w:t>ject</w:t>
      </w:r>
      <w:r w:rsidR="00A77FB8" w:rsidRPr="00663E17">
        <w:rPr>
          <w:rFonts w:cstheme="minorHAnsi"/>
          <w:szCs w:val="20"/>
          <w:lang w:val="en-GB"/>
        </w:rPr>
        <w:t xml:space="preserve"> the candidate only on formal grounds</w:t>
      </w:r>
      <w:r w:rsidR="00A77FB8">
        <w:rPr>
          <w:rFonts w:cstheme="minorHAnsi"/>
          <w:szCs w:val="20"/>
          <w:lang w:val="en-GB"/>
        </w:rPr>
        <w:t>,</w:t>
      </w:r>
      <w:r w:rsidR="008A40CC" w:rsidRPr="00663E17">
        <w:rPr>
          <w:rFonts w:cstheme="minorHAnsi"/>
          <w:szCs w:val="20"/>
        </w:rPr>
        <w:t xml:space="preserve"> </w:t>
      </w:r>
      <w:r w:rsidR="001F2C95" w:rsidRPr="00663E17">
        <w:rPr>
          <w:rFonts w:cstheme="minorHAnsi"/>
          <w:szCs w:val="20"/>
          <w:lang w:val="en-GB"/>
        </w:rPr>
        <w:t>for a period of nine years</w:t>
      </w:r>
      <w:r w:rsidR="001F2C95">
        <w:rPr>
          <w:rFonts w:cstheme="minorHAnsi"/>
          <w:szCs w:val="20"/>
          <w:lang w:val="en-GB"/>
        </w:rPr>
        <w:t>.</w:t>
      </w:r>
      <w:r w:rsidR="001F2C95" w:rsidRPr="00663E17">
        <w:rPr>
          <w:rStyle w:val="FootnoteReference"/>
          <w:rFonts w:cstheme="minorHAnsi"/>
          <w:szCs w:val="20"/>
        </w:rPr>
        <w:footnoteReference w:id="6"/>
      </w:r>
      <w:r w:rsidR="008A40CC" w:rsidRPr="00663E17">
        <w:rPr>
          <w:rFonts w:cstheme="minorHAnsi"/>
          <w:szCs w:val="20"/>
          <w:lang w:val="en-GB"/>
        </w:rPr>
        <w:t xml:space="preserve"> </w:t>
      </w:r>
      <w:r w:rsidR="003A57EF">
        <w:rPr>
          <w:rFonts w:cstheme="minorHAnsi"/>
          <w:szCs w:val="20"/>
        </w:rPr>
        <w:t>Section</w:t>
      </w:r>
      <w:r w:rsidR="0042634A" w:rsidRPr="00663E17">
        <w:rPr>
          <w:rFonts w:cstheme="minorHAnsi"/>
          <w:szCs w:val="20"/>
        </w:rPr>
        <w:t xml:space="preserve"> </w:t>
      </w:r>
      <w:r w:rsidR="007C280E" w:rsidRPr="00663E17">
        <w:rPr>
          <w:rFonts w:cstheme="minorHAnsi"/>
          <w:szCs w:val="20"/>
        </w:rPr>
        <w:t xml:space="preserve">88 of the Media Act contains conflict of interest rules </w:t>
      </w:r>
      <w:r w:rsidR="00E9068C">
        <w:rPr>
          <w:rFonts w:cstheme="minorHAnsi"/>
          <w:szCs w:val="20"/>
        </w:rPr>
        <w:t xml:space="preserve">which </w:t>
      </w:r>
      <w:r w:rsidR="007C280E" w:rsidRPr="00663E17">
        <w:rPr>
          <w:rFonts w:cstheme="minorHAnsi"/>
          <w:szCs w:val="20"/>
        </w:rPr>
        <w:t>appl</w:t>
      </w:r>
      <w:r w:rsidR="00E9068C">
        <w:rPr>
          <w:rFonts w:cstheme="minorHAnsi"/>
          <w:szCs w:val="20"/>
        </w:rPr>
        <w:t>y</w:t>
      </w:r>
      <w:r w:rsidR="007C280E" w:rsidRPr="00663E17">
        <w:rPr>
          <w:rFonts w:cstheme="minorHAnsi"/>
          <w:szCs w:val="20"/>
        </w:rPr>
        <w:t xml:space="preserve"> to the President of the Media Authority</w:t>
      </w:r>
      <w:r w:rsidR="000B57A0">
        <w:rPr>
          <w:rFonts w:cstheme="minorHAnsi"/>
          <w:szCs w:val="20"/>
        </w:rPr>
        <w:t xml:space="preserve">. However, </w:t>
      </w:r>
      <w:r w:rsidR="007C280E" w:rsidRPr="00663E17">
        <w:rPr>
          <w:rFonts w:cstheme="minorHAnsi"/>
          <w:szCs w:val="20"/>
        </w:rPr>
        <w:t>these do</w:t>
      </w:r>
      <w:r w:rsidR="000F64BE">
        <w:rPr>
          <w:rFonts w:cstheme="minorHAnsi"/>
          <w:szCs w:val="20"/>
        </w:rPr>
        <w:t xml:space="preserve"> </w:t>
      </w:r>
      <w:r w:rsidR="007C280E" w:rsidRPr="00663E17">
        <w:rPr>
          <w:rFonts w:cstheme="minorHAnsi"/>
          <w:szCs w:val="20"/>
        </w:rPr>
        <w:t>n</w:t>
      </w:r>
      <w:r w:rsidR="000F64BE">
        <w:rPr>
          <w:rFonts w:cstheme="minorHAnsi"/>
          <w:szCs w:val="20"/>
        </w:rPr>
        <w:t>o</w:t>
      </w:r>
      <w:r w:rsidR="007C280E" w:rsidRPr="00663E17">
        <w:rPr>
          <w:rFonts w:cstheme="minorHAnsi"/>
          <w:szCs w:val="20"/>
        </w:rPr>
        <w:t xml:space="preserve">t change the fact that </w:t>
      </w:r>
      <w:r w:rsidR="000B57A0">
        <w:rPr>
          <w:rFonts w:cstheme="minorHAnsi"/>
          <w:szCs w:val="20"/>
        </w:rPr>
        <w:t xml:space="preserve">a political appointee </w:t>
      </w:r>
      <w:r w:rsidR="007C280E" w:rsidRPr="00663E17">
        <w:rPr>
          <w:rFonts w:cstheme="minorHAnsi"/>
          <w:szCs w:val="20"/>
        </w:rPr>
        <w:t xml:space="preserve">holds extensive </w:t>
      </w:r>
      <w:r w:rsidR="00217C66">
        <w:rPr>
          <w:rFonts w:cstheme="minorHAnsi"/>
          <w:szCs w:val="20"/>
        </w:rPr>
        <w:t xml:space="preserve">and concentrated </w:t>
      </w:r>
      <w:r w:rsidR="007C280E" w:rsidRPr="00663E17">
        <w:rPr>
          <w:rFonts w:cstheme="minorHAnsi"/>
          <w:szCs w:val="20"/>
        </w:rPr>
        <w:t>powers for nine years</w:t>
      </w:r>
      <w:r w:rsidR="00010946" w:rsidRPr="00663E17">
        <w:rPr>
          <w:rFonts w:cstheme="minorHAnsi"/>
          <w:szCs w:val="20"/>
        </w:rPr>
        <w:t xml:space="preserve"> over all regulatory, senior staffing, financing and content matters across all media sectors.</w:t>
      </w:r>
      <w:r w:rsidR="00992544" w:rsidRPr="00663E17">
        <w:rPr>
          <w:rStyle w:val="FootnoteReference"/>
          <w:rFonts w:cstheme="minorHAnsi"/>
          <w:szCs w:val="20"/>
          <w:lang w:val="en-GB"/>
        </w:rPr>
        <w:footnoteReference w:id="7"/>
      </w:r>
      <w:r w:rsidR="00992544" w:rsidRPr="00663E17">
        <w:rPr>
          <w:rFonts w:cstheme="minorHAnsi"/>
          <w:szCs w:val="20"/>
        </w:rPr>
        <w:t xml:space="preserve"> </w:t>
      </w:r>
      <w:r w:rsidR="00E9068C">
        <w:rPr>
          <w:rFonts w:cstheme="minorHAnsi"/>
          <w:szCs w:val="20"/>
        </w:rPr>
        <w:t xml:space="preserve">A particular problem </w:t>
      </w:r>
      <w:r w:rsidR="00992544" w:rsidRPr="00663E17">
        <w:rPr>
          <w:rFonts w:cstheme="minorHAnsi"/>
          <w:szCs w:val="20"/>
          <w:lang w:val="en-GB"/>
        </w:rPr>
        <w:t xml:space="preserve">is </w:t>
      </w:r>
      <w:r w:rsidR="00992544" w:rsidRPr="00663E17">
        <w:rPr>
          <w:rFonts w:cstheme="minorHAnsi"/>
          <w:szCs w:val="20"/>
        </w:rPr>
        <w:t xml:space="preserve">the system of "dual appointments", </w:t>
      </w:r>
      <w:r w:rsidR="00E9068C">
        <w:rPr>
          <w:rFonts w:cstheme="minorHAnsi"/>
          <w:szCs w:val="20"/>
        </w:rPr>
        <w:t>under wh</w:t>
      </w:r>
      <w:r w:rsidR="00300440" w:rsidRPr="00663E17">
        <w:rPr>
          <w:rFonts w:cstheme="minorHAnsi"/>
          <w:szCs w:val="20"/>
        </w:rPr>
        <w:t xml:space="preserve">ich the President of the Media Authority is </w:t>
      </w:r>
      <w:r w:rsidR="008E7E47" w:rsidRPr="00663E17">
        <w:rPr>
          <w:rFonts w:cstheme="minorHAnsi"/>
          <w:szCs w:val="20"/>
        </w:rPr>
        <w:t xml:space="preserve">automatically </w:t>
      </w:r>
      <w:r w:rsidR="00300440" w:rsidRPr="00663E17">
        <w:rPr>
          <w:rFonts w:cstheme="minorHAnsi"/>
          <w:szCs w:val="20"/>
        </w:rPr>
        <w:t xml:space="preserve">the only candidate for the position of </w:t>
      </w:r>
      <w:r w:rsidR="00992544" w:rsidRPr="00663E17">
        <w:rPr>
          <w:rFonts w:cstheme="minorHAnsi"/>
          <w:szCs w:val="20"/>
        </w:rPr>
        <w:t>President</w:t>
      </w:r>
      <w:r w:rsidR="00300440" w:rsidRPr="00663E17">
        <w:rPr>
          <w:rFonts w:cstheme="minorHAnsi"/>
          <w:szCs w:val="20"/>
        </w:rPr>
        <w:t>/Chairperson</w:t>
      </w:r>
      <w:r w:rsidR="00992544" w:rsidRPr="00663E17">
        <w:rPr>
          <w:rFonts w:cstheme="minorHAnsi"/>
          <w:szCs w:val="20"/>
        </w:rPr>
        <w:t xml:space="preserve"> of the Media Council</w:t>
      </w:r>
      <w:r w:rsidR="00300440" w:rsidRPr="00663E17">
        <w:rPr>
          <w:rFonts w:cstheme="minorHAnsi"/>
          <w:szCs w:val="20"/>
        </w:rPr>
        <w:t>.</w:t>
      </w:r>
      <w:r w:rsidR="00300440" w:rsidRPr="00663E17">
        <w:rPr>
          <w:rStyle w:val="FootnoteReference"/>
          <w:rFonts w:cstheme="minorHAnsi"/>
          <w:szCs w:val="20"/>
        </w:rPr>
        <w:footnoteReference w:id="8"/>
      </w:r>
      <w:r w:rsidR="00300440" w:rsidRPr="00663E17">
        <w:rPr>
          <w:rFonts w:cstheme="minorHAnsi"/>
          <w:szCs w:val="20"/>
        </w:rPr>
        <w:t xml:space="preserve"> The </w:t>
      </w:r>
      <w:r w:rsidR="000B57A0">
        <w:rPr>
          <w:rFonts w:cstheme="minorHAnsi"/>
          <w:szCs w:val="20"/>
        </w:rPr>
        <w:t>latter</w:t>
      </w:r>
      <w:r w:rsidR="00300440" w:rsidRPr="00663E17">
        <w:rPr>
          <w:rFonts w:cstheme="minorHAnsi"/>
          <w:szCs w:val="20"/>
        </w:rPr>
        <w:t xml:space="preserve">, in turn, </w:t>
      </w:r>
      <w:r w:rsidR="00E9068C">
        <w:rPr>
          <w:rFonts w:cstheme="minorHAnsi"/>
          <w:szCs w:val="20"/>
        </w:rPr>
        <w:t xml:space="preserve">plays an </w:t>
      </w:r>
      <w:r w:rsidR="00300440" w:rsidRPr="00663E17">
        <w:rPr>
          <w:rFonts w:cstheme="minorHAnsi"/>
          <w:szCs w:val="20"/>
        </w:rPr>
        <w:t xml:space="preserve">instrumental </w:t>
      </w:r>
      <w:r w:rsidR="00E9068C">
        <w:rPr>
          <w:rFonts w:cstheme="minorHAnsi"/>
          <w:szCs w:val="20"/>
        </w:rPr>
        <w:t xml:space="preserve">role </w:t>
      </w:r>
      <w:r w:rsidR="00300440" w:rsidRPr="00663E17">
        <w:rPr>
          <w:rFonts w:cstheme="minorHAnsi"/>
          <w:szCs w:val="20"/>
        </w:rPr>
        <w:t>in the elections of the other four members of the Media Council</w:t>
      </w:r>
      <w:r w:rsidR="001F2C95">
        <w:rPr>
          <w:rFonts w:cstheme="minorHAnsi"/>
          <w:szCs w:val="20"/>
        </w:rPr>
        <w:t xml:space="preserve"> by the Parliament</w:t>
      </w:r>
      <w:r w:rsidR="00300440" w:rsidRPr="00663E17">
        <w:rPr>
          <w:rFonts w:cstheme="minorHAnsi"/>
          <w:szCs w:val="20"/>
        </w:rPr>
        <w:t>.</w:t>
      </w:r>
      <w:bookmarkStart w:id="0" w:name="_Hlk64454317"/>
      <w:r w:rsidR="00300440" w:rsidRPr="00663E17">
        <w:rPr>
          <w:rFonts w:cstheme="minorHAnsi"/>
          <w:szCs w:val="20"/>
        </w:rPr>
        <w:t xml:space="preserve"> C</w:t>
      </w:r>
      <w:r w:rsidR="00992544" w:rsidRPr="00663E17">
        <w:rPr>
          <w:rFonts w:cstheme="minorHAnsi"/>
          <w:szCs w:val="20"/>
        </w:rPr>
        <w:t xml:space="preserve">ritics have </w:t>
      </w:r>
      <w:r w:rsidR="00E9068C">
        <w:rPr>
          <w:rFonts w:cstheme="minorHAnsi"/>
          <w:szCs w:val="20"/>
        </w:rPr>
        <w:t>argued</w:t>
      </w:r>
      <w:r w:rsidR="00992544" w:rsidRPr="00663E17">
        <w:rPr>
          <w:rFonts w:cstheme="minorHAnsi"/>
          <w:szCs w:val="20"/>
        </w:rPr>
        <w:t xml:space="preserve"> that the 2010 Media </w:t>
      </w:r>
      <w:r w:rsidR="003A57EF">
        <w:rPr>
          <w:rFonts w:cstheme="minorHAnsi"/>
          <w:szCs w:val="20"/>
        </w:rPr>
        <w:t>Act</w:t>
      </w:r>
      <w:r w:rsidR="00992544" w:rsidRPr="00663E17">
        <w:rPr>
          <w:rFonts w:cstheme="minorHAnsi"/>
          <w:szCs w:val="20"/>
        </w:rPr>
        <w:t xml:space="preserve"> allow</w:t>
      </w:r>
      <w:r w:rsidR="00E9068C">
        <w:rPr>
          <w:rFonts w:cstheme="minorHAnsi"/>
          <w:szCs w:val="20"/>
        </w:rPr>
        <w:t>s</w:t>
      </w:r>
      <w:r w:rsidR="00992544" w:rsidRPr="00663E17">
        <w:rPr>
          <w:rFonts w:cstheme="minorHAnsi"/>
          <w:szCs w:val="20"/>
        </w:rPr>
        <w:t xml:space="preserve"> the Government to misuse its parliamentary majority to fill all Media Council seats with party loyalists with limited expertise in media policy. </w:t>
      </w:r>
      <w:r w:rsidR="00E9068C">
        <w:rPr>
          <w:rFonts w:cstheme="minorHAnsi"/>
          <w:szCs w:val="20"/>
        </w:rPr>
        <w:t>It is a</w:t>
      </w:r>
      <w:r w:rsidR="00992544" w:rsidRPr="00663E17">
        <w:rPr>
          <w:rFonts w:cstheme="minorHAnsi"/>
          <w:szCs w:val="20"/>
        </w:rPr>
        <w:t xml:space="preserve"> fact</w:t>
      </w:r>
      <w:r w:rsidR="00E9068C">
        <w:rPr>
          <w:rFonts w:cstheme="minorHAnsi"/>
          <w:szCs w:val="20"/>
        </w:rPr>
        <w:t xml:space="preserve"> that</w:t>
      </w:r>
      <w:r w:rsidR="00992544" w:rsidRPr="00663E17">
        <w:rPr>
          <w:rFonts w:cstheme="minorHAnsi"/>
          <w:szCs w:val="20"/>
        </w:rPr>
        <w:t xml:space="preserve"> in December 2019</w:t>
      </w:r>
      <w:r w:rsidR="00E9068C">
        <w:rPr>
          <w:rFonts w:cstheme="minorHAnsi"/>
          <w:szCs w:val="20"/>
        </w:rPr>
        <w:t>,</w:t>
      </w:r>
      <w:r w:rsidR="00992544" w:rsidRPr="00663E17">
        <w:rPr>
          <w:rFonts w:cstheme="minorHAnsi"/>
          <w:szCs w:val="20"/>
        </w:rPr>
        <w:t xml:space="preserve"> all four new members</w:t>
      </w:r>
      <w:r w:rsidR="000B57A0">
        <w:rPr>
          <w:rFonts w:cstheme="minorHAnsi"/>
          <w:szCs w:val="20"/>
        </w:rPr>
        <w:t>,</w:t>
      </w:r>
      <w:r w:rsidR="00992544" w:rsidRPr="00663E17">
        <w:rPr>
          <w:rFonts w:cstheme="minorHAnsi"/>
          <w:szCs w:val="20"/>
        </w:rPr>
        <w:t xml:space="preserve"> </w:t>
      </w:r>
      <w:r w:rsidR="00710AD8">
        <w:rPr>
          <w:rFonts w:cstheme="minorHAnsi"/>
          <w:szCs w:val="20"/>
        </w:rPr>
        <w:t xml:space="preserve">like </w:t>
      </w:r>
      <w:r w:rsidR="00992544" w:rsidRPr="00663E17">
        <w:rPr>
          <w:rFonts w:cstheme="minorHAnsi"/>
          <w:szCs w:val="20"/>
        </w:rPr>
        <w:t>their predecessors</w:t>
      </w:r>
      <w:r w:rsidR="000B57A0">
        <w:rPr>
          <w:rFonts w:cstheme="minorHAnsi"/>
          <w:szCs w:val="20"/>
        </w:rPr>
        <w:t>,</w:t>
      </w:r>
      <w:r w:rsidR="00992544" w:rsidRPr="00663E17">
        <w:rPr>
          <w:rFonts w:cstheme="minorHAnsi"/>
          <w:szCs w:val="20"/>
        </w:rPr>
        <w:t xml:space="preserve"> were nominated by </w:t>
      </w:r>
      <w:r w:rsidR="00A77FB8">
        <w:rPr>
          <w:rFonts w:cstheme="minorHAnsi"/>
          <w:szCs w:val="20"/>
        </w:rPr>
        <w:t>the ruling party</w:t>
      </w:r>
      <w:r w:rsidR="00710AD8">
        <w:rPr>
          <w:rFonts w:cstheme="minorHAnsi"/>
          <w:szCs w:val="20"/>
        </w:rPr>
        <w:t>,</w:t>
      </w:r>
      <w:r w:rsidR="00A77FB8">
        <w:rPr>
          <w:rFonts w:cstheme="minorHAnsi"/>
          <w:szCs w:val="20"/>
        </w:rPr>
        <w:t xml:space="preserve"> </w:t>
      </w:r>
      <w:r w:rsidR="00992544" w:rsidRPr="00663E17">
        <w:rPr>
          <w:rFonts w:cstheme="minorHAnsi"/>
          <w:szCs w:val="20"/>
        </w:rPr>
        <w:t xml:space="preserve">after the </w:t>
      </w:r>
      <w:r w:rsidR="00710AD8">
        <w:rPr>
          <w:rFonts w:cstheme="minorHAnsi"/>
          <w:szCs w:val="20"/>
        </w:rPr>
        <w:t xml:space="preserve">opposition </w:t>
      </w:r>
      <w:r w:rsidR="00992544" w:rsidRPr="00663E17">
        <w:rPr>
          <w:rFonts w:cstheme="minorHAnsi"/>
          <w:szCs w:val="20"/>
        </w:rPr>
        <w:t>candidates had all been rejected.</w:t>
      </w:r>
      <w:bookmarkEnd w:id="0"/>
    </w:p>
    <w:p w14:paraId="3C78047C" w14:textId="77777777" w:rsidR="00D11673" w:rsidRPr="00663E17" w:rsidRDefault="00D11673" w:rsidP="001A7208">
      <w:pPr>
        <w:tabs>
          <w:tab w:val="left" w:pos="1613"/>
        </w:tabs>
        <w:spacing w:after="0" w:line="240" w:lineRule="auto"/>
        <w:ind w:left="426"/>
        <w:jc w:val="both"/>
        <w:rPr>
          <w:rFonts w:cstheme="minorHAnsi"/>
          <w:szCs w:val="20"/>
          <w:lang w:val="en-GB"/>
        </w:rPr>
      </w:pPr>
    </w:p>
    <w:p w14:paraId="45C18C47" w14:textId="47DE3074" w:rsidR="00D11673" w:rsidRPr="00663E17" w:rsidRDefault="00D11673" w:rsidP="001A7208">
      <w:pPr>
        <w:numPr>
          <w:ilvl w:val="0"/>
          <w:numId w:val="2"/>
        </w:numPr>
        <w:tabs>
          <w:tab w:val="left" w:pos="1613"/>
        </w:tabs>
        <w:spacing w:after="0" w:line="240" w:lineRule="auto"/>
        <w:ind w:left="714" w:hanging="357"/>
        <w:jc w:val="both"/>
        <w:rPr>
          <w:rFonts w:cstheme="minorHAnsi"/>
          <w:szCs w:val="20"/>
          <w:lang w:val="en-GB"/>
        </w:rPr>
      </w:pPr>
      <w:r w:rsidRPr="00663E17">
        <w:rPr>
          <w:rFonts w:cstheme="minorHAnsi"/>
          <w:szCs w:val="20"/>
          <w:lang w:val="en-GB"/>
        </w:rPr>
        <w:t xml:space="preserve">The President of the Media Authority/Chairperson of the Media Council not only appoints the </w:t>
      </w:r>
      <w:r w:rsidR="00710AD8">
        <w:rPr>
          <w:rFonts w:cstheme="minorHAnsi"/>
          <w:szCs w:val="20"/>
          <w:lang w:val="en-GB"/>
        </w:rPr>
        <w:t xml:space="preserve">top officials in the </w:t>
      </w:r>
      <w:r w:rsidRPr="00663E17">
        <w:rPr>
          <w:rFonts w:cstheme="minorHAnsi"/>
          <w:szCs w:val="20"/>
          <w:lang w:val="en-GB"/>
        </w:rPr>
        <w:t xml:space="preserve">public service media and oversees the production of media content but is also the indirect employer of all journalists </w:t>
      </w:r>
      <w:r w:rsidR="00710AD8">
        <w:rPr>
          <w:rFonts w:cstheme="minorHAnsi"/>
          <w:szCs w:val="20"/>
          <w:lang w:val="en-GB"/>
        </w:rPr>
        <w:t xml:space="preserve">working for </w:t>
      </w:r>
      <w:r w:rsidRPr="00663E17">
        <w:rPr>
          <w:rFonts w:cstheme="minorHAnsi"/>
          <w:szCs w:val="20"/>
          <w:lang w:val="en-GB"/>
        </w:rPr>
        <w:t xml:space="preserve">the public service broadcasters. While </w:t>
      </w:r>
      <w:r w:rsidR="003A57EF">
        <w:rPr>
          <w:rFonts w:cstheme="minorHAnsi"/>
          <w:szCs w:val="20"/>
          <w:lang w:val="en-GB"/>
        </w:rPr>
        <w:t>Section</w:t>
      </w:r>
      <w:r w:rsidRPr="00663E17">
        <w:rPr>
          <w:rFonts w:cstheme="minorHAnsi"/>
          <w:szCs w:val="20"/>
          <w:lang w:val="en-GB"/>
        </w:rPr>
        <w:t xml:space="preserve"> </w:t>
      </w:r>
      <w:r w:rsidRPr="00663E17">
        <w:rPr>
          <w:rFonts w:cstheme="minorHAnsi"/>
          <w:szCs w:val="20"/>
        </w:rPr>
        <w:t xml:space="preserve">7 of </w:t>
      </w:r>
      <w:r w:rsidRPr="00663E17">
        <w:rPr>
          <w:rFonts w:cstheme="minorHAnsi"/>
          <w:szCs w:val="20"/>
        </w:rPr>
        <w:lastRenderedPageBreak/>
        <w:t xml:space="preserve">the Press Act contains a reference to the editorial independence of </w:t>
      </w:r>
      <w:r w:rsidR="00710AD8">
        <w:rPr>
          <w:rFonts w:cstheme="minorHAnsi"/>
          <w:szCs w:val="20"/>
        </w:rPr>
        <w:t xml:space="preserve">the </w:t>
      </w:r>
      <w:r w:rsidRPr="00663E17">
        <w:rPr>
          <w:rFonts w:cstheme="minorHAnsi"/>
          <w:szCs w:val="20"/>
        </w:rPr>
        <w:t>public service media, the actual political control over the recruitment and employment status of public service media staff run</w:t>
      </w:r>
      <w:r w:rsidR="001F2C95">
        <w:rPr>
          <w:rFonts w:cstheme="minorHAnsi"/>
          <w:szCs w:val="20"/>
        </w:rPr>
        <w:t>s</w:t>
      </w:r>
      <w:r w:rsidRPr="00663E17">
        <w:rPr>
          <w:rFonts w:cstheme="minorHAnsi"/>
          <w:szCs w:val="20"/>
        </w:rPr>
        <w:t xml:space="preserve"> counter to Council of Europe standards </w:t>
      </w:r>
      <w:r w:rsidR="00710AD8">
        <w:rPr>
          <w:rFonts w:cstheme="minorHAnsi"/>
          <w:szCs w:val="20"/>
        </w:rPr>
        <w:t xml:space="preserve">designed to </w:t>
      </w:r>
      <w:r w:rsidRPr="00663E17">
        <w:rPr>
          <w:rFonts w:cstheme="minorHAnsi"/>
          <w:szCs w:val="20"/>
        </w:rPr>
        <w:t>preserv</w:t>
      </w:r>
      <w:r w:rsidR="00710AD8">
        <w:rPr>
          <w:rFonts w:cstheme="minorHAnsi"/>
          <w:szCs w:val="20"/>
        </w:rPr>
        <w:t>e</w:t>
      </w:r>
      <w:r w:rsidRPr="00663E17">
        <w:rPr>
          <w:rFonts w:cstheme="minorHAnsi"/>
          <w:szCs w:val="20"/>
        </w:rPr>
        <w:t xml:space="preserve"> the independence, </w:t>
      </w:r>
      <w:r w:rsidR="00710AD8">
        <w:rPr>
          <w:rFonts w:cstheme="minorHAnsi"/>
          <w:szCs w:val="20"/>
        </w:rPr>
        <w:t xml:space="preserve">especially </w:t>
      </w:r>
      <w:r w:rsidRPr="00663E17">
        <w:rPr>
          <w:rFonts w:cstheme="minorHAnsi"/>
          <w:szCs w:val="20"/>
        </w:rPr>
        <w:t xml:space="preserve">political independence, of public service broadcasting </w:t>
      </w:r>
      <w:proofErr w:type="spellStart"/>
      <w:r w:rsidRPr="00663E17">
        <w:rPr>
          <w:rFonts w:cstheme="minorHAnsi"/>
          <w:szCs w:val="20"/>
        </w:rPr>
        <w:t>organisations</w:t>
      </w:r>
      <w:proofErr w:type="spellEnd"/>
      <w:r w:rsidRPr="00663E17">
        <w:rPr>
          <w:rFonts w:cstheme="minorHAnsi"/>
          <w:szCs w:val="20"/>
        </w:rPr>
        <w:t>.</w:t>
      </w:r>
      <w:r w:rsidRPr="00663E17">
        <w:rPr>
          <w:rFonts w:cstheme="minorHAnsi"/>
          <w:szCs w:val="20"/>
          <w:vertAlign w:val="superscript"/>
        </w:rPr>
        <w:footnoteReference w:id="9"/>
      </w:r>
    </w:p>
    <w:p w14:paraId="22C8E065" w14:textId="77777777" w:rsidR="00300440" w:rsidRPr="00663E17" w:rsidRDefault="00300440" w:rsidP="001A7208">
      <w:pPr>
        <w:tabs>
          <w:tab w:val="left" w:pos="1613"/>
        </w:tabs>
        <w:spacing w:after="0" w:line="240" w:lineRule="auto"/>
        <w:ind w:left="426"/>
        <w:jc w:val="both"/>
        <w:rPr>
          <w:rFonts w:cstheme="minorHAnsi"/>
          <w:szCs w:val="20"/>
          <w:lang w:val="en-GB"/>
        </w:rPr>
      </w:pPr>
    </w:p>
    <w:p w14:paraId="23704693" w14:textId="21660B61" w:rsidR="00014D8F" w:rsidRPr="00663E17" w:rsidRDefault="00300440" w:rsidP="001A7208">
      <w:pPr>
        <w:numPr>
          <w:ilvl w:val="0"/>
          <w:numId w:val="2"/>
        </w:numPr>
        <w:tabs>
          <w:tab w:val="left" w:pos="1613"/>
        </w:tabs>
        <w:spacing w:after="0" w:line="240" w:lineRule="auto"/>
        <w:ind w:left="714" w:hanging="357"/>
        <w:jc w:val="both"/>
        <w:rPr>
          <w:rFonts w:cstheme="minorHAnsi"/>
          <w:szCs w:val="20"/>
          <w:lang w:val="en-GB"/>
        </w:rPr>
      </w:pPr>
      <w:r w:rsidRPr="00663E17">
        <w:rPr>
          <w:rFonts w:cstheme="minorHAnsi"/>
          <w:szCs w:val="20"/>
          <w:lang w:val="en-GB"/>
        </w:rPr>
        <w:t xml:space="preserve">In 2015, the Venice Commission recommended </w:t>
      </w:r>
      <w:r w:rsidR="00710AD8">
        <w:rPr>
          <w:rFonts w:cstheme="minorHAnsi"/>
          <w:szCs w:val="20"/>
          <w:lang w:val="en-GB"/>
        </w:rPr>
        <w:t xml:space="preserve">that </w:t>
      </w:r>
      <w:r w:rsidRPr="00663E17">
        <w:rPr>
          <w:rFonts w:cstheme="minorHAnsi"/>
          <w:szCs w:val="20"/>
          <w:lang w:val="en-GB"/>
        </w:rPr>
        <w:t xml:space="preserve">safeguards </w:t>
      </w:r>
      <w:r w:rsidR="00710AD8">
        <w:rPr>
          <w:rFonts w:cstheme="minorHAnsi"/>
          <w:szCs w:val="20"/>
          <w:lang w:val="en-GB"/>
        </w:rPr>
        <w:t xml:space="preserve">be introduced </w:t>
      </w:r>
      <w:r w:rsidRPr="00663E17">
        <w:rPr>
          <w:rFonts w:cstheme="minorHAnsi"/>
          <w:szCs w:val="20"/>
          <w:lang w:val="en-GB"/>
        </w:rPr>
        <w:t>in</w:t>
      </w:r>
      <w:r w:rsidR="00710AD8">
        <w:rPr>
          <w:rFonts w:cstheme="minorHAnsi"/>
          <w:szCs w:val="20"/>
          <w:lang w:val="en-GB"/>
        </w:rPr>
        <w:t>to</w:t>
      </w:r>
      <w:r w:rsidRPr="00663E17">
        <w:rPr>
          <w:rFonts w:cstheme="minorHAnsi"/>
          <w:szCs w:val="20"/>
          <w:lang w:val="en-GB"/>
        </w:rPr>
        <w:t xml:space="preserve"> the law to </w:t>
      </w:r>
      <w:r w:rsidR="00710AD8">
        <w:rPr>
          <w:rFonts w:cstheme="minorHAnsi"/>
          <w:szCs w:val="20"/>
          <w:lang w:val="en-GB"/>
        </w:rPr>
        <w:t>make the</w:t>
      </w:r>
      <w:r w:rsidRPr="00663E17">
        <w:rPr>
          <w:rFonts w:cstheme="minorHAnsi"/>
          <w:szCs w:val="20"/>
          <w:lang w:val="en-GB"/>
        </w:rPr>
        <w:t xml:space="preserve"> composition of the Media Council </w:t>
      </w:r>
      <w:r w:rsidR="00710AD8">
        <w:rPr>
          <w:rFonts w:cstheme="minorHAnsi"/>
          <w:szCs w:val="20"/>
          <w:lang w:val="en-GB"/>
        </w:rPr>
        <w:t xml:space="preserve">more pluralistic, </w:t>
      </w:r>
      <w:r w:rsidRPr="00663E17">
        <w:rPr>
          <w:rFonts w:cstheme="minorHAnsi"/>
          <w:szCs w:val="20"/>
          <w:lang w:val="en-GB"/>
        </w:rPr>
        <w:t xml:space="preserve">even during times of a parliamentary majority. Political control </w:t>
      </w:r>
      <w:r w:rsidR="00D62988">
        <w:rPr>
          <w:rFonts w:cstheme="minorHAnsi"/>
          <w:szCs w:val="20"/>
          <w:lang w:val="en-GB"/>
        </w:rPr>
        <w:t>over</w:t>
      </w:r>
      <w:r w:rsidRPr="00663E17">
        <w:rPr>
          <w:rFonts w:cstheme="minorHAnsi"/>
          <w:szCs w:val="20"/>
          <w:lang w:val="en-GB"/>
        </w:rPr>
        <w:t xml:space="preserve"> the appointment process </w:t>
      </w:r>
      <w:r w:rsidR="00D62988">
        <w:rPr>
          <w:rFonts w:cstheme="minorHAnsi"/>
          <w:szCs w:val="20"/>
          <w:lang w:val="en-GB"/>
        </w:rPr>
        <w:t>could</w:t>
      </w:r>
      <w:r w:rsidRPr="00663E17">
        <w:rPr>
          <w:rFonts w:cstheme="minorHAnsi"/>
          <w:szCs w:val="20"/>
          <w:lang w:val="en-GB"/>
        </w:rPr>
        <w:t xml:space="preserve"> be reduced, for instance, by ensuring that all major political parties and social groups have fair representation in the Media Council and by introducing element</w:t>
      </w:r>
      <w:r w:rsidR="00D62988">
        <w:rPr>
          <w:rFonts w:cstheme="minorHAnsi"/>
          <w:szCs w:val="20"/>
          <w:lang w:val="en-GB"/>
        </w:rPr>
        <w:t>s</w:t>
      </w:r>
      <w:r w:rsidRPr="00663E17">
        <w:rPr>
          <w:rFonts w:cstheme="minorHAnsi"/>
          <w:szCs w:val="20"/>
          <w:lang w:val="en-GB"/>
        </w:rPr>
        <w:t xml:space="preserve"> of self-governance into its composition.</w:t>
      </w:r>
      <w:r w:rsidRPr="00663E17">
        <w:rPr>
          <w:rStyle w:val="FootnoteReference"/>
          <w:rFonts w:cstheme="minorHAnsi"/>
          <w:szCs w:val="20"/>
          <w:lang w:val="en-GB"/>
        </w:rPr>
        <w:footnoteReference w:id="10"/>
      </w:r>
      <w:r w:rsidRPr="00663E17">
        <w:rPr>
          <w:rFonts w:cstheme="minorHAnsi"/>
          <w:szCs w:val="20"/>
          <w:lang w:val="en-GB"/>
        </w:rPr>
        <w:t xml:space="preserve"> Such efforts would be in line with Council of Europe standards regarding the membership and functioning of media regulatory authorities </w:t>
      </w:r>
      <w:r w:rsidR="00014D8F" w:rsidRPr="00663E17">
        <w:rPr>
          <w:rFonts w:cstheme="minorHAnsi"/>
          <w:szCs w:val="20"/>
          <w:lang w:val="en-GB"/>
        </w:rPr>
        <w:t>a</w:t>
      </w:r>
      <w:r w:rsidR="00D62988">
        <w:rPr>
          <w:rFonts w:cstheme="minorHAnsi"/>
          <w:szCs w:val="20"/>
          <w:lang w:val="en-GB"/>
        </w:rPr>
        <w:t xml:space="preserve">nd </w:t>
      </w:r>
      <w:r w:rsidR="00014D8F" w:rsidRPr="00663E17">
        <w:rPr>
          <w:rFonts w:cstheme="minorHAnsi"/>
          <w:szCs w:val="20"/>
          <w:lang w:val="en-GB"/>
        </w:rPr>
        <w:t xml:space="preserve">with </w:t>
      </w:r>
      <w:r w:rsidR="00607D1E" w:rsidRPr="00663E17">
        <w:rPr>
          <w:rFonts w:cstheme="minorHAnsi"/>
          <w:szCs w:val="20"/>
          <w:lang w:val="en-GB"/>
        </w:rPr>
        <w:t xml:space="preserve">the EU </w:t>
      </w:r>
      <w:r w:rsidR="00607D1E" w:rsidRPr="00663E17">
        <w:rPr>
          <w:rFonts w:cstheme="minorHAnsi"/>
          <w:szCs w:val="20"/>
        </w:rPr>
        <w:t>Audiovisual Media Services Directive</w:t>
      </w:r>
      <w:r w:rsidR="00014D8F" w:rsidRPr="00663E17">
        <w:rPr>
          <w:rFonts w:cstheme="minorHAnsi"/>
          <w:szCs w:val="20"/>
          <w:lang w:val="en-GB"/>
        </w:rPr>
        <w:t>.</w:t>
      </w:r>
      <w:r w:rsidR="00014D8F" w:rsidRPr="00663E17">
        <w:rPr>
          <w:rStyle w:val="FootnoteReference"/>
          <w:rFonts w:cstheme="minorHAnsi"/>
          <w:szCs w:val="20"/>
          <w:lang w:val="en-GB"/>
        </w:rPr>
        <w:footnoteReference w:id="11"/>
      </w:r>
      <w:r w:rsidR="00D62988">
        <w:rPr>
          <w:rFonts w:cstheme="minorHAnsi"/>
          <w:szCs w:val="20"/>
          <w:lang w:val="en-GB"/>
        </w:rPr>
        <w:t xml:space="preserve"> </w:t>
      </w:r>
      <w:r w:rsidR="0091703E">
        <w:rPr>
          <w:rFonts w:cstheme="minorHAnsi"/>
          <w:szCs w:val="20"/>
          <w:lang w:val="en-GB"/>
        </w:rPr>
        <w:t xml:space="preserve">Without </w:t>
      </w:r>
      <w:r w:rsidR="00F160D4">
        <w:rPr>
          <w:rFonts w:cstheme="minorHAnsi"/>
          <w:szCs w:val="20"/>
          <w:lang w:val="en-GB"/>
        </w:rPr>
        <w:t>such steps</w:t>
      </w:r>
      <w:r w:rsidR="009126DD">
        <w:rPr>
          <w:rFonts w:cstheme="minorHAnsi"/>
          <w:szCs w:val="20"/>
          <w:lang w:val="en-GB"/>
        </w:rPr>
        <w:t xml:space="preserve">, however, </w:t>
      </w:r>
      <w:r w:rsidR="000B57A0">
        <w:rPr>
          <w:rFonts w:cstheme="minorHAnsi"/>
          <w:szCs w:val="20"/>
          <w:lang w:val="en-GB"/>
        </w:rPr>
        <w:t xml:space="preserve">the </w:t>
      </w:r>
      <w:r w:rsidR="00014D8F" w:rsidRPr="00663E17">
        <w:rPr>
          <w:rFonts w:cstheme="minorHAnsi"/>
          <w:szCs w:val="20"/>
          <w:lang w:val="en-GB"/>
        </w:rPr>
        <w:t>Media Council is viewed as a political body, made up of members who are all designated by the ruling party</w:t>
      </w:r>
      <w:r w:rsidR="000B57A0">
        <w:rPr>
          <w:rFonts w:cstheme="minorHAnsi"/>
          <w:szCs w:val="20"/>
          <w:lang w:val="en-GB"/>
        </w:rPr>
        <w:t xml:space="preserve"> and </w:t>
      </w:r>
      <w:r w:rsidR="00014D8F" w:rsidRPr="00663E17">
        <w:rPr>
          <w:rFonts w:cstheme="minorHAnsi"/>
          <w:szCs w:val="20"/>
          <w:lang w:val="en-GB"/>
        </w:rPr>
        <w:t xml:space="preserve">unable to perform its functions in an effective and independent </w:t>
      </w:r>
      <w:r w:rsidR="0091703E">
        <w:rPr>
          <w:rFonts w:cstheme="minorHAnsi"/>
          <w:szCs w:val="20"/>
          <w:lang w:val="en-GB"/>
        </w:rPr>
        <w:t>manner.</w:t>
      </w:r>
    </w:p>
    <w:p w14:paraId="73A9FAF4" w14:textId="77777777" w:rsidR="008E7E47" w:rsidRPr="00663E17" w:rsidRDefault="008E7E47" w:rsidP="001A7208">
      <w:pPr>
        <w:tabs>
          <w:tab w:val="left" w:pos="1613"/>
        </w:tabs>
        <w:spacing w:after="0" w:line="240" w:lineRule="auto"/>
        <w:ind w:left="426"/>
        <w:contextualSpacing/>
        <w:jc w:val="both"/>
        <w:rPr>
          <w:rFonts w:cstheme="minorHAnsi"/>
          <w:szCs w:val="20"/>
          <w:lang w:val="en-GB"/>
        </w:rPr>
      </w:pPr>
    </w:p>
    <w:p w14:paraId="329AD0EC" w14:textId="2958908D" w:rsidR="00663E17" w:rsidRDefault="008E7E47" w:rsidP="001A7208">
      <w:pPr>
        <w:numPr>
          <w:ilvl w:val="0"/>
          <w:numId w:val="2"/>
        </w:numPr>
        <w:tabs>
          <w:tab w:val="left" w:pos="1613"/>
        </w:tabs>
        <w:spacing w:after="0" w:line="240" w:lineRule="auto"/>
        <w:ind w:left="714" w:hanging="357"/>
        <w:jc w:val="both"/>
        <w:rPr>
          <w:rFonts w:cstheme="minorHAnsi"/>
          <w:szCs w:val="20"/>
          <w:lang w:val="en-GB"/>
        </w:rPr>
      </w:pPr>
      <w:r w:rsidRPr="00663E17">
        <w:rPr>
          <w:rFonts w:cstheme="minorHAnsi"/>
          <w:szCs w:val="20"/>
          <w:lang w:val="en-GB"/>
        </w:rPr>
        <w:t xml:space="preserve">Given this lack of independence, </w:t>
      </w:r>
      <w:r w:rsidR="00A77FB8">
        <w:rPr>
          <w:rFonts w:cstheme="minorHAnsi"/>
          <w:szCs w:val="20"/>
          <w:lang w:val="en-GB"/>
        </w:rPr>
        <w:t xml:space="preserve">the Commissioner is </w:t>
      </w:r>
      <w:r w:rsidRPr="00663E17">
        <w:rPr>
          <w:rFonts w:cstheme="minorHAnsi"/>
          <w:szCs w:val="20"/>
          <w:lang w:val="en-GB"/>
        </w:rPr>
        <w:t>particular</w:t>
      </w:r>
      <w:r w:rsidR="00A77FB8">
        <w:rPr>
          <w:rFonts w:cstheme="minorHAnsi"/>
          <w:szCs w:val="20"/>
          <w:lang w:val="en-GB"/>
        </w:rPr>
        <w:t>ly</w:t>
      </w:r>
      <w:r w:rsidRPr="00663E17">
        <w:rPr>
          <w:rFonts w:cstheme="minorHAnsi"/>
          <w:szCs w:val="20"/>
          <w:lang w:val="en-GB"/>
        </w:rPr>
        <w:t xml:space="preserve"> concern</w:t>
      </w:r>
      <w:r w:rsidR="00A77FB8">
        <w:rPr>
          <w:rFonts w:cstheme="minorHAnsi"/>
          <w:szCs w:val="20"/>
          <w:lang w:val="en-GB"/>
        </w:rPr>
        <w:t xml:space="preserve">ed by the fact </w:t>
      </w:r>
      <w:r w:rsidRPr="00663E17">
        <w:rPr>
          <w:rFonts w:cstheme="minorHAnsi"/>
          <w:szCs w:val="20"/>
          <w:lang w:val="en-GB"/>
        </w:rPr>
        <w:t>that judicial scrutiny over decisions taken by the Media Council remains limited. Firstly,</w:t>
      </w:r>
      <w:r w:rsidR="000F64BE">
        <w:rPr>
          <w:rFonts w:cstheme="minorHAnsi"/>
          <w:szCs w:val="20"/>
          <w:lang w:val="en-GB"/>
        </w:rPr>
        <w:t xml:space="preserve"> according to </w:t>
      </w:r>
      <w:r w:rsidR="003A57EF">
        <w:rPr>
          <w:rFonts w:cstheme="minorHAnsi"/>
          <w:szCs w:val="20"/>
          <w:lang w:val="en-GB"/>
        </w:rPr>
        <w:t>Sections</w:t>
      </w:r>
      <w:r w:rsidR="000F64BE">
        <w:rPr>
          <w:rFonts w:cstheme="minorHAnsi"/>
          <w:szCs w:val="20"/>
          <w:lang w:val="en-GB"/>
        </w:rPr>
        <w:t xml:space="preserve"> 163 and 189 of the Media Act,</w:t>
      </w:r>
      <w:r w:rsidRPr="00663E17">
        <w:rPr>
          <w:rFonts w:cstheme="minorHAnsi"/>
          <w:szCs w:val="20"/>
          <w:lang w:val="en-GB"/>
        </w:rPr>
        <w:t xml:space="preserve"> decisions on fines or sanctions become enforceable even if they have been challenged in court, as court proceedings have no </w:t>
      </w:r>
      <w:r w:rsidR="00471F9D">
        <w:rPr>
          <w:rFonts w:cstheme="minorHAnsi"/>
          <w:szCs w:val="20"/>
          <w:lang w:val="en-GB"/>
        </w:rPr>
        <w:t>regular</w:t>
      </w:r>
      <w:r w:rsidRPr="00663E17">
        <w:rPr>
          <w:rFonts w:cstheme="minorHAnsi"/>
          <w:szCs w:val="20"/>
          <w:lang w:val="en-GB"/>
        </w:rPr>
        <w:t xml:space="preserve"> suspensive effect. Such immediate enforcement of fines or suspensions of broadcasting </w:t>
      </w:r>
      <w:r w:rsidR="00D62988">
        <w:rPr>
          <w:rFonts w:cstheme="minorHAnsi"/>
          <w:szCs w:val="20"/>
          <w:lang w:val="en-GB"/>
        </w:rPr>
        <w:t>can</w:t>
      </w:r>
      <w:r w:rsidRPr="00663E17">
        <w:rPr>
          <w:rFonts w:cstheme="minorHAnsi"/>
          <w:szCs w:val="20"/>
          <w:lang w:val="en-GB"/>
        </w:rPr>
        <w:t xml:space="preserve"> have irreversible consequences for the media outlet concerned, even if the court </w:t>
      </w:r>
      <w:r w:rsidR="00D62988">
        <w:rPr>
          <w:rFonts w:cstheme="minorHAnsi"/>
          <w:szCs w:val="20"/>
          <w:lang w:val="en-GB"/>
        </w:rPr>
        <w:t xml:space="preserve">subsequently </w:t>
      </w:r>
      <w:r w:rsidRPr="00663E17">
        <w:rPr>
          <w:rFonts w:cstheme="minorHAnsi"/>
          <w:szCs w:val="20"/>
          <w:lang w:val="en-GB"/>
        </w:rPr>
        <w:t>finds the decision</w:t>
      </w:r>
      <w:r w:rsidR="00D62988">
        <w:rPr>
          <w:rFonts w:cstheme="minorHAnsi"/>
          <w:szCs w:val="20"/>
          <w:lang w:val="en-GB"/>
        </w:rPr>
        <w:t xml:space="preserve"> to be</w:t>
      </w:r>
      <w:r w:rsidRPr="00663E17">
        <w:rPr>
          <w:rFonts w:cstheme="minorHAnsi"/>
          <w:szCs w:val="20"/>
          <w:lang w:val="en-GB"/>
        </w:rPr>
        <w:t xml:space="preserve"> incompatible with the </w:t>
      </w:r>
      <w:r w:rsidR="00534C83">
        <w:rPr>
          <w:rFonts w:cstheme="minorHAnsi"/>
          <w:szCs w:val="20"/>
          <w:lang w:val="en-GB"/>
        </w:rPr>
        <w:t>m</w:t>
      </w:r>
      <w:r w:rsidRPr="00663E17">
        <w:rPr>
          <w:rFonts w:cstheme="minorHAnsi"/>
          <w:szCs w:val="20"/>
          <w:lang w:val="en-GB"/>
        </w:rPr>
        <w:t xml:space="preserve">edia </w:t>
      </w:r>
      <w:r w:rsidR="00534C83">
        <w:rPr>
          <w:rFonts w:cstheme="minorHAnsi"/>
          <w:szCs w:val="20"/>
          <w:lang w:val="en-GB"/>
        </w:rPr>
        <w:t>legislation</w:t>
      </w:r>
      <w:r w:rsidRPr="00663E17">
        <w:rPr>
          <w:rFonts w:cstheme="minorHAnsi"/>
          <w:szCs w:val="20"/>
          <w:lang w:val="en-GB"/>
        </w:rPr>
        <w:t xml:space="preserve">. Secondly, the reviewing court </w:t>
      </w:r>
      <w:r w:rsidR="00D62988">
        <w:rPr>
          <w:rFonts w:cstheme="minorHAnsi"/>
          <w:szCs w:val="20"/>
          <w:lang w:val="en-GB"/>
        </w:rPr>
        <w:t xml:space="preserve">is required to </w:t>
      </w:r>
      <w:r w:rsidRPr="00663E17">
        <w:rPr>
          <w:rFonts w:cstheme="minorHAnsi"/>
          <w:szCs w:val="20"/>
          <w:lang w:val="en-GB"/>
        </w:rPr>
        <w:t xml:space="preserve">respect the discretion of the Media Council and review the </w:t>
      </w:r>
      <w:r w:rsidR="00267355" w:rsidRPr="00663E17">
        <w:rPr>
          <w:rFonts w:cstheme="minorHAnsi"/>
          <w:szCs w:val="20"/>
          <w:lang w:val="en-GB"/>
        </w:rPr>
        <w:t xml:space="preserve">decision only with respect to possible violations of the </w:t>
      </w:r>
      <w:r w:rsidR="00534C83">
        <w:rPr>
          <w:rFonts w:cstheme="minorHAnsi"/>
          <w:szCs w:val="20"/>
          <w:lang w:val="en-GB"/>
        </w:rPr>
        <w:t>media legislation</w:t>
      </w:r>
      <w:r w:rsidR="00267355" w:rsidRPr="00663E17">
        <w:rPr>
          <w:rFonts w:cstheme="minorHAnsi"/>
          <w:szCs w:val="20"/>
          <w:lang w:val="en-GB"/>
        </w:rPr>
        <w:t xml:space="preserve">, not in terms, for instance, </w:t>
      </w:r>
      <w:r w:rsidR="00D62988">
        <w:rPr>
          <w:rFonts w:cstheme="minorHAnsi"/>
          <w:szCs w:val="20"/>
          <w:lang w:val="en-GB"/>
        </w:rPr>
        <w:t xml:space="preserve">of </w:t>
      </w:r>
      <w:r w:rsidR="00267355" w:rsidRPr="00663E17">
        <w:rPr>
          <w:rFonts w:cstheme="minorHAnsi"/>
          <w:szCs w:val="20"/>
          <w:lang w:val="en-GB"/>
        </w:rPr>
        <w:t>violations of the principle of proportionality or con</w:t>
      </w:r>
      <w:r w:rsidRPr="00663E17">
        <w:rPr>
          <w:rFonts w:cstheme="minorHAnsi"/>
          <w:szCs w:val="20"/>
          <w:lang w:val="en-GB"/>
        </w:rPr>
        <w:t>s</w:t>
      </w:r>
      <w:r w:rsidR="00267355" w:rsidRPr="00663E17">
        <w:rPr>
          <w:rFonts w:cstheme="minorHAnsi"/>
          <w:szCs w:val="20"/>
          <w:lang w:val="en-GB"/>
        </w:rPr>
        <w:t>titutional provisions.</w:t>
      </w:r>
      <w:r w:rsidR="00A77FB8">
        <w:rPr>
          <w:rFonts w:cstheme="minorHAnsi"/>
          <w:szCs w:val="20"/>
          <w:lang w:val="en-GB"/>
        </w:rPr>
        <w:t xml:space="preserve"> The Commissioner reiterates that</w:t>
      </w:r>
      <w:r w:rsidRPr="00663E17">
        <w:rPr>
          <w:rFonts w:cstheme="minorHAnsi"/>
          <w:szCs w:val="20"/>
          <w:lang w:val="en-GB"/>
        </w:rPr>
        <w:t xml:space="preserve"> </w:t>
      </w:r>
      <w:r w:rsidR="00A77FB8">
        <w:rPr>
          <w:rFonts w:cstheme="minorHAnsi"/>
          <w:szCs w:val="20"/>
          <w:lang w:val="en-GB"/>
        </w:rPr>
        <w:t>a</w:t>
      </w:r>
      <w:r w:rsidRPr="00663E17">
        <w:rPr>
          <w:rFonts w:cstheme="minorHAnsi"/>
          <w:szCs w:val="20"/>
          <w:lang w:val="en-GB"/>
        </w:rPr>
        <w:t xml:space="preserve"> remedy that is unable to determine whether there has been a violation of the Convention cannot be considered an effective remedy.</w:t>
      </w:r>
      <w:r w:rsidRPr="00663E17">
        <w:rPr>
          <w:rStyle w:val="FootnoteReference"/>
          <w:rFonts w:cstheme="minorHAnsi"/>
          <w:szCs w:val="20"/>
          <w:lang w:val="en-GB"/>
        </w:rPr>
        <w:footnoteReference w:id="12"/>
      </w:r>
      <w:r w:rsidRPr="00663E17">
        <w:rPr>
          <w:rFonts w:cstheme="minorHAnsi"/>
          <w:szCs w:val="20"/>
          <w:lang w:val="en-GB"/>
        </w:rPr>
        <w:t xml:space="preserve"> </w:t>
      </w:r>
    </w:p>
    <w:p w14:paraId="2163AD24" w14:textId="77777777" w:rsidR="00663E17" w:rsidRDefault="00663E17" w:rsidP="001A7208">
      <w:pPr>
        <w:tabs>
          <w:tab w:val="left" w:pos="1613"/>
        </w:tabs>
        <w:spacing w:after="0" w:line="240" w:lineRule="auto"/>
        <w:ind w:left="426"/>
        <w:jc w:val="both"/>
        <w:rPr>
          <w:rFonts w:cstheme="minorHAnsi"/>
          <w:szCs w:val="20"/>
          <w:u w:val="single"/>
          <w:lang w:val="en-GB"/>
        </w:rPr>
      </w:pPr>
    </w:p>
    <w:p w14:paraId="3E507572" w14:textId="65FC76BA" w:rsidR="00712460" w:rsidRPr="00AF582E" w:rsidRDefault="00712460" w:rsidP="001A7208">
      <w:pPr>
        <w:pStyle w:val="ListParagraph"/>
        <w:numPr>
          <w:ilvl w:val="0"/>
          <w:numId w:val="20"/>
        </w:numPr>
        <w:spacing w:after="0" w:line="240" w:lineRule="auto"/>
        <w:ind w:left="1134" w:hanging="425"/>
        <w:contextualSpacing w:val="0"/>
        <w:rPr>
          <w:rFonts w:eastAsia="Times New Roman" w:cs="Arial"/>
          <w:b/>
          <w:bCs/>
          <w:szCs w:val="20"/>
          <w:lang w:val="en-GB" w:eastAsia="zh-CN"/>
        </w:rPr>
      </w:pPr>
      <w:r w:rsidRPr="00AF582E">
        <w:rPr>
          <w:rFonts w:eastAsia="Times New Roman" w:cs="Arial"/>
          <w:b/>
          <w:bCs/>
          <w:szCs w:val="20"/>
          <w:lang w:val="en-GB" w:eastAsia="zh-CN"/>
        </w:rPr>
        <w:t>Content regulation</w:t>
      </w:r>
    </w:p>
    <w:p w14:paraId="3FCBFA35" w14:textId="77777777" w:rsidR="00501A2D" w:rsidRPr="00663E17" w:rsidRDefault="00501A2D" w:rsidP="001A7208">
      <w:pPr>
        <w:tabs>
          <w:tab w:val="left" w:pos="1613"/>
        </w:tabs>
        <w:spacing w:after="0" w:line="240" w:lineRule="auto"/>
        <w:ind w:left="426" w:hanging="357"/>
        <w:jc w:val="both"/>
        <w:rPr>
          <w:rFonts w:cstheme="minorHAnsi"/>
          <w:szCs w:val="20"/>
          <w:lang w:val="en-GB"/>
        </w:rPr>
      </w:pPr>
    </w:p>
    <w:p w14:paraId="3C0E5CC8" w14:textId="45AE2CCA" w:rsidR="00365E6C" w:rsidRPr="00663E17" w:rsidRDefault="008C11C5" w:rsidP="001A7208">
      <w:pPr>
        <w:numPr>
          <w:ilvl w:val="0"/>
          <w:numId w:val="2"/>
        </w:numPr>
        <w:tabs>
          <w:tab w:val="left" w:pos="1613"/>
        </w:tabs>
        <w:spacing w:after="0" w:line="240" w:lineRule="auto"/>
        <w:ind w:left="714" w:hanging="357"/>
        <w:jc w:val="both"/>
        <w:rPr>
          <w:rFonts w:cstheme="minorHAnsi"/>
          <w:szCs w:val="20"/>
          <w:lang w:val="en-GB"/>
        </w:rPr>
      </w:pPr>
      <w:r w:rsidRPr="00663E17">
        <w:rPr>
          <w:rFonts w:cstheme="minorHAnsi"/>
          <w:szCs w:val="20"/>
          <w:lang w:val="en-GB"/>
        </w:rPr>
        <w:t xml:space="preserve">Another </w:t>
      </w:r>
      <w:r w:rsidR="00F160D4">
        <w:rPr>
          <w:rFonts w:cstheme="minorHAnsi"/>
          <w:szCs w:val="20"/>
          <w:lang w:val="en-GB"/>
        </w:rPr>
        <w:t>major</w:t>
      </w:r>
      <w:r w:rsidRPr="00663E17">
        <w:rPr>
          <w:rFonts w:cstheme="minorHAnsi"/>
          <w:szCs w:val="20"/>
          <w:lang w:val="en-GB"/>
        </w:rPr>
        <w:t xml:space="preserve"> concern regarding Hungary’s media l</w:t>
      </w:r>
      <w:r w:rsidR="00E85E98" w:rsidRPr="00663E17">
        <w:rPr>
          <w:rFonts w:cstheme="minorHAnsi"/>
          <w:szCs w:val="20"/>
          <w:lang w:val="en-GB"/>
        </w:rPr>
        <w:t xml:space="preserve">egislation </w:t>
      </w:r>
      <w:r w:rsidR="00F160D4">
        <w:rPr>
          <w:rFonts w:cstheme="minorHAnsi"/>
          <w:szCs w:val="20"/>
          <w:lang w:val="en-GB"/>
        </w:rPr>
        <w:t>is</w:t>
      </w:r>
      <w:r w:rsidRPr="00663E17">
        <w:rPr>
          <w:rFonts w:cstheme="minorHAnsi"/>
          <w:szCs w:val="20"/>
          <w:lang w:val="en-GB"/>
        </w:rPr>
        <w:t xml:space="preserve"> the unpredictability of its vaguely formulated content regulation provisions</w:t>
      </w:r>
      <w:r w:rsidR="00E85E98" w:rsidRPr="00663E17">
        <w:rPr>
          <w:rFonts w:cstheme="minorHAnsi"/>
          <w:szCs w:val="20"/>
          <w:lang w:val="en-GB"/>
        </w:rPr>
        <w:t xml:space="preserve">. </w:t>
      </w:r>
      <w:r w:rsidR="006413A9" w:rsidRPr="00663E17">
        <w:rPr>
          <w:rFonts w:cstheme="minorHAnsi"/>
          <w:szCs w:val="20"/>
          <w:lang w:val="en-GB"/>
        </w:rPr>
        <w:t>As a result, t</w:t>
      </w:r>
      <w:r w:rsidR="00E85E98" w:rsidRPr="00663E17">
        <w:rPr>
          <w:rFonts w:cstheme="minorHAnsi"/>
          <w:szCs w:val="20"/>
          <w:lang w:val="en-GB"/>
        </w:rPr>
        <w:t xml:space="preserve">he </w:t>
      </w:r>
      <w:r w:rsidR="00424D1A" w:rsidRPr="00663E17">
        <w:rPr>
          <w:rFonts w:cstheme="minorHAnsi"/>
          <w:szCs w:val="20"/>
          <w:lang w:val="en-GB"/>
        </w:rPr>
        <w:t>Media Council</w:t>
      </w:r>
      <w:r w:rsidR="006413A9" w:rsidRPr="00663E17">
        <w:rPr>
          <w:rFonts w:cstheme="minorHAnsi"/>
          <w:szCs w:val="20"/>
          <w:lang w:val="en-GB"/>
        </w:rPr>
        <w:t xml:space="preserve"> may</w:t>
      </w:r>
      <w:r w:rsidR="00424D1A" w:rsidRPr="00663E17">
        <w:rPr>
          <w:rFonts w:cstheme="minorHAnsi"/>
          <w:szCs w:val="20"/>
          <w:lang w:val="en-GB"/>
        </w:rPr>
        <w:t xml:space="preserve"> interpret the </w:t>
      </w:r>
      <w:r w:rsidR="004F0701" w:rsidRPr="00663E17">
        <w:rPr>
          <w:rFonts w:cstheme="minorHAnsi"/>
          <w:szCs w:val="20"/>
          <w:lang w:val="en-GB"/>
        </w:rPr>
        <w:t>illegality of content without a</w:t>
      </w:r>
      <w:r w:rsidR="00F160D4">
        <w:rPr>
          <w:rFonts w:cstheme="minorHAnsi"/>
          <w:szCs w:val="20"/>
          <w:lang w:val="en-GB"/>
        </w:rPr>
        <w:t>ny</w:t>
      </w:r>
      <w:r w:rsidR="004F0701" w:rsidRPr="00663E17">
        <w:rPr>
          <w:rFonts w:cstheme="minorHAnsi"/>
          <w:szCs w:val="20"/>
          <w:lang w:val="en-GB"/>
        </w:rPr>
        <w:t xml:space="preserve"> clear </w:t>
      </w:r>
      <w:r w:rsidR="00F160D4">
        <w:rPr>
          <w:rFonts w:cstheme="minorHAnsi"/>
          <w:szCs w:val="20"/>
          <w:lang w:val="en-GB"/>
        </w:rPr>
        <w:t xml:space="preserve">proportionality </w:t>
      </w:r>
      <w:r w:rsidR="004F0701" w:rsidRPr="00663E17">
        <w:rPr>
          <w:rFonts w:cstheme="minorHAnsi"/>
          <w:szCs w:val="20"/>
          <w:lang w:val="en-GB"/>
        </w:rPr>
        <w:t>requirement</w:t>
      </w:r>
      <w:r w:rsidR="00F160D4">
        <w:rPr>
          <w:rFonts w:cstheme="minorHAnsi"/>
          <w:szCs w:val="20"/>
          <w:lang w:val="en-GB"/>
        </w:rPr>
        <w:t>s</w:t>
      </w:r>
      <w:r w:rsidR="004F0701" w:rsidRPr="00663E17">
        <w:rPr>
          <w:rFonts w:cstheme="minorHAnsi"/>
          <w:szCs w:val="20"/>
          <w:lang w:val="en-GB"/>
        </w:rPr>
        <w:t xml:space="preserve"> or other guidance to limit its discretion.</w:t>
      </w:r>
      <w:r w:rsidR="004F0701" w:rsidRPr="00663E17">
        <w:rPr>
          <w:rStyle w:val="FootnoteReference"/>
          <w:rFonts w:cstheme="minorHAnsi"/>
          <w:szCs w:val="20"/>
          <w:lang w:val="en-GB"/>
        </w:rPr>
        <w:footnoteReference w:id="13"/>
      </w:r>
      <w:r w:rsidR="00424D1A" w:rsidRPr="00663E17">
        <w:rPr>
          <w:rFonts w:cstheme="minorHAnsi"/>
          <w:szCs w:val="20"/>
          <w:lang w:val="en-GB"/>
        </w:rPr>
        <w:t xml:space="preserve"> </w:t>
      </w:r>
      <w:r w:rsidRPr="00663E17">
        <w:rPr>
          <w:rFonts w:cstheme="minorHAnsi"/>
          <w:szCs w:val="20"/>
          <w:lang w:val="en-GB"/>
        </w:rPr>
        <w:t xml:space="preserve">In April 2020, the European Court of Human Rights </w:t>
      </w:r>
      <w:r w:rsidR="001F2C95">
        <w:rPr>
          <w:rFonts w:cstheme="minorHAnsi"/>
          <w:szCs w:val="20"/>
          <w:lang w:val="en-GB"/>
        </w:rPr>
        <w:t>(</w:t>
      </w:r>
      <w:r w:rsidR="000F64BE">
        <w:rPr>
          <w:rFonts w:cstheme="minorHAnsi"/>
          <w:szCs w:val="20"/>
          <w:lang w:val="en-GB"/>
        </w:rPr>
        <w:t>hereinafter “</w:t>
      </w:r>
      <w:r w:rsidR="001F2C95">
        <w:rPr>
          <w:rFonts w:cstheme="minorHAnsi"/>
          <w:szCs w:val="20"/>
          <w:lang w:val="en-GB"/>
        </w:rPr>
        <w:t>the Court</w:t>
      </w:r>
      <w:r w:rsidR="000F64BE">
        <w:rPr>
          <w:rFonts w:cstheme="minorHAnsi"/>
          <w:szCs w:val="20"/>
          <w:lang w:val="en-GB"/>
        </w:rPr>
        <w:t>”</w:t>
      </w:r>
      <w:r w:rsidR="001F2C95">
        <w:rPr>
          <w:rFonts w:cstheme="minorHAnsi"/>
          <w:szCs w:val="20"/>
          <w:lang w:val="en-GB"/>
        </w:rPr>
        <w:t xml:space="preserve">) </w:t>
      </w:r>
      <w:r w:rsidRPr="00663E17">
        <w:rPr>
          <w:rFonts w:cstheme="minorHAnsi"/>
          <w:szCs w:val="20"/>
          <w:lang w:val="en-GB"/>
        </w:rPr>
        <w:t xml:space="preserve">ruled </w:t>
      </w:r>
      <w:r w:rsidR="00461967" w:rsidRPr="00663E17">
        <w:rPr>
          <w:rFonts w:cstheme="minorHAnsi"/>
          <w:szCs w:val="20"/>
          <w:lang w:val="en-GB"/>
        </w:rPr>
        <w:t>that the Media Council</w:t>
      </w:r>
      <w:r w:rsidR="00C03EB7" w:rsidRPr="00663E17">
        <w:rPr>
          <w:rFonts w:cstheme="minorHAnsi"/>
          <w:szCs w:val="20"/>
          <w:lang w:val="en-GB"/>
        </w:rPr>
        <w:t>’s decision in 2012</w:t>
      </w:r>
      <w:r w:rsidR="00471F9D">
        <w:rPr>
          <w:rFonts w:cstheme="minorHAnsi"/>
          <w:szCs w:val="20"/>
          <w:lang w:val="en-GB"/>
        </w:rPr>
        <w:t>,</w:t>
      </w:r>
      <w:r w:rsidR="00F160D4">
        <w:rPr>
          <w:rFonts w:cstheme="minorHAnsi"/>
          <w:szCs w:val="20"/>
          <w:lang w:val="en-GB"/>
        </w:rPr>
        <w:t xml:space="preserve"> applying Article 12 of the Media Act</w:t>
      </w:r>
      <w:r w:rsidR="00461967" w:rsidRPr="00663E17">
        <w:rPr>
          <w:rFonts w:cstheme="minorHAnsi"/>
          <w:szCs w:val="20"/>
          <w:lang w:val="en-GB"/>
        </w:rPr>
        <w:t xml:space="preserve"> to prohibit a television channel from </w:t>
      </w:r>
      <w:r w:rsidR="00424D1A" w:rsidRPr="00663E17">
        <w:rPr>
          <w:rFonts w:cstheme="minorHAnsi"/>
          <w:szCs w:val="20"/>
          <w:lang w:val="en-GB"/>
        </w:rPr>
        <w:t xml:space="preserve">repeating a statement </w:t>
      </w:r>
      <w:r w:rsidR="00461967" w:rsidRPr="00663E17">
        <w:rPr>
          <w:rFonts w:cstheme="minorHAnsi"/>
          <w:szCs w:val="20"/>
          <w:lang w:val="en-GB"/>
        </w:rPr>
        <w:t>describing a political party as “far-right”</w:t>
      </w:r>
      <w:r w:rsidR="00E85E98" w:rsidRPr="00663E17">
        <w:rPr>
          <w:rFonts w:cstheme="minorHAnsi"/>
          <w:szCs w:val="20"/>
          <w:lang w:val="en-GB"/>
        </w:rPr>
        <w:t>,</w:t>
      </w:r>
      <w:r w:rsidR="00461967" w:rsidRPr="00663E17">
        <w:rPr>
          <w:rFonts w:cstheme="minorHAnsi"/>
          <w:szCs w:val="20"/>
          <w:lang w:val="en-GB"/>
        </w:rPr>
        <w:t xml:space="preserve"> amounted to a violation of Article 10</w:t>
      </w:r>
      <w:r w:rsidR="00C44A8E">
        <w:rPr>
          <w:rFonts w:cstheme="minorHAnsi"/>
          <w:szCs w:val="20"/>
          <w:lang w:val="en-GB"/>
        </w:rPr>
        <w:t xml:space="preserve"> of the Convention</w:t>
      </w:r>
      <w:r w:rsidR="00424D1A" w:rsidRPr="00663E17">
        <w:rPr>
          <w:rFonts w:cstheme="minorHAnsi"/>
          <w:szCs w:val="20"/>
          <w:lang w:val="en-GB"/>
        </w:rPr>
        <w:t xml:space="preserve">. The Court ruled that </w:t>
      </w:r>
      <w:r w:rsidR="00424D1A" w:rsidRPr="00663E17">
        <w:rPr>
          <w:rFonts w:cstheme="minorHAnsi"/>
          <w:szCs w:val="20"/>
        </w:rPr>
        <w:t xml:space="preserve">the applicant company could not have foreseen that the term “far-right” would qualify as an opinion, nor could it have foreseen that the prohibition of its use in a news </w:t>
      </w:r>
      <w:proofErr w:type="spellStart"/>
      <w:r w:rsidR="00424D1A" w:rsidRPr="00663E17">
        <w:rPr>
          <w:rFonts w:cstheme="minorHAnsi"/>
          <w:szCs w:val="20"/>
        </w:rPr>
        <w:t>programme</w:t>
      </w:r>
      <w:proofErr w:type="spellEnd"/>
      <w:r w:rsidR="00424D1A" w:rsidRPr="00663E17">
        <w:rPr>
          <w:rFonts w:cstheme="minorHAnsi"/>
          <w:szCs w:val="20"/>
        </w:rPr>
        <w:t xml:space="preserve"> would be necessary to protect unbiased reporting. Therefore, the restriction imposed was disproportionate and not necessary in a democratic society</w:t>
      </w:r>
      <w:r w:rsidR="0030162F" w:rsidRPr="00663E17">
        <w:rPr>
          <w:rFonts w:cstheme="minorHAnsi"/>
          <w:bCs/>
          <w:szCs w:val="20"/>
          <w:lang w:val="en-GB"/>
        </w:rPr>
        <w:t>.</w:t>
      </w:r>
      <w:r w:rsidR="0030162F" w:rsidRPr="00663E17">
        <w:rPr>
          <w:rStyle w:val="FootnoteReference"/>
          <w:rFonts w:cstheme="minorHAnsi"/>
          <w:bCs/>
          <w:szCs w:val="20"/>
          <w:lang w:val="en-GB"/>
        </w:rPr>
        <w:footnoteReference w:id="14"/>
      </w:r>
      <w:r w:rsidR="00C03EB7" w:rsidRPr="00663E17">
        <w:rPr>
          <w:rFonts w:cstheme="minorHAnsi"/>
          <w:bCs/>
          <w:szCs w:val="20"/>
          <w:lang w:val="en-GB"/>
        </w:rPr>
        <w:t xml:space="preserve"> </w:t>
      </w:r>
      <w:r w:rsidR="00424D1A" w:rsidRPr="00663E17">
        <w:rPr>
          <w:rFonts w:cstheme="minorHAnsi"/>
          <w:bCs/>
          <w:szCs w:val="20"/>
          <w:lang w:val="en-GB"/>
        </w:rPr>
        <w:t>The Commissioner expects that this judgment</w:t>
      </w:r>
      <w:r w:rsidR="007F1788">
        <w:rPr>
          <w:rFonts w:cstheme="minorHAnsi"/>
          <w:bCs/>
          <w:szCs w:val="20"/>
          <w:lang w:val="en-GB"/>
        </w:rPr>
        <w:t xml:space="preserve">, which is now pending before the Council of Europe Committee of Ministers for </w:t>
      </w:r>
      <w:r w:rsidR="008A7B5E">
        <w:rPr>
          <w:rFonts w:cstheme="minorHAnsi"/>
          <w:bCs/>
          <w:szCs w:val="20"/>
          <w:lang w:val="en-GB"/>
        </w:rPr>
        <w:t xml:space="preserve">the </w:t>
      </w:r>
      <w:r w:rsidR="007F1788">
        <w:rPr>
          <w:rFonts w:cstheme="minorHAnsi"/>
          <w:bCs/>
          <w:szCs w:val="20"/>
          <w:lang w:val="en-GB"/>
        </w:rPr>
        <w:t>supervision of its execution,</w:t>
      </w:r>
      <w:r w:rsidR="00424D1A" w:rsidRPr="00663E17">
        <w:rPr>
          <w:rFonts w:cstheme="minorHAnsi"/>
          <w:bCs/>
          <w:szCs w:val="20"/>
          <w:lang w:val="en-GB"/>
        </w:rPr>
        <w:t xml:space="preserve"> will lead to amendments of </w:t>
      </w:r>
      <w:r w:rsidR="003A57EF">
        <w:rPr>
          <w:rFonts w:cstheme="minorHAnsi"/>
          <w:bCs/>
          <w:szCs w:val="20"/>
          <w:lang w:val="en-GB"/>
        </w:rPr>
        <w:t>Section</w:t>
      </w:r>
      <w:r w:rsidR="00424D1A" w:rsidRPr="00663E17">
        <w:rPr>
          <w:rFonts w:cstheme="minorHAnsi"/>
          <w:bCs/>
          <w:szCs w:val="20"/>
          <w:lang w:val="en-GB"/>
        </w:rPr>
        <w:t xml:space="preserve"> 12 of the Media Act, in line with the recommendations made already in 2011 and 201</w:t>
      </w:r>
      <w:r w:rsidR="00DA531F">
        <w:rPr>
          <w:rFonts w:cstheme="minorHAnsi"/>
          <w:bCs/>
          <w:szCs w:val="20"/>
          <w:lang w:val="en-GB"/>
        </w:rPr>
        <w:t>4</w:t>
      </w:r>
      <w:r w:rsidR="00424D1A" w:rsidRPr="00663E17">
        <w:rPr>
          <w:rFonts w:cstheme="minorHAnsi"/>
          <w:bCs/>
          <w:szCs w:val="20"/>
          <w:lang w:val="en-GB"/>
        </w:rPr>
        <w:t>.</w:t>
      </w:r>
    </w:p>
    <w:p w14:paraId="18E4BCBD" w14:textId="77777777" w:rsidR="00667ECC" w:rsidRPr="00663E17" w:rsidRDefault="00667ECC" w:rsidP="001A7208">
      <w:pPr>
        <w:tabs>
          <w:tab w:val="left" w:pos="1613"/>
        </w:tabs>
        <w:spacing w:after="0" w:line="240" w:lineRule="auto"/>
        <w:ind w:left="426"/>
        <w:jc w:val="both"/>
        <w:rPr>
          <w:rFonts w:cstheme="minorHAnsi"/>
          <w:szCs w:val="20"/>
          <w:lang w:val="en-GB"/>
        </w:rPr>
      </w:pPr>
    </w:p>
    <w:p w14:paraId="4B0F1C3D" w14:textId="45F92ABB" w:rsidR="00F976A7" w:rsidRPr="00663E17" w:rsidRDefault="00365E6C" w:rsidP="001A7208">
      <w:pPr>
        <w:numPr>
          <w:ilvl w:val="0"/>
          <w:numId w:val="2"/>
        </w:numPr>
        <w:tabs>
          <w:tab w:val="left" w:pos="1613"/>
        </w:tabs>
        <w:spacing w:after="0" w:line="240" w:lineRule="auto"/>
        <w:ind w:left="714" w:hanging="357"/>
        <w:jc w:val="both"/>
        <w:rPr>
          <w:rFonts w:cstheme="minorHAnsi"/>
          <w:szCs w:val="20"/>
          <w:lang w:val="en-GB"/>
        </w:rPr>
      </w:pPr>
      <w:r w:rsidRPr="00663E17">
        <w:rPr>
          <w:rFonts w:cstheme="minorHAnsi"/>
          <w:szCs w:val="20"/>
          <w:lang w:val="en-GB"/>
        </w:rPr>
        <w:t xml:space="preserve">As regards content regulation online, a Digital Freedom Committee was established </w:t>
      </w:r>
      <w:r w:rsidR="00F160D4">
        <w:rPr>
          <w:rFonts w:cstheme="minorHAnsi"/>
          <w:szCs w:val="20"/>
          <w:lang w:val="en-GB"/>
        </w:rPr>
        <w:t>at</w:t>
      </w:r>
      <w:r w:rsidRPr="00663E17">
        <w:rPr>
          <w:rFonts w:cstheme="minorHAnsi"/>
          <w:szCs w:val="20"/>
          <w:lang w:val="en-GB"/>
        </w:rPr>
        <w:t xml:space="preserve"> the Ministry of Justice in early 2020 </w:t>
      </w:r>
      <w:r w:rsidR="00F160D4">
        <w:rPr>
          <w:rFonts w:cstheme="minorHAnsi"/>
          <w:szCs w:val="20"/>
          <w:lang w:val="en-GB"/>
        </w:rPr>
        <w:t xml:space="preserve">to </w:t>
      </w:r>
      <w:r w:rsidRPr="00663E17">
        <w:rPr>
          <w:rFonts w:cstheme="minorHAnsi"/>
          <w:szCs w:val="20"/>
          <w:lang w:val="en-GB"/>
        </w:rPr>
        <w:t>prepar</w:t>
      </w:r>
      <w:r w:rsidR="00F160D4">
        <w:rPr>
          <w:rFonts w:cstheme="minorHAnsi"/>
          <w:szCs w:val="20"/>
          <w:lang w:val="en-GB"/>
        </w:rPr>
        <w:t>e</w:t>
      </w:r>
      <w:r w:rsidRPr="00663E17">
        <w:rPr>
          <w:rFonts w:cstheme="minorHAnsi"/>
          <w:szCs w:val="20"/>
          <w:lang w:val="en-GB"/>
        </w:rPr>
        <w:t xml:space="preserve"> a legislative proposal </w:t>
      </w:r>
      <w:r w:rsidR="00F160D4">
        <w:rPr>
          <w:rFonts w:cstheme="minorHAnsi"/>
          <w:szCs w:val="20"/>
          <w:lang w:val="en-GB"/>
        </w:rPr>
        <w:t>on</w:t>
      </w:r>
      <w:r w:rsidR="00C37C21" w:rsidRPr="00663E17">
        <w:rPr>
          <w:rFonts w:cstheme="minorHAnsi"/>
          <w:szCs w:val="20"/>
          <w:lang w:val="en-GB"/>
        </w:rPr>
        <w:t xml:space="preserve"> the activities of</w:t>
      </w:r>
      <w:r w:rsidRPr="00663E17">
        <w:rPr>
          <w:rFonts w:cstheme="minorHAnsi"/>
          <w:szCs w:val="20"/>
          <w:lang w:val="en-GB"/>
        </w:rPr>
        <w:t xml:space="preserve"> </w:t>
      </w:r>
      <w:r w:rsidR="00C37C21" w:rsidRPr="00663E17">
        <w:rPr>
          <w:rFonts w:cstheme="minorHAnsi"/>
          <w:szCs w:val="20"/>
          <w:lang w:val="en-GB"/>
        </w:rPr>
        <w:t>social media platforms by Spring 2021</w:t>
      </w:r>
      <w:r w:rsidR="008A7B5E">
        <w:rPr>
          <w:rFonts w:cstheme="minorHAnsi"/>
          <w:szCs w:val="20"/>
          <w:lang w:val="en-GB"/>
        </w:rPr>
        <w:t>.</w:t>
      </w:r>
      <w:r w:rsidR="00DA531F">
        <w:rPr>
          <w:rStyle w:val="FootnoteReference"/>
          <w:rFonts w:cstheme="minorHAnsi"/>
          <w:szCs w:val="20"/>
          <w:lang w:val="en-GB"/>
        </w:rPr>
        <w:footnoteReference w:id="15"/>
      </w:r>
      <w:r w:rsidR="00C37C21" w:rsidRPr="00663E17">
        <w:rPr>
          <w:rFonts w:cstheme="minorHAnsi"/>
          <w:szCs w:val="20"/>
          <w:lang w:val="en-GB"/>
        </w:rPr>
        <w:t xml:space="preserve"> </w:t>
      </w:r>
      <w:r w:rsidR="00DA531F">
        <w:rPr>
          <w:rFonts w:cstheme="minorHAnsi"/>
          <w:szCs w:val="20"/>
          <w:lang w:val="en-GB"/>
        </w:rPr>
        <w:t>T</w:t>
      </w:r>
      <w:r w:rsidRPr="00663E17">
        <w:rPr>
          <w:rFonts w:cstheme="minorHAnsi"/>
          <w:szCs w:val="20"/>
          <w:lang w:val="en-GB"/>
        </w:rPr>
        <w:t xml:space="preserve">he </w:t>
      </w:r>
      <w:r w:rsidR="00C37C21" w:rsidRPr="00663E17">
        <w:rPr>
          <w:rFonts w:cstheme="minorHAnsi"/>
          <w:szCs w:val="20"/>
          <w:lang w:val="en-GB"/>
        </w:rPr>
        <w:t xml:space="preserve">Committee is made up of representatives of </w:t>
      </w:r>
      <w:r w:rsidR="00DA531F">
        <w:rPr>
          <w:rFonts w:cstheme="minorHAnsi"/>
          <w:szCs w:val="20"/>
          <w:lang w:val="en-GB"/>
        </w:rPr>
        <w:t xml:space="preserve">relevant ministries and </w:t>
      </w:r>
      <w:r w:rsidR="00C37C21" w:rsidRPr="00663E17">
        <w:rPr>
          <w:rFonts w:cstheme="minorHAnsi"/>
          <w:szCs w:val="20"/>
          <w:lang w:val="en-GB"/>
        </w:rPr>
        <w:lastRenderedPageBreak/>
        <w:t>institutions (</w:t>
      </w:r>
      <w:r w:rsidR="00DA531F">
        <w:rPr>
          <w:rFonts w:cstheme="minorHAnsi"/>
          <w:szCs w:val="20"/>
          <w:lang w:val="en-GB"/>
        </w:rPr>
        <w:t xml:space="preserve">including the </w:t>
      </w:r>
      <w:r w:rsidR="00C37C21" w:rsidRPr="00663E17">
        <w:rPr>
          <w:rFonts w:cstheme="minorHAnsi"/>
          <w:szCs w:val="20"/>
          <w:lang w:val="en-GB"/>
        </w:rPr>
        <w:t xml:space="preserve">Commissioner for Fundamental Rights, </w:t>
      </w:r>
      <w:r w:rsidR="00F160D4">
        <w:rPr>
          <w:rFonts w:cstheme="minorHAnsi"/>
          <w:szCs w:val="20"/>
          <w:lang w:val="en-GB"/>
        </w:rPr>
        <w:t xml:space="preserve">the </w:t>
      </w:r>
      <w:r w:rsidR="00C94F6C" w:rsidRPr="00663E17">
        <w:rPr>
          <w:rFonts w:cstheme="minorHAnsi"/>
          <w:bCs/>
          <w:szCs w:val="20"/>
          <w:lang w:val="en-GB"/>
        </w:rPr>
        <w:t>National Data Protection and Freedom of Information Authority (</w:t>
      </w:r>
      <w:r w:rsidR="00C37C21" w:rsidRPr="00663E17">
        <w:rPr>
          <w:rFonts w:cstheme="minorHAnsi"/>
          <w:szCs w:val="20"/>
          <w:lang w:val="en-GB"/>
        </w:rPr>
        <w:t>NAIH</w:t>
      </w:r>
      <w:r w:rsidR="00C94F6C" w:rsidRPr="00663E17">
        <w:rPr>
          <w:rFonts w:cstheme="minorHAnsi"/>
          <w:szCs w:val="20"/>
          <w:lang w:val="en-GB"/>
        </w:rPr>
        <w:t>)</w:t>
      </w:r>
      <w:r w:rsidR="00C37C21" w:rsidRPr="00663E17">
        <w:rPr>
          <w:rFonts w:cstheme="minorHAnsi"/>
          <w:szCs w:val="20"/>
          <w:lang w:val="en-GB"/>
        </w:rPr>
        <w:t xml:space="preserve">, </w:t>
      </w:r>
      <w:r w:rsidR="00F160D4">
        <w:rPr>
          <w:rFonts w:cstheme="minorHAnsi"/>
          <w:szCs w:val="20"/>
          <w:lang w:val="en-GB"/>
        </w:rPr>
        <w:t xml:space="preserve">the </w:t>
      </w:r>
      <w:r w:rsidR="00C37C21" w:rsidRPr="00663E17">
        <w:rPr>
          <w:rFonts w:cstheme="minorHAnsi"/>
          <w:szCs w:val="20"/>
          <w:lang w:val="en-GB"/>
        </w:rPr>
        <w:t xml:space="preserve">Consumer Protection Authority, </w:t>
      </w:r>
      <w:r w:rsidR="00F160D4">
        <w:rPr>
          <w:rFonts w:cstheme="minorHAnsi"/>
          <w:szCs w:val="20"/>
          <w:lang w:val="en-GB"/>
        </w:rPr>
        <w:t xml:space="preserve">and the </w:t>
      </w:r>
      <w:r w:rsidR="00C37C21" w:rsidRPr="00663E17">
        <w:rPr>
          <w:rFonts w:cstheme="minorHAnsi"/>
          <w:szCs w:val="20"/>
          <w:lang w:val="en-GB"/>
        </w:rPr>
        <w:t>Media Authority)</w:t>
      </w:r>
      <w:r w:rsidR="00DA531F">
        <w:rPr>
          <w:rFonts w:cstheme="minorHAnsi"/>
          <w:szCs w:val="20"/>
          <w:lang w:val="en-GB"/>
        </w:rPr>
        <w:t>,</w:t>
      </w:r>
      <w:r w:rsidR="00C37C21" w:rsidRPr="00663E17">
        <w:rPr>
          <w:rFonts w:cstheme="minorHAnsi"/>
          <w:szCs w:val="20"/>
          <w:lang w:val="en-GB"/>
        </w:rPr>
        <w:t xml:space="preserve"> </w:t>
      </w:r>
      <w:r w:rsidR="00F160D4">
        <w:rPr>
          <w:rFonts w:cstheme="minorHAnsi"/>
          <w:szCs w:val="20"/>
          <w:lang w:val="en-GB"/>
        </w:rPr>
        <w:t xml:space="preserve">and </w:t>
      </w:r>
      <w:r w:rsidR="00C37C21" w:rsidRPr="00663E17">
        <w:rPr>
          <w:rFonts w:cstheme="minorHAnsi"/>
          <w:szCs w:val="20"/>
          <w:lang w:val="en-GB"/>
        </w:rPr>
        <w:t xml:space="preserve">citizens </w:t>
      </w:r>
      <w:r w:rsidR="00DA531F">
        <w:rPr>
          <w:rFonts w:cstheme="minorHAnsi"/>
          <w:szCs w:val="20"/>
          <w:lang w:val="en-GB"/>
        </w:rPr>
        <w:t xml:space="preserve">have been </w:t>
      </w:r>
      <w:r w:rsidR="00C37C21" w:rsidRPr="00663E17">
        <w:rPr>
          <w:rFonts w:cstheme="minorHAnsi"/>
          <w:szCs w:val="20"/>
          <w:lang w:val="en-GB"/>
        </w:rPr>
        <w:t xml:space="preserve">invited to send their comments online. </w:t>
      </w:r>
      <w:r w:rsidR="006120E2" w:rsidRPr="00663E17">
        <w:rPr>
          <w:rFonts w:cstheme="minorHAnsi"/>
          <w:szCs w:val="20"/>
          <w:lang w:val="en-GB"/>
        </w:rPr>
        <w:t xml:space="preserve">The Commissioner considers it of crucial importance to </w:t>
      </w:r>
      <w:r w:rsidR="00DA531F">
        <w:rPr>
          <w:rFonts w:cstheme="minorHAnsi"/>
          <w:szCs w:val="20"/>
          <w:lang w:val="en-GB"/>
        </w:rPr>
        <w:t>involve relevant civil society organisations in the work of the Committee</w:t>
      </w:r>
      <w:r w:rsidR="00471F9D">
        <w:rPr>
          <w:rFonts w:cstheme="minorHAnsi"/>
          <w:szCs w:val="20"/>
          <w:lang w:val="en-GB"/>
        </w:rPr>
        <w:t>,</w:t>
      </w:r>
      <w:r w:rsidR="00DA531F">
        <w:rPr>
          <w:rFonts w:cstheme="minorHAnsi"/>
          <w:szCs w:val="20"/>
          <w:lang w:val="en-GB"/>
        </w:rPr>
        <w:t xml:space="preserve"> and </w:t>
      </w:r>
      <w:r w:rsidR="00F160D4">
        <w:rPr>
          <w:rFonts w:cstheme="minorHAnsi"/>
          <w:szCs w:val="20"/>
          <w:lang w:val="en-GB"/>
        </w:rPr>
        <w:t>for there to be wide</w:t>
      </w:r>
      <w:r w:rsidR="006120E2" w:rsidRPr="00663E17">
        <w:rPr>
          <w:rFonts w:cstheme="minorHAnsi"/>
          <w:szCs w:val="20"/>
          <w:lang w:val="en-GB"/>
        </w:rPr>
        <w:t xml:space="preserve"> public consultation prior to the submission of the proposal</w:t>
      </w:r>
      <w:r w:rsidR="00DA531F">
        <w:rPr>
          <w:rFonts w:cstheme="minorHAnsi"/>
          <w:szCs w:val="20"/>
          <w:lang w:val="en-GB"/>
        </w:rPr>
        <w:t>,</w:t>
      </w:r>
      <w:r w:rsidR="006120E2" w:rsidRPr="00663E17">
        <w:rPr>
          <w:rFonts w:cstheme="minorHAnsi"/>
          <w:szCs w:val="20"/>
          <w:lang w:val="en-GB"/>
        </w:rPr>
        <w:t xml:space="preserve"> as it will no doubt greatly affect freedom of expression</w:t>
      </w:r>
      <w:r w:rsidR="00C94F6C" w:rsidRPr="00663E17">
        <w:rPr>
          <w:rFonts w:cstheme="minorHAnsi"/>
          <w:szCs w:val="20"/>
          <w:lang w:val="en-GB"/>
        </w:rPr>
        <w:t xml:space="preserve"> </w:t>
      </w:r>
      <w:r w:rsidR="00F160D4">
        <w:rPr>
          <w:rFonts w:cstheme="minorHAnsi"/>
          <w:szCs w:val="20"/>
          <w:lang w:val="en-GB"/>
        </w:rPr>
        <w:t>safeguards</w:t>
      </w:r>
      <w:r w:rsidR="00C94F6C" w:rsidRPr="00663E17">
        <w:rPr>
          <w:rFonts w:cstheme="minorHAnsi"/>
          <w:szCs w:val="20"/>
          <w:lang w:val="en-GB"/>
        </w:rPr>
        <w:t xml:space="preserve"> in Hungary</w:t>
      </w:r>
      <w:r w:rsidR="006120E2" w:rsidRPr="00663E17">
        <w:rPr>
          <w:rFonts w:cstheme="minorHAnsi"/>
          <w:szCs w:val="20"/>
          <w:lang w:val="en-GB"/>
        </w:rPr>
        <w:t>. She urges the government to ensure that the law contains clear and predictable provisions for all content moderation</w:t>
      </w:r>
      <w:r w:rsidR="00B56E4B" w:rsidRPr="00663E17">
        <w:rPr>
          <w:rFonts w:cstheme="minorHAnsi"/>
          <w:szCs w:val="20"/>
          <w:lang w:val="en-GB"/>
        </w:rPr>
        <w:t xml:space="preserve"> </w:t>
      </w:r>
      <w:r w:rsidR="008A7B5E">
        <w:rPr>
          <w:rFonts w:cstheme="minorHAnsi"/>
          <w:szCs w:val="20"/>
          <w:lang w:val="en-GB"/>
        </w:rPr>
        <w:t>and</w:t>
      </w:r>
      <w:r w:rsidR="00B56E4B" w:rsidRPr="00663E17">
        <w:rPr>
          <w:rFonts w:cstheme="minorHAnsi"/>
          <w:szCs w:val="20"/>
          <w:lang w:val="en-GB"/>
        </w:rPr>
        <w:t xml:space="preserve"> data retention practices</w:t>
      </w:r>
      <w:r w:rsidR="006120E2" w:rsidRPr="00663E17">
        <w:rPr>
          <w:rFonts w:cstheme="minorHAnsi"/>
          <w:szCs w:val="20"/>
          <w:lang w:val="en-GB"/>
        </w:rPr>
        <w:t>, which must pursue a legitimate aim and be necessary in a democratic society, in line with Article 10 of the Convention and relevant Council of Europe standards.</w:t>
      </w:r>
      <w:r w:rsidR="006120E2" w:rsidRPr="00663E17">
        <w:rPr>
          <w:rStyle w:val="FootnoteReference"/>
          <w:rFonts w:cstheme="minorHAnsi"/>
          <w:szCs w:val="20"/>
          <w:lang w:val="en-GB"/>
        </w:rPr>
        <w:footnoteReference w:id="16"/>
      </w:r>
      <w:r w:rsidR="006120E2" w:rsidRPr="00663E17">
        <w:rPr>
          <w:rFonts w:cstheme="minorHAnsi"/>
          <w:szCs w:val="20"/>
          <w:lang w:val="en-GB"/>
        </w:rPr>
        <w:t xml:space="preserve"> It is </w:t>
      </w:r>
      <w:r w:rsidR="00F160D4">
        <w:rPr>
          <w:rFonts w:cstheme="minorHAnsi"/>
          <w:szCs w:val="20"/>
          <w:lang w:val="en-GB"/>
        </w:rPr>
        <w:t>also</w:t>
      </w:r>
      <w:r w:rsidR="006120E2" w:rsidRPr="00663E17">
        <w:rPr>
          <w:rFonts w:cstheme="minorHAnsi"/>
          <w:szCs w:val="20"/>
          <w:lang w:val="en-GB"/>
        </w:rPr>
        <w:t xml:space="preserve"> </w:t>
      </w:r>
      <w:r w:rsidR="00C94F6C" w:rsidRPr="00663E17">
        <w:rPr>
          <w:rFonts w:cstheme="minorHAnsi"/>
          <w:szCs w:val="20"/>
          <w:lang w:val="en-GB"/>
        </w:rPr>
        <w:t xml:space="preserve">essential </w:t>
      </w:r>
      <w:r w:rsidR="00F160D4">
        <w:rPr>
          <w:rFonts w:cstheme="minorHAnsi"/>
          <w:szCs w:val="20"/>
          <w:lang w:val="en-GB"/>
        </w:rPr>
        <w:t>for</w:t>
      </w:r>
      <w:r w:rsidR="006120E2" w:rsidRPr="00663E17">
        <w:rPr>
          <w:rFonts w:cstheme="minorHAnsi"/>
          <w:szCs w:val="20"/>
          <w:lang w:val="en-GB"/>
        </w:rPr>
        <w:t xml:space="preserve"> </w:t>
      </w:r>
      <w:r w:rsidR="00F505E1" w:rsidRPr="00663E17">
        <w:rPr>
          <w:rFonts w:cstheme="minorHAnsi"/>
          <w:szCs w:val="20"/>
          <w:lang w:val="en-GB"/>
        </w:rPr>
        <w:t xml:space="preserve">effective remedies </w:t>
      </w:r>
      <w:r w:rsidR="00F160D4">
        <w:rPr>
          <w:rFonts w:cstheme="minorHAnsi"/>
          <w:szCs w:val="20"/>
          <w:lang w:val="en-GB"/>
        </w:rPr>
        <w:t>to be</w:t>
      </w:r>
      <w:r w:rsidR="00F505E1" w:rsidRPr="00663E17">
        <w:rPr>
          <w:rFonts w:cstheme="minorHAnsi"/>
          <w:szCs w:val="20"/>
          <w:lang w:val="en-GB"/>
        </w:rPr>
        <w:t xml:space="preserve"> available against </w:t>
      </w:r>
      <w:r w:rsidR="006120E2" w:rsidRPr="00663E17">
        <w:rPr>
          <w:rFonts w:cstheme="minorHAnsi"/>
          <w:szCs w:val="20"/>
          <w:lang w:val="en-GB"/>
        </w:rPr>
        <w:t xml:space="preserve">all decisions </w:t>
      </w:r>
      <w:r w:rsidR="00F505E1" w:rsidRPr="00663E17">
        <w:rPr>
          <w:rFonts w:cstheme="minorHAnsi"/>
          <w:szCs w:val="20"/>
          <w:lang w:val="en-GB"/>
        </w:rPr>
        <w:t xml:space="preserve">related to user content and data, in full compliance with Article 13 of the Convention. </w:t>
      </w:r>
      <w:r w:rsidR="008B5BD8" w:rsidRPr="00663E17">
        <w:rPr>
          <w:rFonts w:cstheme="minorHAnsi"/>
          <w:szCs w:val="20"/>
          <w:lang w:val="en-GB"/>
        </w:rPr>
        <w:t>In this context, t</w:t>
      </w:r>
      <w:r w:rsidR="00F505E1" w:rsidRPr="00663E17">
        <w:rPr>
          <w:rFonts w:cstheme="minorHAnsi"/>
          <w:szCs w:val="20"/>
          <w:lang w:val="en-GB"/>
        </w:rPr>
        <w:t xml:space="preserve">he </w:t>
      </w:r>
      <w:r w:rsidR="00F976A7" w:rsidRPr="00663E17">
        <w:rPr>
          <w:rFonts w:cstheme="minorHAnsi"/>
          <w:szCs w:val="20"/>
          <w:lang w:val="en-GB"/>
        </w:rPr>
        <w:t>Commissioner</w:t>
      </w:r>
      <w:r w:rsidR="00F505E1" w:rsidRPr="00663E17">
        <w:rPr>
          <w:rFonts w:cstheme="minorHAnsi"/>
          <w:szCs w:val="20"/>
          <w:lang w:val="en-GB"/>
        </w:rPr>
        <w:t xml:space="preserve"> </w:t>
      </w:r>
      <w:r w:rsidR="00F976A7" w:rsidRPr="00663E17">
        <w:rPr>
          <w:rFonts w:cstheme="minorHAnsi"/>
          <w:szCs w:val="20"/>
          <w:lang w:val="en-GB"/>
        </w:rPr>
        <w:t xml:space="preserve">encourages Hungary to support efforts at European level </w:t>
      </w:r>
      <w:r w:rsidR="00F160D4">
        <w:rPr>
          <w:rFonts w:cstheme="minorHAnsi"/>
          <w:szCs w:val="20"/>
          <w:lang w:val="en-GB"/>
        </w:rPr>
        <w:t xml:space="preserve">to </w:t>
      </w:r>
      <w:r w:rsidR="00F976A7" w:rsidRPr="00663E17">
        <w:rPr>
          <w:rFonts w:cstheme="minorHAnsi"/>
          <w:szCs w:val="20"/>
          <w:lang w:val="en-GB"/>
        </w:rPr>
        <w:t>harmonis</w:t>
      </w:r>
      <w:r w:rsidR="00F160D4">
        <w:rPr>
          <w:rFonts w:cstheme="minorHAnsi"/>
          <w:szCs w:val="20"/>
          <w:lang w:val="en-GB"/>
        </w:rPr>
        <w:t>e</w:t>
      </w:r>
      <w:r w:rsidR="00F976A7" w:rsidRPr="00663E17">
        <w:rPr>
          <w:rFonts w:cstheme="minorHAnsi"/>
          <w:szCs w:val="20"/>
          <w:lang w:val="en-GB"/>
        </w:rPr>
        <w:t xml:space="preserve"> standards related to digital services and digital markets.</w:t>
      </w:r>
    </w:p>
    <w:p w14:paraId="2FD9D896" w14:textId="77777777" w:rsidR="00F976A7" w:rsidRPr="00663E17" w:rsidRDefault="00F976A7" w:rsidP="001A7208">
      <w:pPr>
        <w:tabs>
          <w:tab w:val="left" w:pos="1613"/>
        </w:tabs>
        <w:spacing w:after="0" w:line="240" w:lineRule="auto"/>
        <w:ind w:left="426" w:hanging="357"/>
        <w:jc w:val="both"/>
        <w:rPr>
          <w:rFonts w:cstheme="minorHAnsi"/>
          <w:szCs w:val="20"/>
          <w:lang w:val="en-GB"/>
        </w:rPr>
      </w:pPr>
    </w:p>
    <w:p w14:paraId="23275037" w14:textId="2F205A8A" w:rsidR="00501A2D" w:rsidRPr="00AF582E" w:rsidRDefault="00F976A7" w:rsidP="001A7208">
      <w:pPr>
        <w:pStyle w:val="ListParagraph"/>
        <w:numPr>
          <w:ilvl w:val="0"/>
          <w:numId w:val="20"/>
        </w:numPr>
        <w:spacing w:after="0" w:line="240" w:lineRule="auto"/>
        <w:ind w:left="1134" w:hanging="425"/>
        <w:contextualSpacing w:val="0"/>
        <w:rPr>
          <w:rFonts w:eastAsia="Times New Roman" w:cs="Arial"/>
          <w:b/>
          <w:bCs/>
          <w:szCs w:val="20"/>
          <w:lang w:val="en-GB" w:eastAsia="zh-CN"/>
        </w:rPr>
      </w:pPr>
      <w:r w:rsidRPr="00AF582E">
        <w:rPr>
          <w:rFonts w:eastAsia="Times New Roman" w:cs="Arial"/>
          <w:b/>
          <w:bCs/>
          <w:szCs w:val="20"/>
          <w:lang w:val="en-GB" w:eastAsia="zh-CN"/>
        </w:rPr>
        <w:t>L</w:t>
      </w:r>
      <w:r w:rsidR="00501A2D" w:rsidRPr="00AF582E">
        <w:rPr>
          <w:rFonts w:eastAsia="Times New Roman" w:cs="Arial"/>
          <w:b/>
          <w:bCs/>
          <w:szCs w:val="20"/>
          <w:lang w:val="en-GB" w:eastAsia="zh-CN"/>
        </w:rPr>
        <w:t xml:space="preserve">egislative </w:t>
      </w:r>
      <w:r w:rsidR="003A5259">
        <w:rPr>
          <w:rFonts w:eastAsia="Times New Roman" w:cs="Arial"/>
          <w:b/>
          <w:bCs/>
          <w:szCs w:val="20"/>
          <w:lang w:val="en-GB" w:eastAsia="zh-CN"/>
        </w:rPr>
        <w:t>developments</w:t>
      </w:r>
      <w:r w:rsidR="00501A2D" w:rsidRPr="00AF582E">
        <w:rPr>
          <w:rFonts w:eastAsia="Times New Roman" w:cs="Arial"/>
          <w:b/>
          <w:bCs/>
          <w:szCs w:val="20"/>
          <w:lang w:val="en-GB" w:eastAsia="zh-CN"/>
        </w:rPr>
        <w:t xml:space="preserve"> in times of crisis </w:t>
      </w:r>
    </w:p>
    <w:p w14:paraId="49C4F881" w14:textId="77777777" w:rsidR="00C1068A" w:rsidRPr="00663E17" w:rsidRDefault="00C1068A" w:rsidP="001A7208">
      <w:pPr>
        <w:tabs>
          <w:tab w:val="left" w:pos="1613"/>
        </w:tabs>
        <w:spacing w:after="0" w:line="240" w:lineRule="auto"/>
        <w:ind w:left="426" w:hanging="357"/>
        <w:jc w:val="both"/>
        <w:rPr>
          <w:rFonts w:cstheme="minorHAnsi"/>
          <w:szCs w:val="20"/>
          <w:lang w:val="en-GB"/>
        </w:rPr>
      </w:pPr>
    </w:p>
    <w:p w14:paraId="363D1550" w14:textId="753AD7D3" w:rsidR="00501A2D" w:rsidRPr="00663E17" w:rsidRDefault="00BB12D7" w:rsidP="001A7208">
      <w:pPr>
        <w:numPr>
          <w:ilvl w:val="0"/>
          <w:numId w:val="2"/>
        </w:numPr>
        <w:tabs>
          <w:tab w:val="left" w:pos="1613"/>
        </w:tabs>
        <w:spacing w:after="0" w:line="240" w:lineRule="auto"/>
        <w:ind w:left="714" w:hanging="357"/>
        <w:jc w:val="both"/>
        <w:rPr>
          <w:rFonts w:cstheme="minorHAnsi"/>
          <w:szCs w:val="20"/>
          <w:lang w:val="en-GB"/>
        </w:rPr>
      </w:pPr>
      <w:r w:rsidRPr="00663E17">
        <w:rPr>
          <w:rFonts w:cstheme="minorHAnsi"/>
          <w:szCs w:val="20"/>
          <w:lang w:val="en-GB"/>
        </w:rPr>
        <w:t xml:space="preserve">As part of the </w:t>
      </w:r>
      <w:r w:rsidR="00011832" w:rsidRPr="00663E17">
        <w:rPr>
          <w:rFonts w:cstheme="minorHAnsi"/>
          <w:szCs w:val="20"/>
          <w:lang w:val="en-GB"/>
        </w:rPr>
        <w:t xml:space="preserve">‘Authorisation Act’ adopted on 30 March 2020, which introduced emergency </w:t>
      </w:r>
      <w:r w:rsidR="00F160D4">
        <w:rPr>
          <w:rFonts w:cstheme="minorHAnsi"/>
          <w:szCs w:val="20"/>
          <w:lang w:val="en-GB"/>
        </w:rPr>
        <w:t>rules</w:t>
      </w:r>
      <w:r w:rsidR="00011832" w:rsidRPr="00663E17">
        <w:rPr>
          <w:rFonts w:cstheme="minorHAnsi"/>
          <w:szCs w:val="20"/>
          <w:lang w:val="en-GB"/>
        </w:rPr>
        <w:t xml:space="preserve"> in Hungary in response to the COVID-19 pandemic, </w:t>
      </w:r>
      <w:r w:rsidR="003A57EF">
        <w:rPr>
          <w:rFonts w:cstheme="minorHAnsi"/>
          <w:szCs w:val="20"/>
          <w:lang w:val="en-GB"/>
        </w:rPr>
        <w:t>Section</w:t>
      </w:r>
      <w:r w:rsidR="00011832" w:rsidRPr="00663E17">
        <w:rPr>
          <w:rFonts w:cstheme="minorHAnsi"/>
          <w:szCs w:val="20"/>
          <w:lang w:val="en-GB"/>
        </w:rPr>
        <w:t xml:space="preserve"> 337 of the Criminal Code was permanently amended to extend </w:t>
      </w:r>
      <w:r w:rsidR="00A87AEF" w:rsidRPr="00663E17">
        <w:rPr>
          <w:rFonts w:cstheme="minorHAnsi"/>
          <w:szCs w:val="20"/>
          <w:lang w:val="en-GB"/>
        </w:rPr>
        <w:t xml:space="preserve">the </w:t>
      </w:r>
      <w:r w:rsidR="00F160D4">
        <w:rPr>
          <w:rFonts w:cstheme="minorHAnsi"/>
          <w:szCs w:val="20"/>
          <w:lang w:val="en-GB"/>
        </w:rPr>
        <w:t>sentence for</w:t>
      </w:r>
      <w:r w:rsidR="00A87AEF" w:rsidRPr="00663E17">
        <w:rPr>
          <w:rFonts w:cstheme="minorHAnsi"/>
          <w:szCs w:val="20"/>
          <w:lang w:val="en-GB"/>
        </w:rPr>
        <w:t xml:space="preserve"> “fearmongering”</w:t>
      </w:r>
      <w:r w:rsidR="00011832" w:rsidRPr="00663E17">
        <w:rPr>
          <w:rFonts w:cstheme="minorHAnsi"/>
          <w:szCs w:val="20"/>
          <w:lang w:val="en-GB"/>
        </w:rPr>
        <w:t xml:space="preserve"> to up to five years</w:t>
      </w:r>
      <w:r w:rsidR="00091BC7">
        <w:rPr>
          <w:rFonts w:cstheme="minorHAnsi"/>
          <w:szCs w:val="20"/>
          <w:lang w:val="en-GB"/>
        </w:rPr>
        <w:t>’</w:t>
      </w:r>
      <w:r w:rsidR="00011832" w:rsidRPr="00663E17">
        <w:rPr>
          <w:rFonts w:cstheme="minorHAnsi"/>
          <w:szCs w:val="20"/>
          <w:lang w:val="en-GB"/>
        </w:rPr>
        <w:t xml:space="preserve"> imprisonment </w:t>
      </w:r>
      <w:r w:rsidR="00A87AEF" w:rsidRPr="00663E17">
        <w:rPr>
          <w:rFonts w:cstheme="minorHAnsi"/>
          <w:szCs w:val="20"/>
          <w:lang w:val="en-GB"/>
        </w:rPr>
        <w:t xml:space="preserve">if it is “capable of obstructing the efficiency of protection efforts” during a </w:t>
      </w:r>
      <w:r w:rsidR="00C44A8E">
        <w:rPr>
          <w:rFonts w:cstheme="minorHAnsi"/>
          <w:szCs w:val="20"/>
          <w:lang w:val="en-GB"/>
        </w:rPr>
        <w:t>“</w:t>
      </w:r>
      <w:r w:rsidR="00A87AEF" w:rsidRPr="00663E17">
        <w:rPr>
          <w:rFonts w:cstheme="minorHAnsi"/>
          <w:szCs w:val="20"/>
          <w:lang w:val="en-GB"/>
        </w:rPr>
        <w:t>state of danger</w:t>
      </w:r>
      <w:r w:rsidR="00C44A8E">
        <w:rPr>
          <w:rFonts w:cstheme="minorHAnsi"/>
          <w:szCs w:val="20"/>
          <w:lang w:val="en-GB"/>
        </w:rPr>
        <w:t>”</w:t>
      </w:r>
      <w:r w:rsidR="00A87AEF" w:rsidRPr="00663E17">
        <w:rPr>
          <w:rFonts w:cstheme="minorHAnsi"/>
          <w:szCs w:val="20"/>
          <w:lang w:val="en-GB"/>
        </w:rPr>
        <w:t xml:space="preserve">. </w:t>
      </w:r>
      <w:r w:rsidR="00091BC7">
        <w:rPr>
          <w:rFonts w:cstheme="minorHAnsi"/>
          <w:szCs w:val="20"/>
          <w:lang w:val="en-GB"/>
        </w:rPr>
        <w:t>By</w:t>
      </w:r>
      <w:r w:rsidR="00A87AEF" w:rsidRPr="00663E17">
        <w:rPr>
          <w:rFonts w:cstheme="minorHAnsi"/>
          <w:szCs w:val="20"/>
          <w:lang w:val="en-GB"/>
        </w:rPr>
        <w:t xml:space="preserve"> the end of July</w:t>
      </w:r>
      <w:r w:rsidR="007F1788">
        <w:rPr>
          <w:rFonts w:cstheme="minorHAnsi"/>
          <w:szCs w:val="20"/>
          <w:lang w:val="en-GB"/>
        </w:rPr>
        <w:t xml:space="preserve"> 2020</w:t>
      </w:r>
      <w:r w:rsidR="00A87AEF" w:rsidRPr="00663E17">
        <w:rPr>
          <w:rFonts w:cstheme="minorHAnsi"/>
          <w:szCs w:val="20"/>
          <w:lang w:val="en-GB"/>
        </w:rPr>
        <w:t xml:space="preserve">, 134 related criminal investigations had been </w:t>
      </w:r>
      <w:r w:rsidR="00091BC7">
        <w:rPr>
          <w:rFonts w:cstheme="minorHAnsi"/>
          <w:szCs w:val="20"/>
          <w:lang w:val="en-GB"/>
        </w:rPr>
        <w:t>initiate</w:t>
      </w:r>
      <w:r w:rsidR="00A87AEF" w:rsidRPr="00663E17">
        <w:rPr>
          <w:rFonts w:cstheme="minorHAnsi"/>
          <w:szCs w:val="20"/>
          <w:lang w:val="en-GB"/>
        </w:rPr>
        <w:t>d</w:t>
      </w:r>
      <w:r w:rsidR="0082082C" w:rsidRPr="00663E17">
        <w:rPr>
          <w:rFonts w:cstheme="minorHAnsi"/>
          <w:szCs w:val="20"/>
          <w:lang w:val="en-GB"/>
        </w:rPr>
        <w:t>.</w:t>
      </w:r>
      <w:r w:rsidR="00A87AEF" w:rsidRPr="00663E17">
        <w:rPr>
          <w:rStyle w:val="FootnoteReference"/>
          <w:rFonts w:cstheme="minorHAnsi"/>
          <w:szCs w:val="20"/>
          <w:lang w:val="en-GB"/>
        </w:rPr>
        <w:footnoteReference w:id="17"/>
      </w:r>
      <w:r w:rsidR="00F6595A" w:rsidRPr="00663E17">
        <w:rPr>
          <w:rFonts w:cstheme="minorHAnsi"/>
          <w:szCs w:val="20"/>
          <w:lang w:val="en-GB"/>
        </w:rPr>
        <w:t xml:space="preserve"> </w:t>
      </w:r>
      <w:r w:rsidR="007F1788">
        <w:rPr>
          <w:rFonts w:cstheme="minorHAnsi"/>
          <w:szCs w:val="20"/>
          <w:lang w:val="en-GB"/>
        </w:rPr>
        <w:t>The Hungarian authorities</w:t>
      </w:r>
      <w:r w:rsidR="007F1788" w:rsidRPr="00663E17">
        <w:rPr>
          <w:rFonts w:cstheme="minorHAnsi"/>
          <w:szCs w:val="20"/>
          <w:lang w:val="en-GB"/>
        </w:rPr>
        <w:t xml:space="preserve"> </w:t>
      </w:r>
      <w:r w:rsidR="007F1788">
        <w:rPr>
          <w:rFonts w:cstheme="minorHAnsi"/>
          <w:szCs w:val="20"/>
          <w:lang w:val="en-GB"/>
        </w:rPr>
        <w:t xml:space="preserve">have argued that </w:t>
      </w:r>
      <w:r w:rsidR="00F6595A" w:rsidRPr="00663E17">
        <w:rPr>
          <w:rFonts w:cstheme="minorHAnsi"/>
          <w:szCs w:val="20"/>
          <w:lang w:val="en-GB"/>
        </w:rPr>
        <w:t xml:space="preserve">the provision is precise enough to limit its applicability. </w:t>
      </w:r>
      <w:r w:rsidR="007F1788">
        <w:rPr>
          <w:rFonts w:cstheme="minorHAnsi"/>
          <w:szCs w:val="20"/>
          <w:lang w:val="en-GB"/>
        </w:rPr>
        <w:t xml:space="preserve">However, the Commissioner considers that </w:t>
      </w:r>
      <w:r w:rsidR="00F6595A" w:rsidRPr="00663E17">
        <w:rPr>
          <w:rFonts w:cstheme="minorHAnsi"/>
          <w:szCs w:val="20"/>
          <w:lang w:val="en-GB"/>
        </w:rPr>
        <w:t xml:space="preserve">the high number of </w:t>
      </w:r>
      <w:r w:rsidR="008B5BD8" w:rsidRPr="00663E17">
        <w:rPr>
          <w:rFonts w:cstheme="minorHAnsi"/>
          <w:szCs w:val="20"/>
          <w:lang w:val="en-GB"/>
        </w:rPr>
        <w:t>i</w:t>
      </w:r>
      <w:r w:rsidR="00F6595A" w:rsidRPr="00663E17">
        <w:rPr>
          <w:rFonts w:cstheme="minorHAnsi"/>
          <w:szCs w:val="20"/>
          <w:lang w:val="en-GB"/>
        </w:rPr>
        <w:t>nvestigations launched</w:t>
      </w:r>
      <w:r w:rsidR="008B5BD8" w:rsidRPr="00663E17">
        <w:rPr>
          <w:rFonts w:cstheme="minorHAnsi"/>
          <w:szCs w:val="20"/>
          <w:lang w:val="en-GB"/>
        </w:rPr>
        <w:t xml:space="preserve">, including in cases </w:t>
      </w:r>
      <w:r w:rsidR="000232A7">
        <w:rPr>
          <w:rFonts w:cstheme="minorHAnsi"/>
          <w:szCs w:val="20"/>
          <w:lang w:val="en-GB"/>
        </w:rPr>
        <w:t xml:space="preserve">that </w:t>
      </w:r>
      <w:r w:rsidR="00C44A8E">
        <w:rPr>
          <w:rFonts w:cstheme="minorHAnsi"/>
          <w:szCs w:val="20"/>
          <w:lang w:val="en-GB"/>
        </w:rPr>
        <w:t>un</w:t>
      </w:r>
      <w:r w:rsidR="00A45C1E">
        <w:rPr>
          <w:rFonts w:cstheme="minorHAnsi"/>
          <w:szCs w:val="20"/>
          <w:lang w:val="en-GB"/>
        </w:rPr>
        <w:t>doubtedly</w:t>
      </w:r>
      <w:r w:rsidR="008B5BD8" w:rsidRPr="00663E17">
        <w:rPr>
          <w:rFonts w:cstheme="minorHAnsi"/>
          <w:szCs w:val="20"/>
          <w:lang w:val="en-GB"/>
        </w:rPr>
        <w:t xml:space="preserve"> </w:t>
      </w:r>
      <w:r w:rsidR="000232A7">
        <w:rPr>
          <w:rFonts w:cstheme="minorHAnsi"/>
          <w:szCs w:val="20"/>
          <w:lang w:val="en-GB"/>
        </w:rPr>
        <w:t xml:space="preserve">involved expressions of </w:t>
      </w:r>
      <w:r w:rsidR="00A45C1E">
        <w:rPr>
          <w:rFonts w:cstheme="minorHAnsi"/>
          <w:szCs w:val="20"/>
          <w:lang w:val="en-GB"/>
        </w:rPr>
        <w:t>opinions</w:t>
      </w:r>
      <w:r w:rsidR="000232A7">
        <w:rPr>
          <w:rFonts w:cstheme="minorHAnsi"/>
          <w:szCs w:val="20"/>
          <w:lang w:val="en-GB"/>
        </w:rPr>
        <w:t>,</w:t>
      </w:r>
      <w:r w:rsidR="008B5BD8" w:rsidRPr="00663E17">
        <w:rPr>
          <w:rFonts w:cstheme="minorHAnsi"/>
          <w:szCs w:val="20"/>
          <w:lang w:val="en-GB"/>
        </w:rPr>
        <w:t xml:space="preserve"> </w:t>
      </w:r>
      <w:r w:rsidR="00A45C1E">
        <w:rPr>
          <w:rFonts w:cstheme="minorHAnsi"/>
          <w:szCs w:val="20"/>
          <w:lang w:val="en-GB"/>
        </w:rPr>
        <w:t>and the fact that the Constitutional Court f</w:t>
      </w:r>
      <w:r w:rsidR="000F64BE">
        <w:rPr>
          <w:rFonts w:cstheme="minorHAnsi"/>
          <w:szCs w:val="20"/>
          <w:lang w:val="en-GB"/>
        </w:rPr>
        <w:t>ound it necessary t</w:t>
      </w:r>
      <w:r w:rsidR="00A45C1E">
        <w:rPr>
          <w:rFonts w:cstheme="minorHAnsi"/>
          <w:szCs w:val="20"/>
          <w:lang w:val="en-GB"/>
        </w:rPr>
        <w:t>o cl</w:t>
      </w:r>
      <w:r w:rsidR="00A45C1E" w:rsidRPr="00A45C1E">
        <w:rPr>
          <w:rFonts w:cstheme="minorHAnsi"/>
          <w:szCs w:val="20"/>
          <w:lang w:val="en-GB"/>
        </w:rPr>
        <w:t xml:space="preserve">arify that the crime must be interpreted in line with </w:t>
      </w:r>
      <w:r w:rsidR="00A45C1E">
        <w:rPr>
          <w:rFonts w:cstheme="minorHAnsi"/>
          <w:szCs w:val="20"/>
          <w:lang w:val="en-GB"/>
        </w:rPr>
        <w:t xml:space="preserve">freedom of expression </w:t>
      </w:r>
      <w:r w:rsidR="00A45C1E" w:rsidRPr="00A45C1E">
        <w:rPr>
          <w:rFonts w:cstheme="minorHAnsi"/>
          <w:szCs w:val="20"/>
          <w:lang w:val="en-GB"/>
        </w:rPr>
        <w:t>safeguards</w:t>
      </w:r>
      <w:r w:rsidR="00A45C1E">
        <w:rPr>
          <w:rFonts w:cstheme="minorHAnsi"/>
          <w:szCs w:val="20"/>
          <w:lang w:val="en-GB"/>
        </w:rPr>
        <w:t>,</w:t>
      </w:r>
      <w:r w:rsidR="00A45C1E">
        <w:rPr>
          <w:rStyle w:val="FootnoteReference"/>
          <w:rFonts w:cstheme="minorHAnsi"/>
          <w:szCs w:val="20"/>
          <w:lang w:val="en-GB"/>
        </w:rPr>
        <w:footnoteReference w:id="18"/>
      </w:r>
      <w:r w:rsidR="00A45C1E">
        <w:rPr>
          <w:rFonts w:cstheme="minorHAnsi"/>
          <w:szCs w:val="20"/>
          <w:lang w:val="en-GB"/>
        </w:rPr>
        <w:t xml:space="preserve"> </w:t>
      </w:r>
      <w:r w:rsidR="0082082C" w:rsidRPr="00663E17">
        <w:rPr>
          <w:rFonts w:cstheme="minorHAnsi"/>
          <w:szCs w:val="20"/>
          <w:lang w:val="en-GB"/>
        </w:rPr>
        <w:t>demonstrate the ambiguity of the amendment</w:t>
      </w:r>
      <w:r w:rsidR="000232A7">
        <w:rPr>
          <w:rFonts w:cstheme="minorHAnsi"/>
          <w:szCs w:val="20"/>
          <w:lang w:val="en-GB"/>
        </w:rPr>
        <w:t xml:space="preserve">, as </w:t>
      </w:r>
      <w:r w:rsidR="00DE6CBF" w:rsidRPr="00663E17">
        <w:rPr>
          <w:rFonts w:cstheme="minorHAnsi"/>
          <w:szCs w:val="20"/>
          <w:lang w:val="en-GB"/>
        </w:rPr>
        <w:t xml:space="preserve">an act’s “capability of obstructing protection efforts” </w:t>
      </w:r>
      <w:r w:rsidR="000232A7">
        <w:rPr>
          <w:rFonts w:cstheme="minorHAnsi"/>
          <w:szCs w:val="20"/>
          <w:lang w:val="en-GB"/>
        </w:rPr>
        <w:t xml:space="preserve">clearly </w:t>
      </w:r>
      <w:r w:rsidR="00DE6CBF" w:rsidRPr="00663E17">
        <w:rPr>
          <w:rFonts w:cstheme="minorHAnsi"/>
          <w:szCs w:val="20"/>
          <w:lang w:val="en-GB"/>
        </w:rPr>
        <w:t>leaves wide room for interpretation</w:t>
      </w:r>
      <w:r w:rsidR="0082082C" w:rsidRPr="00663E17">
        <w:rPr>
          <w:rFonts w:cstheme="minorHAnsi"/>
          <w:szCs w:val="20"/>
          <w:lang w:val="en-GB"/>
        </w:rPr>
        <w:t xml:space="preserve">. </w:t>
      </w:r>
      <w:r w:rsidR="00091BC7">
        <w:rPr>
          <w:rFonts w:cstheme="minorHAnsi"/>
          <w:szCs w:val="20"/>
          <w:lang w:val="en-GB"/>
        </w:rPr>
        <w:t>Although</w:t>
      </w:r>
      <w:r w:rsidR="0082082C" w:rsidRPr="00663E17">
        <w:rPr>
          <w:rFonts w:cstheme="minorHAnsi"/>
          <w:szCs w:val="20"/>
          <w:lang w:val="en-GB"/>
        </w:rPr>
        <w:t xml:space="preserve"> investigations were often dropped without charges, the high media </w:t>
      </w:r>
      <w:r w:rsidR="00091BC7">
        <w:rPr>
          <w:rFonts w:cstheme="minorHAnsi"/>
          <w:szCs w:val="20"/>
          <w:lang w:val="en-GB"/>
        </w:rPr>
        <w:t xml:space="preserve">coverage of </w:t>
      </w:r>
      <w:r w:rsidR="0082082C" w:rsidRPr="00663E17">
        <w:rPr>
          <w:rFonts w:cstheme="minorHAnsi"/>
          <w:szCs w:val="20"/>
          <w:lang w:val="en-GB"/>
        </w:rPr>
        <w:t xml:space="preserve">the arrests had an intimidating </w:t>
      </w:r>
      <w:r w:rsidR="00597F7C" w:rsidRPr="00663E17">
        <w:rPr>
          <w:rFonts w:cstheme="minorHAnsi"/>
          <w:szCs w:val="20"/>
          <w:lang w:val="en-GB"/>
        </w:rPr>
        <w:t>and chilling effect on freedom of expression</w:t>
      </w:r>
      <w:r w:rsidR="0082082C" w:rsidRPr="00663E17">
        <w:rPr>
          <w:rFonts w:cstheme="minorHAnsi"/>
          <w:szCs w:val="20"/>
          <w:lang w:val="en-GB"/>
        </w:rPr>
        <w:t>.</w:t>
      </w:r>
      <w:r w:rsidR="0082082C" w:rsidRPr="00663E17">
        <w:rPr>
          <w:rStyle w:val="FootnoteReference"/>
          <w:rFonts w:cstheme="minorHAnsi"/>
          <w:szCs w:val="20"/>
          <w:lang w:val="en-GB"/>
        </w:rPr>
        <w:footnoteReference w:id="19"/>
      </w:r>
    </w:p>
    <w:p w14:paraId="4B46F7F4" w14:textId="77777777" w:rsidR="00667ECC" w:rsidRPr="00663E17" w:rsidRDefault="00667ECC" w:rsidP="001A7208">
      <w:pPr>
        <w:tabs>
          <w:tab w:val="left" w:pos="1613"/>
        </w:tabs>
        <w:spacing w:after="0" w:line="240" w:lineRule="auto"/>
        <w:ind w:left="426"/>
        <w:jc w:val="both"/>
        <w:rPr>
          <w:rFonts w:cstheme="minorHAnsi"/>
          <w:szCs w:val="20"/>
          <w:lang w:val="en-GB"/>
        </w:rPr>
      </w:pPr>
    </w:p>
    <w:p w14:paraId="043CABD0" w14:textId="34A53255" w:rsidR="00F51AB6" w:rsidRPr="00663E17" w:rsidRDefault="00866CF4" w:rsidP="001A7208">
      <w:pPr>
        <w:numPr>
          <w:ilvl w:val="0"/>
          <w:numId w:val="2"/>
        </w:numPr>
        <w:tabs>
          <w:tab w:val="left" w:pos="1613"/>
        </w:tabs>
        <w:spacing w:after="0" w:line="240" w:lineRule="auto"/>
        <w:ind w:left="714" w:hanging="357"/>
        <w:jc w:val="both"/>
        <w:rPr>
          <w:rFonts w:cstheme="minorHAnsi"/>
          <w:szCs w:val="20"/>
          <w:lang w:val="en-GB"/>
        </w:rPr>
      </w:pPr>
      <w:bookmarkStart w:id="1" w:name="_Hlk66181165"/>
      <w:r w:rsidRPr="00663E17">
        <w:rPr>
          <w:rFonts w:cstheme="minorHAnsi"/>
          <w:szCs w:val="20"/>
          <w:lang w:val="en-GB"/>
        </w:rPr>
        <w:t>Government Decree 179/2020 of 4 May 2020 allow</w:t>
      </w:r>
      <w:r w:rsidR="003C3643" w:rsidRPr="00663E17">
        <w:rPr>
          <w:rFonts w:cstheme="minorHAnsi"/>
          <w:szCs w:val="20"/>
          <w:lang w:val="en-GB"/>
        </w:rPr>
        <w:t>ed</w:t>
      </w:r>
      <w:r w:rsidRPr="00663E17">
        <w:rPr>
          <w:rFonts w:cstheme="minorHAnsi"/>
          <w:szCs w:val="20"/>
          <w:lang w:val="en-GB"/>
        </w:rPr>
        <w:t xml:space="preserve"> public bodies to extend the</w:t>
      </w:r>
      <w:r w:rsidR="003C3643" w:rsidRPr="00663E17">
        <w:rPr>
          <w:rFonts w:cstheme="minorHAnsi"/>
          <w:szCs w:val="20"/>
          <w:lang w:val="en-GB"/>
        </w:rPr>
        <w:t xml:space="preserve"> deadline for responding to freedom of information requests to 45</w:t>
      </w:r>
      <w:r w:rsidR="000232A7">
        <w:rPr>
          <w:rFonts w:cstheme="minorHAnsi"/>
          <w:szCs w:val="20"/>
          <w:lang w:val="en-GB"/>
        </w:rPr>
        <w:t xml:space="preserve"> days, which c</w:t>
      </w:r>
      <w:r w:rsidR="00DE3EB7">
        <w:rPr>
          <w:rFonts w:cstheme="minorHAnsi"/>
          <w:szCs w:val="20"/>
          <w:lang w:val="en-GB"/>
        </w:rPr>
        <w:t>ould</w:t>
      </w:r>
      <w:r w:rsidR="000232A7">
        <w:rPr>
          <w:rFonts w:cstheme="minorHAnsi"/>
          <w:szCs w:val="20"/>
          <w:lang w:val="en-GB"/>
        </w:rPr>
        <w:t xml:space="preserve"> be prolonged once by </w:t>
      </w:r>
      <w:r w:rsidR="008A7B5E">
        <w:rPr>
          <w:rFonts w:cstheme="minorHAnsi"/>
          <w:szCs w:val="20"/>
          <w:lang w:val="en-GB"/>
        </w:rPr>
        <w:t xml:space="preserve">an additional </w:t>
      </w:r>
      <w:r w:rsidR="000232A7">
        <w:rPr>
          <w:rFonts w:cstheme="minorHAnsi"/>
          <w:szCs w:val="20"/>
          <w:lang w:val="en-GB"/>
        </w:rPr>
        <w:t>45 days</w:t>
      </w:r>
      <w:r w:rsidR="003C3643" w:rsidRPr="00663E17">
        <w:rPr>
          <w:rFonts w:cstheme="minorHAnsi"/>
          <w:szCs w:val="20"/>
          <w:lang w:val="en-GB"/>
        </w:rPr>
        <w:t xml:space="preserve"> (</w:t>
      </w:r>
      <w:r w:rsidR="000232A7">
        <w:rPr>
          <w:rFonts w:cstheme="minorHAnsi"/>
          <w:szCs w:val="20"/>
          <w:lang w:val="en-GB"/>
        </w:rPr>
        <w:t>instead of</w:t>
      </w:r>
      <w:r w:rsidR="003C3643" w:rsidRPr="00663E17">
        <w:rPr>
          <w:rFonts w:cstheme="minorHAnsi"/>
          <w:szCs w:val="20"/>
          <w:lang w:val="en-GB"/>
        </w:rPr>
        <w:t xml:space="preserve"> the original 15 + 15 days), if it was “probable” that responding within the original deadline would </w:t>
      </w:r>
      <w:r w:rsidR="00DE3EB7">
        <w:rPr>
          <w:rFonts w:cstheme="minorHAnsi"/>
          <w:szCs w:val="20"/>
          <w:lang w:val="en-GB"/>
        </w:rPr>
        <w:t xml:space="preserve">jeopardise </w:t>
      </w:r>
      <w:r w:rsidR="003C3643" w:rsidRPr="00663E17">
        <w:rPr>
          <w:rFonts w:cstheme="minorHAnsi"/>
          <w:szCs w:val="20"/>
          <w:lang w:val="en-GB"/>
        </w:rPr>
        <w:t xml:space="preserve">the fulfilment of their </w:t>
      </w:r>
      <w:r w:rsidR="00DE3EB7">
        <w:rPr>
          <w:rFonts w:cstheme="minorHAnsi"/>
          <w:szCs w:val="20"/>
          <w:lang w:val="en-GB"/>
        </w:rPr>
        <w:t xml:space="preserve">pandemic-related </w:t>
      </w:r>
      <w:r w:rsidR="003C3643" w:rsidRPr="00663E17">
        <w:rPr>
          <w:rFonts w:cstheme="minorHAnsi"/>
          <w:szCs w:val="20"/>
          <w:lang w:val="en-GB"/>
        </w:rPr>
        <w:t>public duties</w:t>
      </w:r>
      <w:r w:rsidR="00DE3EB7">
        <w:rPr>
          <w:rFonts w:cstheme="minorHAnsi"/>
          <w:szCs w:val="20"/>
          <w:lang w:val="en-GB"/>
        </w:rPr>
        <w:t>.</w:t>
      </w:r>
      <w:r w:rsidR="003C3643" w:rsidRPr="00663E17">
        <w:rPr>
          <w:rStyle w:val="FootnoteReference"/>
          <w:rFonts w:cstheme="minorHAnsi"/>
          <w:szCs w:val="20"/>
          <w:lang w:val="en-GB"/>
        </w:rPr>
        <w:footnoteReference w:id="20"/>
      </w:r>
      <w:r w:rsidR="003C3643" w:rsidRPr="00663E17">
        <w:rPr>
          <w:rFonts w:cstheme="minorHAnsi"/>
          <w:szCs w:val="20"/>
          <w:lang w:val="en-GB"/>
        </w:rPr>
        <w:t xml:space="preserve"> The Commissioner was informed </w:t>
      </w:r>
      <w:r w:rsidR="00E91A4F" w:rsidRPr="00663E17">
        <w:rPr>
          <w:rFonts w:cstheme="minorHAnsi"/>
          <w:szCs w:val="20"/>
          <w:lang w:val="en-GB"/>
        </w:rPr>
        <w:t xml:space="preserve">by government representatives </w:t>
      </w:r>
      <w:r w:rsidR="003C3643" w:rsidRPr="00663E17">
        <w:rPr>
          <w:rFonts w:cstheme="minorHAnsi"/>
          <w:szCs w:val="20"/>
          <w:lang w:val="en-GB"/>
        </w:rPr>
        <w:t xml:space="preserve">that this extension was </w:t>
      </w:r>
      <w:r w:rsidR="00E91A4F" w:rsidRPr="00663E17">
        <w:rPr>
          <w:rFonts w:cstheme="minorHAnsi"/>
          <w:szCs w:val="20"/>
          <w:lang w:val="en-GB"/>
        </w:rPr>
        <w:t xml:space="preserve">considered </w:t>
      </w:r>
      <w:r w:rsidR="003C3643" w:rsidRPr="00663E17">
        <w:rPr>
          <w:rFonts w:cstheme="minorHAnsi"/>
          <w:szCs w:val="20"/>
          <w:lang w:val="en-GB"/>
        </w:rPr>
        <w:t>necessary since public bodies (including hospitals) were not trained to provide information during a pandemic and required extra time. The Commissioner considers that the original possib</w:t>
      </w:r>
      <w:r w:rsidR="00DE3EB7">
        <w:rPr>
          <w:rFonts w:cstheme="minorHAnsi"/>
          <w:szCs w:val="20"/>
          <w:lang w:val="en-GB"/>
        </w:rPr>
        <w:t>ility</w:t>
      </w:r>
      <w:r w:rsidR="003C3643" w:rsidRPr="00663E17">
        <w:rPr>
          <w:rFonts w:cstheme="minorHAnsi"/>
          <w:szCs w:val="20"/>
          <w:lang w:val="en-GB"/>
        </w:rPr>
        <w:t xml:space="preserve"> </w:t>
      </w:r>
      <w:r w:rsidR="00DE3EB7">
        <w:rPr>
          <w:rFonts w:cstheme="minorHAnsi"/>
          <w:szCs w:val="20"/>
          <w:lang w:val="en-GB"/>
        </w:rPr>
        <w:t xml:space="preserve">of an </w:t>
      </w:r>
      <w:r w:rsidR="003C3643" w:rsidRPr="00663E17">
        <w:rPr>
          <w:rFonts w:cstheme="minorHAnsi"/>
          <w:szCs w:val="20"/>
          <w:lang w:val="en-GB"/>
        </w:rPr>
        <w:t xml:space="preserve">extension </w:t>
      </w:r>
      <w:r w:rsidR="00DE3EB7">
        <w:rPr>
          <w:rFonts w:cstheme="minorHAnsi"/>
          <w:szCs w:val="20"/>
          <w:lang w:val="en-GB"/>
        </w:rPr>
        <w:t xml:space="preserve">totalling </w:t>
      </w:r>
      <w:r w:rsidR="003C3643" w:rsidRPr="00663E17">
        <w:rPr>
          <w:rFonts w:cstheme="minorHAnsi"/>
          <w:szCs w:val="20"/>
          <w:lang w:val="en-GB"/>
        </w:rPr>
        <w:t xml:space="preserve">30 days should </w:t>
      </w:r>
      <w:r w:rsidR="000D56F0" w:rsidRPr="00663E17">
        <w:rPr>
          <w:rFonts w:cstheme="minorHAnsi"/>
          <w:szCs w:val="20"/>
          <w:lang w:val="en-GB"/>
        </w:rPr>
        <w:t xml:space="preserve">have been </w:t>
      </w:r>
      <w:r w:rsidR="003C3643" w:rsidRPr="00663E17">
        <w:rPr>
          <w:rFonts w:cstheme="minorHAnsi"/>
          <w:szCs w:val="20"/>
          <w:lang w:val="en-GB"/>
        </w:rPr>
        <w:t>sufficient to allow for any emergency-induced staff shortages and that a</w:t>
      </w:r>
      <w:r w:rsidR="00DE3EB7">
        <w:rPr>
          <w:rFonts w:cstheme="minorHAnsi"/>
          <w:szCs w:val="20"/>
          <w:lang w:val="en-GB"/>
        </w:rPr>
        <w:t xml:space="preserve">n extension </w:t>
      </w:r>
      <w:r w:rsidR="000D56F0" w:rsidRPr="00663E17">
        <w:rPr>
          <w:rFonts w:cstheme="minorHAnsi"/>
          <w:szCs w:val="20"/>
          <w:lang w:val="en-GB"/>
        </w:rPr>
        <w:t xml:space="preserve">of </w:t>
      </w:r>
      <w:r w:rsidR="00F327FB" w:rsidRPr="00663E17">
        <w:rPr>
          <w:rFonts w:cstheme="minorHAnsi"/>
          <w:szCs w:val="20"/>
          <w:lang w:val="en-GB"/>
        </w:rPr>
        <w:t>45</w:t>
      </w:r>
      <w:r w:rsidR="000D56F0" w:rsidRPr="00663E17">
        <w:rPr>
          <w:rFonts w:cstheme="minorHAnsi"/>
          <w:szCs w:val="20"/>
          <w:lang w:val="en-GB"/>
        </w:rPr>
        <w:t xml:space="preserve"> days</w:t>
      </w:r>
      <w:r w:rsidR="00F327FB" w:rsidRPr="00663E17">
        <w:rPr>
          <w:rFonts w:cstheme="minorHAnsi"/>
          <w:szCs w:val="20"/>
          <w:lang w:val="en-GB"/>
        </w:rPr>
        <w:t>,</w:t>
      </w:r>
      <w:r w:rsidR="003C3643" w:rsidRPr="00663E17">
        <w:rPr>
          <w:rFonts w:cstheme="minorHAnsi"/>
          <w:szCs w:val="20"/>
          <w:lang w:val="en-GB"/>
        </w:rPr>
        <w:t xml:space="preserve"> </w:t>
      </w:r>
      <w:r w:rsidR="00DE3EB7">
        <w:rPr>
          <w:rFonts w:cstheme="minorHAnsi"/>
          <w:szCs w:val="20"/>
          <w:lang w:val="en-GB"/>
        </w:rPr>
        <w:t xml:space="preserve">and </w:t>
      </w:r>
      <w:r w:rsidR="003C3643" w:rsidRPr="00663E17">
        <w:rPr>
          <w:rFonts w:cstheme="minorHAnsi"/>
          <w:szCs w:val="20"/>
          <w:lang w:val="en-GB"/>
        </w:rPr>
        <w:t xml:space="preserve">possibly </w:t>
      </w:r>
      <w:r w:rsidR="00DE3EB7">
        <w:rPr>
          <w:rFonts w:cstheme="minorHAnsi"/>
          <w:szCs w:val="20"/>
          <w:lang w:val="en-GB"/>
        </w:rPr>
        <w:t xml:space="preserve">even </w:t>
      </w:r>
      <w:r w:rsidR="003C3643" w:rsidRPr="00663E17">
        <w:rPr>
          <w:rFonts w:cstheme="minorHAnsi"/>
          <w:szCs w:val="20"/>
          <w:lang w:val="en-GB"/>
        </w:rPr>
        <w:t>90 days</w:t>
      </w:r>
      <w:r w:rsidR="00DE3EB7">
        <w:rPr>
          <w:rFonts w:cstheme="minorHAnsi"/>
          <w:szCs w:val="20"/>
          <w:lang w:val="en-GB"/>
        </w:rPr>
        <w:t>,</w:t>
      </w:r>
      <w:r w:rsidR="003C3643" w:rsidRPr="00663E17">
        <w:rPr>
          <w:rFonts w:cstheme="minorHAnsi"/>
          <w:szCs w:val="20"/>
          <w:lang w:val="en-GB"/>
        </w:rPr>
        <w:t xml:space="preserve"> will render most information requests irrelevant by the time the response reaches the applicant, th</w:t>
      </w:r>
      <w:r w:rsidR="004B5D2F">
        <w:rPr>
          <w:rFonts w:cstheme="minorHAnsi"/>
          <w:szCs w:val="20"/>
          <w:lang w:val="en-GB"/>
        </w:rPr>
        <w:t>us</w:t>
      </w:r>
      <w:r w:rsidR="003C3643" w:rsidRPr="00663E17">
        <w:rPr>
          <w:rFonts w:cstheme="minorHAnsi"/>
          <w:szCs w:val="20"/>
          <w:lang w:val="en-GB"/>
        </w:rPr>
        <w:t xml:space="preserve"> seriously undermining the freedom of information enshrined in Article 10 of the Convention.</w:t>
      </w:r>
      <w:r w:rsidR="00E91A4F" w:rsidRPr="00663E17">
        <w:rPr>
          <w:rStyle w:val="FootnoteReference"/>
          <w:rFonts w:cstheme="minorHAnsi"/>
          <w:szCs w:val="20"/>
          <w:lang w:val="en-GB"/>
        </w:rPr>
        <w:footnoteReference w:id="21"/>
      </w:r>
      <w:r w:rsidR="003C3643" w:rsidRPr="00663E17">
        <w:rPr>
          <w:rFonts w:cstheme="minorHAnsi"/>
          <w:szCs w:val="20"/>
          <w:lang w:val="en-GB"/>
        </w:rPr>
        <w:t xml:space="preserve"> </w:t>
      </w:r>
      <w:bookmarkEnd w:id="1"/>
      <w:r w:rsidR="00730760" w:rsidRPr="00663E17">
        <w:rPr>
          <w:rFonts w:cstheme="minorHAnsi"/>
          <w:szCs w:val="20"/>
          <w:lang w:val="en-GB"/>
        </w:rPr>
        <w:t xml:space="preserve">While welcoming the fact that Hungary </w:t>
      </w:r>
      <w:r w:rsidR="004B5D2F">
        <w:rPr>
          <w:rFonts w:cstheme="minorHAnsi"/>
          <w:szCs w:val="20"/>
          <w:lang w:val="en-GB"/>
        </w:rPr>
        <w:t xml:space="preserve">was one of the first Council of Europe member states to </w:t>
      </w:r>
      <w:r w:rsidR="00730760" w:rsidRPr="00663E17">
        <w:rPr>
          <w:rFonts w:cstheme="minorHAnsi"/>
          <w:szCs w:val="20"/>
          <w:lang w:val="en-GB"/>
        </w:rPr>
        <w:t>ratif</w:t>
      </w:r>
      <w:r w:rsidR="004B5D2F">
        <w:rPr>
          <w:rFonts w:cstheme="minorHAnsi"/>
          <w:szCs w:val="20"/>
          <w:lang w:val="en-GB"/>
        </w:rPr>
        <w:t>y</w:t>
      </w:r>
      <w:r w:rsidR="00730760" w:rsidRPr="00663E17">
        <w:rPr>
          <w:rFonts w:cstheme="minorHAnsi"/>
          <w:szCs w:val="20"/>
          <w:lang w:val="en-GB"/>
        </w:rPr>
        <w:t xml:space="preserve"> the </w:t>
      </w:r>
      <w:proofErr w:type="spellStart"/>
      <w:r w:rsidR="00730760" w:rsidRPr="00663E17">
        <w:rPr>
          <w:rFonts w:cstheme="minorHAnsi"/>
          <w:szCs w:val="20"/>
          <w:lang w:val="en-GB"/>
        </w:rPr>
        <w:t>Tromsø</w:t>
      </w:r>
      <w:proofErr w:type="spellEnd"/>
      <w:r w:rsidR="00730760" w:rsidRPr="00663E17">
        <w:rPr>
          <w:rFonts w:cstheme="minorHAnsi"/>
          <w:szCs w:val="20"/>
          <w:lang w:val="en-GB"/>
        </w:rPr>
        <w:t xml:space="preserve"> Convention on Access to Official Documents</w:t>
      </w:r>
      <w:r w:rsidR="004B5D2F">
        <w:rPr>
          <w:rFonts w:cstheme="minorHAnsi"/>
          <w:szCs w:val="20"/>
          <w:lang w:val="en-GB"/>
        </w:rPr>
        <w:t>,</w:t>
      </w:r>
      <w:r w:rsidR="00730760" w:rsidRPr="00663E17">
        <w:rPr>
          <w:rStyle w:val="FootnoteReference"/>
          <w:rFonts w:cstheme="minorHAnsi"/>
          <w:szCs w:val="20"/>
          <w:lang w:val="en-GB"/>
        </w:rPr>
        <w:footnoteReference w:id="22"/>
      </w:r>
      <w:r w:rsidR="00730760" w:rsidRPr="00663E17">
        <w:rPr>
          <w:rFonts w:cstheme="minorHAnsi"/>
          <w:szCs w:val="20"/>
          <w:lang w:val="en-GB"/>
        </w:rPr>
        <w:t xml:space="preserve"> the Commissioner encourages the authorities to </w:t>
      </w:r>
      <w:r w:rsidR="004B5D2F">
        <w:rPr>
          <w:rFonts w:cstheme="minorHAnsi"/>
          <w:szCs w:val="20"/>
          <w:lang w:val="en-GB"/>
        </w:rPr>
        <w:t xml:space="preserve">keep up </w:t>
      </w:r>
      <w:r w:rsidR="00730760" w:rsidRPr="00663E17">
        <w:rPr>
          <w:rFonts w:cstheme="minorHAnsi"/>
          <w:szCs w:val="20"/>
          <w:lang w:val="en-GB"/>
        </w:rPr>
        <w:t xml:space="preserve">their </w:t>
      </w:r>
      <w:r w:rsidR="00730760" w:rsidRPr="00663E17">
        <w:rPr>
          <w:rFonts w:cstheme="minorHAnsi"/>
          <w:szCs w:val="20"/>
          <w:lang w:val="en-GB"/>
        </w:rPr>
        <w:lastRenderedPageBreak/>
        <w:t>commitment and actively promote public access to information</w:t>
      </w:r>
      <w:r w:rsidR="00730760">
        <w:rPr>
          <w:rFonts w:cstheme="minorHAnsi"/>
          <w:szCs w:val="20"/>
          <w:lang w:val="en-GB"/>
        </w:rPr>
        <w:t xml:space="preserve"> that is in the public interest</w:t>
      </w:r>
      <w:r w:rsidR="00730760" w:rsidRPr="00663E17">
        <w:rPr>
          <w:rFonts w:cstheme="minorHAnsi"/>
          <w:szCs w:val="20"/>
          <w:lang w:val="en-GB"/>
        </w:rPr>
        <w:t xml:space="preserve">, which is </w:t>
      </w:r>
      <w:r w:rsidR="008A7B5E">
        <w:rPr>
          <w:rFonts w:cstheme="minorHAnsi"/>
          <w:szCs w:val="20"/>
          <w:lang w:val="en-GB"/>
        </w:rPr>
        <w:t>an</w:t>
      </w:r>
      <w:r w:rsidR="004B5D2F">
        <w:rPr>
          <w:rFonts w:cstheme="minorHAnsi"/>
          <w:szCs w:val="20"/>
          <w:lang w:val="en-GB"/>
        </w:rPr>
        <w:t xml:space="preserve"> integral aspect </w:t>
      </w:r>
      <w:r w:rsidR="00730760" w:rsidRPr="00663E17">
        <w:rPr>
          <w:rFonts w:cstheme="minorHAnsi"/>
          <w:szCs w:val="20"/>
          <w:lang w:val="en-GB"/>
        </w:rPr>
        <w:t xml:space="preserve">and </w:t>
      </w:r>
      <w:r w:rsidR="004B5D2F">
        <w:rPr>
          <w:rFonts w:cstheme="minorHAnsi"/>
          <w:szCs w:val="20"/>
          <w:lang w:val="en-GB"/>
        </w:rPr>
        <w:t xml:space="preserve">essential prerequisite </w:t>
      </w:r>
      <w:r w:rsidR="00730760" w:rsidRPr="00663E17">
        <w:rPr>
          <w:rFonts w:cstheme="minorHAnsi"/>
          <w:szCs w:val="20"/>
          <w:lang w:val="en-GB"/>
        </w:rPr>
        <w:t>for freedom of expression.</w:t>
      </w:r>
      <w:r w:rsidR="00730760">
        <w:rPr>
          <w:rStyle w:val="FootnoteReference"/>
          <w:rFonts w:cstheme="minorHAnsi"/>
          <w:szCs w:val="20"/>
          <w:lang w:val="en-GB"/>
        </w:rPr>
        <w:footnoteReference w:id="23"/>
      </w:r>
    </w:p>
    <w:p w14:paraId="4BE11266" w14:textId="77777777" w:rsidR="00667ECC" w:rsidRPr="00663E17" w:rsidRDefault="00667ECC" w:rsidP="001A7208">
      <w:pPr>
        <w:tabs>
          <w:tab w:val="left" w:pos="1613"/>
        </w:tabs>
        <w:spacing w:after="0" w:line="240" w:lineRule="auto"/>
        <w:ind w:left="426"/>
        <w:jc w:val="both"/>
        <w:rPr>
          <w:rFonts w:cstheme="minorHAnsi"/>
          <w:szCs w:val="20"/>
          <w:lang w:val="en-GB"/>
        </w:rPr>
      </w:pPr>
    </w:p>
    <w:p w14:paraId="4AB74BD7" w14:textId="4C048D0A" w:rsidR="000B421D" w:rsidRPr="00730760" w:rsidRDefault="00730760" w:rsidP="0053195E">
      <w:pPr>
        <w:numPr>
          <w:ilvl w:val="0"/>
          <w:numId w:val="2"/>
        </w:numPr>
        <w:tabs>
          <w:tab w:val="left" w:pos="1613"/>
        </w:tabs>
        <w:spacing w:after="0" w:line="240" w:lineRule="auto"/>
        <w:ind w:left="714" w:hanging="357"/>
        <w:jc w:val="both"/>
        <w:rPr>
          <w:rFonts w:cstheme="minorHAnsi"/>
          <w:bCs/>
          <w:szCs w:val="20"/>
          <w:lang w:val="hu-HU"/>
        </w:rPr>
      </w:pPr>
      <w:bookmarkStart w:id="3" w:name="_Hlk66181238"/>
      <w:r w:rsidRPr="00730760">
        <w:rPr>
          <w:rFonts w:cstheme="minorHAnsi"/>
          <w:szCs w:val="20"/>
          <w:lang w:val="en-GB"/>
        </w:rPr>
        <w:t xml:space="preserve">The Commissioner </w:t>
      </w:r>
      <w:r w:rsidR="004B5D2F">
        <w:rPr>
          <w:rFonts w:cstheme="minorHAnsi"/>
          <w:szCs w:val="20"/>
          <w:lang w:val="en-GB"/>
        </w:rPr>
        <w:t>also</w:t>
      </w:r>
      <w:r w:rsidRPr="00730760">
        <w:rPr>
          <w:rFonts w:cstheme="minorHAnsi"/>
          <w:szCs w:val="20"/>
          <w:lang w:val="en-GB"/>
        </w:rPr>
        <w:t xml:space="preserve"> expresses concern at the repeated legislative restrictions o</w:t>
      </w:r>
      <w:r w:rsidR="004B5D2F">
        <w:rPr>
          <w:rFonts w:cstheme="minorHAnsi"/>
          <w:szCs w:val="20"/>
          <w:lang w:val="en-GB"/>
        </w:rPr>
        <w:t>n</w:t>
      </w:r>
      <w:r w:rsidRPr="00730760">
        <w:rPr>
          <w:rFonts w:cstheme="minorHAnsi"/>
          <w:szCs w:val="20"/>
          <w:lang w:val="en-GB"/>
        </w:rPr>
        <w:t xml:space="preserve"> freedom of expression and information in 2020 </w:t>
      </w:r>
      <w:r w:rsidR="004B5D2F">
        <w:rPr>
          <w:rFonts w:cstheme="minorHAnsi"/>
          <w:szCs w:val="20"/>
          <w:lang w:val="en-GB"/>
        </w:rPr>
        <w:t xml:space="preserve">over the </w:t>
      </w:r>
      <w:r w:rsidRPr="00730760">
        <w:rPr>
          <w:rFonts w:cstheme="minorHAnsi"/>
          <w:szCs w:val="20"/>
          <w:lang w:val="en-GB"/>
        </w:rPr>
        <w:t xml:space="preserve">successive “states of danger” and thus during periods when opportunities for public consultation and debate </w:t>
      </w:r>
      <w:r w:rsidR="008A7B5E">
        <w:rPr>
          <w:rFonts w:cstheme="minorHAnsi"/>
          <w:szCs w:val="20"/>
          <w:lang w:val="en-GB"/>
        </w:rPr>
        <w:t xml:space="preserve">were </w:t>
      </w:r>
      <w:r w:rsidRPr="00730760">
        <w:rPr>
          <w:rFonts w:cstheme="minorHAnsi"/>
          <w:szCs w:val="20"/>
          <w:lang w:val="en-GB"/>
        </w:rPr>
        <w:t xml:space="preserve">severely restricted. As </w:t>
      </w:r>
      <w:r w:rsidR="004B5D2F">
        <w:rPr>
          <w:rFonts w:cstheme="minorHAnsi"/>
          <w:szCs w:val="20"/>
          <w:lang w:val="en-GB"/>
        </w:rPr>
        <w:t>highlighted</w:t>
      </w:r>
      <w:r w:rsidRPr="00730760">
        <w:rPr>
          <w:rFonts w:cstheme="minorHAnsi"/>
          <w:szCs w:val="20"/>
          <w:lang w:val="en-GB"/>
        </w:rPr>
        <w:t xml:space="preserve"> by the Venice Commission in June 2020, all state measures during a state of emergency should be </w:t>
      </w:r>
      <w:r w:rsidRPr="00730760">
        <w:rPr>
          <w:rFonts w:cstheme="minorHAnsi"/>
          <w:i/>
          <w:iCs/>
          <w:szCs w:val="20"/>
          <w:lang w:val="en-GB"/>
        </w:rPr>
        <w:t>necessary</w:t>
      </w:r>
      <w:r w:rsidRPr="00730760">
        <w:rPr>
          <w:rFonts w:cstheme="minorHAnsi"/>
          <w:szCs w:val="20"/>
          <w:lang w:val="en-GB"/>
        </w:rPr>
        <w:t xml:space="preserve"> to help the State overcome the exceptional situation and return to normalcy.</w:t>
      </w:r>
      <w:r w:rsidRPr="00663E17">
        <w:rPr>
          <w:rStyle w:val="FootnoteReference"/>
          <w:rFonts w:cstheme="minorHAnsi"/>
          <w:szCs w:val="20"/>
          <w:lang w:val="en-GB"/>
        </w:rPr>
        <w:footnoteReference w:id="24"/>
      </w:r>
      <w:r>
        <w:rPr>
          <w:rFonts w:cstheme="minorHAnsi"/>
          <w:szCs w:val="20"/>
          <w:lang w:val="en-GB"/>
        </w:rPr>
        <w:t xml:space="preserve"> </w:t>
      </w:r>
      <w:r w:rsidR="00A133B8">
        <w:rPr>
          <w:rFonts w:cstheme="minorHAnsi"/>
          <w:szCs w:val="20"/>
          <w:lang w:val="en-GB"/>
        </w:rPr>
        <w:t>However, a</w:t>
      </w:r>
      <w:r w:rsidR="00F327FB" w:rsidRPr="00730760">
        <w:rPr>
          <w:rFonts w:cstheme="minorHAnsi"/>
          <w:bCs/>
          <w:szCs w:val="20"/>
          <w:lang w:val="en-GB"/>
        </w:rPr>
        <w:t xml:space="preserve"> new law</w:t>
      </w:r>
      <w:r w:rsidR="00F327FB" w:rsidRPr="00730760">
        <w:rPr>
          <w:rFonts w:cstheme="minorHAnsi"/>
          <w:szCs w:val="20"/>
          <w:lang w:val="en-GB"/>
        </w:rPr>
        <w:t xml:space="preserve"> </w:t>
      </w:r>
      <w:r w:rsidR="00B77686" w:rsidRPr="00730760">
        <w:rPr>
          <w:rFonts w:cstheme="minorHAnsi"/>
          <w:szCs w:val="20"/>
          <w:lang w:val="en-GB"/>
        </w:rPr>
        <w:t>was adopted on 16 December 2020,</w:t>
      </w:r>
      <w:r>
        <w:rPr>
          <w:rFonts w:cstheme="minorHAnsi"/>
          <w:szCs w:val="20"/>
          <w:lang w:val="en-GB"/>
        </w:rPr>
        <w:t xml:space="preserve"> for example,</w:t>
      </w:r>
      <w:r w:rsidR="00B77686" w:rsidRPr="00730760">
        <w:rPr>
          <w:rFonts w:cstheme="minorHAnsi"/>
          <w:szCs w:val="20"/>
          <w:lang w:val="en-GB"/>
        </w:rPr>
        <w:t xml:space="preserve"> </w:t>
      </w:r>
      <w:r w:rsidR="004B5D2F">
        <w:rPr>
          <w:rFonts w:cstheme="minorHAnsi"/>
          <w:szCs w:val="20"/>
          <w:lang w:val="en-GB"/>
        </w:rPr>
        <w:t xml:space="preserve">providing from </w:t>
      </w:r>
      <w:r w:rsidR="00F327FB" w:rsidRPr="00730760">
        <w:rPr>
          <w:rFonts w:cstheme="minorHAnsi"/>
          <w:bCs/>
          <w:szCs w:val="20"/>
          <w:lang w:val="en-GB"/>
        </w:rPr>
        <w:t xml:space="preserve">1 January 2021 </w:t>
      </w:r>
      <w:r w:rsidR="004B5D2F">
        <w:rPr>
          <w:rFonts w:cstheme="minorHAnsi"/>
          <w:bCs/>
          <w:szCs w:val="20"/>
          <w:lang w:val="en-GB"/>
        </w:rPr>
        <w:t xml:space="preserve">onwards for </w:t>
      </w:r>
      <w:r w:rsidR="00F327FB" w:rsidRPr="00730760">
        <w:rPr>
          <w:rFonts w:cstheme="minorHAnsi"/>
          <w:bCs/>
          <w:szCs w:val="20"/>
          <w:lang w:val="en-GB"/>
        </w:rPr>
        <w:t xml:space="preserve">a prison sentence of up to one year for publishing </w:t>
      </w:r>
      <w:r w:rsidR="00B77686" w:rsidRPr="00730760">
        <w:rPr>
          <w:rFonts w:cstheme="minorHAnsi"/>
          <w:bCs/>
          <w:szCs w:val="20"/>
          <w:lang w:val="en-GB"/>
        </w:rPr>
        <w:t xml:space="preserve">unauthorised drone </w:t>
      </w:r>
      <w:r w:rsidR="00F327FB" w:rsidRPr="00730760">
        <w:rPr>
          <w:rFonts w:cstheme="minorHAnsi"/>
          <w:bCs/>
          <w:szCs w:val="20"/>
          <w:lang w:val="en-GB"/>
        </w:rPr>
        <w:t>recordings of someone’s property</w:t>
      </w:r>
      <w:r w:rsidR="00B77686" w:rsidRPr="00730760">
        <w:rPr>
          <w:rFonts w:cstheme="minorHAnsi"/>
          <w:bCs/>
          <w:szCs w:val="20"/>
          <w:lang w:val="en-GB"/>
        </w:rPr>
        <w:t xml:space="preserve">. </w:t>
      </w:r>
      <w:r w:rsidR="00F327FB" w:rsidRPr="00730760">
        <w:rPr>
          <w:rFonts w:cstheme="minorHAnsi"/>
          <w:bCs/>
          <w:szCs w:val="20"/>
          <w:lang w:val="en-GB"/>
        </w:rPr>
        <w:t xml:space="preserve">In June 2020, the </w:t>
      </w:r>
      <w:r w:rsidR="00B77686" w:rsidRPr="00730760">
        <w:rPr>
          <w:rFonts w:cstheme="minorHAnsi"/>
          <w:bCs/>
          <w:szCs w:val="20"/>
          <w:lang w:val="en-GB"/>
        </w:rPr>
        <w:t xml:space="preserve">NAIH </w:t>
      </w:r>
      <w:r w:rsidR="00F327FB" w:rsidRPr="00730760">
        <w:rPr>
          <w:rFonts w:cstheme="minorHAnsi"/>
          <w:bCs/>
          <w:szCs w:val="20"/>
          <w:lang w:val="en-GB"/>
        </w:rPr>
        <w:t>held that the us</w:t>
      </w:r>
      <w:r w:rsidR="004B5D2F">
        <w:rPr>
          <w:rFonts w:cstheme="minorHAnsi"/>
          <w:bCs/>
          <w:szCs w:val="20"/>
          <w:lang w:val="en-GB"/>
        </w:rPr>
        <w:t>e</w:t>
      </w:r>
      <w:r w:rsidR="00F327FB" w:rsidRPr="00730760">
        <w:rPr>
          <w:rFonts w:cstheme="minorHAnsi"/>
          <w:bCs/>
          <w:szCs w:val="20"/>
          <w:lang w:val="en-GB"/>
        </w:rPr>
        <w:t xml:space="preserve"> of drone recordings by investigative journalists to report on public spending was in the public interest </w:t>
      </w:r>
      <w:r w:rsidR="00B77686" w:rsidRPr="00730760">
        <w:rPr>
          <w:rFonts w:cstheme="minorHAnsi"/>
          <w:bCs/>
          <w:szCs w:val="20"/>
          <w:lang w:val="en-GB"/>
        </w:rPr>
        <w:t xml:space="preserve">and that </w:t>
      </w:r>
      <w:r w:rsidR="00F327FB" w:rsidRPr="00730760">
        <w:rPr>
          <w:rFonts w:cstheme="minorHAnsi"/>
          <w:bCs/>
          <w:szCs w:val="20"/>
          <w:lang w:val="en-GB"/>
        </w:rPr>
        <w:t xml:space="preserve">no legitimate </w:t>
      </w:r>
      <w:r w:rsidR="00B77686" w:rsidRPr="00730760">
        <w:rPr>
          <w:rFonts w:cstheme="minorHAnsi"/>
          <w:bCs/>
          <w:szCs w:val="20"/>
          <w:lang w:val="en-GB"/>
        </w:rPr>
        <w:t xml:space="preserve">privacy </w:t>
      </w:r>
      <w:r w:rsidR="00F327FB" w:rsidRPr="00730760">
        <w:rPr>
          <w:rFonts w:cstheme="minorHAnsi"/>
          <w:bCs/>
          <w:szCs w:val="20"/>
          <w:lang w:val="en-GB"/>
        </w:rPr>
        <w:t>interests had been violated.</w:t>
      </w:r>
      <w:r w:rsidR="00B77686" w:rsidRPr="00663E17">
        <w:rPr>
          <w:rStyle w:val="FootnoteReference"/>
          <w:rFonts w:cstheme="minorHAnsi"/>
          <w:bCs/>
          <w:szCs w:val="20"/>
          <w:lang w:val="en-GB"/>
        </w:rPr>
        <w:footnoteReference w:id="25"/>
      </w:r>
      <w:r w:rsidR="00F97573" w:rsidRPr="00730760">
        <w:rPr>
          <w:rFonts w:cstheme="minorHAnsi"/>
          <w:bCs/>
          <w:szCs w:val="20"/>
          <w:lang w:val="en-GB"/>
        </w:rPr>
        <w:t xml:space="preserve"> The Commissioner </w:t>
      </w:r>
      <w:r w:rsidR="004B5D2F">
        <w:rPr>
          <w:rFonts w:cstheme="minorHAnsi"/>
          <w:bCs/>
          <w:szCs w:val="20"/>
          <w:lang w:val="en-GB"/>
        </w:rPr>
        <w:t>also</w:t>
      </w:r>
      <w:r w:rsidR="00F97573" w:rsidRPr="00730760">
        <w:rPr>
          <w:rFonts w:cstheme="minorHAnsi"/>
          <w:bCs/>
          <w:szCs w:val="20"/>
          <w:lang w:val="en-GB"/>
        </w:rPr>
        <w:t xml:space="preserve"> notes that the NAIH had twice objected </w:t>
      </w:r>
      <w:r w:rsidR="0003055A" w:rsidRPr="00730760">
        <w:rPr>
          <w:rFonts w:cstheme="minorHAnsi"/>
          <w:bCs/>
          <w:szCs w:val="20"/>
          <w:lang w:val="en-GB"/>
        </w:rPr>
        <w:t xml:space="preserve">to </w:t>
      </w:r>
      <w:r w:rsidR="00F97573" w:rsidRPr="00730760">
        <w:rPr>
          <w:rFonts w:cstheme="minorHAnsi"/>
          <w:bCs/>
          <w:szCs w:val="20"/>
          <w:lang w:val="en-GB"/>
        </w:rPr>
        <w:t>the amendment</w:t>
      </w:r>
      <w:r w:rsidR="000B421D" w:rsidRPr="00730760">
        <w:rPr>
          <w:rFonts w:cstheme="minorHAnsi"/>
          <w:bCs/>
          <w:szCs w:val="20"/>
          <w:lang w:val="en-GB"/>
        </w:rPr>
        <w:t>s</w:t>
      </w:r>
      <w:r w:rsidR="00F97573" w:rsidRPr="00730760">
        <w:rPr>
          <w:rFonts w:cstheme="minorHAnsi"/>
          <w:bCs/>
          <w:szCs w:val="20"/>
          <w:lang w:val="en-GB"/>
        </w:rPr>
        <w:t xml:space="preserve"> in question, pointing out that it was unnecessary and unjustified to establish a higher level of secrecy</w:t>
      </w:r>
      <w:r w:rsidR="000B421D" w:rsidRPr="00730760">
        <w:rPr>
          <w:rFonts w:cstheme="minorHAnsi"/>
          <w:color w:val="1F497D"/>
          <w:szCs w:val="20"/>
          <w:lang w:val="hu-HU"/>
        </w:rPr>
        <w:t xml:space="preserve"> </w:t>
      </w:r>
      <w:r w:rsidR="000B421D" w:rsidRPr="00730760">
        <w:rPr>
          <w:rFonts w:cstheme="minorHAnsi"/>
          <w:szCs w:val="20"/>
          <w:lang w:val="hu-HU"/>
        </w:rPr>
        <w:t>around drone recordings</w:t>
      </w:r>
      <w:r w:rsidR="00142CAA" w:rsidRPr="00730760">
        <w:rPr>
          <w:rFonts w:cstheme="minorHAnsi"/>
          <w:szCs w:val="20"/>
          <w:lang w:val="hu-HU"/>
        </w:rPr>
        <w:t>.</w:t>
      </w:r>
      <w:r w:rsidR="000B421D" w:rsidRPr="00663E17">
        <w:rPr>
          <w:rStyle w:val="FootnoteReference"/>
          <w:rFonts w:cstheme="minorHAnsi"/>
          <w:bCs/>
          <w:szCs w:val="20"/>
          <w:lang w:val="en-GB"/>
        </w:rPr>
        <w:footnoteReference w:id="26"/>
      </w:r>
    </w:p>
    <w:bookmarkEnd w:id="3"/>
    <w:p w14:paraId="59741752" w14:textId="77777777" w:rsidR="00667ECC" w:rsidRPr="00663E17" w:rsidRDefault="00667ECC" w:rsidP="001A7208">
      <w:pPr>
        <w:tabs>
          <w:tab w:val="left" w:pos="1613"/>
        </w:tabs>
        <w:spacing w:after="0" w:line="240" w:lineRule="auto"/>
        <w:ind w:left="426"/>
        <w:jc w:val="both"/>
        <w:rPr>
          <w:rFonts w:cstheme="minorHAnsi"/>
          <w:bCs/>
          <w:szCs w:val="20"/>
          <w:lang w:val="hu-HU"/>
        </w:rPr>
      </w:pPr>
    </w:p>
    <w:p w14:paraId="32513A85" w14:textId="2AC6F2E9" w:rsidR="009C7093" w:rsidRPr="00AF582E" w:rsidRDefault="009C7093" w:rsidP="001A7208">
      <w:pPr>
        <w:pStyle w:val="ListParagraph"/>
        <w:numPr>
          <w:ilvl w:val="0"/>
          <w:numId w:val="19"/>
        </w:numPr>
        <w:autoSpaceDE w:val="0"/>
        <w:autoSpaceDN w:val="0"/>
        <w:adjustRightInd w:val="0"/>
        <w:spacing w:after="0" w:line="240" w:lineRule="auto"/>
        <w:ind w:left="1134" w:hanging="425"/>
        <w:contextualSpacing w:val="0"/>
        <w:rPr>
          <w:rFonts w:eastAsiaTheme="minorEastAsia" w:cs="Arial"/>
          <w:b/>
          <w:bCs/>
          <w:szCs w:val="20"/>
          <w:lang w:val="en-GB" w:eastAsia="zh-CN"/>
        </w:rPr>
      </w:pPr>
      <w:r w:rsidRPr="00AF582E">
        <w:rPr>
          <w:rFonts w:eastAsiaTheme="minorEastAsia" w:cs="Arial"/>
          <w:b/>
          <w:bCs/>
          <w:szCs w:val="20"/>
          <w:lang w:val="en-GB" w:eastAsia="zh-CN"/>
        </w:rPr>
        <w:t>Distortion of Hungary’s media market</w:t>
      </w:r>
    </w:p>
    <w:p w14:paraId="713ED0A3" w14:textId="491E2385" w:rsidR="009C7093" w:rsidRPr="00663E17" w:rsidRDefault="009C7093" w:rsidP="001A7208">
      <w:pPr>
        <w:tabs>
          <w:tab w:val="left" w:pos="1613"/>
        </w:tabs>
        <w:spacing w:after="0" w:line="240" w:lineRule="auto"/>
        <w:ind w:left="426" w:hanging="357"/>
        <w:jc w:val="both"/>
        <w:rPr>
          <w:rFonts w:cstheme="minorHAnsi"/>
          <w:szCs w:val="20"/>
          <w:lang w:val="en-GB"/>
        </w:rPr>
      </w:pPr>
    </w:p>
    <w:p w14:paraId="47D60D38" w14:textId="7DDC1DF0" w:rsidR="009F704B" w:rsidRPr="00663E17" w:rsidRDefault="009C7093" w:rsidP="001A7208">
      <w:pPr>
        <w:numPr>
          <w:ilvl w:val="0"/>
          <w:numId w:val="2"/>
        </w:numPr>
        <w:tabs>
          <w:tab w:val="left" w:pos="1613"/>
        </w:tabs>
        <w:spacing w:after="0" w:line="240" w:lineRule="auto"/>
        <w:ind w:left="714" w:hanging="357"/>
        <w:jc w:val="both"/>
        <w:rPr>
          <w:rFonts w:cstheme="minorHAnsi"/>
          <w:szCs w:val="20"/>
          <w:lang w:val="en-GB"/>
        </w:rPr>
      </w:pPr>
      <w:r w:rsidRPr="00663E17">
        <w:rPr>
          <w:rFonts w:cstheme="minorHAnsi"/>
          <w:szCs w:val="20"/>
          <w:lang w:val="en-GB"/>
        </w:rPr>
        <w:t>As also acknowledged by th</w:t>
      </w:r>
      <w:r w:rsidR="00F246AF" w:rsidRPr="00663E17">
        <w:rPr>
          <w:rFonts w:cstheme="minorHAnsi"/>
          <w:szCs w:val="20"/>
          <w:lang w:val="en-GB"/>
        </w:rPr>
        <w:t xml:space="preserve">e representatives of the Hungarian </w:t>
      </w:r>
      <w:r w:rsidR="001E192E">
        <w:rPr>
          <w:rFonts w:cstheme="minorHAnsi"/>
          <w:szCs w:val="20"/>
          <w:lang w:val="en-GB"/>
        </w:rPr>
        <w:t>G</w:t>
      </w:r>
      <w:r w:rsidR="00F246AF" w:rsidRPr="00663E17">
        <w:rPr>
          <w:rFonts w:cstheme="minorHAnsi"/>
          <w:szCs w:val="20"/>
          <w:lang w:val="en-GB"/>
        </w:rPr>
        <w:t>overnment</w:t>
      </w:r>
      <w:r w:rsidR="00FA644B">
        <w:rPr>
          <w:rFonts w:cstheme="minorHAnsi"/>
          <w:szCs w:val="20"/>
          <w:lang w:val="en-GB"/>
        </w:rPr>
        <w:t xml:space="preserve"> during the online consultations</w:t>
      </w:r>
      <w:r w:rsidR="00F246AF" w:rsidRPr="00663E17">
        <w:rPr>
          <w:rFonts w:cstheme="minorHAnsi"/>
          <w:szCs w:val="20"/>
          <w:lang w:val="en-GB"/>
        </w:rPr>
        <w:t xml:space="preserve">, </w:t>
      </w:r>
      <w:r w:rsidR="00577A65" w:rsidRPr="00663E17">
        <w:rPr>
          <w:rFonts w:cstheme="minorHAnsi"/>
          <w:szCs w:val="20"/>
          <w:lang w:val="en-GB"/>
        </w:rPr>
        <w:t xml:space="preserve">the digital evolution and resulting </w:t>
      </w:r>
      <w:r w:rsidR="00F246AF" w:rsidRPr="00663E17">
        <w:rPr>
          <w:rFonts w:cstheme="minorHAnsi"/>
          <w:szCs w:val="20"/>
          <w:lang w:val="en-GB"/>
        </w:rPr>
        <w:t>changes in media consumption patterns</w:t>
      </w:r>
      <w:r w:rsidR="00577A65" w:rsidRPr="00663E17">
        <w:rPr>
          <w:rFonts w:cstheme="minorHAnsi"/>
          <w:szCs w:val="20"/>
          <w:lang w:val="en-GB"/>
        </w:rPr>
        <w:t xml:space="preserve"> have seriously affected the financial sustainability of media outlets</w:t>
      </w:r>
      <w:r w:rsidR="0003055A" w:rsidRPr="00663E17">
        <w:rPr>
          <w:rFonts w:cstheme="minorHAnsi"/>
          <w:szCs w:val="20"/>
          <w:lang w:val="en-GB"/>
        </w:rPr>
        <w:t xml:space="preserve"> in Hungary</w:t>
      </w:r>
      <w:r w:rsidR="009F704B" w:rsidRPr="00663E17">
        <w:rPr>
          <w:rFonts w:cstheme="minorHAnsi"/>
          <w:szCs w:val="20"/>
          <w:lang w:val="en-GB"/>
        </w:rPr>
        <w:t>.</w:t>
      </w:r>
      <w:r w:rsidR="009F704B" w:rsidRPr="00663E17">
        <w:rPr>
          <w:rStyle w:val="FootnoteReference"/>
          <w:rFonts w:cstheme="minorHAnsi"/>
          <w:szCs w:val="20"/>
          <w:lang w:val="en-GB"/>
        </w:rPr>
        <w:footnoteReference w:id="27"/>
      </w:r>
      <w:r w:rsidR="009F704B" w:rsidRPr="00663E17">
        <w:rPr>
          <w:rFonts w:cstheme="minorHAnsi"/>
          <w:szCs w:val="20"/>
          <w:lang w:val="en-GB"/>
        </w:rPr>
        <w:t xml:space="preserve"> State </w:t>
      </w:r>
      <w:r w:rsidR="00374D8B" w:rsidRPr="00663E17">
        <w:rPr>
          <w:rFonts w:cstheme="minorHAnsi"/>
          <w:szCs w:val="20"/>
          <w:lang w:val="en-GB"/>
        </w:rPr>
        <w:t>intervention</w:t>
      </w:r>
      <w:r w:rsidR="009F704B" w:rsidRPr="00663E17">
        <w:rPr>
          <w:rFonts w:cstheme="minorHAnsi"/>
          <w:szCs w:val="20"/>
          <w:lang w:val="en-GB"/>
        </w:rPr>
        <w:t xml:space="preserve"> therefore plays a particularly important role </w:t>
      </w:r>
      <w:r w:rsidR="00D96FB8">
        <w:rPr>
          <w:rFonts w:cstheme="minorHAnsi"/>
          <w:szCs w:val="20"/>
          <w:lang w:val="en-GB"/>
        </w:rPr>
        <w:t xml:space="preserve">in </w:t>
      </w:r>
      <w:r w:rsidR="009F704B" w:rsidRPr="00663E17">
        <w:rPr>
          <w:rFonts w:cstheme="minorHAnsi"/>
          <w:szCs w:val="20"/>
          <w:lang w:val="en-GB"/>
        </w:rPr>
        <w:t>support</w:t>
      </w:r>
      <w:r w:rsidR="00D96FB8">
        <w:rPr>
          <w:rFonts w:cstheme="minorHAnsi"/>
          <w:szCs w:val="20"/>
          <w:lang w:val="en-GB"/>
        </w:rPr>
        <w:t>ing</w:t>
      </w:r>
      <w:r w:rsidR="009F704B" w:rsidRPr="00663E17">
        <w:rPr>
          <w:rFonts w:cstheme="minorHAnsi"/>
          <w:szCs w:val="20"/>
          <w:lang w:val="en-GB"/>
        </w:rPr>
        <w:t xml:space="preserve"> the</w:t>
      </w:r>
      <w:r w:rsidR="00374D8B" w:rsidRPr="00663E17">
        <w:rPr>
          <w:rFonts w:cstheme="minorHAnsi"/>
          <w:szCs w:val="20"/>
          <w:lang w:val="en-GB"/>
        </w:rPr>
        <w:t xml:space="preserve"> financial </w:t>
      </w:r>
      <w:r w:rsidR="009F704B" w:rsidRPr="00663E17">
        <w:rPr>
          <w:rFonts w:cstheme="minorHAnsi"/>
          <w:szCs w:val="20"/>
          <w:lang w:val="en-GB"/>
        </w:rPr>
        <w:t>viability</w:t>
      </w:r>
      <w:r w:rsidR="00374D8B" w:rsidRPr="00663E17">
        <w:rPr>
          <w:rFonts w:cstheme="minorHAnsi"/>
          <w:szCs w:val="20"/>
          <w:lang w:val="en-GB"/>
        </w:rPr>
        <w:t xml:space="preserve"> </w:t>
      </w:r>
      <w:r w:rsidR="00D96FB8">
        <w:rPr>
          <w:rFonts w:cstheme="minorHAnsi"/>
          <w:szCs w:val="20"/>
          <w:lang w:val="en-GB"/>
        </w:rPr>
        <w:t xml:space="preserve">of the </w:t>
      </w:r>
      <w:r w:rsidR="00374D8B" w:rsidRPr="00663E17">
        <w:rPr>
          <w:rFonts w:cstheme="minorHAnsi"/>
          <w:szCs w:val="20"/>
          <w:lang w:val="en-GB"/>
        </w:rPr>
        <w:t>media</w:t>
      </w:r>
      <w:r w:rsidR="009F704B" w:rsidRPr="00663E17">
        <w:rPr>
          <w:rFonts w:cstheme="minorHAnsi"/>
          <w:szCs w:val="20"/>
          <w:lang w:val="en-GB"/>
        </w:rPr>
        <w:t xml:space="preserve">. </w:t>
      </w:r>
      <w:r w:rsidR="00FA644B">
        <w:rPr>
          <w:rFonts w:cstheme="minorHAnsi"/>
          <w:szCs w:val="20"/>
          <w:lang w:val="en-GB"/>
        </w:rPr>
        <w:t>A</w:t>
      </w:r>
      <w:r w:rsidR="00FA644B" w:rsidRPr="00663E17">
        <w:rPr>
          <w:rFonts w:cstheme="minorHAnsi"/>
          <w:szCs w:val="20"/>
          <w:lang w:val="en-GB"/>
        </w:rPr>
        <w:t xml:space="preserve"> high level of transparency and close monitoring by an independent regulatory authority is necessary</w:t>
      </w:r>
      <w:r w:rsidR="00FA644B">
        <w:rPr>
          <w:rFonts w:cstheme="minorHAnsi"/>
          <w:szCs w:val="20"/>
          <w:lang w:val="en-GB"/>
        </w:rPr>
        <w:t>, however,</w:t>
      </w:r>
      <w:r w:rsidR="00FA644B" w:rsidRPr="00663E17">
        <w:rPr>
          <w:rFonts w:cstheme="minorHAnsi"/>
          <w:szCs w:val="20"/>
          <w:lang w:val="en-GB"/>
        </w:rPr>
        <w:t xml:space="preserve"> </w:t>
      </w:r>
      <w:r w:rsidR="00FA644B">
        <w:rPr>
          <w:rFonts w:cstheme="minorHAnsi"/>
          <w:szCs w:val="20"/>
          <w:lang w:val="en-GB"/>
        </w:rPr>
        <w:t>t</w:t>
      </w:r>
      <w:r w:rsidR="009F704B" w:rsidRPr="00663E17">
        <w:rPr>
          <w:rFonts w:cstheme="minorHAnsi"/>
          <w:szCs w:val="20"/>
          <w:lang w:val="en-GB"/>
        </w:rPr>
        <w:t xml:space="preserve">o </w:t>
      </w:r>
      <w:r w:rsidR="00FA644B" w:rsidRPr="00663E17">
        <w:rPr>
          <w:rFonts w:cstheme="minorHAnsi"/>
          <w:szCs w:val="20"/>
          <w:lang w:val="en-GB"/>
        </w:rPr>
        <w:t>avoid political influenc</w:t>
      </w:r>
      <w:r w:rsidR="00D96FB8">
        <w:rPr>
          <w:rFonts w:cstheme="minorHAnsi"/>
          <w:szCs w:val="20"/>
          <w:lang w:val="en-GB"/>
        </w:rPr>
        <w:t>e</w:t>
      </w:r>
      <w:r w:rsidR="00FA644B" w:rsidRPr="00663E17">
        <w:rPr>
          <w:rFonts w:cstheme="minorHAnsi"/>
          <w:szCs w:val="20"/>
          <w:lang w:val="en-GB"/>
        </w:rPr>
        <w:t xml:space="preserve"> </w:t>
      </w:r>
      <w:r w:rsidR="00FA644B">
        <w:rPr>
          <w:rFonts w:cstheme="minorHAnsi"/>
          <w:szCs w:val="20"/>
          <w:lang w:val="en-GB"/>
        </w:rPr>
        <w:t xml:space="preserve">and </w:t>
      </w:r>
      <w:r w:rsidR="00374D8B" w:rsidRPr="00663E17">
        <w:rPr>
          <w:rFonts w:cstheme="minorHAnsi"/>
          <w:szCs w:val="20"/>
          <w:lang w:val="en-GB"/>
        </w:rPr>
        <w:t xml:space="preserve">enable </w:t>
      </w:r>
      <w:r w:rsidR="009F704B" w:rsidRPr="00663E17">
        <w:rPr>
          <w:rFonts w:cstheme="minorHAnsi"/>
          <w:szCs w:val="20"/>
          <w:lang w:val="en-GB"/>
        </w:rPr>
        <w:t>independent and diverse media to perform their public watchdog function</w:t>
      </w:r>
      <w:r w:rsidR="00B448A2" w:rsidRPr="00663E17">
        <w:rPr>
          <w:rFonts w:cstheme="minorHAnsi"/>
          <w:szCs w:val="20"/>
          <w:lang w:val="en-GB"/>
        </w:rPr>
        <w:t xml:space="preserve">. </w:t>
      </w:r>
      <w:r w:rsidR="009F704B" w:rsidRPr="00663E17">
        <w:rPr>
          <w:rFonts w:cstheme="minorHAnsi"/>
          <w:szCs w:val="20"/>
          <w:lang w:val="en-GB"/>
        </w:rPr>
        <w:t xml:space="preserve"> </w:t>
      </w:r>
    </w:p>
    <w:p w14:paraId="64C1A1C5" w14:textId="7367F2E2" w:rsidR="00A40DB2" w:rsidRPr="00663E17" w:rsidRDefault="00A40DB2" w:rsidP="001A7208">
      <w:pPr>
        <w:tabs>
          <w:tab w:val="left" w:pos="1613"/>
        </w:tabs>
        <w:spacing w:after="0" w:line="240" w:lineRule="auto"/>
        <w:ind w:left="426" w:hanging="357"/>
        <w:jc w:val="both"/>
        <w:rPr>
          <w:rFonts w:cstheme="minorHAnsi"/>
          <w:szCs w:val="20"/>
          <w:lang w:val="en-GB"/>
        </w:rPr>
      </w:pPr>
    </w:p>
    <w:p w14:paraId="7F2F65DF" w14:textId="702C9644" w:rsidR="009F704B" w:rsidRPr="00AF582E" w:rsidRDefault="009F704B" w:rsidP="001A7208">
      <w:pPr>
        <w:pStyle w:val="ListParagraph"/>
        <w:numPr>
          <w:ilvl w:val="0"/>
          <w:numId w:val="21"/>
        </w:numPr>
        <w:spacing w:after="0" w:line="240" w:lineRule="auto"/>
        <w:ind w:left="1134" w:hanging="425"/>
        <w:contextualSpacing w:val="0"/>
        <w:rPr>
          <w:rFonts w:eastAsia="Times New Roman" w:cs="Arial"/>
          <w:b/>
          <w:bCs/>
          <w:szCs w:val="20"/>
          <w:lang w:val="en-GB" w:eastAsia="zh-CN"/>
        </w:rPr>
      </w:pPr>
      <w:r w:rsidRPr="00AF582E">
        <w:rPr>
          <w:rFonts w:eastAsia="Times New Roman" w:cs="Arial"/>
          <w:b/>
          <w:bCs/>
          <w:szCs w:val="20"/>
          <w:lang w:val="en-GB" w:eastAsia="zh-CN"/>
        </w:rPr>
        <w:t xml:space="preserve">Hungarian </w:t>
      </w:r>
      <w:r w:rsidR="00D96FB8">
        <w:rPr>
          <w:rFonts w:eastAsia="Times New Roman" w:cs="Arial"/>
          <w:b/>
          <w:bCs/>
          <w:szCs w:val="20"/>
          <w:lang w:val="en-GB" w:eastAsia="zh-CN"/>
        </w:rPr>
        <w:t>s</w:t>
      </w:r>
      <w:r w:rsidRPr="00AF582E">
        <w:rPr>
          <w:rFonts w:eastAsia="Times New Roman" w:cs="Arial"/>
          <w:b/>
          <w:bCs/>
          <w:szCs w:val="20"/>
          <w:lang w:val="en-GB" w:eastAsia="zh-CN"/>
        </w:rPr>
        <w:t>tate advertising</w:t>
      </w:r>
    </w:p>
    <w:p w14:paraId="20CC42C0" w14:textId="1356ACC9" w:rsidR="00577A65" w:rsidRPr="00663E17" w:rsidRDefault="009F704B" w:rsidP="001A7208">
      <w:pPr>
        <w:tabs>
          <w:tab w:val="left" w:pos="1613"/>
        </w:tabs>
        <w:spacing w:after="0" w:line="240" w:lineRule="auto"/>
        <w:ind w:left="426" w:hanging="357"/>
        <w:jc w:val="both"/>
        <w:rPr>
          <w:rFonts w:cstheme="minorHAnsi"/>
          <w:szCs w:val="20"/>
          <w:lang w:val="en-GB"/>
        </w:rPr>
      </w:pPr>
      <w:r w:rsidRPr="00663E17">
        <w:rPr>
          <w:rFonts w:cstheme="minorHAnsi"/>
          <w:szCs w:val="20"/>
          <w:lang w:val="en-GB"/>
        </w:rPr>
        <w:t xml:space="preserve"> </w:t>
      </w:r>
    </w:p>
    <w:p w14:paraId="0159A437" w14:textId="228B2DAC" w:rsidR="005335F1" w:rsidRDefault="00B448A2" w:rsidP="001A7208">
      <w:pPr>
        <w:numPr>
          <w:ilvl w:val="0"/>
          <w:numId w:val="2"/>
        </w:numPr>
        <w:tabs>
          <w:tab w:val="left" w:pos="1613"/>
        </w:tabs>
        <w:spacing w:after="0" w:line="240" w:lineRule="auto"/>
        <w:ind w:left="714" w:hanging="357"/>
        <w:jc w:val="both"/>
        <w:rPr>
          <w:rFonts w:cstheme="minorHAnsi"/>
          <w:szCs w:val="20"/>
          <w:lang w:val="en-GB"/>
        </w:rPr>
      </w:pPr>
      <w:bookmarkStart w:id="4" w:name="_Hlk66182154"/>
      <w:r w:rsidRPr="00AC44A0">
        <w:rPr>
          <w:rFonts w:cstheme="minorHAnsi"/>
          <w:szCs w:val="20"/>
          <w:lang w:val="en-GB"/>
        </w:rPr>
        <w:t xml:space="preserve">There are no transparency requirements in Hungarian legislation that require the government to publish information on its spending or the criteria </w:t>
      </w:r>
      <w:r w:rsidR="006F3AFA" w:rsidRPr="00AC44A0">
        <w:rPr>
          <w:rFonts w:cstheme="minorHAnsi"/>
          <w:szCs w:val="20"/>
          <w:lang w:val="en-GB"/>
        </w:rPr>
        <w:t xml:space="preserve">applied </w:t>
      </w:r>
      <w:r w:rsidR="00D96FB8">
        <w:rPr>
          <w:rFonts w:cstheme="minorHAnsi"/>
          <w:szCs w:val="20"/>
          <w:lang w:val="en-GB"/>
        </w:rPr>
        <w:t xml:space="preserve">when issuing </w:t>
      </w:r>
      <w:r w:rsidRPr="00AC44A0">
        <w:rPr>
          <w:rFonts w:cstheme="minorHAnsi"/>
          <w:szCs w:val="20"/>
          <w:lang w:val="en-GB"/>
        </w:rPr>
        <w:t>state advertising contracts.</w:t>
      </w:r>
      <w:r w:rsidRPr="00663E17">
        <w:rPr>
          <w:rStyle w:val="FootnoteReference"/>
          <w:rFonts w:cstheme="minorHAnsi"/>
          <w:szCs w:val="20"/>
          <w:lang w:val="en-GB"/>
        </w:rPr>
        <w:footnoteReference w:id="28"/>
      </w:r>
      <w:r w:rsidRPr="00AC44A0">
        <w:rPr>
          <w:rFonts w:cstheme="minorHAnsi"/>
          <w:szCs w:val="20"/>
          <w:lang w:val="en-GB"/>
        </w:rPr>
        <w:t xml:space="preserve"> According to independent reports,</w:t>
      </w:r>
      <w:r w:rsidR="0003055A" w:rsidRPr="00AC44A0">
        <w:rPr>
          <w:rFonts w:cstheme="minorHAnsi"/>
          <w:szCs w:val="20"/>
          <w:lang w:val="en-GB"/>
        </w:rPr>
        <w:t xml:space="preserve"> however,</w:t>
      </w:r>
      <w:r w:rsidRPr="00AC44A0">
        <w:rPr>
          <w:rFonts w:cstheme="minorHAnsi"/>
          <w:szCs w:val="20"/>
          <w:lang w:val="en-GB"/>
        </w:rPr>
        <w:t xml:space="preserve"> growing amounts </w:t>
      </w:r>
      <w:r w:rsidR="00A017E6" w:rsidRPr="00AC44A0">
        <w:rPr>
          <w:rFonts w:cstheme="minorHAnsi"/>
          <w:szCs w:val="20"/>
          <w:lang w:val="en-GB"/>
        </w:rPr>
        <w:t xml:space="preserve">of state advertising </w:t>
      </w:r>
      <w:r w:rsidRPr="00AC44A0">
        <w:rPr>
          <w:rFonts w:cstheme="minorHAnsi"/>
          <w:szCs w:val="20"/>
          <w:lang w:val="en-GB"/>
        </w:rPr>
        <w:t xml:space="preserve">are channelled </w:t>
      </w:r>
      <w:r w:rsidR="00D96FB8" w:rsidRPr="00AC44A0">
        <w:rPr>
          <w:rFonts w:cstheme="minorHAnsi"/>
          <w:szCs w:val="20"/>
          <w:lang w:val="en-GB"/>
        </w:rPr>
        <w:t xml:space="preserve">each year </w:t>
      </w:r>
      <w:r w:rsidRPr="00AC44A0">
        <w:rPr>
          <w:rFonts w:cstheme="minorHAnsi"/>
          <w:szCs w:val="20"/>
          <w:lang w:val="en-GB"/>
        </w:rPr>
        <w:t>to pro-government media outlets, resulting in indirect political influence over the media.</w:t>
      </w:r>
      <w:r w:rsidRPr="00663E17">
        <w:rPr>
          <w:rStyle w:val="FootnoteReference"/>
          <w:rFonts w:cstheme="minorHAnsi"/>
          <w:szCs w:val="20"/>
          <w:lang w:val="en-GB"/>
        </w:rPr>
        <w:footnoteReference w:id="29"/>
      </w:r>
      <w:r w:rsidRPr="00AC44A0">
        <w:rPr>
          <w:rFonts w:cstheme="minorHAnsi"/>
          <w:szCs w:val="20"/>
          <w:lang w:val="en-GB"/>
        </w:rPr>
        <w:t> </w:t>
      </w:r>
      <w:r w:rsidR="00A40DB2" w:rsidRPr="00AC44A0">
        <w:rPr>
          <w:rFonts w:cstheme="minorHAnsi"/>
          <w:szCs w:val="20"/>
          <w:lang w:val="en-GB"/>
        </w:rPr>
        <w:t>I</w:t>
      </w:r>
      <w:r w:rsidR="00C0737A" w:rsidRPr="00AC44A0">
        <w:rPr>
          <w:rFonts w:cstheme="minorHAnsi"/>
          <w:iCs/>
          <w:szCs w:val="20"/>
          <w:lang w:val="en-GB"/>
        </w:rPr>
        <w:t>n 2018,</w:t>
      </w:r>
      <w:r w:rsidR="00A40DB2" w:rsidRPr="00AC44A0">
        <w:rPr>
          <w:rFonts w:cstheme="minorHAnsi"/>
          <w:iCs/>
          <w:szCs w:val="20"/>
          <w:lang w:val="en-GB"/>
        </w:rPr>
        <w:t xml:space="preserve"> for instance,</w:t>
      </w:r>
      <w:r w:rsidR="00C0737A" w:rsidRPr="00AC44A0">
        <w:rPr>
          <w:rFonts w:cstheme="minorHAnsi"/>
          <w:iCs/>
          <w:szCs w:val="20"/>
          <w:lang w:val="en-GB"/>
        </w:rPr>
        <w:t xml:space="preserve"> the pro-government broadcaster TV2 received 67% of state advertising in the television sector, while the independent RTL Klub, </w:t>
      </w:r>
      <w:r w:rsidR="00D96FB8">
        <w:rPr>
          <w:rFonts w:cstheme="minorHAnsi"/>
          <w:iCs/>
          <w:szCs w:val="20"/>
          <w:lang w:val="en-GB"/>
        </w:rPr>
        <w:t>which has a similar</w:t>
      </w:r>
      <w:r w:rsidR="00C0737A" w:rsidRPr="00AC44A0">
        <w:rPr>
          <w:rFonts w:cstheme="minorHAnsi"/>
          <w:iCs/>
          <w:szCs w:val="20"/>
          <w:lang w:val="en-GB"/>
        </w:rPr>
        <w:t xml:space="preserve"> audience</w:t>
      </w:r>
      <w:r w:rsidR="00D96FB8">
        <w:rPr>
          <w:rFonts w:cstheme="minorHAnsi"/>
          <w:iCs/>
          <w:szCs w:val="20"/>
          <w:lang w:val="en-GB"/>
        </w:rPr>
        <w:t xml:space="preserve"> reach</w:t>
      </w:r>
      <w:r w:rsidR="00C0737A" w:rsidRPr="00AC44A0">
        <w:rPr>
          <w:rFonts w:cstheme="minorHAnsi"/>
          <w:iCs/>
          <w:szCs w:val="20"/>
          <w:lang w:val="en-GB"/>
        </w:rPr>
        <w:t>, received just 1%.</w:t>
      </w:r>
      <w:r w:rsidR="00C0737A" w:rsidRPr="00663E17">
        <w:rPr>
          <w:rStyle w:val="FootnoteReference"/>
          <w:rFonts w:cstheme="minorHAnsi"/>
          <w:iCs/>
          <w:szCs w:val="20"/>
          <w:lang w:val="en-GB"/>
        </w:rPr>
        <w:footnoteReference w:id="30"/>
      </w:r>
      <w:r w:rsidR="00646CF8" w:rsidRPr="00AC44A0">
        <w:rPr>
          <w:rFonts w:cstheme="minorHAnsi"/>
          <w:szCs w:val="20"/>
          <w:lang w:val="en-GB"/>
        </w:rPr>
        <w:t xml:space="preserve"> </w:t>
      </w:r>
      <w:r w:rsidR="005335F1" w:rsidRPr="00663E17">
        <w:rPr>
          <w:rFonts w:cstheme="minorHAnsi"/>
          <w:szCs w:val="20"/>
          <w:lang w:val="en-GB"/>
        </w:rPr>
        <w:t xml:space="preserve">Even in 2020, when most government messages were focused on the </w:t>
      </w:r>
      <w:r w:rsidR="005335F1" w:rsidRPr="00663E17">
        <w:rPr>
          <w:rFonts w:cstheme="minorHAnsi"/>
          <w:szCs w:val="20"/>
          <w:lang w:val="en-GB"/>
        </w:rPr>
        <w:lastRenderedPageBreak/>
        <w:t>pandemic, the</w:t>
      </w:r>
      <w:r w:rsidR="00D96FB8">
        <w:rPr>
          <w:rFonts w:cstheme="minorHAnsi"/>
          <w:szCs w:val="20"/>
          <w:lang w:val="en-GB"/>
        </w:rPr>
        <w:t xml:space="preserve"> imbalance grew still further, wi</w:t>
      </w:r>
      <w:r w:rsidR="005335F1" w:rsidRPr="00663E17">
        <w:rPr>
          <w:rFonts w:cstheme="minorHAnsi"/>
          <w:szCs w:val="20"/>
          <w:lang w:val="en-GB"/>
        </w:rPr>
        <w:t>th a reported 86% of state advertising going to pro-government media.</w:t>
      </w:r>
      <w:r w:rsidR="005335F1" w:rsidRPr="00663E17">
        <w:rPr>
          <w:rStyle w:val="FootnoteReference"/>
          <w:rFonts w:cstheme="minorHAnsi"/>
          <w:szCs w:val="20"/>
          <w:lang w:val="en-GB"/>
        </w:rPr>
        <w:footnoteReference w:id="31"/>
      </w:r>
      <w:r w:rsidR="005335F1" w:rsidRPr="00663E17">
        <w:rPr>
          <w:rFonts w:cstheme="minorHAnsi"/>
          <w:szCs w:val="20"/>
          <w:lang w:val="en-GB"/>
        </w:rPr>
        <w:t xml:space="preserve"> </w:t>
      </w:r>
    </w:p>
    <w:p w14:paraId="256BDCE6" w14:textId="77777777" w:rsidR="005335F1" w:rsidRDefault="005335F1" w:rsidP="005335F1">
      <w:pPr>
        <w:tabs>
          <w:tab w:val="left" w:pos="1613"/>
        </w:tabs>
        <w:spacing w:after="0" w:line="240" w:lineRule="auto"/>
        <w:ind w:left="714"/>
        <w:jc w:val="both"/>
        <w:rPr>
          <w:rFonts w:cstheme="minorHAnsi"/>
          <w:szCs w:val="20"/>
          <w:lang w:val="en-GB"/>
        </w:rPr>
      </w:pPr>
    </w:p>
    <w:p w14:paraId="768A6377" w14:textId="37FC005E" w:rsidR="006F0FC1" w:rsidRPr="005335F1" w:rsidRDefault="005335F1" w:rsidP="005F47BF">
      <w:pPr>
        <w:numPr>
          <w:ilvl w:val="0"/>
          <w:numId w:val="2"/>
        </w:numPr>
        <w:tabs>
          <w:tab w:val="left" w:pos="1613"/>
        </w:tabs>
        <w:spacing w:after="0" w:line="240" w:lineRule="auto"/>
        <w:ind w:left="714" w:hanging="357"/>
        <w:jc w:val="both"/>
        <w:rPr>
          <w:rFonts w:cstheme="minorHAnsi"/>
          <w:szCs w:val="20"/>
          <w:lang w:val="en-GB"/>
        </w:rPr>
      </w:pPr>
      <w:r>
        <w:rPr>
          <w:rFonts w:cstheme="minorHAnsi"/>
          <w:szCs w:val="20"/>
          <w:lang w:val="en-GB"/>
        </w:rPr>
        <w:t>T</w:t>
      </w:r>
      <w:r w:rsidR="00D37ECF" w:rsidRPr="005335F1">
        <w:rPr>
          <w:rFonts w:cstheme="minorHAnsi"/>
          <w:szCs w:val="20"/>
          <w:lang w:val="en-GB"/>
        </w:rPr>
        <w:t xml:space="preserve">he Hungarian </w:t>
      </w:r>
      <w:r w:rsidR="001E192E">
        <w:rPr>
          <w:rFonts w:cstheme="minorHAnsi"/>
          <w:szCs w:val="20"/>
          <w:lang w:val="en-GB"/>
        </w:rPr>
        <w:t>G</w:t>
      </w:r>
      <w:r w:rsidR="00D37ECF" w:rsidRPr="005335F1">
        <w:rPr>
          <w:rFonts w:cstheme="minorHAnsi"/>
          <w:szCs w:val="20"/>
          <w:lang w:val="en-GB"/>
        </w:rPr>
        <w:t xml:space="preserve">overnment </w:t>
      </w:r>
      <w:r w:rsidR="0064259A" w:rsidRPr="005335F1">
        <w:rPr>
          <w:rFonts w:cstheme="minorHAnsi"/>
          <w:szCs w:val="20"/>
          <w:lang w:val="en-GB"/>
        </w:rPr>
        <w:t>argues</w:t>
      </w:r>
      <w:r w:rsidR="00D37ECF" w:rsidRPr="005335F1">
        <w:rPr>
          <w:rFonts w:cstheme="minorHAnsi"/>
          <w:szCs w:val="20"/>
          <w:lang w:val="en-GB"/>
        </w:rPr>
        <w:t xml:space="preserve"> that its interventions are </w:t>
      </w:r>
      <w:r w:rsidR="00D37ECF" w:rsidRPr="005335F1">
        <w:rPr>
          <w:rFonts w:cstheme="minorHAnsi"/>
          <w:i/>
          <w:iCs/>
          <w:szCs w:val="20"/>
          <w:lang w:val="en-GB"/>
        </w:rPr>
        <w:t>promoting</w:t>
      </w:r>
      <w:r w:rsidR="00D37ECF" w:rsidRPr="005335F1">
        <w:rPr>
          <w:rFonts w:cstheme="minorHAnsi"/>
          <w:szCs w:val="20"/>
          <w:lang w:val="en-GB"/>
        </w:rPr>
        <w:t xml:space="preserve"> media pluralism as they </w:t>
      </w:r>
      <w:r w:rsidR="00C2649B" w:rsidRPr="005335F1">
        <w:rPr>
          <w:rFonts w:cstheme="minorHAnsi"/>
          <w:szCs w:val="20"/>
          <w:lang w:val="en-GB"/>
        </w:rPr>
        <w:t xml:space="preserve">serve to </w:t>
      </w:r>
      <w:r w:rsidR="00D37ECF" w:rsidRPr="005335F1">
        <w:rPr>
          <w:rFonts w:cstheme="minorHAnsi"/>
          <w:szCs w:val="20"/>
          <w:lang w:val="en-GB"/>
        </w:rPr>
        <w:t>balanc</w:t>
      </w:r>
      <w:r w:rsidR="00C2649B" w:rsidRPr="005335F1">
        <w:rPr>
          <w:rFonts w:cstheme="minorHAnsi"/>
          <w:szCs w:val="20"/>
          <w:lang w:val="en-GB"/>
        </w:rPr>
        <w:t>e</w:t>
      </w:r>
      <w:r w:rsidR="00D37ECF" w:rsidRPr="005335F1">
        <w:rPr>
          <w:rFonts w:cstheme="minorHAnsi"/>
          <w:szCs w:val="20"/>
          <w:lang w:val="en-GB"/>
        </w:rPr>
        <w:t xml:space="preserve"> out a </w:t>
      </w:r>
      <w:r w:rsidR="00D96FB8">
        <w:rPr>
          <w:rFonts w:cstheme="minorHAnsi"/>
          <w:szCs w:val="20"/>
          <w:lang w:val="en-GB"/>
        </w:rPr>
        <w:t>pre</w:t>
      </w:r>
      <w:r w:rsidR="006F3AFA" w:rsidRPr="005335F1">
        <w:rPr>
          <w:rFonts w:cstheme="minorHAnsi"/>
          <w:szCs w:val="20"/>
          <w:lang w:val="en-GB"/>
        </w:rPr>
        <w:t>dominant</w:t>
      </w:r>
      <w:r w:rsidR="00D96FB8">
        <w:rPr>
          <w:rFonts w:cstheme="minorHAnsi"/>
          <w:szCs w:val="20"/>
          <w:lang w:val="en-GB"/>
        </w:rPr>
        <w:t>ly</w:t>
      </w:r>
      <w:r w:rsidR="006F3AFA" w:rsidRPr="005335F1">
        <w:rPr>
          <w:rFonts w:cstheme="minorHAnsi"/>
          <w:szCs w:val="20"/>
          <w:lang w:val="en-GB"/>
        </w:rPr>
        <w:t xml:space="preserve"> “l</w:t>
      </w:r>
      <w:r w:rsidR="00D37ECF" w:rsidRPr="005335F1">
        <w:rPr>
          <w:rFonts w:cstheme="minorHAnsi"/>
          <w:szCs w:val="20"/>
          <w:lang w:val="en-GB"/>
        </w:rPr>
        <w:t>eftist</w:t>
      </w:r>
      <w:r w:rsidR="006F3AFA" w:rsidRPr="005335F1">
        <w:rPr>
          <w:rFonts w:cstheme="minorHAnsi"/>
          <w:szCs w:val="20"/>
          <w:lang w:val="en-GB"/>
        </w:rPr>
        <w:t xml:space="preserve">” </w:t>
      </w:r>
      <w:r w:rsidR="00D37ECF" w:rsidRPr="005335F1">
        <w:rPr>
          <w:rFonts w:cstheme="minorHAnsi"/>
          <w:szCs w:val="20"/>
          <w:lang w:val="en-GB"/>
        </w:rPr>
        <w:t xml:space="preserve">media </w:t>
      </w:r>
      <w:r w:rsidR="005064E5">
        <w:rPr>
          <w:rFonts w:cstheme="minorHAnsi"/>
          <w:szCs w:val="20"/>
          <w:lang w:val="en-GB"/>
        </w:rPr>
        <w:t>landscape</w:t>
      </w:r>
      <w:r>
        <w:rPr>
          <w:rFonts w:cstheme="minorHAnsi"/>
          <w:szCs w:val="20"/>
          <w:lang w:val="en-GB"/>
        </w:rPr>
        <w:t>. However,</w:t>
      </w:r>
      <w:r w:rsidR="00C2649B" w:rsidRPr="005335F1">
        <w:rPr>
          <w:rFonts w:cstheme="minorHAnsi"/>
          <w:szCs w:val="20"/>
          <w:lang w:val="en-GB"/>
        </w:rPr>
        <w:t xml:space="preserve"> the </w:t>
      </w:r>
      <w:r w:rsidRPr="005335F1">
        <w:rPr>
          <w:rFonts w:cstheme="minorHAnsi"/>
          <w:szCs w:val="20"/>
          <w:lang w:val="en-GB"/>
        </w:rPr>
        <w:t>biased distribution of state advertis</w:t>
      </w:r>
      <w:r w:rsidR="00D96FB8">
        <w:rPr>
          <w:rFonts w:cstheme="minorHAnsi"/>
          <w:szCs w:val="20"/>
          <w:lang w:val="en-GB"/>
        </w:rPr>
        <w:t>ing</w:t>
      </w:r>
      <w:r w:rsidRPr="005335F1">
        <w:rPr>
          <w:rFonts w:cstheme="minorHAnsi"/>
          <w:szCs w:val="20"/>
          <w:lang w:val="en-GB"/>
        </w:rPr>
        <w:t xml:space="preserve"> revenues </w:t>
      </w:r>
      <w:r w:rsidR="0064259A" w:rsidRPr="005335F1">
        <w:rPr>
          <w:rFonts w:cstheme="minorHAnsi"/>
          <w:szCs w:val="20"/>
          <w:lang w:val="en-GB"/>
        </w:rPr>
        <w:t xml:space="preserve">has eroded the level playing field for </w:t>
      </w:r>
      <w:r w:rsidR="00D96FB8">
        <w:rPr>
          <w:rFonts w:cstheme="minorHAnsi"/>
          <w:szCs w:val="20"/>
          <w:lang w:val="en-GB"/>
        </w:rPr>
        <w:t xml:space="preserve">the </w:t>
      </w:r>
      <w:r w:rsidR="0064259A" w:rsidRPr="005335F1">
        <w:rPr>
          <w:rFonts w:cstheme="minorHAnsi"/>
          <w:szCs w:val="20"/>
          <w:lang w:val="en-GB"/>
        </w:rPr>
        <w:t>media</w:t>
      </w:r>
      <w:r w:rsidR="00D37ECF" w:rsidRPr="005335F1">
        <w:rPr>
          <w:rFonts w:cstheme="minorHAnsi"/>
          <w:szCs w:val="20"/>
          <w:lang w:val="en-GB"/>
        </w:rPr>
        <w:t xml:space="preserve">. </w:t>
      </w:r>
      <w:r>
        <w:rPr>
          <w:rFonts w:cstheme="minorHAnsi"/>
          <w:szCs w:val="20"/>
          <w:lang w:val="en-GB"/>
        </w:rPr>
        <w:t xml:space="preserve">While it </w:t>
      </w:r>
      <w:r w:rsidR="0028658D" w:rsidRPr="005335F1">
        <w:rPr>
          <w:rFonts w:cstheme="minorHAnsi"/>
          <w:szCs w:val="20"/>
          <w:lang w:val="en-GB"/>
        </w:rPr>
        <w:t xml:space="preserve">ensures that pro-government media do not suffer the economic consequences of the digital evolution, </w:t>
      </w:r>
      <w:r w:rsidR="00D96FB8">
        <w:rPr>
          <w:rFonts w:cstheme="minorHAnsi"/>
          <w:szCs w:val="20"/>
          <w:lang w:val="en-GB"/>
        </w:rPr>
        <w:t xml:space="preserve">the </w:t>
      </w:r>
      <w:r w:rsidR="0028658D" w:rsidRPr="005335F1">
        <w:rPr>
          <w:rFonts w:cstheme="minorHAnsi"/>
          <w:szCs w:val="20"/>
          <w:lang w:val="en-GB"/>
        </w:rPr>
        <w:t>independent media or those not perceived as loyal to the government have seen massive reductions in income</w:t>
      </w:r>
      <w:r w:rsidR="001A480E" w:rsidRPr="005335F1">
        <w:rPr>
          <w:rFonts w:cstheme="minorHAnsi"/>
          <w:szCs w:val="20"/>
          <w:lang w:val="en-GB"/>
        </w:rPr>
        <w:t>. Many have</w:t>
      </w:r>
      <w:r w:rsidR="0028658D" w:rsidRPr="005335F1">
        <w:rPr>
          <w:rFonts w:cstheme="minorHAnsi"/>
          <w:szCs w:val="20"/>
          <w:lang w:val="en-GB"/>
        </w:rPr>
        <w:t xml:space="preserve"> </w:t>
      </w:r>
      <w:r w:rsidR="006F0FC1" w:rsidRPr="005335F1">
        <w:rPr>
          <w:rFonts w:cstheme="minorHAnsi"/>
          <w:szCs w:val="20"/>
          <w:lang w:val="en-GB"/>
        </w:rPr>
        <w:t>fac</w:t>
      </w:r>
      <w:r w:rsidR="001A480E" w:rsidRPr="005335F1">
        <w:rPr>
          <w:rFonts w:cstheme="minorHAnsi"/>
          <w:szCs w:val="20"/>
          <w:lang w:val="en-GB"/>
        </w:rPr>
        <w:t>ed</w:t>
      </w:r>
      <w:r w:rsidR="006F0FC1" w:rsidRPr="005335F1">
        <w:rPr>
          <w:rFonts w:cstheme="minorHAnsi"/>
          <w:szCs w:val="20"/>
          <w:lang w:val="en-GB"/>
        </w:rPr>
        <w:t xml:space="preserve"> </w:t>
      </w:r>
      <w:r w:rsidR="007F6B93" w:rsidRPr="005335F1">
        <w:rPr>
          <w:rFonts w:cstheme="minorHAnsi"/>
          <w:szCs w:val="20"/>
          <w:lang w:val="en-GB"/>
        </w:rPr>
        <w:t xml:space="preserve">closure, </w:t>
      </w:r>
      <w:r w:rsidR="006F0FC1" w:rsidRPr="005335F1">
        <w:rPr>
          <w:rFonts w:cstheme="minorHAnsi"/>
          <w:szCs w:val="20"/>
          <w:lang w:val="en-GB"/>
        </w:rPr>
        <w:t xml:space="preserve">economic </w:t>
      </w:r>
      <w:r w:rsidR="00D96FB8">
        <w:rPr>
          <w:rFonts w:cstheme="minorHAnsi"/>
          <w:szCs w:val="20"/>
          <w:lang w:val="en-GB"/>
        </w:rPr>
        <w:t>take</w:t>
      </w:r>
      <w:r w:rsidR="006F0FC1" w:rsidRPr="005335F1">
        <w:rPr>
          <w:rFonts w:cstheme="minorHAnsi"/>
          <w:szCs w:val="20"/>
          <w:lang w:val="en-GB"/>
        </w:rPr>
        <w:t>-over or bankruptcy</w:t>
      </w:r>
      <w:r w:rsidR="007F6B93" w:rsidRPr="005335F1">
        <w:rPr>
          <w:rFonts w:cstheme="minorHAnsi"/>
          <w:szCs w:val="20"/>
          <w:lang w:val="en-GB"/>
        </w:rPr>
        <w:t xml:space="preserve"> (see below)</w:t>
      </w:r>
      <w:r w:rsidR="006F0FC1" w:rsidRPr="005335F1">
        <w:rPr>
          <w:rFonts w:cstheme="minorHAnsi"/>
          <w:szCs w:val="20"/>
          <w:lang w:val="en-GB"/>
        </w:rPr>
        <w:t>, while small outlets have managed to finance themselves through crowdfunding.</w:t>
      </w:r>
      <w:r w:rsidR="006F0FC1" w:rsidRPr="00663E17">
        <w:rPr>
          <w:rStyle w:val="FootnoteReference"/>
          <w:rFonts w:cstheme="minorHAnsi"/>
          <w:szCs w:val="20"/>
          <w:lang w:val="en-GB"/>
        </w:rPr>
        <w:footnoteReference w:id="32"/>
      </w:r>
      <w:r w:rsidR="006F0FC1" w:rsidRPr="005335F1">
        <w:rPr>
          <w:rFonts w:cstheme="minorHAnsi"/>
          <w:szCs w:val="20"/>
          <w:lang w:val="en-GB"/>
        </w:rPr>
        <w:t xml:space="preserve"> </w:t>
      </w:r>
      <w:r w:rsidR="000A6EA4" w:rsidRPr="005335F1">
        <w:rPr>
          <w:rFonts w:cstheme="minorHAnsi"/>
          <w:szCs w:val="20"/>
          <w:lang w:val="en-GB"/>
        </w:rPr>
        <w:t>In addition,</w:t>
      </w:r>
      <w:r w:rsidR="009D0E76" w:rsidRPr="005335F1">
        <w:rPr>
          <w:rFonts w:cstheme="minorHAnsi"/>
          <w:szCs w:val="20"/>
          <w:lang w:val="en-GB"/>
        </w:rPr>
        <w:t xml:space="preserve"> commercial advertisers </w:t>
      </w:r>
      <w:r w:rsidR="009D0E76" w:rsidRPr="005335F1">
        <w:rPr>
          <w:rFonts w:cstheme="minorHAnsi"/>
          <w:iCs/>
          <w:szCs w:val="20"/>
          <w:lang w:val="en-GB"/>
        </w:rPr>
        <w:t xml:space="preserve">– both Hungarian and multinational companies – are </w:t>
      </w:r>
      <w:r w:rsidR="001A480E" w:rsidRPr="005335F1">
        <w:rPr>
          <w:rFonts w:cstheme="minorHAnsi"/>
          <w:iCs/>
          <w:szCs w:val="20"/>
          <w:lang w:val="en-GB"/>
        </w:rPr>
        <w:t xml:space="preserve">reported to be </w:t>
      </w:r>
      <w:r w:rsidR="009D0E76" w:rsidRPr="005335F1">
        <w:rPr>
          <w:rFonts w:cstheme="minorHAnsi"/>
          <w:iCs/>
          <w:szCs w:val="20"/>
          <w:lang w:val="en-GB"/>
        </w:rPr>
        <w:t xml:space="preserve">under pressure not to advertise with </w:t>
      </w:r>
      <w:r w:rsidR="00D96FB8">
        <w:rPr>
          <w:rFonts w:cstheme="minorHAnsi"/>
          <w:iCs/>
          <w:szCs w:val="20"/>
          <w:lang w:val="en-GB"/>
        </w:rPr>
        <w:t xml:space="preserve">the </w:t>
      </w:r>
      <w:r w:rsidR="009D0E76" w:rsidRPr="005335F1">
        <w:rPr>
          <w:rFonts w:cstheme="minorHAnsi"/>
          <w:iCs/>
          <w:szCs w:val="20"/>
          <w:lang w:val="en-GB"/>
        </w:rPr>
        <w:t>independent media.</w:t>
      </w:r>
      <w:r w:rsidR="009D0E76" w:rsidRPr="00663E17">
        <w:rPr>
          <w:rStyle w:val="FootnoteReference"/>
          <w:rFonts w:cstheme="minorHAnsi"/>
          <w:iCs/>
          <w:szCs w:val="20"/>
          <w:lang w:val="en-GB"/>
        </w:rPr>
        <w:footnoteReference w:id="33"/>
      </w:r>
    </w:p>
    <w:bookmarkEnd w:id="4"/>
    <w:p w14:paraId="34041D54" w14:textId="77777777" w:rsidR="00D37ECF" w:rsidRPr="00663E17" w:rsidRDefault="00D37ECF" w:rsidP="001A7208">
      <w:pPr>
        <w:tabs>
          <w:tab w:val="left" w:pos="1613"/>
        </w:tabs>
        <w:spacing w:after="0" w:line="240" w:lineRule="auto"/>
        <w:ind w:left="426" w:hanging="357"/>
        <w:jc w:val="both"/>
        <w:rPr>
          <w:rFonts w:cstheme="minorHAnsi"/>
          <w:szCs w:val="20"/>
          <w:lang w:val="en-GB"/>
        </w:rPr>
      </w:pPr>
    </w:p>
    <w:p w14:paraId="1CE5FFF3" w14:textId="50471DA1" w:rsidR="00D37ECF" w:rsidRPr="00AF582E" w:rsidRDefault="00906C2D" w:rsidP="001A7208">
      <w:pPr>
        <w:pStyle w:val="ListParagraph"/>
        <w:numPr>
          <w:ilvl w:val="0"/>
          <w:numId w:val="21"/>
        </w:numPr>
        <w:spacing w:after="0" w:line="240" w:lineRule="auto"/>
        <w:ind w:left="1134" w:hanging="425"/>
        <w:contextualSpacing w:val="0"/>
        <w:rPr>
          <w:rFonts w:eastAsia="Times New Roman" w:cs="Arial"/>
          <w:b/>
          <w:bCs/>
          <w:szCs w:val="20"/>
          <w:lang w:val="en-GB" w:eastAsia="zh-CN"/>
        </w:rPr>
      </w:pPr>
      <w:r>
        <w:rPr>
          <w:rFonts w:eastAsia="Times New Roman" w:cs="Arial"/>
          <w:b/>
          <w:bCs/>
          <w:szCs w:val="20"/>
          <w:lang w:val="en-GB" w:eastAsia="zh-CN"/>
        </w:rPr>
        <w:t>Concentration of m</w:t>
      </w:r>
      <w:r w:rsidR="0064259A">
        <w:rPr>
          <w:rFonts w:eastAsia="Times New Roman" w:cs="Arial"/>
          <w:b/>
          <w:bCs/>
          <w:szCs w:val="20"/>
          <w:lang w:val="en-GB" w:eastAsia="zh-CN"/>
        </w:rPr>
        <w:t>edia ownership</w:t>
      </w:r>
    </w:p>
    <w:p w14:paraId="2032C10D" w14:textId="77777777" w:rsidR="00A8405B" w:rsidRPr="00663E17" w:rsidRDefault="00A8405B" w:rsidP="001A7208">
      <w:pPr>
        <w:tabs>
          <w:tab w:val="left" w:pos="1613"/>
        </w:tabs>
        <w:spacing w:after="0" w:line="240" w:lineRule="auto"/>
        <w:ind w:left="426" w:hanging="357"/>
        <w:jc w:val="both"/>
        <w:rPr>
          <w:rFonts w:cstheme="minorHAnsi"/>
          <w:szCs w:val="20"/>
          <w:u w:val="single"/>
          <w:lang w:val="en-GB"/>
        </w:rPr>
      </w:pPr>
    </w:p>
    <w:p w14:paraId="520D8EB6" w14:textId="73128866" w:rsidR="00227E97" w:rsidRPr="00663E17" w:rsidRDefault="006F3AFA" w:rsidP="001A7208">
      <w:pPr>
        <w:numPr>
          <w:ilvl w:val="0"/>
          <w:numId w:val="2"/>
        </w:numPr>
        <w:tabs>
          <w:tab w:val="left" w:pos="1613"/>
        </w:tabs>
        <w:spacing w:after="0" w:line="240" w:lineRule="auto"/>
        <w:ind w:left="714" w:hanging="357"/>
        <w:jc w:val="both"/>
        <w:rPr>
          <w:rFonts w:cstheme="minorHAnsi"/>
          <w:szCs w:val="20"/>
          <w:u w:val="single"/>
          <w:lang w:val="en-GB"/>
        </w:rPr>
      </w:pPr>
      <w:r w:rsidRPr="00663E17">
        <w:rPr>
          <w:rFonts w:cstheme="minorHAnsi"/>
          <w:szCs w:val="20"/>
          <w:lang w:val="en-GB"/>
        </w:rPr>
        <w:t xml:space="preserve">In November 2018, </w:t>
      </w:r>
      <w:r w:rsidR="005335F1">
        <w:rPr>
          <w:rFonts w:cstheme="minorHAnsi"/>
          <w:szCs w:val="20"/>
          <w:lang w:val="en-GB"/>
        </w:rPr>
        <w:t>some 470 media outlets tr</w:t>
      </w:r>
      <w:r w:rsidR="00A209F5" w:rsidRPr="00663E17">
        <w:rPr>
          <w:rFonts w:cstheme="minorHAnsi"/>
          <w:szCs w:val="20"/>
          <w:lang w:val="en-GB"/>
        </w:rPr>
        <w:t>ansferred their ownership rights to the Central European Press and Media Foundation (KESMA)</w:t>
      </w:r>
      <w:r w:rsidR="005335F1">
        <w:rPr>
          <w:rFonts w:cstheme="minorHAnsi"/>
          <w:szCs w:val="20"/>
          <w:lang w:val="en-GB"/>
        </w:rPr>
        <w:t>,</w:t>
      </w:r>
      <w:r w:rsidR="00A209F5" w:rsidRPr="00663E17">
        <w:rPr>
          <w:rFonts w:cstheme="minorHAnsi"/>
          <w:szCs w:val="20"/>
          <w:lang w:val="en-GB"/>
        </w:rPr>
        <w:t xml:space="preserve"> </w:t>
      </w:r>
      <w:r w:rsidR="005335F1">
        <w:rPr>
          <w:rFonts w:cstheme="minorHAnsi"/>
          <w:szCs w:val="20"/>
          <w:lang w:val="en-GB"/>
        </w:rPr>
        <w:t xml:space="preserve">a </w:t>
      </w:r>
      <w:r w:rsidR="00A209F5" w:rsidRPr="00663E17">
        <w:rPr>
          <w:rFonts w:cstheme="minorHAnsi"/>
          <w:szCs w:val="20"/>
          <w:lang w:val="en-GB"/>
        </w:rPr>
        <w:t>non-profit foundation registered on 11 September 2018</w:t>
      </w:r>
      <w:r w:rsidR="005335F1">
        <w:rPr>
          <w:rFonts w:cstheme="minorHAnsi"/>
          <w:szCs w:val="20"/>
          <w:lang w:val="en-GB"/>
        </w:rPr>
        <w:t>.</w:t>
      </w:r>
      <w:r w:rsidR="00A209F5" w:rsidRPr="00663E17">
        <w:rPr>
          <w:rStyle w:val="FootnoteReference"/>
          <w:rFonts w:cstheme="minorHAnsi"/>
          <w:szCs w:val="20"/>
          <w:lang w:val="en-GB"/>
        </w:rPr>
        <w:footnoteReference w:id="34"/>
      </w:r>
      <w:r w:rsidRPr="00663E17">
        <w:rPr>
          <w:rFonts w:cstheme="minorHAnsi"/>
          <w:szCs w:val="20"/>
          <w:lang w:val="en-GB"/>
        </w:rPr>
        <w:t xml:space="preserve"> </w:t>
      </w:r>
      <w:r w:rsidR="00A209F5" w:rsidRPr="00663E17">
        <w:rPr>
          <w:rFonts w:cstheme="minorHAnsi"/>
          <w:szCs w:val="20"/>
          <w:lang w:val="en-GB"/>
        </w:rPr>
        <w:t xml:space="preserve">Pending a decision </w:t>
      </w:r>
      <w:r w:rsidR="00A329A1">
        <w:rPr>
          <w:rFonts w:cstheme="minorHAnsi"/>
          <w:szCs w:val="20"/>
          <w:lang w:val="en-GB"/>
        </w:rPr>
        <w:t>by</w:t>
      </w:r>
      <w:r w:rsidR="00A209F5" w:rsidRPr="00663E17">
        <w:rPr>
          <w:rFonts w:cstheme="minorHAnsi"/>
          <w:szCs w:val="20"/>
          <w:lang w:val="en-GB"/>
        </w:rPr>
        <w:t xml:space="preserve"> the competition authority</w:t>
      </w:r>
      <w:r w:rsidR="005310DA" w:rsidRPr="00663E17">
        <w:rPr>
          <w:rFonts w:cstheme="minorHAnsi"/>
          <w:szCs w:val="20"/>
          <w:lang w:val="en-GB"/>
        </w:rPr>
        <w:t xml:space="preserve"> on this</w:t>
      </w:r>
      <w:r w:rsidR="007F6B93" w:rsidRPr="00663E17">
        <w:rPr>
          <w:rFonts w:cstheme="minorHAnsi"/>
          <w:szCs w:val="20"/>
          <w:lang w:val="en-GB"/>
        </w:rPr>
        <w:t xml:space="preserve"> merger</w:t>
      </w:r>
      <w:r w:rsidR="00A209F5" w:rsidRPr="00663E17">
        <w:rPr>
          <w:rFonts w:cstheme="minorHAnsi"/>
          <w:szCs w:val="20"/>
          <w:lang w:val="en-GB"/>
        </w:rPr>
        <w:t xml:space="preserve">, the Hungarian </w:t>
      </w:r>
      <w:r w:rsidR="001E192E">
        <w:rPr>
          <w:rFonts w:cstheme="minorHAnsi"/>
          <w:szCs w:val="20"/>
          <w:lang w:val="en-GB"/>
        </w:rPr>
        <w:t>G</w:t>
      </w:r>
      <w:r w:rsidR="00A209F5" w:rsidRPr="00663E17">
        <w:rPr>
          <w:rFonts w:cstheme="minorHAnsi"/>
          <w:szCs w:val="20"/>
          <w:lang w:val="en-GB"/>
        </w:rPr>
        <w:t xml:space="preserve">overnment </w:t>
      </w:r>
      <w:r w:rsidR="007773A4" w:rsidRPr="00663E17">
        <w:rPr>
          <w:rFonts w:cstheme="minorHAnsi"/>
          <w:szCs w:val="20"/>
          <w:lang w:val="en-GB"/>
        </w:rPr>
        <w:t xml:space="preserve">issued a decree, </w:t>
      </w:r>
      <w:r w:rsidR="00A209F5" w:rsidRPr="00663E17">
        <w:rPr>
          <w:rFonts w:cstheme="minorHAnsi"/>
          <w:szCs w:val="20"/>
          <w:lang w:val="en-GB"/>
        </w:rPr>
        <w:t>declar</w:t>
      </w:r>
      <w:r w:rsidR="007773A4" w:rsidRPr="00663E17">
        <w:rPr>
          <w:rFonts w:cstheme="minorHAnsi"/>
          <w:szCs w:val="20"/>
          <w:lang w:val="en-GB"/>
        </w:rPr>
        <w:t>ing</w:t>
      </w:r>
      <w:r w:rsidR="00A209F5" w:rsidRPr="00663E17">
        <w:rPr>
          <w:rFonts w:cstheme="minorHAnsi"/>
          <w:szCs w:val="20"/>
          <w:lang w:val="en-GB"/>
        </w:rPr>
        <w:t xml:space="preserve"> </w:t>
      </w:r>
      <w:r w:rsidR="007F6B93" w:rsidRPr="00663E17">
        <w:rPr>
          <w:rFonts w:cstheme="minorHAnsi"/>
          <w:szCs w:val="20"/>
          <w:lang w:val="en-GB"/>
        </w:rPr>
        <w:t xml:space="preserve">it </w:t>
      </w:r>
      <w:r w:rsidR="005823B9" w:rsidRPr="00663E17">
        <w:rPr>
          <w:rFonts w:cstheme="minorHAnsi"/>
          <w:szCs w:val="20"/>
          <w:lang w:val="en-GB"/>
        </w:rPr>
        <w:t>of ‘national strategic interest’, thereby exempting it from scrutiny by both the c</w:t>
      </w:r>
      <w:r w:rsidR="000A6EA4" w:rsidRPr="00663E17">
        <w:rPr>
          <w:rFonts w:cstheme="minorHAnsi"/>
          <w:szCs w:val="20"/>
          <w:lang w:val="en-GB"/>
        </w:rPr>
        <w:t xml:space="preserve">ompetition </w:t>
      </w:r>
      <w:r w:rsidR="005823B9" w:rsidRPr="00663E17">
        <w:rPr>
          <w:rFonts w:cstheme="minorHAnsi"/>
          <w:szCs w:val="20"/>
          <w:lang w:val="en-GB"/>
        </w:rPr>
        <w:t>and media a</w:t>
      </w:r>
      <w:r w:rsidR="000A6EA4" w:rsidRPr="00663E17">
        <w:rPr>
          <w:rFonts w:cstheme="minorHAnsi"/>
          <w:szCs w:val="20"/>
          <w:lang w:val="en-GB"/>
        </w:rPr>
        <w:t>uthorities</w:t>
      </w:r>
      <w:r w:rsidR="005823B9" w:rsidRPr="00663E17">
        <w:rPr>
          <w:rFonts w:cstheme="minorHAnsi"/>
          <w:szCs w:val="20"/>
          <w:lang w:val="en-GB"/>
        </w:rPr>
        <w:t>.</w:t>
      </w:r>
      <w:r w:rsidR="005823B9" w:rsidRPr="00663E17">
        <w:rPr>
          <w:rStyle w:val="FootnoteReference"/>
          <w:rFonts w:cstheme="minorHAnsi"/>
          <w:szCs w:val="20"/>
          <w:lang w:val="en-GB"/>
        </w:rPr>
        <w:footnoteReference w:id="35"/>
      </w:r>
      <w:r w:rsidR="005823B9" w:rsidRPr="00663E17">
        <w:rPr>
          <w:rFonts w:cstheme="minorHAnsi"/>
          <w:szCs w:val="20"/>
          <w:lang w:val="en-GB"/>
        </w:rPr>
        <w:t xml:space="preserve"> </w:t>
      </w:r>
      <w:r w:rsidR="00227E97" w:rsidRPr="00663E17">
        <w:rPr>
          <w:rFonts w:cstheme="minorHAnsi"/>
          <w:szCs w:val="20"/>
          <w:lang w:val="en-GB"/>
        </w:rPr>
        <w:t xml:space="preserve">The aim of the foundation is stated </w:t>
      </w:r>
      <w:r w:rsidR="00A329A1">
        <w:rPr>
          <w:rFonts w:cstheme="minorHAnsi"/>
          <w:szCs w:val="20"/>
          <w:lang w:val="en-GB"/>
        </w:rPr>
        <w:t xml:space="preserve">to be </w:t>
      </w:r>
      <w:r w:rsidR="00227E97" w:rsidRPr="00663E17">
        <w:rPr>
          <w:rFonts w:cstheme="minorHAnsi"/>
          <w:szCs w:val="20"/>
          <w:lang w:val="en-GB"/>
        </w:rPr>
        <w:t>“to promote those activities of the print, radio, TV and online sections of the Hungarian mass media which serve to build values and strengthen Hungarian national consciousness…”.</w:t>
      </w:r>
      <w:r w:rsidR="00227E97" w:rsidRPr="00663E17">
        <w:rPr>
          <w:rStyle w:val="FootnoteReference"/>
          <w:rFonts w:cstheme="minorHAnsi"/>
          <w:szCs w:val="20"/>
          <w:lang w:val="en-GB"/>
        </w:rPr>
        <w:footnoteReference w:id="36"/>
      </w:r>
    </w:p>
    <w:p w14:paraId="0ED2A99C" w14:textId="77777777" w:rsidR="002C2227" w:rsidRPr="00663E17" w:rsidRDefault="002C2227" w:rsidP="001A7208">
      <w:pPr>
        <w:tabs>
          <w:tab w:val="left" w:pos="1613"/>
        </w:tabs>
        <w:spacing w:after="0" w:line="240" w:lineRule="auto"/>
        <w:ind w:left="426"/>
        <w:jc w:val="both"/>
        <w:rPr>
          <w:rFonts w:cstheme="minorHAnsi"/>
          <w:szCs w:val="20"/>
          <w:u w:val="single"/>
          <w:lang w:val="en-GB"/>
        </w:rPr>
      </w:pPr>
    </w:p>
    <w:p w14:paraId="17D068D1" w14:textId="25731662" w:rsidR="00C119CA" w:rsidRPr="00663E17" w:rsidRDefault="005310DA" w:rsidP="001A7208">
      <w:pPr>
        <w:numPr>
          <w:ilvl w:val="0"/>
          <w:numId w:val="2"/>
        </w:numPr>
        <w:tabs>
          <w:tab w:val="left" w:pos="1613"/>
        </w:tabs>
        <w:spacing w:after="0" w:line="240" w:lineRule="auto"/>
        <w:ind w:left="714" w:hanging="357"/>
        <w:jc w:val="both"/>
        <w:rPr>
          <w:rFonts w:cstheme="minorHAnsi"/>
          <w:szCs w:val="20"/>
          <w:lang w:val="en-GB"/>
        </w:rPr>
      </w:pPr>
      <w:r w:rsidRPr="00663E17">
        <w:rPr>
          <w:rFonts w:cstheme="minorHAnsi"/>
          <w:szCs w:val="20"/>
          <w:lang w:val="en-GB"/>
        </w:rPr>
        <w:t xml:space="preserve">During the online dialogue, representatives of the Hungarian </w:t>
      </w:r>
      <w:r w:rsidR="001E192E">
        <w:rPr>
          <w:rFonts w:cstheme="minorHAnsi"/>
          <w:szCs w:val="20"/>
          <w:lang w:val="en-GB"/>
        </w:rPr>
        <w:t>G</w:t>
      </w:r>
      <w:r w:rsidRPr="00663E17">
        <w:rPr>
          <w:rFonts w:cstheme="minorHAnsi"/>
          <w:szCs w:val="20"/>
          <w:lang w:val="en-GB"/>
        </w:rPr>
        <w:t xml:space="preserve">overnment argued </w:t>
      </w:r>
      <w:r w:rsidR="00227E97" w:rsidRPr="00663E17">
        <w:rPr>
          <w:rFonts w:cstheme="minorHAnsi"/>
          <w:szCs w:val="20"/>
          <w:lang w:val="en-GB"/>
        </w:rPr>
        <w:t xml:space="preserve">that </w:t>
      </w:r>
      <w:r w:rsidRPr="00663E17">
        <w:rPr>
          <w:rFonts w:cstheme="minorHAnsi"/>
          <w:szCs w:val="20"/>
          <w:lang w:val="en-GB"/>
        </w:rPr>
        <w:t>th</w:t>
      </w:r>
      <w:r w:rsidR="007F6B93" w:rsidRPr="00663E17">
        <w:rPr>
          <w:rFonts w:cstheme="minorHAnsi"/>
          <w:szCs w:val="20"/>
          <w:lang w:val="en-GB"/>
        </w:rPr>
        <w:t>e</w:t>
      </w:r>
      <w:r w:rsidRPr="00663E17">
        <w:rPr>
          <w:rFonts w:cstheme="minorHAnsi"/>
          <w:szCs w:val="20"/>
          <w:lang w:val="en-GB"/>
        </w:rPr>
        <w:t xml:space="preserve"> merger was in the national interest because </w:t>
      </w:r>
      <w:r w:rsidR="002C42F4" w:rsidRPr="00663E17">
        <w:rPr>
          <w:rFonts w:cstheme="minorHAnsi"/>
          <w:szCs w:val="20"/>
          <w:lang w:val="en-GB"/>
        </w:rPr>
        <w:t xml:space="preserve">a large conglomerate enhances the </w:t>
      </w:r>
      <w:r w:rsidRPr="00663E17">
        <w:rPr>
          <w:rFonts w:cstheme="minorHAnsi"/>
          <w:szCs w:val="20"/>
          <w:lang w:val="en-GB"/>
        </w:rPr>
        <w:t>financial</w:t>
      </w:r>
      <w:r w:rsidR="002C42F4" w:rsidRPr="00663E17">
        <w:rPr>
          <w:rFonts w:cstheme="minorHAnsi"/>
          <w:szCs w:val="20"/>
          <w:lang w:val="en-GB"/>
        </w:rPr>
        <w:t xml:space="preserve"> independence of all </w:t>
      </w:r>
      <w:r w:rsidR="00A329A1">
        <w:rPr>
          <w:rFonts w:cstheme="minorHAnsi"/>
          <w:szCs w:val="20"/>
          <w:lang w:val="en-GB"/>
        </w:rPr>
        <w:t xml:space="preserve">of the </w:t>
      </w:r>
      <w:r w:rsidR="002C42F4" w:rsidRPr="00663E17">
        <w:rPr>
          <w:rFonts w:cstheme="minorHAnsi"/>
          <w:szCs w:val="20"/>
          <w:lang w:val="en-GB"/>
        </w:rPr>
        <w:t>media outlets</w:t>
      </w:r>
      <w:r w:rsidR="00A329A1" w:rsidRPr="00A329A1">
        <w:rPr>
          <w:rFonts w:cstheme="minorHAnsi"/>
          <w:szCs w:val="20"/>
          <w:lang w:val="en-GB"/>
        </w:rPr>
        <w:t xml:space="preserve"> </w:t>
      </w:r>
      <w:r w:rsidR="00A329A1" w:rsidRPr="00663E17">
        <w:rPr>
          <w:rFonts w:cstheme="minorHAnsi"/>
          <w:szCs w:val="20"/>
          <w:lang w:val="en-GB"/>
        </w:rPr>
        <w:t>concerned</w:t>
      </w:r>
      <w:r w:rsidR="002C42F4" w:rsidRPr="00663E17">
        <w:rPr>
          <w:rFonts w:cstheme="minorHAnsi"/>
          <w:szCs w:val="20"/>
          <w:lang w:val="en-GB"/>
        </w:rPr>
        <w:t>. Repeated comparison</w:t>
      </w:r>
      <w:r w:rsidR="002C2227" w:rsidRPr="00663E17">
        <w:rPr>
          <w:rFonts w:cstheme="minorHAnsi"/>
          <w:szCs w:val="20"/>
          <w:lang w:val="en-GB"/>
        </w:rPr>
        <w:t>s</w:t>
      </w:r>
      <w:r w:rsidR="002C42F4" w:rsidRPr="00663E17">
        <w:rPr>
          <w:rFonts w:cstheme="minorHAnsi"/>
          <w:szCs w:val="20"/>
          <w:lang w:val="en-GB"/>
        </w:rPr>
        <w:t xml:space="preserve"> were </w:t>
      </w:r>
      <w:r w:rsidR="002C2227" w:rsidRPr="00663E17">
        <w:rPr>
          <w:rFonts w:cstheme="minorHAnsi"/>
          <w:szCs w:val="20"/>
          <w:lang w:val="en-GB"/>
        </w:rPr>
        <w:t>drawn</w:t>
      </w:r>
      <w:r w:rsidR="002C42F4" w:rsidRPr="00663E17">
        <w:rPr>
          <w:rFonts w:cstheme="minorHAnsi"/>
          <w:szCs w:val="20"/>
          <w:lang w:val="en-GB"/>
        </w:rPr>
        <w:t xml:space="preserve"> with the Bertelsmann </w:t>
      </w:r>
      <w:r w:rsidR="004C71A2">
        <w:rPr>
          <w:rFonts w:cstheme="minorHAnsi"/>
          <w:szCs w:val="20"/>
          <w:lang w:val="en-GB"/>
        </w:rPr>
        <w:t xml:space="preserve">and Sanoma </w:t>
      </w:r>
      <w:r w:rsidR="002C2227" w:rsidRPr="00663E17">
        <w:rPr>
          <w:rFonts w:cstheme="minorHAnsi"/>
          <w:szCs w:val="20"/>
          <w:lang w:val="en-GB"/>
        </w:rPr>
        <w:t>media compan</w:t>
      </w:r>
      <w:r w:rsidR="004C71A2">
        <w:rPr>
          <w:rFonts w:cstheme="minorHAnsi"/>
          <w:szCs w:val="20"/>
          <w:lang w:val="en-GB"/>
        </w:rPr>
        <w:t>ies</w:t>
      </w:r>
      <w:r w:rsidR="002C2227" w:rsidRPr="00663E17">
        <w:rPr>
          <w:rFonts w:cstheme="minorHAnsi"/>
          <w:szCs w:val="20"/>
          <w:lang w:val="en-GB"/>
        </w:rPr>
        <w:t xml:space="preserve">. </w:t>
      </w:r>
      <w:r w:rsidR="003D5885" w:rsidRPr="00663E17">
        <w:rPr>
          <w:rFonts w:cstheme="minorHAnsi"/>
          <w:szCs w:val="20"/>
          <w:lang w:val="en-GB"/>
        </w:rPr>
        <w:t xml:space="preserve">To establish media pluralism risks, however, several indicators </w:t>
      </w:r>
      <w:r w:rsidR="00CA6B48">
        <w:rPr>
          <w:rFonts w:cstheme="minorHAnsi"/>
          <w:szCs w:val="20"/>
          <w:lang w:val="en-GB"/>
        </w:rPr>
        <w:t>must be c</w:t>
      </w:r>
      <w:r w:rsidR="003D5885" w:rsidRPr="00663E17">
        <w:rPr>
          <w:rFonts w:cstheme="minorHAnsi"/>
          <w:szCs w:val="20"/>
          <w:lang w:val="en-GB"/>
        </w:rPr>
        <w:t>onsidered</w:t>
      </w:r>
      <w:r w:rsidR="00353173">
        <w:rPr>
          <w:rFonts w:cstheme="minorHAnsi"/>
          <w:szCs w:val="20"/>
          <w:lang w:val="en-GB"/>
        </w:rPr>
        <w:t>,</w:t>
      </w:r>
      <w:r w:rsidR="003D5885" w:rsidRPr="00663E17">
        <w:rPr>
          <w:rFonts w:cstheme="minorHAnsi"/>
          <w:szCs w:val="20"/>
          <w:lang w:val="en-GB"/>
        </w:rPr>
        <w:t xml:space="preserve"> </w:t>
      </w:r>
      <w:r w:rsidR="00A329A1">
        <w:rPr>
          <w:rFonts w:cstheme="minorHAnsi"/>
          <w:szCs w:val="20"/>
          <w:lang w:val="en-GB"/>
        </w:rPr>
        <w:t xml:space="preserve">in addition to </w:t>
      </w:r>
      <w:r w:rsidR="003D5885" w:rsidRPr="00663E17">
        <w:rPr>
          <w:rFonts w:cstheme="minorHAnsi"/>
          <w:szCs w:val="20"/>
          <w:lang w:val="en-GB"/>
        </w:rPr>
        <w:t>market plurality, including basic freedom of expression protections and, importantly, independence of the media and media regulatory authorities.</w:t>
      </w:r>
      <w:r w:rsidR="003D5885" w:rsidRPr="00663E17">
        <w:rPr>
          <w:rStyle w:val="FootnoteReference"/>
          <w:rFonts w:cstheme="minorHAnsi"/>
          <w:szCs w:val="20"/>
          <w:lang w:val="en-GB"/>
        </w:rPr>
        <w:footnoteReference w:id="37"/>
      </w:r>
      <w:r w:rsidR="00901548" w:rsidRPr="00663E17">
        <w:rPr>
          <w:rFonts w:cstheme="minorHAnsi"/>
          <w:szCs w:val="20"/>
          <w:lang w:val="en-GB"/>
        </w:rPr>
        <w:t xml:space="preserve"> </w:t>
      </w:r>
      <w:r w:rsidR="00A329A1" w:rsidRPr="00996EEA">
        <w:rPr>
          <w:rFonts w:cstheme="minorHAnsi"/>
          <w:szCs w:val="20"/>
          <w:lang w:val="en-GB"/>
        </w:rPr>
        <w:t xml:space="preserve">According to the Media Pluralism Monitor 2020, risks to the political independence of media in Hungary stood at 82%, the highest possible risk, of 97%, being that of state regulation of resources and support </w:t>
      </w:r>
      <w:r w:rsidR="00A329A1">
        <w:rPr>
          <w:rFonts w:cstheme="minorHAnsi"/>
          <w:szCs w:val="20"/>
          <w:lang w:val="en-GB"/>
        </w:rPr>
        <w:t>for</w:t>
      </w:r>
      <w:r w:rsidR="00A329A1" w:rsidRPr="00996EEA">
        <w:rPr>
          <w:rFonts w:cstheme="minorHAnsi"/>
          <w:szCs w:val="20"/>
          <w:lang w:val="en-GB"/>
        </w:rPr>
        <w:t xml:space="preserve"> the media sector</w:t>
      </w:r>
      <w:r w:rsidR="00C119CA" w:rsidRPr="00663E17">
        <w:rPr>
          <w:rFonts w:cstheme="minorHAnsi"/>
          <w:szCs w:val="20"/>
          <w:lang w:val="en-GB"/>
        </w:rPr>
        <w:t>.</w:t>
      </w:r>
      <w:r w:rsidR="00C119CA" w:rsidRPr="00663E17">
        <w:rPr>
          <w:rStyle w:val="FootnoteReference"/>
          <w:rFonts w:cstheme="minorHAnsi"/>
          <w:szCs w:val="20"/>
          <w:lang w:val="en-GB"/>
        </w:rPr>
        <w:footnoteReference w:id="38"/>
      </w:r>
      <w:r w:rsidR="00C119CA" w:rsidRPr="00663E17">
        <w:rPr>
          <w:rFonts w:cstheme="minorHAnsi"/>
          <w:szCs w:val="20"/>
          <w:lang w:val="en-GB"/>
        </w:rPr>
        <w:t xml:space="preserve"> </w:t>
      </w:r>
    </w:p>
    <w:p w14:paraId="25871FD3" w14:textId="77777777" w:rsidR="00663E17" w:rsidRPr="00663E17" w:rsidRDefault="00663E17" w:rsidP="001A7208">
      <w:pPr>
        <w:tabs>
          <w:tab w:val="left" w:pos="1613"/>
        </w:tabs>
        <w:spacing w:after="0" w:line="240" w:lineRule="auto"/>
        <w:ind w:left="426"/>
        <w:jc w:val="both"/>
        <w:rPr>
          <w:rFonts w:cstheme="minorHAnsi"/>
          <w:szCs w:val="20"/>
          <w:u w:val="single"/>
          <w:lang w:val="en-GB"/>
        </w:rPr>
      </w:pPr>
    </w:p>
    <w:p w14:paraId="1AFE5C44" w14:textId="722421D4" w:rsidR="00D37ECF" w:rsidRPr="00663E17" w:rsidRDefault="00730760" w:rsidP="001A7208">
      <w:pPr>
        <w:numPr>
          <w:ilvl w:val="0"/>
          <w:numId w:val="2"/>
        </w:numPr>
        <w:tabs>
          <w:tab w:val="left" w:pos="1613"/>
        </w:tabs>
        <w:spacing w:after="0" w:line="240" w:lineRule="auto"/>
        <w:ind w:left="714" w:hanging="357"/>
        <w:jc w:val="both"/>
        <w:rPr>
          <w:rFonts w:cstheme="minorHAnsi"/>
          <w:szCs w:val="20"/>
          <w:u w:val="single"/>
          <w:lang w:val="en-GB"/>
        </w:rPr>
      </w:pPr>
      <w:r>
        <w:rPr>
          <w:rFonts w:cstheme="minorHAnsi"/>
          <w:szCs w:val="20"/>
          <w:lang w:val="en-GB"/>
        </w:rPr>
        <w:lastRenderedPageBreak/>
        <w:t>The Commissioner finds that b</w:t>
      </w:r>
      <w:r w:rsidR="008B2AF6" w:rsidRPr="00663E17">
        <w:rPr>
          <w:rFonts w:cstheme="minorHAnsi"/>
          <w:szCs w:val="20"/>
          <w:lang w:val="en-GB"/>
        </w:rPr>
        <w:t xml:space="preserve">y </w:t>
      </w:r>
      <w:r w:rsidR="00AD0240" w:rsidRPr="00663E17">
        <w:rPr>
          <w:rFonts w:cstheme="minorHAnsi"/>
          <w:szCs w:val="20"/>
          <w:lang w:val="en-GB"/>
        </w:rPr>
        <w:t>disregarding t</w:t>
      </w:r>
      <w:r w:rsidR="008B2AF6" w:rsidRPr="00663E17">
        <w:rPr>
          <w:rFonts w:cstheme="minorHAnsi"/>
          <w:szCs w:val="20"/>
          <w:lang w:val="en-GB"/>
        </w:rPr>
        <w:t>he</w:t>
      </w:r>
      <w:r w:rsidR="00AD0240" w:rsidRPr="00663E17">
        <w:rPr>
          <w:rFonts w:cstheme="minorHAnsi"/>
          <w:szCs w:val="20"/>
          <w:lang w:val="en-GB"/>
        </w:rPr>
        <w:t xml:space="preserve"> </w:t>
      </w:r>
      <w:r w:rsidR="008B2AF6" w:rsidRPr="00663E17">
        <w:rPr>
          <w:rFonts w:cstheme="minorHAnsi"/>
          <w:szCs w:val="20"/>
          <w:lang w:val="en-GB"/>
        </w:rPr>
        <w:t xml:space="preserve">role of </w:t>
      </w:r>
      <w:r w:rsidR="003D5885" w:rsidRPr="00663E17">
        <w:rPr>
          <w:rFonts w:cstheme="minorHAnsi"/>
          <w:szCs w:val="20"/>
          <w:lang w:val="en-GB"/>
        </w:rPr>
        <w:t xml:space="preserve">the </w:t>
      </w:r>
      <w:r w:rsidR="00901548" w:rsidRPr="00663E17">
        <w:rPr>
          <w:rFonts w:cstheme="minorHAnsi"/>
          <w:szCs w:val="20"/>
          <w:lang w:val="en-GB"/>
        </w:rPr>
        <w:t>regulatory authorities</w:t>
      </w:r>
      <w:r>
        <w:rPr>
          <w:rFonts w:cstheme="minorHAnsi"/>
          <w:szCs w:val="20"/>
          <w:lang w:val="en-GB"/>
        </w:rPr>
        <w:t>,</w:t>
      </w:r>
      <w:r w:rsidR="008B2AF6" w:rsidRPr="00663E17">
        <w:rPr>
          <w:rFonts w:cstheme="minorHAnsi"/>
          <w:szCs w:val="20"/>
          <w:lang w:val="en-GB"/>
        </w:rPr>
        <w:t xml:space="preserve"> wh</w:t>
      </w:r>
      <w:r w:rsidR="00A329A1">
        <w:rPr>
          <w:rFonts w:cstheme="minorHAnsi"/>
          <w:szCs w:val="20"/>
          <w:lang w:val="en-GB"/>
        </w:rPr>
        <w:t xml:space="preserve">ich </w:t>
      </w:r>
      <w:r w:rsidR="008B2AF6" w:rsidRPr="00663E17">
        <w:rPr>
          <w:rFonts w:cstheme="minorHAnsi"/>
          <w:szCs w:val="20"/>
          <w:lang w:val="en-GB"/>
        </w:rPr>
        <w:t>are mandated by law</w:t>
      </w:r>
      <w:r w:rsidR="00901548" w:rsidRPr="00663E17">
        <w:rPr>
          <w:rFonts w:cstheme="minorHAnsi"/>
          <w:szCs w:val="20"/>
          <w:lang w:val="en-GB"/>
        </w:rPr>
        <w:t xml:space="preserve"> </w:t>
      </w:r>
      <w:r w:rsidR="008B2AF6" w:rsidRPr="00663E17">
        <w:rPr>
          <w:rFonts w:cstheme="minorHAnsi"/>
          <w:szCs w:val="20"/>
          <w:lang w:val="en-GB"/>
        </w:rPr>
        <w:t>t</w:t>
      </w:r>
      <w:r w:rsidR="00901548" w:rsidRPr="00663E17">
        <w:rPr>
          <w:rFonts w:cstheme="minorHAnsi"/>
          <w:szCs w:val="20"/>
          <w:lang w:val="en-GB"/>
        </w:rPr>
        <w:t>o</w:t>
      </w:r>
      <w:r w:rsidR="008B2AF6" w:rsidRPr="00663E17">
        <w:rPr>
          <w:rFonts w:cstheme="minorHAnsi"/>
          <w:szCs w:val="20"/>
          <w:lang w:val="en-GB"/>
        </w:rPr>
        <w:t xml:space="preserve"> scrutinise mergers </w:t>
      </w:r>
      <w:r w:rsidR="00CA6B48">
        <w:rPr>
          <w:rFonts w:cstheme="minorHAnsi"/>
          <w:szCs w:val="20"/>
          <w:lang w:val="en-GB"/>
        </w:rPr>
        <w:t xml:space="preserve">and </w:t>
      </w:r>
      <w:r w:rsidR="00901548" w:rsidRPr="00663E17">
        <w:rPr>
          <w:rFonts w:cstheme="minorHAnsi"/>
          <w:szCs w:val="20"/>
          <w:lang w:val="en-GB"/>
        </w:rPr>
        <w:t xml:space="preserve">prevent </w:t>
      </w:r>
      <w:r w:rsidR="008B2AF6" w:rsidRPr="00663E17">
        <w:rPr>
          <w:rFonts w:cstheme="minorHAnsi"/>
          <w:szCs w:val="20"/>
          <w:lang w:val="en-GB"/>
        </w:rPr>
        <w:t>excessive</w:t>
      </w:r>
      <w:r w:rsidR="00901548" w:rsidRPr="00663E17">
        <w:rPr>
          <w:rFonts w:cstheme="minorHAnsi"/>
          <w:szCs w:val="20"/>
          <w:lang w:val="en-GB"/>
        </w:rPr>
        <w:t xml:space="preserve"> market dominance and media concentration, </w:t>
      </w:r>
      <w:r w:rsidR="008B2AF6" w:rsidRPr="00663E17">
        <w:rPr>
          <w:rFonts w:cstheme="minorHAnsi"/>
          <w:szCs w:val="20"/>
          <w:lang w:val="en-GB"/>
        </w:rPr>
        <w:t xml:space="preserve">the government demonstrated a unique lack of </w:t>
      </w:r>
      <w:r w:rsidR="003D5885" w:rsidRPr="00663E17">
        <w:rPr>
          <w:rFonts w:cstheme="minorHAnsi"/>
          <w:szCs w:val="20"/>
          <w:lang w:val="en-GB"/>
        </w:rPr>
        <w:t>re</w:t>
      </w:r>
      <w:r w:rsidR="00A329A1">
        <w:rPr>
          <w:rFonts w:cstheme="minorHAnsi"/>
          <w:szCs w:val="20"/>
          <w:lang w:val="en-GB"/>
        </w:rPr>
        <w:t>gard for</w:t>
      </w:r>
      <w:r w:rsidR="003D5885" w:rsidRPr="00663E17">
        <w:rPr>
          <w:rFonts w:cstheme="minorHAnsi"/>
          <w:szCs w:val="20"/>
          <w:lang w:val="en-GB"/>
        </w:rPr>
        <w:t xml:space="preserve"> their independence</w:t>
      </w:r>
      <w:r w:rsidR="00AD0240" w:rsidRPr="00663E17">
        <w:rPr>
          <w:rFonts w:cstheme="minorHAnsi"/>
          <w:szCs w:val="20"/>
          <w:lang w:val="en-GB"/>
        </w:rPr>
        <w:t xml:space="preserve"> and towards </w:t>
      </w:r>
      <w:r w:rsidR="008B2AF6" w:rsidRPr="00663E17">
        <w:rPr>
          <w:rFonts w:cstheme="minorHAnsi"/>
          <w:szCs w:val="20"/>
          <w:lang w:val="en-GB"/>
        </w:rPr>
        <w:t>European</w:t>
      </w:r>
      <w:r w:rsidR="003D5885" w:rsidRPr="00663E17">
        <w:rPr>
          <w:rFonts w:cstheme="minorHAnsi"/>
          <w:szCs w:val="20"/>
          <w:lang w:val="en-GB"/>
        </w:rPr>
        <w:t xml:space="preserve"> standards related to media pluralism and </w:t>
      </w:r>
      <w:r w:rsidR="008B2AF6" w:rsidRPr="00663E17">
        <w:rPr>
          <w:rFonts w:cstheme="minorHAnsi"/>
          <w:szCs w:val="20"/>
          <w:lang w:val="en-GB"/>
        </w:rPr>
        <w:t xml:space="preserve">transparency </w:t>
      </w:r>
      <w:r w:rsidR="003D5885" w:rsidRPr="00663E17">
        <w:rPr>
          <w:rFonts w:cstheme="minorHAnsi"/>
          <w:szCs w:val="20"/>
          <w:lang w:val="en-GB"/>
        </w:rPr>
        <w:t>of media ownership</w:t>
      </w:r>
      <w:r w:rsidR="00AD0240" w:rsidRPr="00663E17">
        <w:rPr>
          <w:rFonts w:cstheme="minorHAnsi"/>
          <w:szCs w:val="20"/>
          <w:lang w:val="en-GB"/>
        </w:rPr>
        <w:t>.</w:t>
      </w:r>
      <w:r w:rsidR="007C445D" w:rsidRPr="00663E17">
        <w:rPr>
          <w:rStyle w:val="FootnoteReference"/>
          <w:rFonts w:cstheme="minorHAnsi"/>
          <w:szCs w:val="20"/>
          <w:lang w:val="en-GB"/>
        </w:rPr>
        <w:footnoteReference w:id="39"/>
      </w:r>
      <w:r w:rsidR="00AD0240" w:rsidRPr="00663E17">
        <w:rPr>
          <w:rFonts w:cstheme="minorHAnsi"/>
          <w:szCs w:val="20"/>
          <w:lang w:val="en-GB"/>
        </w:rPr>
        <w:t xml:space="preserve"> The latter are </w:t>
      </w:r>
      <w:r w:rsidR="003D5885" w:rsidRPr="00663E17">
        <w:rPr>
          <w:rFonts w:cstheme="minorHAnsi"/>
          <w:szCs w:val="20"/>
          <w:lang w:val="en-GB"/>
        </w:rPr>
        <w:t xml:space="preserve">crucial safeguards </w:t>
      </w:r>
      <w:r w:rsidR="00B9118F" w:rsidRPr="00663E17">
        <w:rPr>
          <w:rFonts w:cstheme="minorHAnsi"/>
          <w:szCs w:val="20"/>
          <w:lang w:val="en-GB"/>
        </w:rPr>
        <w:t xml:space="preserve">and should be scrupulously adhered to </w:t>
      </w:r>
      <w:r w:rsidR="003D5885" w:rsidRPr="00663E17">
        <w:rPr>
          <w:rFonts w:cstheme="minorHAnsi"/>
          <w:szCs w:val="20"/>
          <w:lang w:val="en-GB"/>
        </w:rPr>
        <w:t xml:space="preserve">in an environment where the growth of large media conglomerates </w:t>
      </w:r>
      <w:r w:rsidR="005825C9" w:rsidRPr="00663E17">
        <w:rPr>
          <w:rFonts w:cstheme="minorHAnsi"/>
          <w:szCs w:val="20"/>
          <w:lang w:val="en-GB"/>
        </w:rPr>
        <w:t xml:space="preserve">across Europe </w:t>
      </w:r>
      <w:r w:rsidR="00A329A1">
        <w:rPr>
          <w:rFonts w:cstheme="minorHAnsi"/>
          <w:szCs w:val="20"/>
          <w:lang w:val="en-GB"/>
        </w:rPr>
        <w:t xml:space="preserve">is indeed </w:t>
      </w:r>
      <w:r w:rsidR="003D5885" w:rsidRPr="00663E17">
        <w:rPr>
          <w:rFonts w:cstheme="minorHAnsi"/>
          <w:szCs w:val="20"/>
          <w:lang w:val="en-GB"/>
        </w:rPr>
        <w:t>rais</w:t>
      </w:r>
      <w:r w:rsidR="00A329A1">
        <w:rPr>
          <w:rFonts w:cstheme="minorHAnsi"/>
          <w:szCs w:val="20"/>
          <w:lang w:val="en-GB"/>
        </w:rPr>
        <w:t>ing</w:t>
      </w:r>
      <w:r w:rsidR="003D5885" w:rsidRPr="00663E17">
        <w:rPr>
          <w:rFonts w:cstheme="minorHAnsi"/>
          <w:szCs w:val="20"/>
          <w:lang w:val="en-GB"/>
        </w:rPr>
        <w:t xml:space="preserve"> concerns.</w:t>
      </w:r>
      <w:r w:rsidR="00AD0240" w:rsidRPr="00663E17">
        <w:rPr>
          <w:rFonts w:cstheme="minorHAnsi"/>
          <w:szCs w:val="20"/>
          <w:lang w:val="en-GB"/>
        </w:rPr>
        <w:t xml:space="preserve"> </w:t>
      </w:r>
    </w:p>
    <w:p w14:paraId="6C7974CF" w14:textId="77777777" w:rsidR="00663E17" w:rsidRPr="00663E17" w:rsidRDefault="00663E17" w:rsidP="001A7208">
      <w:pPr>
        <w:tabs>
          <w:tab w:val="left" w:pos="1613"/>
        </w:tabs>
        <w:spacing w:after="0" w:line="240" w:lineRule="auto"/>
        <w:ind w:left="426" w:hanging="357"/>
        <w:jc w:val="both"/>
        <w:rPr>
          <w:rFonts w:cstheme="minorHAnsi"/>
          <w:szCs w:val="20"/>
          <w:u w:val="single"/>
          <w:lang w:val="en-GB"/>
        </w:rPr>
      </w:pPr>
    </w:p>
    <w:p w14:paraId="1CF4345D" w14:textId="2386DDEC" w:rsidR="00D37ECF" w:rsidRPr="00AF582E" w:rsidRDefault="00906C2D" w:rsidP="001A7208">
      <w:pPr>
        <w:pStyle w:val="ListParagraph"/>
        <w:numPr>
          <w:ilvl w:val="0"/>
          <w:numId w:val="21"/>
        </w:numPr>
        <w:spacing w:after="0" w:line="240" w:lineRule="auto"/>
        <w:ind w:left="1134" w:hanging="425"/>
        <w:contextualSpacing w:val="0"/>
        <w:rPr>
          <w:rFonts w:eastAsia="Times New Roman" w:cs="Arial"/>
          <w:b/>
          <w:bCs/>
          <w:szCs w:val="20"/>
          <w:lang w:val="en-GB" w:eastAsia="zh-CN"/>
        </w:rPr>
      </w:pPr>
      <w:r>
        <w:rPr>
          <w:rFonts w:eastAsia="Times New Roman" w:cs="Arial"/>
          <w:b/>
          <w:bCs/>
          <w:szCs w:val="20"/>
          <w:lang w:val="en-GB" w:eastAsia="zh-CN"/>
        </w:rPr>
        <w:t>Political agenda-setting by the National Communication Office</w:t>
      </w:r>
    </w:p>
    <w:p w14:paraId="34076F33" w14:textId="77777777" w:rsidR="00A8405B" w:rsidRPr="00663E17" w:rsidRDefault="00A8405B" w:rsidP="001A7208">
      <w:pPr>
        <w:tabs>
          <w:tab w:val="left" w:pos="1613"/>
        </w:tabs>
        <w:spacing w:after="0" w:line="240" w:lineRule="auto"/>
        <w:ind w:left="426" w:hanging="357"/>
        <w:jc w:val="both"/>
        <w:rPr>
          <w:rFonts w:cstheme="minorHAnsi"/>
          <w:szCs w:val="20"/>
          <w:u w:val="single"/>
          <w:lang w:val="en-GB"/>
        </w:rPr>
      </w:pPr>
    </w:p>
    <w:p w14:paraId="259F3ACF" w14:textId="271D8A7C" w:rsidR="00DF75A5" w:rsidRPr="00663E17" w:rsidRDefault="00D37ECF" w:rsidP="001A7208">
      <w:pPr>
        <w:numPr>
          <w:ilvl w:val="0"/>
          <w:numId w:val="2"/>
        </w:numPr>
        <w:tabs>
          <w:tab w:val="left" w:pos="1613"/>
        </w:tabs>
        <w:spacing w:after="0" w:line="240" w:lineRule="auto"/>
        <w:ind w:left="714" w:hanging="357"/>
        <w:jc w:val="both"/>
        <w:rPr>
          <w:rFonts w:cstheme="minorHAnsi"/>
          <w:iCs/>
          <w:szCs w:val="20"/>
          <w:lang w:val="en-GB"/>
        </w:rPr>
      </w:pPr>
      <w:bookmarkStart w:id="5" w:name="_Hlk66182105"/>
      <w:r w:rsidRPr="00663E17">
        <w:rPr>
          <w:rFonts w:cstheme="minorHAnsi"/>
          <w:szCs w:val="20"/>
          <w:lang w:val="en-GB"/>
        </w:rPr>
        <w:t xml:space="preserve">The National Communication Office was created in </w:t>
      </w:r>
      <w:r w:rsidR="0095351B" w:rsidRPr="00663E17">
        <w:rPr>
          <w:rFonts w:cstheme="minorHAnsi"/>
          <w:szCs w:val="20"/>
          <w:lang w:val="en-GB"/>
        </w:rPr>
        <w:t xml:space="preserve">October </w:t>
      </w:r>
      <w:r w:rsidRPr="00663E17">
        <w:rPr>
          <w:rFonts w:cstheme="minorHAnsi"/>
          <w:szCs w:val="20"/>
          <w:lang w:val="en-GB"/>
        </w:rPr>
        <w:t xml:space="preserve">2015 </w:t>
      </w:r>
      <w:r w:rsidRPr="00663E17">
        <w:rPr>
          <w:rFonts w:cstheme="minorHAnsi"/>
          <w:iCs/>
          <w:szCs w:val="20"/>
          <w:lang w:val="en-GB"/>
        </w:rPr>
        <w:t xml:space="preserve">and is officially charged with </w:t>
      </w:r>
      <w:r w:rsidR="000232A7">
        <w:rPr>
          <w:rFonts w:cstheme="minorHAnsi"/>
          <w:iCs/>
          <w:szCs w:val="20"/>
          <w:lang w:val="en-GB"/>
        </w:rPr>
        <w:t>“</w:t>
      </w:r>
      <w:r w:rsidRPr="00663E17">
        <w:rPr>
          <w:rFonts w:cstheme="minorHAnsi"/>
          <w:iCs/>
          <w:szCs w:val="20"/>
          <w:lang w:val="en-GB"/>
        </w:rPr>
        <w:t xml:space="preserve">preparing and </w:t>
      </w:r>
      <w:r w:rsidR="00817316">
        <w:rPr>
          <w:rFonts w:cstheme="minorHAnsi"/>
          <w:iCs/>
          <w:szCs w:val="20"/>
          <w:lang w:val="en-GB"/>
        </w:rPr>
        <w:t xml:space="preserve">spreading </w:t>
      </w:r>
      <w:r w:rsidRPr="00663E17">
        <w:rPr>
          <w:rFonts w:cstheme="minorHAnsi"/>
          <w:iCs/>
          <w:szCs w:val="20"/>
          <w:lang w:val="en-GB"/>
        </w:rPr>
        <w:t>the government’s messages</w:t>
      </w:r>
      <w:r w:rsidR="000232A7">
        <w:rPr>
          <w:rFonts w:cstheme="minorHAnsi"/>
          <w:iCs/>
          <w:szCs w:val="20"/>
          <w:lang w:val="en-GB"/>
        </w:rPr>
        <w:t>”</w:t>
      </w:r>
      <w:r w:rsidR="0095351B" w:rsidRPr="00663E17">
        <w:rPr>
          <w:rFonts w:cstheme="minorHAnsi"/>
          <w:iCs/>
          <w:szCs w:val="20"/>
          <w:lang w:val="en-GB"/>
        </w:rPr>
        <w:t xml:space="preserve"> through </w:t>
      </w:r>
      <w:r w:rsidR="0095351B" w:rsidRPr="00663E17">
        <w:rPr>
          <w:rFonts w:cstheme="minorHAnsi"/>
          <w:iCs/>
          <w:szCs w:val="20"/>
        </w:rPr>
        <w:t>billboard, television, radio and print advertisements</w:t>
      </w:r>
      <w:r w:rsidRPr="00663E17">
        <w:rPr>
          <w:rFonts w:cstheme="minorHAnsi"/>
          <w:iCs/>
          <w:szCs w:val="20"/>
          <w:lang w:val="en-GB"/>
        </w:rPr>
        <w:t xml:space="preserve">. </w:t>
      </w:r>
      <w:r w:rsidR="0095351B" w:rsidRPr="00663E17">
        <w:rPr>
          <w:rFonts w:cstheme="minorHAnsi"/>
          <w:iCs/>
          <w:szCs w:val="20"/>
          <w:lang w:val="en-GB"/>
        </w:rPr>
        <w:t xml:space="preserve">Its </w:t>
      </w:r>
      <w:r w:rsidRPr="00663E17">
        <w:rPr>
          <w:rFonts w:cstheme="minorHAnsi"/>
          <w:iCs/>
          <w:szCs w:val="20"/>
          <w:lang w:val="en-GB"/>
        </w:rPr>
        <w:t>budget is reported to have grown exponentially in recent years.</w:t>
      </w:r>
      <w:r w:rsidRPr="00663E17">
        <w:rPr>
          <w:rStyle w:val="FootnoteReference"/>
          <w:rFonts w:cstheme="minorHAnsi"/>
          <w:iCs/>
          <w:szCs w:val="20"/>
          <w:lang w:val="en-GB"/>
        </w:rPr>
        <w:footnoteReference w:id="40"/>
      </w:r>
      <w:r w:rsidRPr="00663E17">
        <w:rPr>
          <w:rFonts w:cstheme="minorHAnsi"/>
          <w:iCs/>
          <w:szCs w:val="20"/>
          <w:lang w:val="en-GB"/>
        </w:rPr>
        <w:t xml:space="preserve"> </w:t>
      </w:r>
      <w:r w:rsidR="0022644C" w:rsidRPr="00663E17">
        <w:rPr>
          <w:rFonts w:cstheme="minorHAnsi"/>
          <w:iCs/>
          <w:szCs w:val="20"/>
          <w:lang w:val="en-GB"/>
        </w:rPr>
        <w:t>One feature of the national communication strategy has been the organisation of so-called “national consultation campaigns”, which are</w:t>
      </w:r>
      <w:r w:rsidR="0022644C" w:rsidRPr="00663E17">
        <w:rPr>
          <w:rFonts w:eastAsia="Times New Roman" w:cstheme="minorHAnsi"/>
          <w:iCs/>
          <w:szCs w:val="20"/>
          <w:lang w:val="en-GB" w:eastAsia="en-GB"/>
        </w:rPr>
        <w:t xml:space="preserve"> </w:t>
      </w:r>
      <w:r w:rsidR="0022644C" w:rsidRPr="00663E17">
        <w:rPr>
          <w:rFonts w:cstheme="minorHAnsi"/>
          <w:iCs/>
          <w:szCs w:val="20"/>
          <w:lang w:val="en-GB"/>
        </w:rPr>
        <w:t xml:space="preserve">direct marketing campaign letters sent to every Hungarian household on behalf of the government to seek the </w:t>
      </w:r>
      <w:r w:rsidR="00817316">
        <w:rPr>
          <w:rFonts w:cstheme="minorHAnsi"/>
          <w:iCs/>
          <w:szCs w:val="20"/>
          <w:lang w:val="en-GB"/>
        </w:rPr>
        <w:t xml:space="preserve">people’s </w:t>
      </w:r>
      <w:r w:rsidR="0022644C" w:rsidRPr="00663E17">
        <w:rPr>
          <w:rFonts w:cstheme="minorHAnsi"/>
          <w:iCs/>
          <w:szCs w:val="20"/>
          <w:lang w:val="en-GB"/>
        </w:rPr>
        <w:t xml:space="preserve">opinion. </w:t>
      </w:r>
      <w:r w:rsidR="00E74C22" w:rsidRPr="00663E17">
        <w:rPr>
          <w:rFonts w:cstheme="minorHAnsi"/>
          <w:iCs/>
          <w:szCs w:val="20"/>
          <w:lang w:val="en-GB"/>
        </w:rPr>
        <w:t xml:space="preserve">In the letters, Hungarian citizens are asked to </w:t>
      </w:r>
      <w:r w:rsidR="005825C9" w:rsidRPr="00663E17">
        <w:rPr>
          <w:rFonts w:cstheme="minorHAnsi"/>
          <w:iCs/>
          <w:szCs w:val="20"/>
          <w:lang w:val="en-GB"/>
        </w:rPr>
        <w:t xml:space="preserve">indicate their </w:t>
      </w:r>
      <w:r w:rsidR="00E74C22" w:rsidRPr="00663E17">
        <w:rPr>
          <w:rFonts w:cstheme="minorHAnsi"/>
          <w:iCs/>
          <w:szCs w:val="20"/>
          <w:lang w:val="en-GB"/>
        </w:rPr>
        <w:t xml:space="preserve">support </w:t>
      </w:r>
      <w:r w:rsidR="00817316">
        <w:rPr>
          <w:rFonts w:cstheme="minorHAnsi"/>
          <w:iCs/>
          <w:szCs w:val="20"/>
          <w:lang w:val="en-GB"/>
        </w:rPr>
        <w:t xml:space="preserve">for or rejection of </w:t>
      </w:r>
      <w:r w:rsidR="00E74C22" w:rsidRPr="00663E17">
        <w:rPr>
          <w:rFonts w:cstheme="minorHAnsi"/>
          <w:iCs/>
          <w:szCs w:val="20"/>
          <w:lang w:val="en-GB"/>
        </w:rPr>
        <w:t xml:space="preserve">certain statements that could be </w:t>
      </w:r>
      <w:r w:rsidR="0022644C" w:rsidRPr="00663E17">
        <w:rPr>
          <w:rFonts w:cstheme="minorHAnsi"/>
          <w:iCs/>
          <w:szCs w:val="20"/>
          <w:lang w:val="en-GB"/>
        </w:rPr>
        <w:t xml:space="preserve">interpreted as </w:t>
      </w:r>
      <w:r w:rsidR="00E74C22" w:rsidRPr="00663E17">
        <w:rPr>
          <w:rFonts w:cstheme="minorHAnsi"/>
          <w:iCs/>
          <w:szCs w:val="20"/>
          <w:lang w:val="en-GB"/>
        </w:rPr>
        <w:t xml:space="preserve">fearmongering or </w:t>
      </w:r>
      <w:r w:rsidR="0022644C" w:rsidRPr="00663E17">
        <w:rPr>
          <w:rFonts w:cstheme="minorHAnsi"/>
          <w:iCs/>
          <w:szCs w:val="20"/>
          <w:lang w:val="en-GB"/>
        </w:rPr>
        <w:t>scapegoating.</w:t>
      </w:r>
      <w:r w:rsidR="00E74C22" w:rsidRPr="00663E17">
        <w:rPr>
          <w:rStyle w:val="FootnoteReference"/>
          <w:rFonts w:cstheme="minorHAnsi"/>
          <w:iCs/>
          <w:szCs w:val="20"/>
          <w:lang w:val="en-GB"/>
        </w:rPr>
        <w:footnoteReference w:id="41"/>
      </w:r>
      <w:r w:rsidR="00E74C22" w:rsidRPr="00663E17">
        <w:rPr>
          <w:rFonts w:cstheme="minorHAnsi"/>
          <w:iCs/>
          <w:szCs w:val="20"/>
          <w:lang w:val="en-GB"/>
        </w:rPr>
        <w:t xml:space="preserve"> </w:t>
      </w:r>
      <w:r w:rsidR="00817316">
        <w:rPr>
          <w:rFonts w:cstheme="minorHAnsi"/>
          <w:iCs/>
          <w:szCs w:val="20"/>
          <w:lang w:val="en-GB"/>
        </w:rPr>
        <w:t>The r</w:t>
      </w:r>
      <w:r w:rsidR="00E74C22" w:rsidRPr="00663E17">
        <w:rPr>
          <w:rFonts w:cstheme="minorHAnsi"/>
          <w:iCs/>
          <w:szCs w:val="20"/>
          <w:lang w:val="en-GB"/>
        </w:rPr>
        <w:t xml:space="preserve">esults are not public. The national consultation campaigns have been </w:t>
      </w:r>
      <w:r w:rsidR="00817316">
        <w:rPr>
          <w:rFonts w:cstheme="minorHAnsi"/>
          <w:iCs/>
          <w:szCs w:val="20"/>
          <w:lang w:val="en-GB"/>
        </w:rPr>
        <w:t>strongl</w:t>
      </w:r>
      <w:r w:rsidR="00E74C22" w:rsidRPr="00663E17">
        <w:rPr>
          <w:rFonts w:cstheme="minorHAnsi"/>
          <w:iCs/>
          <w:szCs w:val="20"/>
          <w:lang w:val="en-GB"/>
        </w:rPr>
        <w:t xml:space="preserve">y criticised </w:t>
      </w:r>
      <w:r w:rsidR="00817316">
        <w:rPr>
          <w:rFonts w:cstheme="minorHAnsi"/>
          <w:iCs/>
          <w:szCs w:val="20"/>
          <w:lang w:val="en-GB"/>
        </w:rPr>
        <w:t xml:space="preserve">both </w:t>
      </w:r>
      <w:r w:rsidR="00E74C22" w:rsidRPr="00663E17">
        <w:rPr>
          <w:rFonts w:cstheme="minorHAnsi"/>
          <w:iCs/>
          <w:szCs w:val="20"/>
          <w:lang w:val="en-GB"/>
        </w:rPr>
        <w:t xml:space="preserve">for being “hate campaigns” </w:t>
      </w:r>
      <w:r w:rsidR="00817316">
        <w:rPr>
          <w:rFonts w:cstheme="minorHAnsi"/>
          <w:iCs/>
          <w:szCs w:val="20"/>
          <w:lang w:val="en-GB"/>
        </w:rPr>
        <w:t>and</w:t>
      </w:r>
      <w:r w:rsidR="00E74C22" w:rsidRPr="00663E17">
        <w:rPr>
          <w:rFonts w:cstheme="minorHAnsi"/>
          <w:iCs/>
          <w:szCs w:val="20"/>
          <w:lang w:val="en-GB"/>
        </w:rPr>
        <w:t xml:space="preserve"> for being part of </w:t>
      </w:r>
      <w:proofErr w:type="spellStart"/>
      <w:r w:rsidR="00E74C22" w:rsidRPr="00663E17">
        <w:rPr>
          <w:rFonts w:cstheme="minorHAnsi"/>
          <w:iCs/>
          <w:szCs w:val="20"/>
          <w:lang w:val="en-GB"/>
        </w:rPr>
        <w:t>Fidesz’</w:t>
      </w:r>
      <w:r w:rsidR="00817316">
        <w:rPr>
          <w:rFonts w:cstheme="minorHAnsi"/>
          <w:iCs/>
          <w:szCs w:val="20"/>
          <w:lang w:val="en-GB"/>
        </w:rPr>
        <w:t>s</w:t>
      </w:r>
      <w:proofErr w:type="spellEnd"/>
      <w:r w:rsidR="00E74C22" w:rsidRPr="00663E17">
        <w:rPr>
          <w:rFonts w:cstheme="minorHAnsi"/>
          <w:iCs/>
          <w:szCs w:val="20"/>
          <w:lang w:val="en-GB"/>
        </w:rPr>
        <w:t xml:space="preserve"> efforts to set the political agenda </w:t>
      </w:r>
      <w:r w:rsidR="00C76A7E" w:rsidRPr="00663E17">
        <w:rPr>
          <w:rFonts w:cstheme="minorHAnsi"/>
          <w:iCs/>
          <w:szCs w:val="20"/>
          <w:lang w:val="en-GB"/>
        </w:rPr>
        <w:t xml:space="preserve">ahead of a national election </w:t>
      </w:r>
      <w:r w:rsidR="00E74C22" w:rsidRPr="00663E17">
        <w:rPr>
          <w:rFonts w:cstheme="minorHAnsi"/>
          <w:iCs/>
          <w:szCs w:val="20"/>
          <w:lang w:val="en-GB"/>
        </w:rPr>
        <w:t>– at the taxpayers’ expense.</w:t>
      </w:r>
      <w:r w:rsidR="00E74C22" w:rsidRPr="00663E17">
        <w:rPr>
          <w:rStyle w:val="FootnoteReference"/>
          <w:rFonts w:cstheme="minorHAnsi"/>
          <w:iCs/>
          <w:szCs w:val="20"/>
          <w:lang w:val="en-GB"/>
        </w:rPr>
        <w:footnoteReference w:id="42"/>
      </w:r>
      <w:r w:rsidR="00E74C22" w:rsidRPr="00663E17">
        <w:rPr>
          <w:rFonts w:cstheme="minorHAnsi"/>
          <w:iCs/>
          <w:szCs w:val="20"/>
          <w:lang w:val="en-GB"/>
        </w:rPr>
        <w:t xml:space="preserve"> </w:t>
      </w:r>
    </w:p>
    <w:bookmarkEnd w:id="5"/>
    <w:p w14:paraId="59B86C45" w14:textId="77777777" w:rsidR="00DF75A5" w:rsidRPr="00663E17" w:rsidRDefault="00DF75A5" w:rsidP="001A7208">
      <w:pPr>
        <w:tabs>
          <w:tab w:val="left" w:pos="1613"/>
        </w:tabs>
        <w:spacing w:after="0" w:line="240" w:lineRule="auto"/>
        <w:ind w:left="426"/>
        <w:jc w:val="both"/>
        <w:rPr>
          <w:rFonts w:cstheme="minorHAnsi"/>
          <w:iCs/>
          <w:szCs w:val="20"/>
          <w:lang w:val="en-GB"/>
        </w:rPr>
      </w:pPr>
    </w:p>
    <w:p w14:paraId="76E4AE14" w14:textId="50E88011" w:rsidR="006E09BE" w:rsidRPr="00663E17" w:rsidRDefault="00EA4F4B" w:rsidP="001A7208">
      <w:pPr>
        <w:numPr>
          <w:ilvl w:val="0"/>
          <w:numId w:val="2"/>
        </w:numPr>
        <w:tabs>
          <w:tab w:val="left" w:pos="1613"/>
        </w:tabs>
        <w:spacing w:after="0" w:line="240" w:lineRule="auto"/>
        <w:ind w:left="714" w:hanging="357"/>
        <w:jc w:val="both"/>
        <w:rPr>
          <w:rFonts w:cstheme="minorHAnsi"/>
          <w:iCs/>
          <w:szCs w:val="20"/>
          <w:lang w:val="en-GB"/>
        </w:rPr>
      </w:pPr>
      <w:r w:rsidRPr="00663E17">
        <w:rPr>
          <w:rFonts w:cstheme="minorHAnsi"/>
          <w:iCs/>
          <w:szCs w:val="20"/>
          <w:lang w:val="en-GB"/>
        </w:rPr>
        <w:t>The OSCE</w:t>
      </w:r>
      <w:r w:rsidR="00817316">
        <w:rPr>
          <w:rFonts w:cstheme="minorHAnsi"/>
          <w:iCs/>
          <w:szCs w:val="20"/>
          <w:lang w:val="en-GB"/>
        </w:rPr>
        <w:t>’s</w:t>
      </w:r>
      <w:r w:rsidRPr="00663E17">
        <w:rPr>
          <w:rFonts w:cstheme="minorHAnsi"/>
          <w:iCs/>
          <w:szCs w:val="20"/>
          <w:lang w:val="en-GB"/>
        </w:rPr>
        <w:t xml:space="preserve"> final report on the April 2018 elections concluded that </w:t>
      </w:r>
      <w:r w:rsidRPr="00663E17">
        <w:rPr>
          <w:rFonts w:cstheme="minorHAnsi"/>
          <w:iCs/>
          <w:szCs w:val="20"/>
        </w:rPr>
        <w:t xml:space="preserve">the main governing party enjoyed an undue </w:t>
      </w:r>
      <w:r w:rsidR="00A8405B" w:rsidRPr="00663E17">
        <w:rPr>
          <w:rFonts w:cstheme="minorHAnsi"/>
          <w:iCs/>
          <w:szCs w:val="20"/>
        </w:rPr>
        <w:t xml:space="preserve">campaign </w:t>
      </w:r>
      <w:r w:rsidRPr="00663E17">
        <w:rPr>
          <w:rFonts w:cstheme="minorHAnsi"/>
          <w:iCs/>
          <w:szCs w:val="20"/>
        </w:rPr>
        <w:t>advantage because of a pervasive overlap between state and ruling party resources, biased media coverage and opaque campaign financing regulations</w:t>
      </w:r>
      <w:r w:rsidR="00A8405B" w:rsidRPr="00663E17">
        <w:rPr>
          <w:rFonts w:cstheme="minorHAnsi"/>
          <w:iCs/>
          <w:szCs w:val="20"/>
        </w:rPr>
        <w:t>,</w:t>
      </w:r>
      <w:r w:rsidR="00906C2D">
        <w:rPr>
          <w:rFonts w:cstheme="minorHAnsi"/>
          <w:iCs/>
          <w:szCs w:val="20"/>
        </w:rPr>
        <w:t xml:space="preserve"> </w:t>
      </w:r>
      <w:r w:rsidR="00A8405B" w:rsidRPr="00663E17">
        <w:rPr>
          <w:rFonts w:cstheme="minorHAnsi"/>
          <w:iCs/>
          <w:szCs w:val="20"/>
        </w:rPr>
        <w:t>recommend</w:t>
      </w:r>
      <w:r w:rsidR="00906C2D">
        <w:rPr>
          <w:rFonts w:cstheme="minorHAnsi"/>
          <w:iCs/>
          <w:szCs w:val="20"/>
        </w:rPr>
        <w:t>ing</w:t>
      </w:r>
      <w:r w:rsidRPr="00663E17">
        <w:rPr>
          <w:rFonts w:cstheme="minorHAnsi"/>
          <w:color w:val="000000"/>
          <w:szCs w:val="20"/>
          <w:shd w:val="clear" w:color="auto" w:fill="FFFFFF"/>
        </w:rPr>
        <w:t xml:space="preserve"> </w:t>
      </w:r>
      <w:r w:rsidRPr="00663E17">
        <w:rPr>
          <w:rFonts w:cstheme="minorHAnsi"/>
          <w:iCs/>
          <w:szCs w:val="20"/>
        </w:rPr>
        <w:t xml:space="preserve">that government information activities </w:t>
      </w:r>
      <w:r w:rsidR="005825C9" w:rsidRPr="00663E17">
        <w:rPr>
          <w:rFonts w:cstheme="minorHAnsi"/>
          <w:iCs/>
          <w:szCs w:val="20"/>
        </w:rPr>
        <w:t xml:space="preserve">should </w:t>
      </w:r>
      <w:r w:rsidRPr="00663E17">
        <w:rPr>
          <w:rFonts w:cstheme="minorHAnsi"/>
          <w:iCs/>
          <w:szCs w:val="20"/>
        </w:rPr>
        <w:t>avoid any appearance of seeking to influence voting</w:t>
      </w:r>
      <w:r w:rsidR="00A8405B" w:rsidRPr="00663E17">
        <w:rPr>
          <w:rFonts w:cstheme="minorHAnsi"/>
          <w:iCs/>
          <w:szCs w:val="20"/>
        </w:rPr>
        <w:t>.</w:t>
      </w:r>
      <w:r w:rsidR="00A8405B" w:rsidRPr="00663E17">
        <w:rPr>
          <w:rStyle w:val="FootnoteReference"/>
          <w:rFonts w:cstheme="minorHAnsi"/>
          <w:iCs/>
          <w:szCs w:val="20"/>
          <w:lang w:val="en-GB"/>
        </w:rPr>
        <w:footnoteReference w:id="43"/>
      </w:r>
      <w:r w:rsidR="006926C9" w:rsidRPr="00663E17">
        <w:rPr>
          <w:rFonts w:cstheme="minorHAnsi"/>
          <w:iCs/>
          <w:szCs w:val="20"/>
        </w:rPr>
        <w:t xml:space="preserve"> The Court has repeatedly underlined </w:t>
      </w:r>
      <w:r w:rsidR="00690AD2" w:rsidRPr="00663E17">
        <w:rPr>
          <w:rFonts w:cstheme="minorHAnsi"/>
          <w:iCs/>
          <w:szCs w:val="20"/>
        </w:rPr>
        <w:t>the</w:t>
      </w:r>
      <w:r w:rsidR="0021215A" w:rsidRPr="00663E17">
        <w:rPr>
          <w:rFonts w:cstheme="minorHAnsi"/>
          <w:color w:val="000000"/>
          <w:szCs w:val="20"/>
          <w:lang w:val="en-GB"/>
        </w:rPr>
        <w:t xml:space="preserve"> </w:t>
      </w:r>
      <w:r w:rsidR="0021215A" w:rsidRPr="00663E17">
        <w:rPr>
          <w:rFonts w:cstheme="minorHAnsi"/>
          <w:iCs/>
          <w:szCs w:val="20"/>
          <w:lang w:val="en-GB"/>
        </w:rPr>
        <w:t>close relationship between the right to free elections and freedom of expression</w:t>
      </w:r>
      <w:r w:rsidR="00906C2D">
        <w:rPr>
          <w:rFonts w:cstheme="minorHAnsi"/>
          <w:iCs/>
          <w:szCs w:val="20"/>
          <w:lang w:val="en-GB"/>
        </w:rPr>
        <w:t xml:space="preserve">, particularly freedom of political debate, which </w:t>
      </w:r>
      <w:r w:rsidR="0021215A" w:rsidRPr="00663E17">
        <w:rPr>
          <w:rFonts w:cstheme="minorHAnsi"/>
          <w:iCs/>
          <w:szCs w:val="20"/>
          <w:lang w:val="en-GB"/>
        </w:rPr>
        <w:t xml:space="preserve">together form </w:t>
      </w:r>
      <w:r w:rsidR="00DF75A5" w:rsidRPr="00663E17">
        <w:rPr>
          <w:rFonts w:cstheme="minorHAnsi"/>
          <w:iCs/>
          <w:szCs w:val="20"/>
          <w:lang w:val="en-GB"/>
        </w:rPr>
        <w:t>“</w:t>
      </w:r>
      <w:r w:rsidR="0021215A" w:rsidRPr="00663E17">
        <w:rPr>
          <w:rFonts w:cstheme="minorHAnsi"/>
          <w:iCs/>
          <w:szCs w:val="20"/>
          <w:lang w:val="en-GB"/>
        </w:rPr>
        <w:t>the bedrock of any democratic system</w:t>
      </w:r>
      <w:r w:rsidR="00DF75A5" w:rsidRPr="00663E17">
        <w:rPr>
          <w:rFonts w:cstheme="minorHAnsi"/>
          <w:iCs/>
          <w:szCs w:val="20"/>
          <w:lang w:val="en-GB"/>
        </w:rPr>
        <w:t>”</w:t>
      </w:r>
      <w:r w:rsidR="0021215A" w:rsidRPr="00663E17">
        <w:rPr>
          <w:rFonts w:cstheme="minorHAnsi"/>
          <w:iCs/>
          <w:szCs w:val="20"/>
          <w:lang w:val="en-GB"/>
        </w:rPr>
        <w:t>.</w:t>
      </w:r>
      <w:r w:rsidR="00DF75A5" w:rsidRPr="00663E17">
        <w:rPr>
          <w:rStyle w:val="FootnoteReference"/>
          <w:rFonts w:cstheme="minorHAnsi"/>
          <w:iCs/>
          <w:szCs w:val="20"/>
          <w:lang w:val="en-GB"/>
        </w:rPr>
        <w:footnoteReference w:id="44"/>
      </w:r>
      <w:r w:rsidR="006E09BE" w:rsidRPr="00663E17">
        <w:rPr>
          <w:rFonts w:cstheme="minorHAnsi"/>
          <w:iCs/>
          <w:szCs w:val="20"/>
        </w:rPr>
        <w:t xml:space="preserve"> </w:t>
      </w:r>
      <w:r w:rsidR="007A0878">
        <w:rPr>
          <w:rFonts w:cstheme="minorHAnsi"/>
          <w:iCs/>
          <w:szCs w:val="20"/>
        </w:rPr>
        <w:t>The Commission</w:t>
      </w:r>
      <w:r w:rsidR="000232A7">
        <w:rPr>
          <w:rFonts w:cstheme="minorHAnsi"/>
          <w:iCs/>
          <w:szCs w:val="20"/>
        </w:rPr>
        <w:t>er</w:t>
      </w:r>
      <w:r w:rsidR="007A0878">
        <w:rPr>
          <w:rFonts w:cstheme="minorHAnsi"/>
          <w:iCs/>
          <w:szCs w:val="20"/>
        </w:rPr>
        <w:t xml:space="preserve"> </w:t>
      </w:r>
      <w:r w:rsidR="00817316">
        <w:rPr>
          <w:rFonts w:cstheme="minorHAnsi"/>
          <w:iCs/>
          <w:szCs w:val="20"/>
        </w:rPr>
        <w:t>stresses</w:t>
      </w:r>
      <w:r w:rsidR="000232A7">
        <w:rPr>
          <w:rFonts w:cstheme="minorHAnsi"/>
          <w:iCs/>
          <w:szCs w:val="20"/>
        </w:rPr>
        <w:t xml:space="preserve"> </w:t>
      </w:r>
      <w:r w:rsidR="007A0878">
        <w:rPr>
          <w:rFonts w:cstheme="minorHAnsi"/>
          <w:iCs/>
          <w:szCs w:val="20"/>
        </w:rPr>
        <w:t>that i</w:t>
      </w:r>
      <w:r w:rsidR="006C3315" w:rsidRPr="00663E17">
        <w:rPr>
          <w:rFonts w:cstheme="minorHAnsi"/>
          <w:iCs/>
          <w:szCs w:val="20"/>
        </w:rPr>
        <w:t>t is</w:t>
      </w:r>
      <w:r w:rsidR="006C3315" w:rsidRPr="00663E17">
        <w:rPr>
          <w:rFonts w:cstheme="minorHAnsi"/>
          <w:iCs/>
          <w:szCs w:val="20"/>
          <w:lang w:val="en-GB"/>
        </w:rPr>
        <w:t xml:space="preserve"> </w:t>
      </w:r>
      <w:r w:rsidR="006C3315" w:rsidRPr="00663E17">
        <w:rPr>
          <w:rFonts w:cstheme="minorHAnsi"/>
          <w:iCs/>
          <w:szCs w:val="20"/>
        </w:rPr>
        <w:t>particularly important in the period preceding an election that opinions and information of all kinds are permitted to circulate freely</w:t>
      </w:r>
      <w:r w:rsidR="00DF75A5" w:rsidRPr="00663E17">
        <w:rPr>
          <w:rFonts w:cstheme="minorHAnsi"/>
          <w:iCs/>
          <w:szCs w:val="20"/>
        </w:rPr>
        <w:t xml:space="preserve"> and that</w:t>
      </w:r>
      <w:r w:rsidR="00817316">
        <w:rPr>
          <w:rFonts w:cstheme="minorHAnsi"/>
          <w:iCs/>
          <w:szCs w:val="20"/>
        </w:rPr>
        <w:t xml:space="preserve"> there is</w:t>
      </w:r>
      <w:r w:rsidR="00DF75A5" w:rsidRPr="00663E17">
        <w:rPr>
          <w:rFonts w:cstheme="minorHAnsi"/>
          <w:iCs/>
          <w:szCs w:val="20"/>
        </w:rPr>
        <w:t xml:space="preserve"> fa</w:t>
      </w:r>
      <w:r w:rsidR="00F46E27">
        <w:rPr>
          <w:rFonts w:cstheme="minorHAnsi"/>
          <w:iCs/>
          <w:szCs w:val="20"/>
        </w:rPr>
        <w:t>i</w:t>
      </w:r>
      <w:r w:rsidR="00DF75A5" w:rsidRPr="00663E17">
        <w:rPr>
          <w:rFonts w:cstheme="minorHAnsi"/>
          <w:iCs/>
          <w:szCs w:val="20"/>
        </w:rPr>
        <w:t>r competition between the candidates</w:t>
      </w:r>
      <w:r w:rsidR="00817316">
        <w:rPr>
          <w:rFonts w:cstheme="minorHAnsi"/>
          <w:iCs/>
          <w:szCs w:val="20"/>
        </w:rPr>
        <w:t xml:space="preserve"> through means</w:t>
      </w:r>
      <w:r w:rsidR="00CE01F9">
        <w:rPr>
          <w:rFonts w:cstheme="minorHAnsi"/>
          <w:iCs/>
          <w:szCs w:val="20"/>
        </w:rPr>
        <w:t xml:space="preserve"> including </w:t>
      </w:r>
      <w:r w:rsidR="00353173">
        <w:rPr>
          <w:rFonts w:cstheme="minorHAnsi"/>
          <w:iCs/>
          <w:szCs w:val="20"/>
        </w:rPr>
        <w:t xml:space="preserve">unbiased </w:t>
      </w:r>
      <w:r w:rsidR="00CE01F9">
        <w:rPr>
          <w:rFonts w:cstheme="minorHAnsi"/>
          <w:iCs/>
          <w:szCs w:val="20"/>
        </w:rPr>
        <w:t xml:space="preserve">media coverage </w:t>
      </w:r>
      <w:r w:rsidR="000232A7">
        <w:rPr>
          <w:rFonts w:cstheme="minorHAnsi"/>
          <w:iCs/>
          <w:szCs w:val="20"/>
        </w:rPr>
        <w:t>throughout the country</w:t>
      </w:r>
      <w:r w:rsidR="00DF75A5" w:rsidRPr="00663E17">
        <w:rPr>
          <w:rFonts w:cstheme="minorHAnsi"/>
          <w:iCs/>
          <w:szCs w:val="20"/>
        </w:rPr>
        <w:t>.</w:t>
      </w:r>
      <w:r w:rsidR="006C3315" w:rsidRPr="00663E17">
        <w:rPr>
          <w:rStyle w:val="FootnoteReference"/>
          <w:rFonts w:cstheme="minorHAnsi"/>
          <w:iCs/>
          <w:szCs w:val="20"/>
        </w:rPr>
        <w:footnoteReference w:id="45"/>
      </w:r>
      <w:r w:rsidR="006C3315" w:rsidRPr="00663E17">
        <w:rPr>
          <w:rFonts w:cstheme="minorHAnsi"/>
          <w:iCs/>
          <w:szCs w:val="20"/>
          <w:lang w:val="en-GB"/>
        </w:rPr>
        <w:t xml:space="preserve"> </w:t>
      </w:r>
    </w:p>
    <w:p w14:paraId="4238071D" w14:textId="792171AA" w:rsidR="006E09BE" w:rsidRDefault="006E09BE" w:rsidP="001A7208">
      <w:pPr>
        <w:tabs>
          <w:tab w:val="left" w:pos="1613"/>
        </w:tabs>
        <w:spacing w:after="0" w:line="240" w:lineRule="auto"/>
        <w:ind w:left="426"/>
        <w:jc w:val="both"/>
        <w:rPr>
          <w:rFonts w:cstheme="minorHAnsi"/>
          <w:szCs w:val="20"/>
          <w:lang w:val="en-GB"/>
        </w:rPr>
      </w:pPr>
    </w:p>
    <w:p w14:paraId="11965FF5" w14:textId="0285DEAD" w:rsidR="0028658D" w:rsidRPr="00AF582E" w:rsidRDefault="006E09BE" w:rsidP="001A7208">
      <w:pPr>
        <w:pStyle w:val="ListParagraph"/>
        <w:numPr>
          <w:ilvl w:val="0"/>
          <w:numId w:val="19"/>
        </w:numPr>
        <w:autoSpaceDE w:val="0"/>
        <w:autoSpaceDN w:val="0"/>
        <w:adjustRightInd w:val="0"/>
        <w:spacing w:after="0" w:line="240" w:lineRule="auto"/>
        <w:ind w:left="1134" w:hanging="425"/>
        <w:contextualSpacing w:val="0"/>
        <w:rPr>
          <w:rFonts w:eastAsiaTheme="minorEastAsia" w:cs="Arial"/>
          <w:b/>
          <w:bCs/>
          <w:szCs w:val="20"/>
          <w:lang w:val="en-GB" w:eastAsia="zh-CN"/>
        </w:rPr>
      </w:pPr>
      <w:r w:rsidRPr="00AF582E">
        <w:rPr>
          <w:rFonts w:eastAsiaTheme="minorEastAsia" w:cs="Arial"/>
          <w:b/>
          <w:bCs/>
          <w:szCs w:val="20"/>
          <w:lang w:val="en-GB" w:eastAsia="zh-CN"/>
        </w:rPr>
        <w:t>Impact of legislative</w:t>
      </w:r>
      <w:r w:rsidR="00E05372" w:rsidRPr="00AF582E">
        <w:rPr>
          <w:rFonts w:eastAsiaTheme="minorEastAsia" w:cs="Arial"/>
          <w:b/>
          <w:bCs/>
          <w:szCs w:val="20"/>
          <w:lang w:val="en-GB" w:eastAsia="zh-CN"/>
        </w:rPr>
        <w:t xml:space="preserve"> and other state</w:t>
      </w:r>
      <w:r w:rsidRPr="00AF582E">
        <w:rPr>
          <w:rFonts w:eastAsiaTheme="minorEastAsia" w:cs="Arial"/>
          <w:b/>
          <w:bCs/>
          <w:szCs w:val="20"/>
          <w:lang w:val="en-GB" w:eastAsia="zh-CN"/>
        </w:rPr>
        <w:t xml:space="preserve"> measures on media pluralism and freedom of expression</w:t>
      </w:r>
    </w:p>
    <w:p w14:paraId="2F5F6C0C" w14:textId="468BBAB8" w:rsidR="00DF75A5" w:rsidRDefault="00DF75A5" w:rsidP="001A7208">
      <w:pPr>
        <w:tabs>
          <w:tab w:val="left" w:pos="1613"/>
        </w:tabs>
        <w:spacing w:after="0" w:line="240" w:lineRule="auto"/>
        <w:ind w:left="426"/>
        <w:jc w:val="both"/>
        <w:rPr>
          <w:rFonts w:cstheme="minorHAnsi"/>
          <w:szCs w:val="20"/>
          <w:lang w:val="en-GB"/>
        </w:rPr>
      </w:pPr>
    </w:p>
    <w:p w14:paraId="79871216" w14:textId="63511167" w:rsidR="00160067" w:rsidRPr="00160067" w:rsidRDefault="00160067" w:rsidP="00160067">
      <w:pPr>
        <w:pStyle w:val="ListParagraph"/>
        <w:numPr>
          <w:ilvl w:val="0"/>
          <w:numId w:val="2"/>
        </w:numPr>
        <w:tabs>
          <w:tab w:val="left" w:pos="1613"/>
        </w:tabs>
        <w:spacing w:after="0" w:line="240" w:lineRule="auto"/>
        <w:ind w:left="714" w:hanging="357"/>
        <w:jc w:val="both"/>
        <w:rPr>
          <w:rFonts w:cstheme="minorHAnsi"/>
          <w:szCs w:val="20"/>
          <w:lang w:val="en-GB"/>
        </w:rPr>
      </w:pPr>
      <w:r w:rsidRPr="00663E17">
        <w:rPr>
          <w:rFonts w:cstheme="minorHAnsi"/>
          <w:szCs w:val="20"/>
          <w:lang w:val="en-GB"/>
        </w:rPr>
        <w:t xml:space="preserve">The combined effects of </w:t>
      </w:r>
      <w:r w:rsidR="00661CCA">
        <w:rPr>
          <w:rFonts w:cstheme="minorHAnsi"/>
          <w:szCs w:val="20"/>
          <w:lang w:val="en-GB"/>
        </w:rPr>
        <w:t xml:space="preserve">a </w:t>
      </w:r>
      <w:r w:rsidRPr="00663E17">
        <w:rPr>
          <w:rFonts w:cstheme="minorHAnsi"/>
          <w:szCs w:val="20"/>
          <w:lang w:val="en-GB"/>
        </w:rPr>
        <w:t xml:space="preserve">media regulatory authority </w:t>
      </w:r>
      <w:r w:rsidR="00661CCA">
        <w:rPr>
          <w:rFonts w:cstheme="minorHAnsi"/>
          <w:szCs w:val="20"/>
          <w:lang w:val="en-GB"/>
        </w:rPr>
        <w:t xml:space="preserve">that </w:t>
      </w:r>
      <w:r w:rsidR="00661CCA" w:rsidRPr="00661CCA">
        <w:rPr>
          <w:rFonts w:cstheme="minorHAnsi"/>
          <w:iCs/>
          <w:szCs w:val="20"/>
          <w:lang w:val="hu"/>
        </w:rPr>
        <w:t>at least lacks the appearance of independence or impartial</w:t>
      </w:r>
      <w:r w:rsidR="00817316">
        <w:rPr>
          <w:rFonts w:cstheme="minorHAnsi"/>
          <w:iCs/>
          <w:szCs w:val="20"/>
          <w:lang w:val="hu"/>
        </w:rPr>
        <w:t>ity</w:t>
      </w:r>
      <w:r w:rsidR="00661CCA" w:rsidRPr="00661CCA">
        <w:rPr>
          <w:rFonts w:cstheme="minorHAnsi"/>
          <w:iCs/>
          <w:szCs w:val="20"/>
          <w:lang w:val="hu"/>
        </w:rPr>
        <w:t xml:space="preserve">, quite apart from being free </w:t>
      </w:r>
      <w:r w:rsidR="00817316" w:rsidRPr="00661CCA">
        <w:rPr>
          <w:rFonts w:cstheme="minorHAnsi"/>
          <w:iCs/>
          <w:szCs w:val="20"/>
          <w:lang w:val="hu"/>
        </w:rPr>
        <w:t xml:space="preserve">de facto </w:t>
      </w:r>
      <w:r w:rsidR="00661CCA" w:rsidRPr="00661CCA">
        <w:rPr>
          <w:rFonts w:cstheme="minorHAnsi"/>
          <w:iCs/>
          <w:szCs w:val="20"/>
          <w:lang w:val="hu"/>
        </w:rPr>
        <w:t>from political control</w:t>
      </w:r>
      <w:r w:rsidR="00661CCA">
        <w:rPr>
          <w:rFonts w:cstheme="minorHAnsi"/>
          <w:iCs/>
          <w:szCs w:val="20"/>
          <w:lang w:val="hu"/>
        </w:rPr>
        <w:t>,</w:t>
      </w:r>
      <w:r w:rsidR="00661CCA" w:rsidRPr="00661CCA">
        <w:rPr>
          <w:rFonts w:cstheme="minorHAnsi"/>
          <w:szCs w:val="20"/>
          <w:lang w:val="en-GB"/>
        </w:rPr>
        <w:t xml:space="preserve"> </w:t>
      </w:r>
      <w:r w:rsidRPr="00663E17">
        <w:rPr>
          <w:rFonts w:cstheme="minorHAnsi"/>
          <w:szCs w:val="20"/>
          <w:lang w:val="en-GB"/>
        </w:rPr>
        <w:t>and</w:t>
      </w:r>
      <w:r>
        <w:rPr>
          <w:rFonts w:cstheme="minorHAnsi"/>
          <w:szCs w:val="20"/>
          <w:lang w:val="en-GB"/>
        </w:rPr>
        <w:t xml:space="preserve"> </w:t>
      </w:r>
      <w:r w:rsidR="007A0878">
        <w:rPr>
          <w:rFonts w:cstheme="minorHAnsi"/>
          <w:szCs w:val="20"/>
          <w:lang w:val="en-GB"/>
        </w:rPr>
        <w:t xml:space="preserve">biased </w:t>
      </w:r>
      <w:r w:rsidR="00E267C1">
        <w:rPr>
          <w:rFonts w:cstheme="minorHAnsi"/>
          <w:szCs w:val="20"/>
          <w:lang w:val="en-GB"/>
        </w:rPr>
        <w:t xml:space="preserve">state </w:t>
      </w:r>
      <w:r w:rsidRPr="00663E17">
        <w:rPr>
          <w:rFonts w:cstheme="minorHAnsi"/>
          <w:szCs w:val="20"/>
          <w:lang w:val="en-GB"/>
        </w:rPr>
        <w:t xml:space="preserve">intervention in the media market </w:t>
      </w:r>
      <w:r w:rsidR="00E267C1">
        <w:rPr>
          <w:rFonts w:cstheme="minorHAnsi"/>
          <w:szCs w:val="20"/>
          <w:lang w:val="en-GB"/>
        </w:rPr>
        <w:t>have had decidedly negative effects on freedom of expression protections in Hungary. While these are noticeable across Hungarian society, including</w:t>
      </w:r>
      <w:r w:rsidR="00F14C15">
        <w:rPr>
          <w:rFonts w:cstheme="minorHAnsi"/>
          <w:szCs w:val="20"/>
          <w:lang w:val="en-GB"/>
        </w:rPr>
        <w:t xml:space="preserve"> in relation </w:t>
      </w:r>
      <w:r w:rsidR="00F14C15">
        <w:rPr>
          <w:rFonts w:cstheme="minorHAnsi"/>
          <w:szCs w:val="20"/>
          <w:lang w:val="en-GB"/>
        </w:rPr>
        <w:lastRenderedPageBreak/>
        <w:t xml:space="preserve">to </w:t>
      </w:r>
      <w:r w:rsidR="00E267C1">
        <w:rPr>
          <w:rFonts w:cstheme="minorHAnsi"/>
          <w:szCs w:val="20"/>
          <w:lang w:val="en-GB"/>
        </w:rPr>
        <w:t>academic freedom</w:t>
      </w:r>
      <w:r w:rsidR="00DB51EB">
        <w:rPr>
          <w:rFonts w:cstheme="minorHAnsi"/>
          <w:szCs w:val="20"/>
          <w:lang w:val="en-GB"/>
        </w:rPr>
        <w:t>s</w:t>
      </w:r>
      <w:r w:rsidR="007A0878">
        <w:rPr>
          <w:rFonts w:cstheme="minorHAnsi"/>
          <w:szCs w:val="20"/>
          <w:lang w:val="en-GB"/>
        </w:rPr>
        <w:t xml:space="preserve"> and culture</w:t>
      </w:r>
      <w:r w:rsidR="00F14C15">
        <w:rPr>
          <w:rFonts w:cstheme="minorHAnsi"/>
          <w:szCs w:val="20"/>
          <w:lang w:val="en-GB"/>
        </w:rPr>
        <w:t>,</w:t>
      </w:r>
      <w:r w:rsidR="00F14C15">
        <w:rPr>
          <w:rStyle w:val="FootnoteReference"/>
          <w:rFonts w:cstheme="minorHAnsi"/>
          <w:szCs w:val="20"/>
          <w:lang w:val="en-GB"/>
        </w:rPr>
        <w:footnoteReference w:id="46"/>
      </w:r>
      <w:r w:rsidR="00E267C1">
        <w:rPr>
          <w:rFonts w:cstheme="minorHAnsi"/>
          <w:szCs w:val="20"/>
          <w:lang w:val="en-GB"/>
        </w:rPr>
        <w:t xml:space="preserve"> specific concerns aris</w:t>
      </w:r>
      <w:r w:rsidR="00F14C15">
        <w:rPr>
          <w:rFonts w:cstheme="minorHAnsi"/>
          <w:szCs w:val="20"/>
          <w:lang w:val="en-GB"/>
        </w:rPr>
        <w:t xml:space="preserve">e with respect </w:t>
      </w:r>
      <w:r w:rsidR="00F46E27">
        <w:rPr>
          <w:rFonts w:cstheme="minorHAnsi"/>
          <w:szCs w:val="20"/>
          <w:lang w:val="en-GB"/>
        </w:rPr>
        <w:t>to</w:t>
      </w:r>
      <w:r w:rsidR="00CE01F9">
        <w:rPr>
          <w:rFonts w:cstheme="minorHAnsi"/>
          <w:szCs w:val="20"/>
          <w:lang w:val="en-GB"/>
        </w:rPr>
        <w:t xml:space="preserve"> </w:t>
      </w:r>
      <w:r w:rsidR="00817316">
        <w:rPr>
          <w:rFonts w:cstheme="minorHAnsi"/>
          <w:szCs w:val="20"/>
          <w:lang w:val="en-GB"/>
        </w:rPr>
        <w:t xml:space="preserve">the </w:t>
      </w:r>
      <w:r w:rsidR="00CE01F9">
        <w:rPr>
          <w:rFonts w:cstheme="minorHAnsi"/>
          <w:szCs w:val="20"/>
          <w:lang w:val="en-GB"/>
        </w:rPr>
        <w:t>public service and pro-</w:t>
      </w:r>
      <w:r w:rsidR="00A329A1">
        <w:rPr>
          <w:rFonts w:cstheme="minorHAnsi"/>
          <w:szCs w:val="20"/>
          <w:lang w:val="en-GB"/>
        </w:rPr>
        <w:t>g</w:t>
      </w:r>
      <w:r w:rsidR="00CE01F9">
        <w:rPr>
          <w:rFonts w:cstheme="minorHAnsi"/>
          <w:szCs w:val="20"/>
          <w:lang w:val="en-GB"/>
        </w:rPr>
        <w:t>overnment media,</w:t>
      </w:r>
      <w:r w:rsidR="00817316">
        <w:rPr>
          <w:rFonts w:cstheme="minorHAnsi"/>
          <w:szCs w:val="20"/>
          <w:lang w:val="en-GB"/>
        </w:rPr>
        <w:t xml:space="preserve"> the</w:t>
      </w:r>
      <w:r w:rsidR="00CE01F9">
        <w:rPr>
          <w:rFonts w:cstheme="minorHAnsi"/>
          <w:szCs w:val="20"/>
          <w:lang w:val="en-GB"/>
        </w:rPr>
        <w:t xml:space="preserve"> independent media and investigative journalists, judges and public officials, civil society organisations engaged in the defence of human rights, and marginalised groups.</w:t>
      </w:r>
    </w:p>
    <w:p w14:paraId="6BA7D908" w14:textId="77777777" w:rsidR="00160067" w:rsidRPr="00663E17" w:rsidRDefault="00160067" w:rsidP="001A7208">
      <w:pPr>
        <w:tabs>
          <w:tab w:val="left" w:pos="1613"/>
        </w:tabs>
        <w:spacing w:after="0" w:line="240" w:lineRule="auto"/>
        <w:ind w:left="426"/>
        <w:jc w:val="both"/>
        <w:rPr>
          <w:rFonts w:cstheme="minorHAnsi"/>
          <w:szCs w:val="20"/>
          <w:lang w:val="en-GB"/>
        </w:rPr>
      </w:pPr>
    </w:p>
    <w:p w14:paraId="0FC0EFEF" w14:textId="2ABA75B2" w:rsidR="0028658D" w:rsidRPr="00AF582E" w:rsidRDefault="00F46E27" w:rsidP="001A7208">
      <w:pPr>
        <w:pStyle w:val="ListParagraph"/>
        <w:numPr>
          <w:ilvl w:val="0"/>
          <w:numId w:val="22"/>
        </w:numPr>
        <w:spacing w:after="0" w:line="240" w:lineRule="auto"/>
        <w:ind w:left="1134" w:hanging="425"/>
        <w:contextualSpacing w:val="0"/>
        <w:rPr>
          <w:rFonts w:eastAsia="Times New Roman" w:cs="Arial"/>
          <w:b/>
          <w:bCs/>
          <w:szCs w:val="20"/>
          <w:lang w:val="en-GB" w:eastAsia="zh-CN"/>
        </w:rPr>
      </w:pPr>
      <w:r>
        <w:rPr>
          <w:rFonts w:eastAsia="Times New Roman" w:cs="Arial"/>
          <w:b/>
          <w:bCs/>
          <w:szCs w:val="20"/>
          <w:lang w:val="en-GB" w:eastAsia="zh-CN"/>
        </w:rPr>
        <w:t>Impact</w:t>
      </w:r>
      <w:r w:rsidR="006E09BE" w:rsidRPr="00AF582E">
        <w:rPr>
          <w:rFonts w:eastAsia="Times New Roman" w:cs="Arial"/>
          <w:b/>
          <w:bCs/>
          <w:szCs w:val="20"/>
          <w:lang w:val="en-GB" w:eastAsia="zh-CN"/>
        </w:rPr>
        <w:t xml:space="preserve"> on </w:t>
      </w:r>
      <w:r w:rsidR="00817316">
        <w:rPr>
          <w:rFonts w:eastAsia="Times New Roman" w:cs="Arial"/>
          <w:b/>
          <w:bCs/>
          <w:szCs w:val="20"/>
          <w:lang w:val="en-GB" w:eastAsia="zh-CN"/>
        </w:rPr>
        <w:t xml:space="preserve">the </w:t>
      </w:r>
      <w:r w:rsidR="006E09BE" w:rsidRPr="00AF582E">
        <w:rPr>
          <w:rFonts w:eastAsia="Times New Roman" w:cs="Arial"/>
          <w:b/>
          <w:bCs/>
          <w:szCs w:val="20"/>
          <w:lang w:val="en-GB" w:eastAsia="zh-CN"/>
        </w:rPr>
        <w:t xml:space="preserve">public </w:t>
      </w:r>
      <w:r w:rsidR="005264F8" w:rsidRPr="00AF582E">
        <w:rPr>
          <w:rFonts w:eastAsia="Times New Roman" w:cs="Arial"/>
          <w:b/>
          <w:bCs/>
          <w:szCs w:val="20"/>
          <w:lang w:val="en-GB" w:eastAsia="zh-CN"/>
        </w:rPr>
        <w:t xml:space="preserve">service </w:t>
      </w:r>
      <w:r w:rsidR="006E09BE" w:rsidRPr="00AF582E">
        <w:rPr>
          <w:rFonts w:eastAsia="Times New Roman" w:cs="Arial"/>
          <w:b/>
          <w:bCs/>
          <w:szCs w:val="20"/>
          <w:lang w:val="en-GB" w:eastAsia="zh-CN"/>
        </w:rPr>
        <w:t>media and media belonging to KESMA</w:t>
      </w:r>
    </w:p>
    <w:p w14:paraId="03E9E79D" w14:textId="77777777" w:rsidR="00663E17" w:rsidRPr="00663E17" w:rsidRDefault="00663E17" w:rsidP="001A7208">
      <w:pPr>
        <w:tabs>
          <w:tab w:val="left" w:pos="1613"/>
        </w:tabs>
        <w:spacing w:after="0" w:line="240" w:lineRule="auto"/>
        <w:ind w:left="426" w:hanging="357"/>
        <w:jc w:val="both"/>
        <w:rPr>
          <w:rFonts w:cstheme="minorHAnsi"/>
          <w:szCs w:val="20"/>
          <w:u w:val="single"/>
          <w:lang w:val="en-GB"/>
        </w:rPr>
      </w:pPr>
    </w:p>
    <w:p w14:paraId="47E0F952" w14:textId="3837C0E3" w:rsidR="009D4E4A" w:rsidRPr="00663E17" w:rsidRDefault="009D4E4A" w:rsidP="00160067">
      <w:pPr>
        <w:numPr>
          <w:ilvl w:val="0"/>
          <w:numId w:val="2"/>
        </w:numPr>
        <w:tabs>
          <w:tab w:val="left" w:pos="1613"/>
        </w:tabs>
        <w:spacing w:after="0" w:line="240" w:lineRule="auto"/>
        <w:ind w:left="714" w:hanging="357"/>
        <w:jc w:val="both"/>
        <w:rPr>
          <w:rFonts w:cstheme="minorHAnsi"/>
          <w:szCs w:val="20"/>
          <w:lang w:val="en-GB"/>
        </w:rPr>
      </w:pPr>
      <w:r w:rsidRPr="00663E17">
        <w:rPr>
          <w:rFonts w:cstheme="minorHAnsi"/>
          <w:szCs w:val="20"/>
          <w:lang w:val="en-GB"/>
        </w:rPr>
        <w:t>Bias in state advertising practices is considered harmful to the entire media ecosystem because the financial reward is not based on market performance or audience share but on political loyalty and favour.</w:t>
      </w:r>
      <w:r w:rsidR="00361A3D" w:rsidRPr="00663E17">
        <w:rPr>
          <w:rStyle w:val="FootnoteReference"/>
          <w:rFonts w:cstheme="minorHAnsi"/>
          <w:szCs w:val="20"/>
          <w:lang w:val="en-GB"/>
        </w:rPr>
        <w:footnoteReference w:id="47"/>
      </w:r>
      <w:r w:rsidRPr="00663E17">
        <w:rPr>
          <w:rFonts w:cstheme="minorHAnsi"/>
          <w:szCs w:val="20"/>
          <w:lang w:val="en-GB"/>
        </w:rPr>
        <w:t xml:space="preserve"> As a result of the concentration of media ownership and the dependence of </w:t>
      </w:r>
      <w:r w:rsidR="00D006BA">
        <w:rPr>
          <w:rFonts w:cstheme="minorHAnsi"/>
          <w:szCs w:val="20"/>
          <w:lang w:val="en-GB"/>
        </w:rPr>
        <w:t xml:space="preserve">the </w:t>
      </w:r>
      <w:r w:rsidR="00F46E27">
        <w:rPr>
          <w:rFonts w:cstheme="minorHAnsi"/>
          <w:szCs w:val="20"/>
          <w:lang w:val="en-GB"/>
        </w:rPr>
        <w:t>pro-</w:t>
      </w:r>
      <w:r w:rsidR="00A329A1">
        <w:rPr>
          <w:rFonts w:cstheme="minorHAnsi"/>
          <w:szCs w:val="20"/>
          <w:lang w:val="en-GB"/>
        </w:rPr>
        <w:t>g</w:t>
      </w:r>
      <w:r w:rsidR="00F46E27">
        <w:rPr>
          <w:rFonts w:cstheme="minorHAnsi"/>
          <w:szCs w:val="20"/>
          <w:lang w:val="en-GB"/>
        </w:rPr>
        <w:t>overnment me</w:t>
      </w:r>
      <w:r w:rsidRPr="00663E17">
        <w:rPr>
          <w:rFonts w:cstheme="minorHAnsi"/>
          <w:szCs w:val="20"/>
          <w:lang w:val="en-GB"/>
        </w:rPr>
        <w:t>dia on state advertis</w:t>
      </w:r>
      <w:r w:rsidR="00D006BA">
        <w:rPr>
          <w:rFonts w:cstheme="minorHAnsi"/>
          <w:szCs w:val="20"/>
          <w:lang w:val="en-GB"/>
        </w:rPr>
        <w:t>ing</w:t>
      </w:r>
      <w:r w:rsidRPr="00663E17">
        <w:rPr>
          <w:rFonts w:cstheme="minorHAnsi"/>
          <w:szCs w:val="20"/>
          <w:lang w:val="en-GB"/>
        </w:rPr>
        <w:t xml:space="preserve"> in Hungary, there </w:t>
      </w:r>
      <w:r w:rsidR="00D006BA">
        <w:rPr>
          <w:rFonts w:cstheme="minorHAnsi"/>
          <w:szCs w:val="20"/>
          <w:lang w:val="en-GB"/>
        </w:rPr>
        <w:t xml:space="preserve">does indeed </w:t>
      </w:r>
      <w:r w:rsidRPr="00663E17">
        <w:rPr>
          <w:rFonts w:cstheme="minorHAnsi"/>
          <w:szCs w:val="20"/>
          <w:lang w:val="en-GB"/>
        </w:rPr>
        <w:t xml:space="preserve">appear to be little accountability in </w:t>
      </w:r>
      <w:r w:rsidR="00D006BA">
        <w:rPr>
          <w:rFonts w:cstheme="minorHAnsi"/>
          <w:szCs w:val="20"/>
          <w:lang w:val="en-GB"/>
        </w:rPr>
        <w:t xml:space="preserve">the </w:t>
      </w:r>
      <w:r w:rsidRPr="00663E17">
        <w:rPr>
          <w:rFonts w:cstheme="minorHAnsi"/>
          <w:szCs w:val="20"/>
          <w:lang w:val="en-GB"/>
        </w:rPr>
        <w:t xml:space="preserve">public service media and those belonging to KESMA. Despite </w:t>
      </w:r>
      <w:r w:rsidR="00D006BA">
        <w:rPr>
          <w:rFonts w:cstheme="minorHAnsi"/>
          <w:szCs w:val="20"/>
          <w:lang w:val="en-GB"/>
        </w:rPr>
        <w:t xml:space="preserve">the </w:t>
      </w:r>
      <w:r w:rsidRPr="00663E17">
        <w:rPr>
          <w:rFonts w:cstheme="minorHAnsi"/>
          <w:szCs w:val="20"/>
          <w:lang w:val="en-GB"/>
        </w:rPr>
        <w:t>repeated</w:t>
      </w:r>
      <w:r w:rsidR="005C60D4" w:rsidRPr="00663E17">
        <w:rPr>
          <w:rFonts w:cstheme="minorHAnsi"/>
          <w:szCs w:val="20"/>
          <w:lang w:val="en-GB"/>
        </w:rPr>
        <w:t xml:space="preserve"> propagation of</w:t>
      </w:r>
      <w:r w:rsidRPr="00663E17">
        <w:rPr>
          <w:rFonts w:cstheme="minorHAnsi"/>
          <w:szCs w:val="20"/>
          <w:lang w:val="en-GB"/>
        </w:rPr>
        <w:t xml:space="preserve"> hate messages </w:t>
      </w:r>
      <w:r w:rsidR="005C60D4" w:rsidRPr="00663E17">
        <w:rPr>
          <w:rFonts w:cstheme="minorHAnsi"/>
          <w:szCs w:val="20"/>
          <w:lang w:val="en-GB"/>
        </w:rPr>
        <w:t xml:space="preserve">against </w:t>
      </w:r>
      <w:r w:rsidR="00CF56FE">
        <w:rPr>
          <w:rFonts w:cstheme="minorHAnsi"/>
          <w:szCs w:val="20"/>
          <w:lang w:val="en-GB"/>
        </w:rPr>
        <w:t xml:space="preserve">specific groups including the </w:t>
      </w:r>
      <w:r w:rsidR="00F46E27">
        <w:rPr>
          <w:rFonts w:cstheme="minorHAnsi"/>
          <w:szCs w:val="20"/>
          <w:lang w:val="en-GB"/>
        </w:rPr>
        <w:t xml:space="preserve">migrant </w:t>
      </w:r>
      <w:r w:rsidR="00353173">
        <w:rPr>
          <w:rFonts w:cstheme="minorHAnsi"/>
          <w:szCs w:val="20"/>
          <w:lang w:val="en-GB"/>
        </w:rPr>
        <w:t>and</w:t>
      </w:r>
      <w:r w:rsidR="00F46E27">
        <w:rPr>
          <w:rFonts w:cstheme="minorHAnsi"/>
          <w:szCs w:val="20"/>
          <w:lang w:val="en-GB"/>
        </w:rPr>
        <w:t xml:space="preserve"> LGBTI community </w:t>
      </w:r>
      <w:r w:rsidR="00CF56FE">
        <w:rPr>
          <w:rFonts w:cstheme="minorHAnsi"/>
          <w:szCs w:val="20"/>
          <w:lang w:val="en-GB"/>
        </w:rPr>
        <w:t>o</w:t>
      </w:r>
      <w:r w:rsidRPr="00663E17">
        <w:rPr>
          <w:rFonts w:cstheme="minorHAnsi"/>
          <w:szCs w:val="20"/>
          <w:lang w:val="en-GB"/>
        </w:rPr>
        <w:t xml:space="preserve">n </w:t>
      </w:r>
      <w:r w:rsidR="00D006BA">
        <w:rPr>
          <w:rFonts w:cstheme="minorHAnsi"/>
          <w:szCs w:val="20"/>
          <w:lang w:val="en-GB"/>
        </w:rPr>
        <w:t xml:space="preserve">the </w:t>
      </w:r>
      <w:r w:rsidR="005C60D4" w:rsidRPr="00663E17">
        <w:rPr>
          <w:rFonts w:cstheme="minorHAnsi"/>
          <w:szCs w:val="20"/>
          <w:lang w:val="en-GB"/>
        </w:rPr>
        <w:t>pro-</w:t>
      </w:r>
      <w:r w:rsidR="00A329A1">
        <w:rPr>
          <w:rFonts w:cstheme="minorHAnsi"/>
          <w:szCs w:val="20"/>
          <w:lang w:val="en-GB"/>
        </w:rPr>
        <w:t>g</w:t>
      </w:r>
      <w:r w:rsidR="005C60D4" w:rsidRPr="00663E17">
        <w:rPr>
          <w:rFonts w:cstheme="minorHAnsi"/>
          <w:szCs w:val="20"/>
          <w:lang w:val="en-GB"/>
        </w:rPr>
        <w:t>overnment media</w:t>
      </w:r>
      <w:r w:rsidR="00B922DC" w:rsidRPr="00663E17">
        <w:rPr>
          <w:rFonts w:cstheme="minorHAnsi"/>
          <w:szCs w:val="20"/>
          <w:lang w:val="en-GB"/>
        </w:rPr>
        <w:t xml:space="preserve"> and their portals, </w:t>
      </w:r>
      <w:r w:rsidRPr="00663E17">
        <w:rPr>
          <w:rFonts w:cstheme="minorHAnsi"/>
          <w:szCs w:val="20"/>
          <w:lang w:val="en-GB"/>
        </w:rPr>
        <w:t xml:space="preserve">the Media Council has not </w:t>
      </w:r>
      <w:r w:rsidR="00B922DC" w:rsidRPr="00663E17">
        <w:rPr>
          <w:rFonts w:cstheme="minorHAnsi"/>
          <w:szCs w:val="20"/>
          <w:lang w:val="en-GB"/>
        </w:rPr>
        <w:t xml:space="preserve">once </w:t>
      </w:r>
      <w:r w:rsidRPr="00663E17">
        <w:rPr>
          <w:rFonts w:cstheme="minorHAnsi"/>
          <w:szCs w:val="20"/>
          <w:lang w:val="en-GB"/>
        </w:rPr>
        <w:t xml:space="preserve">initiated </w:t>
      </w:r>
      <w:r w:rsidR="00B922DC" w:rsidRPr="00663E17">
        <w:rPr>
          <w:rFonts w:cstheme="minorHAnsi"/>
          <w:szCs w:val="20"/>
          <w:lang w:val="en-GB"/>
        </w:rPr>
        <w:t xml:space="preserve">ex officio </w:t>
      </w:r>
      <w:r w:rsidRPr="00663E17">
        <w:rPr>
          <w:rFonts w:cstheme="minorHAnsi"/>
          <w:szCs w:val="20"/>
          <w:lang w:val="en-GB"/>
        </w:rPr>
        <w:t xml:space="preserve">proceedings </w:t>
      </w:r>
      <w:r w:rsidR="00361A3D" w:rsidRPr="00663E17">
        <w:rPr>
          <w:rFonts w:cstheme="minorHAnsi"/>
          <w:szCs w:val="20"/>
          <w:lang w:val="en-GB"/>
        </w:rPr>
        <w:t xml:space="preserve">in line with </w:t>
      </w:r>
      <w:r w:rsidR="00346D35" w:rsidRPr="00663E17">
        <w:rPr>
          <w:rFonts w:cstheme="minorHAnsi"/>
          <w:szCs w:val="20"/>
          <w:lang w:val="en-GB"/>
        </w:rPr>
        <w:t xml:space="preserve">Section 14 of the Press Act </w:t>
      </w:r>
      <w:r w:rsidRPr="00663E17">
        <w:rPr>
          <w:rFonts w:cstheme="minorHAnsi"/>
          <w:szCs w:val="20"/>
          <w:lang w:val="en-GB"/>
        </w:rPr>
        <w:t>in recent years.</w:t>
      </w:r>
      <w:r w:rsidR="00346D35" w:rsidRPr="00663E17">
        <w:rPr>
          <w:rStyle w:val="FootnoteReference"/>
          <w:rFonts w:cstheme="minorHAnsi"/>
          <w:szCs w:val="20"/>
          <w:lang w:val="en-GB"/>
        </w:rPr>
        <w:footnoteReference w:id="48"/>
      </w:r>
      <w:r w:rsidRPr="00663E17">
        <w:rPr>
          <w:rFonts w:cstheme="minorHAnsi"/>
          <w:szCs w:val="20"/>
          <w:lang w:val="en-GB"/>
        </w:rPr>
        <w:t xml:space="preserve"> The Commissioner was informed </w:t>
      </w:r>
      <w:r w:rsidR="00B922DC" w:rsidRPr="00663E17">
        <w:rPr>
          <w:rFonts w:cstheme="minorHAnsi"/>
          <w:szCs w:val="20"/>
          <w:lang w:val="en-GB"/>
        </w:rPr>
        <w:t xml:space="preserve">by representatives </w:t>
      </w:r>
      <w:r w:rsidR="00D51DC1">
        <w:rPr>
          <w:rFonts w:cstheme="minorHAnsi"/>
          <w:szCs w:val="20"/>
          <w:lang w:val="en-GB"/>
        </w:rPr>
        <w:t xml:space="preserve">of </w:t>
      </w:r>
      <w:r w:rsidRPr="00663E17">
        <w:rPr>
          <w:rFonts w:cstheme="minorHAnsi"/>
          <w:szCs w:val="20"/>
          <w:lang w:val="en-GB"/>
        </w:rPr>
        <w:t xml:space="preserve">the institution </w:t>
      </w:r>
      <w:r w:rsidR="00D51DC1">
        <w:rPr>
          <w:rFonts w:cstheme="minorHAnsi"/>
          <w:szCs w:val="20"/>
          <w:lang w:val="en-GB"/>
        </w:rPr>
        <w:t xml:space="preserve">that it </w:t>
      </w:r>
      <w:r w:rsidRPr="00663E17">
        <w:rPr>
          <w:rFonts w:cstheme="minorHAnsi"/>
          <w:szCs w:val="20"/>
          <w:lang w:val="en-GB"/>
        </w:rPr>
        <w:t xml:space="preserve">had no recollection of any hate being spread in </w:t>
      </w:r>
      <w:r w:rsidR="00D006BA">
        <w:rPr>
          <w:rFonts w:cstheme="minorHAnsi"/>
          <w:szCs w:val="20"/>
          <w:lang w:val="en-GB"/>
        </w:rPr>
        <w:t xml:space="preserve">the </w:t>
      </w:r>
      <w:r w:rsidRPr="00663E17">
        <w:rPr>
          <w:rFonts w:cstheme="minorHAnsi"/>
          <w:szCs w:val="20"/>
          <w:lang w:val="en-GB"/>
        </w:rPr>
        <w:t>Hungarian media</w:t>
      </w:r>
      <w:r w:rsidR="00B922DC" w:rsidRPr="00663E17">
        <w:rPr>
          <w:rFonts w:cstheme="minorHAnsi"/>
          <w:szCs w:val="20"/>
          <w:lang w:val="en-GB"/>
        </w:rPr>
        <w:t xml:space="preserve"> against protected groups</w:t>
      </w:r>
      <w:r w:rsidRPr="00663E17">
        <w:rPr>
          <w:rFonts w:cstheme="minorHAnsi"/>
          <w:szCs w:val="20"/>
          <w:lang w:val="en-GB"/>
        </w:rPr>
        <w:t xml:space="preserve">. </w:t>
      </w:r>
      <w:r w:rsidR="00EF2CB8">
        <w:rPr>
          <w:rFonts w:cstheme="minorHAnsi"/>
          <w:szCs w:val="20"/>
          <w:lang w:val="en-GB"/>
        </w:rPr>
        <w:t xml:space="preserve">In fact, </w:t>
      </w:r>
      <w:r w:rsidR="00B922DC" w:rsidRPr="00663E17">
        <w:rPr>
          <w:rFonts w:cstheme="minorHAnsi"/>
          <w:szCs w:val="20"/>
          <w:lang w:val="en-GB"/>
        </w:rPr>
        <w:t>a f</w:t>
      </w:r>
      <w:r w:rsidR="00B53241" w:rsidRPr="00663E17">
        <w:rPr>
          <w:rFonts w:cstheme="minorHAnsi"/>
          <w:szCs w:val="20"/>
          <w:lang w:val="en-GB"/>
        </w:rPr>
        <w:t xml:space="preserve">ew widely known examples </w:t>
      </w:r>
      <w:r w:rsidR="00B922DC" w:rsidRPr="00663E17">
        <w:rPr>
          <w:rFonts w:cstheme="minorHAnsi"/>
          <w:szCs w:val="20"/>
          <w:lang w:val="en-GB"/>
        </w:rPr>
        <w:t>c</w:t>
      </w:r>
      <w:r w:rsidR="00B53241" w:rsidRPr="00663E17">
        <w:rPr>
          <w:rFonts w:cstheme="minorHAnsi"/>
          <w:szCs w:val="20"/>
          <w:lang w:val="en-GB"/>
        </w:rPr>
        <w:t xml:space="preserve">ould </w:t>
      </w:r>
      <w:r w:rsidR="00B922DC" w:rsidRPr="00663E17">
        <w:rPr>
          <w:rFonts w:cstheme="minorHAnsi"/>
          <w:szCs w:val="20"/>
          <w:lang w:val="en-GB"/>
        </w:rPr>
        <w:t xml:space="preserve">well </w:t>
      </w:r>
      <w:r w:rsidR="00B53241" w:rsidRPr="00663E17">
        <w:rPr>
          <w:rFonts w:cstheme="minorHAnsi"/>
          <w:szCs w:val="20"/>
          <w:lang w:val="en-GB"/>
        </w:rPr>
        <w:t xml:space="preserve">have </w:t>
      </w:r>
      <w:r w:rsidR="00B922DC" w:rsidRPr="00663E17">
        <w:rPr>
          <w:rFonts w:cstheme="minorHAnsi"/>
          <w:szCs w:val="20"/>
          <w:lang w:val="en-GB"/>
        </w:rPr>
        <w:t>prompted the</w:t>
      </w:r>
      <w:r w:rsidR="00B53241" w:rsidRPr="00663E17">
        <w:rPr>
          <w:rFonts w:cstheme="minorHAnsi"/>
          <w:szCs w:val="20"/>
          <w:lang w:val="en-GB"/>
        </w:rPr>
        <w:t xml:space="preserve"> intere</w:t>
      </w:r>
      <w:r w:rsidR="005C3C0E" w:rsidRPr="00663E17">
        <w:rPr>
          <w:rFonts w:cstheme="minorHAnsi"/>
          <w:szCs w:val="20"/>
          <w:lang w:val="en-GB"/>
        </w:rPr>
        <w:t>s</w:t>
      </w:r>
      <w:r w:rsidR="00B53241" w:rsidRPr="00663E17">
        <w:rPr>
          <w:rFonts w:cstheme="minorHAnsi"/>
          <w:szCs w:val="20"/>
          <w:lang w:val="en-GB"/>
        </w:rPr>
        <w:t>t of the Media Council</w:t>
      </w:r>
      <w:r w:rsidR="00602F63">
        <w:rPr>
          <w:rFonts w:cstheme="minorHAnsi"/>
          <w:szCs w:val="20"/>
          <w:lang w:val="en-GB"/>
        </w:rPr>
        <w:t xml:space="preserve"> and raise doubt</w:t>
      </w:r>
      <w:r w:rsidR="00D006BA">
        <w:rPr>
          <w:rFonts w:cstheme="minorHAnsi"/>
          <w:szCs w:val="20"/>
          <w:lang w:val="en-GB"/>
        </w:rPr>
        <w:t xml:space="preserve">s about </w:t>
      </w:r>
      <w:r w:rsidR="00602F63">
        <w:rPr>
          <w:rFonts w:cstheme="minorHAnsi"/>
          <w:szCs w:val="20"/>
          <w:lang w:val="en-GB"/>
        </w:rPr>
        <w:t xml:space="preserve">the scrutiny applied by the Media Council </w:t>
      </w:r>
      <w:r w:rsidR="00D006BA">
        <w:rPr>
          <w:rFonts w:cstheme="minorHAnsi"/>
          <w:szCs w:val="20"/>
          <w:lang w:val="en-GB"/>
        </w:rPr>
        <w:t>to the</w:t>
      </w:r>
      <w:r w:rsidR="00602F63">
        <w:rPr>
          <w:rFonts w:cstheme="minorHAnsi"/>
          <w:szCs w:val="20"/>
          <w:lang w:val="en-GB"/>
        </w:rPr>
        <w:t xml:space="preserve"> pro-</w:t>
      </w:r>
      <w:r w:rsidR="00A329A1">
        <w:rPr>
          <w:rFonts w:cstheme="minorHAnsi"/>
          <w:szCs w:val="20"/>
          <w:lang w:val="en-GB"/>
        </w:rPr>
        <w:t>g</w:t>
      </w:r>
      <w:r w:rsidR="00602F63">
        <w:rPr>
          <w:rFonts w:cstheme="minorHAnsi"/>
          <w:szCs w:val="20"/>
          <w:lang w:val="en-GB"/>
        </w:rPr>
        <w:t>overnment media.</w:t>
      </w:r>
      <w:r w:rsidR="00B53241" w:rsidRPr="00663E17">
        <w:rPr>
          <w:rStyle w:val="FootnoteReference"/>
          <w:rFonts w:cstheme="minorHAnsi"/>
          <w:szCs w:val="20"/>
          <w:lang w:val="en-GB"/>
        </w:rPr>
        <w:footnoteReference w:id="49"/>
      </w:r>
      <w:r w:rsidR="00B53241" w:rsidRPr="00663E17">
        <w:rPr>
          <w:rFonts w:cstheme="minorHAnsi"/>
          <w:szCs w:val="20"/>
          <w:lang w:val="en-GB"/>
        </w:rPr>
        <w:t xml:space="preserve"> </w:t>
      </w:r>
      <w:r w:rsidR="00D006BA">
        <w:rPr>
          <w:rFonts w:cstheme="minorHAnsi"/>
          <w:szCs w:val="20"/>
          <w:lang w:val="en-GB"/>
        </w:rPr>
        <w:t>Another fact</w:t>
      </w:r>
      <w:r w:rsidR="001B7711">
        <w:rPr>
          <w:rFonts w:cstheme="minorHAnsi"/>
          <w:szCs w:val="20"/>
          <w:lang w:val="en-GB"/>
        </w:rPr>
        <w:t>or</w:t>
      </w:r>
      <w:r w:rsidR="00D006BA">
        <w:rPr>
          <w:rFonts w:cstheme="minorHAnsi"/>
          <w:szCs w:val="20"/>
          <w:lang w:val="en-GB"/>
        </w:rPr>
        <w:t xml:space="preserve"> that </w:t>
      </w:r>
      <w:r w:rsidR="00323F1B">
        <w:rPr>
          <w:rFonts w:cstheme="minorHAnsi"/>
          <w:szCs w:val="20"/>
          <w:lang w:val="en-GB"/>
        </w:rPr>
        <w:t>limit</w:t>
      </w:r>
      <w:r w:rsidR="00D006BA">
        <w:rPr>
          <w:rFonts w:cstheme="minorHAnsi"/>
          <w:szCs w:val="20"/>
          <w:lang w:val="en-GB"/>
        </w:rPr>
        <w:t>s</w:t>
      </w:r>
      <w:r w:rsidR="00323F1B">
        <w:rPr>
          <w:rFonts w:cstheme="minorHAnsi"/>
          <w:szCs w:val="20"/>
          <w:lang w:val="en-GB"/>
        </w:rPr>
        <w:t xml:space="preserve"> accountability is the fact that </w:t>
      </w:r>
      <w:r w:rsidR="00602F63">
        <w:rPr>
          <w:rFonts w:cstheme="minorHAnsi"/>
          <w:szCs w:val="20"/>
          <w:lang w:val="en-GB"/>
        </w:rPr>
        <w:t>e</w:t>
      </w:r>
      <w:r w:rsidRPr="00663E17">
        <w:rPr>
          <w:rFonts w:cstheme="minorHAnsi"/>
          <w:szCs w:val="20"/>
          <w:lang w:val="en-GB"/>
        </w:rPr>
        <w:t xml:space="preserve">ven </w:t>
      </w:r>
      <w:r w:rsidR="00323F1B">
        <w:rPr>
          <w:rFonts w:cstheme="minorHAnsi"/>
          <w:szCs w:val="20"/>
          <w:lang w:val="en-GB"/>
        </w:rPr>
        <w:t>the fines imposed by the courts on</w:t>
      </w:r>
      <w:r w:rsidRPr="00663E17">
        <w:rPr>
          <w:rFonts w:cstheme="minorHAnsi"/>
          <w:szCs w:val="20"/>
          <w:lang w:val="en-GB"/>
        </w:rPr>
        <w:t xml:space="preserve"> media </w:t>
      </w:r>
      <w:r w:rsidR="00323F1B">
        <w:rPr>
          <w:rFonts w:cstheme="minorHAnsi"/>
          <w:szCs w:val="20"/>
          <w:lang w:val="en-GB"/>
        </w:rPr>
        <w:t>fo</w:t>
      </w:r>
      <w:r w:rsidRPr="00663E17">
        <w:rPr>
          <w:rFonts w:cstheme="minorHAnsi"/>
          <w:szCs w:val="20"/>
          <w:lang w:val="en-GB"/>
        </w:rPr>
        <w:t xml:space="preserve">r defamation and publication of falsities are </w:t>
      </w:r>
      <w:r w:rsidR="00D006BA">
        <w:rPr>
          <w:rFonts w:cstheme="minorHAnsi"/>
          <w:szCs w:val="20"/>
          <w:lang w:val="en-GB"/>
        </w:rPr>
        <w:t>in</w:t>
      </w:r>
      <w:r w:rsidRPr="00663E17">
        <w:rPr>
          <w:rFonts w:cstheme="minorHAnsi"/>
          <w:szCs w:val="20"/>
          <w:lang w:val="en-GB"/>
        </w:rPr>
        <w:t>consequen</w:t>
      </w:r>
      <w:r w:rsidR="00D006BA">
        <w:rPr>
          <w:rFonts w:cstheme="minorHAnsi"/>
          <w:szCs w:val="20"/>
          <w:lang w:val="en-GB"/>
        </w:rPr>
        <w:t>tial, as</w:t>
      </w:r>
      <w:r w:rsidR="00507C85" w:rsidRPr="00663E17">
        <w:rPr>
          <w:rFonts w:cstheme="minorHAnsi"/>
          <w:szCs w:val="20"/>
          <w:lang w:val="en-GB"/>
        </w:rPr>
        <w:t xml:space="preserve"> continued </w:t>
      </w:r>
      <w:r w:rsidR="00D006BA">
        <w:rPr>
          <w:rFonts w:cstheme="minorHAnsi"/>
          <w:szCs w:val="20"/>
          <w:lang w:val="en-GB"/>
        </w:rPr>
        <w:t xml:space="preserve">awards of </w:t>
      </w:r>
      <w:r w:rsidR="00507C85" w:rsidRPr="00663E17">
        <w:rPr>
          <w:rFonts w:cstheme="minorHAnsi"/>
          <w:szCs w:val="20"/>
          <w:lang w:val="en-GB"/>
        </w:rPr>
        <w:t>state advertis</w:t>
      </w:r>
      <w:r w:rsidR="00D006BA">
        <w:rPr>
          <w:rFonts w:cstheme="minorHAnsi"/>
          <w:szCs w:val="20"/>
          <w:lang w:val="en-GB"/>
        </w:rPr>
        <w:t xml:space="preserve">ing contracts mean </w:t>
      </w:r>
      <w:r w:rsidRPr="00663E17">
        <w:rPr>
          <w:rFonts w:cstheme="minorHAnsi"/>
          <w:szCs w:val="20"/>
          <w:lang w:val="en-GB"/>
        </w:rPr>
        <w:t>the</w:t>
      </w:r>
      <w:r w:rsidR="00507C85" w:rsidRPr="00663E17">
        <w:rPr>
          <w:rFonts w:cstheme="minorHAnsi"/>
          <w:szCs w:val="20"/>
          <w:lang w:val="en-GB"/>
        </w:rPr>
        <w:t xml:space="preserve">y have no </w:t>
      </w:r>
      <w:r w:rsidR="00D006BA">
        <w:rPr>
          <w:rFonts w:cstheme="minorHAnsi"/>
          <w:szCs w:val="20"/>
          <w:lang w:val="en-GB"/>
        </w:rPr>
        <w:t>impact</w:t>
      </w:r>
      <w:r w:rsidRPr="00663E17">
        <w:rPr>
          <w:rFonts w:cstheme="minorHAnsi"/>
          <w:szCs w:val="20"/>
          <w:lang w:val="en-GB"/>
        </w:rPr>
        <w:t xml:space="preserve"> on the </w:t>
      </w:r>
      <w:r w:rsidR="00507C85" w:rsidRPr="00663E17">
        <w:rPr>
          <w:rFonts w:cstheme="minorHAnsi"/>
          <w:szCs w:val="20"/>
          <w:lang w:val="en-GB"/>
        </w:rPr>
        <w:t>outlet’s financial viability.</w:t>
      </w:r>
      <w:r w:rsidR="00323F1B" w:rsidRPr="00663E17">
        <w:rPr>
          <w:rStyle w:val="FootnoteReference"/>
          <w:rFonts w:cstheme="minorHAnsi"/>
          <w:szCs w:val="20"/>
          <w:lang w:val="en-GB"/>
        </w:rPr>
        <w:footnoteReference w:id="50"/>
      </w:r>
    </w:p>
    <w:p w14:paraId="12843724" w14:textId="7E706BE2" w:rsidR="00FF7052" w:rsidRPr="00663E17" w:rsidRDefault="00FF7052" w:rsidP="001A7208">
      <w:pPr>
        <w:pStyle w:val="ListParagraph"/>
        <w:tabs>
          <w:tab w:val="left" w:pos="1613"/>
        </w:tabs>
        <w:spacing w:after="0" w:line="240" w:lineRule="auto"/>
        <w:ind w:left="426"/>
        <w:jc w:val="both"/>
        <w:rPr>
          <w:rFonts w:cstheme="minorHAnsi"/>
          <w:szCs w:val="20"/>
          <w:lang w:val="en-GB"/>
        </w:rPr>
      </w:pPr>
    </w:p>
    <w:p w14:paraId="1BC5941A" w14:textId="3161D86B" w:rsidR="00997131" w:rsidRPr="006D616B" w:rsidRDefault="00507C85" w:rsidP="001A7208">
      <w:pPr>
        <w:numPr>
          <w:ilvl w:val="0"/>
          <w:numId w:val="2"/>
        </w:numPr>
        <w:tabs>
          <w:tab w:val="left" w:pos="1613"/>
        </w:tabs>
        <w:spacing w:after="0" w:line="240" w:lineRule="auto"/>
        <w:ind w:left="714" w:hanging="357"/>
        <w:jc w:val="both"/>
        <w:rPr>
          <w:rFonts w:cstheme="minorHAnsi"/>
          <w:szCs w:val="20"/>
          <w:lang w:val="en-GB"/>
        </w:rPr>
      </w:pPr>
      <w:r w:rsidRPr="00E430A2">
        <w:rPr>
          <w:rFonts w:cstheme="minorHAnsi"/>
          <w:szCs w:val="20"/>
          <w:lang w:val="en-GB"/>
        </w:rPr>
        <w:t>F</w:t>
      </w:r>
      <w:r w:rsidR="009D4E4A" w:rsidRPr="00E430A2">
        <w:rPr>
          <w:rFonts w:cstheme="minorHAnsi"/>
          <w:szCs w:val="20"/>
          <w:lang w:val="en-GB"/>
        </w:rPr>
        <w:t xml:space="preserve">ollowing the merger of over 470 media outlets into KESMA, </w:t>
      </w:r>
      <w:r w:rsidR="00D11673" w:rsidRPr="00E430A2">
        <w:rPr>
          <w:rFonts w:cstheme="minorHAnsi"/>
          <w:szCs w:val="20"/>
          <w:lang w:val="en-GB"/>
        </w:rPr>
        <w:t xml:space="preserve">some </w:t>
      </w:r>
      <w:r w:rsidR="009D4E4A" w:rsidRPr="00E430A2">
        <w:rPr>
          <w:rFonts w:cstheme="minorHAnsi"/>
          <w:szCs w:val="20"/>
          <w:lang w:val="en-GB"/>
        </w:rPr>
        <w:t>200 journalists and media professionals were laid off</w:t>
      </w:r>
      <w:r w:rsidR="00D11673" w:rsidRPr="00E430A2">
        <w:rPr>
          <w:rFonts w:cstheme="minorHAnsi"/>
          <w:szCs w:val="20"/>
          <w:lang w:val="en-GB"/>
        </w:rPr>
        <w:t xml:space="preserve"> in one day</w:t>
      </w:r>
      <w:r w:rsidR="00323F1B">
        <w:rPr>
          <w:rFonts w:cstheme="minorHAnsi"/>
          <w:szCs w:val="20"/>
          <w:lang w:val="en-GB"/>
        </w:rPr>
        <w:t>; h</w:t>
      </w:r>
      <w:r w:rsidR="009D4E4A" w:rsidRPr="00E430A2">
        <w:rPr>
          <w:rFonts w:cstheme="minorHAnsi"/>
          <w:szCs w:val="20"/>
          <w:lang w:val="en-GB"/>
        </w:rPr>
        <w:t xml:space="preserve">undreds of journalists employed by KESMA are no longer represented by a journalists’ union, </w:t>
      </w:r>
      <w:r w:rsidR="00267A6D">
        <w:rPr>
          <w:rFonts w:cstheme="minorHAnsi"/>
          <w:szCs w:val="20"/>
          <w:lang w:val="en-GB"/>
        </w:rPr>
        <w:t xml:space="preserve">making them more </w:t>
      </w:r>
      <w:r w:rsidR="009D4E4A" w:rsidRPr="00E430A2">
        <w:rPr>
          <w:rFonts w:cstheme="minorHAnsi"/>
          <w:szCs w:val="20"/>
          <w:lang w:val="en-GB"/>
        </w:rPr>
        <w:t>vulnerab</w:t>
      </w:r>
      <w:r w:rsidR="00267A6D">
        <w:rPr>
          <w:rFonts w:cstheme="minorHAnsi"/>
          <w:szCs w:val="20"/>
          <w:lang w:val="en-GB"/>
        </w:rPr>
        <w:t>le, and prone</w:t>
      </w:r>
      <w:r w:rsidR="009D4E4A" w:rsidRPr="00E430A2">
        <w:rPr>
          <w:rFonts w:cstheme="minorHAnsi"/>
          <w:szCs w:val="20"/>
          <w:lang w:val="en-GB"/>
        </w:rPr>
        <w:t xml:space="preserve"> to political and managerial pressure.</w:t>
      </w:r>
      <w:r w:rsidR="009D4E4A" w:rsidRPr="00663E17">
        <w:rPr>
          <w:rStyle w:val="FootnoteReference"/>
          <w:rFonts w:cstheme="minorHAnsi"/>
          <w:szCs w:val="20"/>
          <w:lang w:val="en-GB"/>
        </w:rPr>
        <w:footnoteReference w:id="51"/>
      </w:r>
      <w:r w:rsidR="009D4E4A" w:rsidRPr="00E430A2">
        <w:rPr>
          <w:rFonts w:cstheme="minorHAnsi"/>
          <w:szCs w:val="20"/>
          <w:lang w:val="en-GB"/>
        </w:rPr>
        <w:t xml:space="preserve"> </w:t>
      </w:r>
      <w:r w:rsidR="00602645" w:rsidRPr="00E430A2">
        <w:rPr>
          <w:rFonts w:cstheme="minorHAnsi"/>
          <w:szCs w:val="20"/>
          <w:lang w:val="en-GB"/>
        </w:rPr>
        <w:t>P</w:t>
      </w:r>
      <w:r w:rsidR="00F7030C" w:rsidRPr="00E430A2">
        <w:rPr>
          <w:rFonts w:cstheme="minorHAnsi"/>
          <w:szCs w:val="20"/>
          <w:lang w:val="en-GB"/>
        </w:rPr>
        <w:t xml:space="preserve">ublic service media staff </w:t>
      </w:r>
      <w:r w:rsidR="00267A6D">
        <w:rPr>
          <w:rFonts w:cstheme="minorHAnsi"/>
          <w:szCs w:val="20"/>
          <w:lang w:val="en-GB"/>
        </w:rPr>
        <w:t xml:space="preserve">are alleged to have </w:t>
      </w:r>
      <w:r w:rsidR="00F7030C" w:rsidRPr="00E430A2">
        <w:rPr>
          <w:rFonts w:cstheme="minorHAnsi"/>
          <w:szCs w:val="20"/>
          <w:lang w:val="en-GB"/>
        </w:rPr>
        <w:t xml:space="preserve">received direct instructions </w:t>
      </w:r>
      <w:r w:rsidR="009D4E4A" w:rsidRPr="00E430A2">
        <w:rPr>
          <w:rFonts w:cstheme="minorHAnsi"/>
          <w:szCs w:val="20"/>
          <w:lang w:val="en-GB"/>
        </w:rPr>
        <w:t xml:space="preserve">not to report on certain topics without </w:t>
      </w:r>
      <w:r w:rsidR="00392D6D" w:rsidRPr="00E430A2">
        <w:rPr>
          <w:rFonts w:cstheme="minorHAnsi"/>
          <w:szCs w:val="20"/>
          <w:lang w:val="en-GB"/>
        </w:rPr>
        <w:t>seeking approval.</w:t>
      </w:r>
      <w:r w:rsidR="00F7030C" w:rsidRPr="00E430A2">
        <w:rPr>
          <w:rFonts w:cstheme="minorHAnsi"/>
          <w:szCs w:val="20"/>
          <w:lang w:val="en-GB"/>
        </w:rPr>
        <w:t xml:space="preserve"> </w:t>
      </w:r>
      <w:r w:rsidR="00602645" w:rsidRPr="00E430A2">
        <w:rPr>
          <w:rFonts w:cstheme="minorHAnsi"/>
          <w:szCs w:val="20"/>
          <w:lang w:val="en-GB"/>
        </w:rPr>
        <w:t xml:space="preserve">Moreover, </w:t>
      </w:r>
      <w:r w:rsidR="00267A6D">
        <w:rPr>
          <w:rFonts w:cstheme="minorHAnsi"/>
          <w:szCs w:val="20"/>
          <w:lang w:val="en-GB"/>
        </w:rPr>
        <w:t>references to</w:t>
      </w:r>
      <w:r w:rsidR="002B4205" w:rsidRPr="00E430A2">
        <w:rPr>
          <w:rFonts w:cstheme="minorHAnsi"/>
          <w:szCs w:val="20"/>
        </w:rPr>
        <w:t xml:space="preserve"> reports from Amnesty International or Human Rights Watch </w:t>
      </w:r>
      <w:r w:rsidR="00602645" w:rsidRPr="00E430A2">
        <w:rPr>
          <w:rFonts w:cstheme="minorHAnsi"/>
          <w:szCs w:val="20"/>
        </w:rPr>
        <w:t>ha</w:t>
      </w:r>
      <w:r w:rsidR="00267A6D">
        <w:rPr>
          <w:rFonts w:cstheme="minorHAnsi"/>
          <w:szCs w:val="20"/>
        </w:rPr>
        <w:t>ve</w:t>
      </w:r>
      <w:r w:rsidR="00602645" w:rsidRPr="00E430A2">
        <w:rPr>
          <w:rFonts w:cstheme="minorHAnsi"/>
          <w:szCs w:val="20"/>
        </w:rPr>
        <w:t xml:space="preserve"> been e</w:t>
      </w:r>
      <w:r w:rsidR="002B4205" w:rsidRPr="00E430A2">
        <w:rPr>
          <w:rFonts w:cstheme="minorHAnsi"/>
          <w:szCs w:val="20"/>
        </w:rPr>
        <w:t>xplicitly forbidden.</w:t>
      </w:r>
      <w:r w:rsidR="002B4205" w:rsidRPr="00663E17">
        <w:rPr>
          <w:rStyle w:val="FootnoteReference"/>
          <w:rFonts w:cstheme="minorHAnsi"/>
          <w:szCs w:val="20"/>
        </w:rPr>
        <w:footnoteReference w:id="52"/>
      </w:r>
      <w:r w:rsidR="002B4205" w:rsidRPr="00E430A2">
        <w:rPr>
          <w:rFonts w:cstheme="minorHAnsi"/>
          <w:szCs w:val="20"/>
          <w:lang w:val="en-GB"/>
        </w:rPr>
        <w:t xml:space="preserve"> </w:t>
      </w:r>
      <w:r w:rsidR="00392D6D" w:rsidRPr="00E430A2">
        <w:rPr>
          <w:rFonts w:cstheme="minorHAnsi"/>
          <w:szCs w:val="20"/>
          <w:lang w:val="en-GB"/>
        </w:rPr>
        <w:t>The Commissioner is highly concerned about this restriction o</w:t>
      </w:r>
      <w:r w:rsidR="00267A6D">
        <w:rPr>
          <w:rFonts w:cstheme="minorHAnsi"/>
          <w:szCs w:val="20"/>
          <w:lang w:val="en-GB"/>
        </w:rPr>
        <w:t>n</w:t>
      </w:r>
      <w:r w:rsidR="00392D6D" w:rsidRPr="00E430A2">
        <w:rPr>
          <w:rFonts w:cstheme="minorHAnsi"/>
          <w:szCs w:val="20"/>
          <w:lang w:val="en-GB"/>
        </w:rPr>
        <w:t xml:space="preserve"> journalistic freedom </w:t>
      </w:r>
      <w:r w:rsidR="00F7030C" w:rsidRPr="00E430A2">
        <w:rPr>
          <w:rFonts w:cstheme="minorHAnsi"/>
          <w:szCs w:val="20"/>
          <w:lang w:val="en-GB"/>
        </w:rPr>
        <w:t xml:space="preserve">and editorial control </w:t>
      </w:r>
      <w:r w:rsidR="00392D6D" w:rsidRPr="00E430A2">
        <w:rPr>
          <w:rFonts w:cstheme="minorHAnsi"/>
          <w:szCs w:val="20"/>
          <w:lang w:val="en-GB"/>
        </w:rPr>
        <w:t xml:space="preserve">in </w:t>
      </w:r>
      <w:r w:rsidR="00267A6D">
        <w:rPr>
          <w:rFonts w:cstheme="minorHAnsi"/>
          <w:szCs w:val="20"/>
          <w:lang w:val="en-GB"/>
        </w:rPr>
        <w:t xml:space="preserve">the </w:t>
      </w:r>
      <w:r w:rsidR="00392D6D" w:rsidRPr="00E430A2">
        <w:rPr>
          <w:rFonts w:cstheme="minorHAnsi"/>
          <w:szCs w:val="20"/>
          <w:lang w:val="en-GB"/>
        </w:rPr>
        <w:t>public service media, which should be bound only by professional and ethical codes of conduct rather than by political considerations.</w:t>
      </w:r>
      <w:r w:rsidR="00392D6D" w:rsidRPr="00663E17">
        <w:rPr>
          <w:rStyle w:val="FootnoteReference"/>
          <w:rFonts w:cstheme="minorHAnsi"/>
          <w:szCs w:val="20"/>
          <w:lang w:val="en-GB"/>
        </w:rPr>
        <w:footnoteReference w:id="53"/>
      </w:r>
      <w:r w:rsidR="00392D6D" w:rsidRPr="00E430A2">
        <w:rPr>
          <w:rFonts w:cstheme="minorHAnsi"/>
          <w:szCs w:val="20"/>
          <w:lang w:val="en-GB"/>
        </w:rPr>
        <w:t xml:space="preserve"> </w:t>
      </w:r>
      <w:r w:rsidR="00267A6D">
        <w:rPr>
          <w:rFonts w:cstheme="minorHAnsi"/>
          <w:szCs w:val="20"/>
          <w:lang w:val="en-GB"/>
        </w:rPr>
        <w:t>T</w:t>
      </w:r>
      <w:r w:rsidR="00392D6D" w:rsidRPr="00E430A2">
        <w:rPr>
          <w:rFonts w:cstheme="minorHAnsi"/>
          <w:szCs w:val="20"/>
          <w:lang w:val="en-GB"/>
        </w:rPr>
        <w:t xml:space="preserve">o serve as </w:t>
      </w:r>
      <w:r w:rsidR="00267A6D">
        <w:rPr>
          <w:rFonts w:cstheme="minorHAnsi"/>
          <w:szCs w:val="20"/>
          <w:lang w:val="en-GB"/>
        </w:rPr>
        <w:t>a major</w:t>
      </w:r>
      <w:r w:rsidR="00392D6D" w:rsidRPr="00E430A2">
        <w:rPr>
          <w:rFonts w:cstheme="minorHAnsi"/>
          <w:szCs w:val="20"/>
          <w:lang w:val="en-GB"/>
        </w:rPr>
        <w:t xml:space="preserve"> public source of unbiased information and diverse political opinions, </w:t>
      </w:r>
      <w:r w:rsidR="00267A6D">
        <w:rPr>
          <w:rFonts w:cstheme="minorHAnsi"/>
          <w:szCs w:val="20"/>
          <w:lang w:val="en-GB"/>
        </w:rPr>
        <w:t xml:space="preserve">the </w:t>
      </w:r>
      <w:r w:rsidR="00663E17" w:rsidRPr="00E430A2">
        <w:rPr>
          <w:rFonts w:cstheme="minorHAnsi"/>
          <w:szCs w:val="20"/>
          <w:lang w:val="en-GB"/>
        </w:rPr>
        <w:t xml:space="preserve">public </w:t>
      </w:r>
      <w:r w:rsidR="00392D6D" w:rsidRPr="00E430A2">
        <w:rPr>
          <w:rFonts w:cstheme="minorHAnsi"/>
          <w:szCs w:val="20"/>
        </w:rPr>
        <w:t xml:space="preserve">service media should operate within a sustainable governance </w:t>
      </w:r>
      <w:r w:rsidR="00392D6D" w:rsidRPr="00E430A2">
        <w:rPr>
          <w:rFonts w:cstheme="minorHAnsi"/>
          <w:szCs w:val="20"/>
        </w:rPr>
        <w:lastRenderedPageBreak/>
        <w:t xml:space="preserve">framework </w:t>
      </w:r>
      <w:r w:rsidR="00FF7052" w:rsidRPr="00E430A2">
        <w:rPr>
          <w:rFonts w:cstheme="minorHAnsi"/>
          <w:szCs w:val="20"/>
        </w:rPr>
        <w:t xml:space="preserve">that </w:t>
      </w:r>
      <w:r w:rsidR="00392D6D" w:rsidRPr="00E430A2">
        <w:rPr>
          <w:rFonts w:cstheme="minorHAnsi"/>
          <w:szCs w:val="20"/>
        </w:rPr>
        <w:t>secures both the necessary editorial independence and public accountability.</w:t>
      </w:r>
      <w:r w:rsidR="00353129" w:rsidRPr="00E430A2">
        <w:rPr>
          <w:rFonts w:cstheme="minorHAnsi"/>
          <w:szCs w:val="20"/>
        </w:rPr>
        <w:t xml:space="preserve"> </w:t>
      </w:r>
      <w:r w:rsidR="00353129" w:rsidRPr="0024664C">
        <w:rPr>
          <w:rFonts w:cstheme="minorHAnsi"/>
          <w:szCs w:val="20"/>
        </w:rPr>
        <w:t xml:space="preserve">In this context, it is noteworthy that levels of trust in </w:t>
      </w:r>
      <w:r w:rsidR="00267A6D">
        <w:rPr>
          <w:rFonts w:cstheme="minorHAnsi"/>
          <w:szCs w:val="20"/>
        </w:rPr>
        <w:t xml:space="preserve">the </w:t>
      </w:r>
      <w:r w:rsidR="00663E17" w:rsidRPr="0024664C">
        <w:rPr>
          <w:rFonts w:cstheme="minorHAnsi"/>
          <w:szCs w:val="20"/>
        </w:rPr>
        <w:t>Hungarian</w:t>
      </w:r>
      <w:r w:rsidR="00353129" w:rsidRPr="0024664C">
        <w:rPr>
          <w:rFonts w:cstheme="minorHAnsi"/>
          <w:szCs w:val="20"/>
        </w:rPr>
        <w:t xml:space="preserve"> media are very low</w:t>
      </w:r>
      <w:r w:rsidR="007D180D" w:rsidRPr="0024664C">
        <w:rPr>
          <w:rFonts w:cstheme="minorHAnsi"/>
          <w:szCs w:val="20"/>
        </w:rPr>
        <w:t xml:space="preserve"> overall</w:t>
      </w:r>
      <w:r w:rsidR="00353129" w:rsidRPr="0024664C">
        <w:rPr>
          <w:rFonts w:cstheme="minorHAnsi"/>
          <w:szCs w:val="20"/>
        </w:rPr>
        <w:t xml:space="preserve">, with </w:t>
      </w:r>
      <w:r w:rsidR="00E430A2" w:rsidRPr="0024664C">
        <w:rPr>
          <w:rFonts w:cstheme="minorHAnsi"/>
          <w:szCs w:val="20"/>
        </w:rPr>
        <w:t>74% of the population agreeing that th</w:t>
      </w:r>
      <w:r w:rsidR="0024664C" w:rsidRPr="0024664C">
        <w:rPr>
          <w:rFonts w:cstheme="minorHAnsi"/>
          <w:szCs w:val="20"/>
        </w:rPr>
        <w:t>ere is strong political bias</w:t>
      </w:r>
      <w:r w:rsidR="00997131" w:rsidRPr="0024664C">
        <w:rPr>
          <w:rFonts w:cstheme="minorHAnsi"/>
          <w:szCs w:val="20"/>
        </w:rPr>
        <w:t>.</w:t>
      </w:r>
      <w:r w:rsidR="00997131" w:rsidRPr="0024664C">
        <w:rPr>
          <w:rStyle w:val="FootnoteReference"/>
          <w:rFonts w:cstheme="minorHAnsi"/>
          <w:szCs w:val="20"/>
        </w:rPr>
        <w:footnoteReference w:id="54"/>
      </w:r>
    </w:p>
    <w:p w14:paraId="115E8DF4" w14:textId="77777777" w:rsidR="006D616B" w:rsidRPr="006D616B" w:rsidRDefault="006D616B" w:rsidP="001A7208">
      <w:pPr>
        <w:pStyle w:val="ListParagraph"/>
        <w:tabs>
          <w:tab w:val="left" w:pos="1613"/>
        </w:tabs>
        <w:spacing w:after="0" w:line="240" w:lineRule="auto"/>
        <w:ind w:left="426"/>
        <w:jc w:val="both"/>
        <w:rPr>
          <w:rFonts w:cstheme="minorHAnsi"/>
          <w:szCs w:val="20"/>
          <w:lang w:val="en-GB"/>
        </w:rPr>
      </w:pPr>
    </w:p>
    <w:p w14:paraId="72B38CDD" w14:textId="25AA0E60" w:rsidR="0028658D" w:rsidRPr="00AF582E" w:rsidRDefault="00C01ADE" w:rsidP="001A7208">
      <w:pPr>
        <w:pStyle w:val="ListParagraph"/>
        <w:numPr>
          <w:ilvl w:val="0"/>
          <w:numId w:val="22"/>
        </w:numPr>
        <w:spacing w:after="0" w:line="240" w:lineRule="auto"/>
        <w:ind w:left="1134" w:hanging="425"/>
        <w:contextualSpacing w:val="0"/>
        <w:rPr>
          <w:rFonts w:eastAsia="Times New Roman" w:cs="Arial"/>
          <w:b/>
          <w:bCs/>
          <w:szCs w:val="20"/>
          <w:lang w:val="en-GB" w:eastAsia="zh-CN"/>
        </w:rPr>
      </w:pPr>
      <w:r>
        <w:rPr>
          <w:rFonts w:eastAsia="Times New Roman" w:cs="Arial"/>
          <w:b/>
          <w:bCs/>
          <w:szCs w:val="20"/>
          <w:lang w:val="en-GB" w:eastAsia="zh-CN"/>
        </w:rPr>
        <w:t>Impact</w:t>
      </w:r>
      <w:r w:rsidR="0028658D" w:rsidRPr="00AF582E">
        <w:rPr>
          <w:rFonts w:eastAsia="Times New Roman" w:cs="Arial"/>
          <w:b/>
          <w:bCs/>
          <w:szCs w:val="20"/>
          <w:lang w:val="en-GB" w:eastAsia="zh-CN"/>
        </w:rPr>
        <w:t xml:space="preserve"> on </w:t>
      </w:r>
      <w:r w:rsidR="00A22D27">
        <w:rPr>
          <w:rFonts w:eastAsia="Times New Roman" w:cs="Arial"/>
          <w:b/>
          <w:bCs/>
          <w:szCs w:val="20"/>
          <w:lang w:val="en-GB" w:eastAsia="zh-CN"/>
        </w:rPr>
        <w:t xml:space="preserve">the </w:t>
      </w:r>
      <w:r w:rsidR="0028658D" w:rsidRPr="00AF582E">
        <w:rPr>
          <w:rFonts w:eastAsia="Times New Roman" w:cs="Arial"/>
          <w:b/>
          <w:bCs/>
          <w:szCs w:val="20"/>
          <w:lang w:val="en-GB" w:eastAsia="zh-CN"/>
        </w:rPr>
        <w:t xml:space="preserve">independent media and </w:t>
      </w:r>
      <w:r w:rsidR="001A2834">
        <w:rPr>
          <w:rFonts w:eastAsia="Times New Roman" w:cs="Arial"/>
          <w:b/>
          <w:bCs/>
          <w:szCs w:val="20"/>
          <w:lang w:val="en-GB" w:eastAsia="zh-CN"/>
        </w:rPr>
        <w:t xml:space="preserve">investigative </w:t>
      </w:r>
      <w:r w:rsidR="0028658D" w:rsidRPr="00AF582E">
        <w:rPr>
          <w:rFonts w:eastAsia="Times New Roman" w:cs="Arial"/>
          <w:b/>
          <w:bCs/>
          <w:szCs w:val="20"/>
          <w:lang w:val="en-GB" w:eastAsia="zh-CN"/>
        </w:rPr>
        <w:t>journalists</w:t>
      </w:r>
    </w:p>
    <w:p w14:paraId="5FEE59F5" w14:textId="0E6A6D8C" w:rsidR="0028658D" w:rsidRPr="00663E17" w:rsidRDefault="0028658D" w:rsidP="00DE71FD">
      <w:pPr>
        <w:tabs>
          <w:tab w:val="left" w:pos="1613"/>
        </w:tabs>
        <w:spacing w:after="0" w:line="240" w:lineRule="auto"/>
        <w:contextualSpacing/>
        <w:jc w:val="both"/>
        <w:rPr>
          <w:rFonts w:cstheme="minorHAnsi"/>
          <w:szCs w:val="20"/>
          <w:u w:val="single"/>
          <w:lang w:val="en-GB"/>
        </w:rPr>
      </w:pPr>
    </w:p>
    <w:p w14:paraId="229A2B3D" w14:textId="6C7BEE1F" w:rsidR="00EF57BF" w:rsidRPr="00EF57BF" w:rsidRDefault="00DE71FD" w:rsidP="001A7208">
      <w:pPr>
        <w:numPr>
          <w:ilvl w:val="0"/>
          <w:numId w:val="2"/>
        </w:numPr>
        <w:tabs>
          <w:tab w:val="left" w:pos="1613"/>
        </w:tabs>
        <w:spacing w:after="0" w:line="240" w:lineRule="auto"/>
        <w:ind w:left="714" w:hanging="357"/>
        <w:jc w:val="both"/>
        <w:rPr>
          <w:rFonts w:cstheme="minorHAnsi"/>
          <w:szCs w:val="20"/>
          <w:lang w:val="en-GB"/>
        </w:rPr>
      </w:pPr>
      <w:r>
        <w:rPr>
          <w:rFonts w:cstheme="minorHAnsi"/>
          <w:szCs w:val="20"/>
        </w:rPr>
        <w:t>Countering</w:t>
      </w:r>
      <w:r w:rsidR="00EF57BF" w:rsidRPr="00663E17">
        <w:rPr>
          <w:rFonts w:cstheme="minorHAnsi"/>
          <w:szCs w:val="20"/>
        </w:rPr>
        <w:t xml:space="preserve"> a dominant and </w:t>
      </w:r>
      <w:r>
        <w:rPr>
          <w:rFonts w:cstheme="minorHAnsi"/>
          <w:szCs w:val="20"/>
        </w:rPr>
        <w:t xml:space="preserve">largely unanimous </w:t>
      </w:r>
      <w:r w:rsidR="00EF57BF" w:rsidRPr="00663E17">
        <w:rPr>
          <w:rFonts w:cstheme="minorHAnsi"/>
          <w:szCs w:val="20"/>
        </w:rPr>
        <w:t>pro-</w:t>
      </w:r>
      <w:r w:rsidR="00A329A1">
        <w:rPr>
          <w:rFonts w:cstheme="minorHAnsi"/>
          <w:szCs w:val="20"/>
        </w:rPr>
        <w:t>g</w:t>
      </w:r>
      <w:r w:rsidR="00EF57BF" w:rsidRPr="00663E17">
        <w:rPr>
          <w:rFonts w:cstheme="minorHAnsi"/>
          <w:szCs w:val="20"/>
        </w:rPr>
        <w:t xml:space="preserve">overnment narrative in </w:t>
      </w:r>
      <w:r>
        <w:rPr>
          <w:rFonts w:cstheme="minorHAnsi"/>
          <w:szCs w:val="20"/>
        </w:rPr>
        <w:t xml:space="preserve">the </w:t>
      </w:r>
      <w:r w:rsidR="00EF57BF" w:rsidRPr="00663E17">
        <w:rPr>
          <w:rFonts w:cstheme="minorHAnsi"/>
          <w:szCs w:val="20"/>
        </w:rPr>
        <w:t>public service</w:t>
      </w:r>
      <w:r>
        <w:rPr>
          <w:rFonts w:cstheme="minorHAnsi"/>
          <w:szCs w:val="20"/>
        </w:rPr>
        <w:t xml:space="preserve"> media</w:t>
      </w:r>
      <w:r w:rsidR="00EF57BF">
        <w:rPr>
          <w:rFonts w:cstheme="minorHAnsi"/>
          <w:szCs w:val="20"/>
        </w:rPr>
        <w:t>,</w:t>
      </w:r>
      <w:r w:rsidR="00EF57BF" w:rsidRPr="00663E17">
        <w:rPr>
          <w:rFonts w:cstheme="minorHAnsi"/>
          <w:szCs w:val="20"/>
        </w:rPr>
        <w:t xml:space="preserve"> KESMA </w:t>
      </w:r>
      <w:r w:rsidR="00EF57BF">
        <w:rPr>
          <w:rFonts w:cstheme="minorHAnsi"/>
          <w:szCs w:val="20"/>
        </w:rPr>
        <w:t xml:space="preserve">and most private </w:t>
      </w:r>
      <w:r w:rsidR="00EF57BF" w:rsidRPr="00663E17">
        <w:rPr>
          <w:rFonts w:cstheme="minorHAnsi"/>
          <w:szCs w:val="20"/>
        </w:rPr>
        <w:t xml:space="preserve">media, a small number of critical, independent media </w:t>
      </w:r>
      <w:r>
        <w:rPr>
          <w:rFonts w:cstheme="minorHAnsi"/>
          <w:szCs w:val="20"/>
        </w:rPr>
        <w:t xml:space="preserve">outlets </w:t>
      </w:r>
      <w:r w:rsidR="00EF57BF" w:rsidRPr="00663E17">
        <w:rPr>
          <w:rFonts w:cstheme="minorHAnsi"/>
          <w:szCs w:val="20"/>
        </w:rPr>
        <w:t xml:space="preserve">continue to exist in Hungary, although their reach is mostly limited to the capital. Readers and viewers who do not actively look for alternative sources of news (mainly online) receive virtually exclusive government messages </w:t>
      </w:r>
      <w:r>
        <w:rPr>
          <w:rFonts w:cstheme="minorHAnsi"/>
          <w:szCs w:val="20"/>
        </w:rPr>
        <w:t>via</w:t>
      </w:r>
      <w:r w:rsidR="00EF57BF" w:rsidRPr="00663E17">
        <w:rPr>
          <w:rFonts w:cstheme="minorHAnsi"/>
          <w:szCs w:val="20"/>
        </w:rPr>
        <w:t xml:space="preserve"> the print, radio and television markets</w:t>
      </w:r>
      <w:r w:rsidR="00C01ADE">
        <w:rPr>
          <w:rFonts w:cstheme="minorHAnsi"/>
          <w:szCs w:val="20"/>
        </w:rPr>
        <w:t xml:space="preserve">, </w:t>
      </w:r>
      <w:r w:rsidR="00C01ADE" w:rsidRPr="00C01ADE">
        <w:rPr>
          <w:rFonts w:cstheme="minorHAnsi"/>
          <w:szCs w:val="20"/>
        </w:rPr>
        <w:t>restrict</w:t>
      </w:r>
      <w:r>
        <w:rPr>
          <w:rFonts w:cstheme="minorHAnsi"/>
          <w:szCs w:val="20"/>
        </w:rPr>
        <w:t>ing</w:t>
      </w:r>
      <w:r w:rsidR="00C01ADE" w:rsidRPr="00C01ADE">
        <w:rPr>
          <w:rFonts w:cstheme="minorHAnsi"/>
          <w:szCs w:val="20"/>
        </w:rPr>
        <w:t xml:space="preserve"> their access to </w:t>
      </w:r>
      <w:r>
        <w:rPr>
          <w:rFonts w:cstheme="minorHAnsi"/>
          <w:szCs w:val="20"/>
        </w:rPr>
        <w:t xml:space="preserve">the </w:t>
      </w:r>
      <w:r w:rsidR="00C01ADE" w:rsidRPr="00C01ADE">
        <w:rPr>
          <w:rFonts w:cstheme="minorHAnsi"/>
          <w:szCs w:val="20"/>
        </w:rPr>
        <w:t xml:space="preserve">diverse </w:t>
      </w:r>
      <w:r>
        <w:rPr>
          <w:rFonts w:cstheme="minorHAnsi"/>
          <w:szCs w:val="20"/>
        </w:rPr>
        <w:t xml:space="preserve">range of </w:t>
      </w:r>
      <w:r w:rsidR="00C01ADE" w:rsidRPr="00C01ADE">
        <w:rPr>
          <w:rFonts w:cstheme="minorHAnsi"/>
          <w:szCs w:val="20"/>
        </w:rPr>
        <w:t xml:space="preserve">information and ideas guaranteed </w:t>
      </w:r>
      <w:r>
        <w:rPr>
          <w:rFonts w:cstheme="minorHAnsi"/>
          <w:szCs w:val="20"/>
        </w:rPr>
        <w:t>by</w:t>
      </w:r>
      <w:r w:rsidR="00C01ADE" w:rsidRPr="00C01ADE">
        <w:rPr>
          <w:rFonts w:cstheme="minorHAnsi"/>
          <w:szCs w:val="20"/>
        </w:rPr>
        <w:t xml:space="preserve"> Article 10 of the Convention</w:t>
      </w:r>
      <w:r w:rsidR="00EF57BF" w:rsidRPr="00663E17">
        <w:rPr>
          <w:rFonts w:cstheme="minorHAnsi"/>
          <w:szCs w:val="20"/>
        </w:rPr>
        <w:t>.</w:t>
      </w:r>
      <w:r w:rsidR="00EF57BF" w:rsidRPr="00663E17">
        <w:rPr>
          <w:rStyle w:val="FootnoteReference"/>
          <w:rFonts w:cstheme="minorHAnsi"/>
          <w:szCs w:val="20"/>
        </w:rPr>
        <w:footnoteReference w:id="55"/>
      </w:r>
      <w:r w:rsidR="00EF57BF" w:rsidRPr="00663E17">
        <w:rPr>
          <w:rFonts w:cstheme="minorHAnsi"/>
          <w:szCs w:val="20"/>
          <w:lang w:val="en-GB"/>
        </w:rPr>
        <w:t xml:space="preserve"> </w:t>
      </w:r>
      <w:r w:rsidR="00EF57BF" w:rsidRPr="00663E17">
        <w:rPr>
          <w:rFonts w:cstheme="minorHAnsi"/>
          <w:szCs w:val="20"/>
        </w:rPr>
        <w:t xml:space="preserve">Hungary has just one remaining </w:t>
      </w:r>
      <w:r w:rsidR="00685BC1">
        <w:rPr>
          <w:rFonts w:cstheme="minorHAnsi"/>
          <w:szCs w:val="20"/>
        </w:rPr>
        <w:t xml:space="preserve">opposition learning </w:t>
      </w:r>
      <w:r w:rsidR="00EF57BF" w:rsidRPr="00663E17">
        <w:rPr>
          <w:rFonts w:cstheme="minorHAnsi"/>
          <w:szCs w:val="20"/>
        </w:rPr>
        <w:t xml:space="preserve">political daily, </w:t>
      </w:r>
      <w:bookmarkStart w:id="6" w:name="_Hlk66359600"/>
      <w:proofErr w:type="spellStart"/>
      <w:r w:rsidR="00EF57BF" w:rsidRPr="006D616B">
        <w:rPr>
          <w:rFonts w:cstheme="minorHAnsi"/>
          <w:i/>
          <w:iCs/>
          <w:szCs w:val="20"/>
        </w:rPr>
        <w:t>Népszava</w:t>
      </w:r>
      <w:bookmarkEnd w:id="6"/>
      <w:proofErr w:type="spellEnd"/>
      <w:r w:rsidR="00EF57BF" w:rsidRPr="00663E17">
        <w:rPr>
          <w:rFonts w:cstheme="minorHAnsi"/>
          <w:szCs w:val="20"/>
        </w:rPr>
        <w:t>, with a circulation of 20,000. By contrast, the government-controlled network of regional daily newspapers alone has a combined circulation of over 200,000.</w:t>
      </w:r>
      <w:r w:rsidR="00EF57BF">
        <w:rPr>
          <w:rStyle w:val="FootnoteReference"/>
          <w:rFonts w:cstheme="minorHAnsi"/>
          <w:szCs w:val="20"/>
        </w:rPr>
        <w:footnoteReference w:id="56"/>
      </w:r>
    </w:p>
    <w:p w14:paraId="5A7C29BE" w14:textId="77777777" w:rsidR="00EF57BF" w:rsidRPr="00663E17" w:rsidRDefault="00EF57BF" w:rsidP="001A7208">
      <w:pPr>
        <w:tabs>
          <w:tab w:val="left" w:pos="1613"/>
        </w:tabs>
        <w:spacing w:after="0" w:line="240" w:lineRule="auto"/>
        <w:ind w:left="426"/>
        <w:contextualSpacing/>
        <w:jc w:val="both"/>
        <w:rPr>
          <w:rFonts w:cstheme="minorHAnsi"/>
          <w:szCs w:val="20"/>
          <w:lang w:val="en-GB"/>
        </w:rPr>
      </w:pPr>
    </w:p>
    <w:p w14:paraId="42E2325D" w14:textId="431EB332" w:rsidR="00685C1A" w:rsidRDefault="008318F2" w:rsidP="001A7208">
      <w:pPr>
        <w:numPr>
          <w:ilvl w:val="0"/>
          <w:numId w:val="2"/>
        </w:numPr>
        <w:tabs>
          <w:tab w:val="left" w:pos="1613"/>
        </w:tabs>
        <w:spacing w:after="0" w:line="240" w:lineRule="auto"/>
        <w:ind w:left="714" w:hanging="357"/>
        <w:jc w:val="both"/>
        <w:rPr>
          <w:rFonts w:cstheme="minorHAnsi"/>
          <w:szCs w:val="20"/>
          <w:lang w:val="en-GB"/>
        </w:rPr>
      </w:pPr>
      <w:r w:rsidRPr="00685C1A">
        <w:rPr>
          <w:rFonts w:cstheme="minorHAnsi"/>
          <w:szCs w:val="20"/>
          <w:lang w:val="en-GB"/>
        </w:rPr>
        <w:t xml:space="preserve">The effects of the </w:t>
      </w:r>
      <w:r w:rsidR="007D180D" w:rsidRPr="00685C1A">
        <w:rPr>
          <w:rFonts w:cstheme="minorHAnsi"/>
          <w:szCs w:val="20"/>
          <w:lang w:val="en-GB"/>
        </w:rPr>
        <w:t>government-controlled media m</w:t>
      </w:r>
      <w:r w:rsidR="0028658D" w:rsidRPr="00685C1A">
        <w:rPr>
          <w:rFonts w:cstheme="minorHAnsi"/>
          <w:szCs w:val="20"/>
          <w:lang w:val="en-GB"/>
        </w:rPr>
        <w:t xml:space="preserve">arket </w:t>
      </w:r>
      <w:r w:rsidR="007D180D" w:rsidRPr="00685C1A">
        <w:rPr>
          <w:rFonts w:cstheme="minorHAnsi"/>
          <w:szCs w:val="20"/>
          <w:lang w:val="en-GB"/>
        </w:rPr>
        <w:t>and the lack of state advertis</w:t>
      </w:r>
      <w:r w:rsidR="00DE71FD">
        <w:rPr>
          <w:rFonts w:cstheme="minorHAnsi"/>
          <w:szCs w:val="20"/>
          <w:lang w:val="en-GB"/>
        </w:rPr>
        <w:t>ing</w:t>
      </w:r>
      <w:r w:rsidR="007D180D" w:rsidRPr="00685C1A">
        <w:rPr>
          <w:rFonts w:cstheme="minorHAnsi"/>
          <w:szCs w:val="20"/>
          <w:lang w:val="en-GB"/>
        </w:rPr>
        <w:t xml:space="preserve"> and other subsidies has had a devastating </w:t>
      </w:r>
      <w:r w:rsidR="0028658D" w:rsidRPr="00685C1A">
        <w:rPr>
          <w:rFonts w:cstheme="minorHAnsi"/>
          <w:szCs w:val="20"/>
          <w:lang w:val="en-GB"/>
        </w:rPr>
        <w:t xml:space="preserve">effect </w:t>
      </w:r>
      <w:r w:rsidR="007D180D" w:rsidRPr="00685C1A">
        <w:rPr>
          <w:rFonts w:cstheme="minorHAnsi"/>
          <w:szCs w:val="20"/>
          <w:lang w:val="en-GB"/>
        </w:rPr>
        <w:t xml:space="preserve">on </w:t>
      </w:r>
      <w:r w:rsidR="00DE71FD">
        <w:rPr>
          <w:rFonts w:cstheme="minorHAnsi"/>
          <w:szCs w:val="20"/>
          <w:lang w:val="en-GB"/>
        </w:rPr>
        <w:t xml:space="preserve">the </w:t>
      </w:r>
      <w:r w:rsidR="007D180D" w:rsidRPr="00685C1A">
        <w:rPr>
          <w:rFonts w:cstheme="minorHAnsi"/>
          <w:szCs w:val="20"/>
          <w:lang w:val="en-GB"/>
        </w:rPr>
        <w:t xml:space="preserve">independent media, </w:t>
      </w:r>
      <w:r w:rsidR="00DE71FD">
        <w:rPr>
          <w:rFonts w:cstheme="minorHAnsi"/>
          <w:szCs w:val="20"/>
          <w:lang w:val="en-GB"/>
        </w:rPr>
        <w:t xml:space="preserve">forcing them to </w:t>
      </w:r>
      <w:r w:rsidR="00CA496D" w:rsidRPr="00685C1A">
        <w:rPr>
          <w:rFonts w:cstheme="minorHAnsi"/>
          <w:szCs w:val="20"/>
          <w:lang w:val="en-GB"/>
        </w:rPr>
        <w:t>close</w:t>
      </w:r>
      <w:r w:rsidR="006D616B" w:rsidRPr="00685C1A">
        <w:rPr>
          <w:rFonts w:cstheme="minorHAnsi"/>
          <w:szCs w:val="20"/>
          <w:lang w:val="en-GB"/>
        </w:rPr>
        <w:t xml:space="preserve"> or</w:t>
      </w:r>
      <w:r w:rsidR="00CA496D" w:rsidRPr="00685C1A">
        <w:rPr>
          <w:rFonts w:cstheme="minorHAnsi"/>
          <w:szCs w:val="20"/>
          <w:lang w:val="en-GB"/>
        </w:rPr>
        <w:t xml:space="preserve"> </w:t>
      </w:r>
      <w:r w:rsidR="00DE71FD">
        <w:rPr>
          <w:rFonts w:cstheme="minorHAnsi"/>
          <w:szCs w:val="20"/>
          <w:lang w:val="en-GB"/>
        </w:rPr>
        <w:t>accept financial</w:t>
      </w:r>
      <w:r w:rsidR="007D180D" w:rsidRPr="00685C1A">
        <w:rPr>
          <w:rFonts w:cstheme="minorHAnsi"/>
          <w:szCs w:val="20"/>
          <w:lang w:val="en-GB"/>
        </w:rPr>
        <w:t xml:space="preserve"> take-over or bankruptcy.</w:t>
      </w:r>
      <w:r w:rsidR="002A6B27" w:rsidRPr="00663E17">
        <w:rPr>
          <w:rStyle w:val="FootnoteReference"/>
          <w:rFonts w:cstheme="minorHAnsi"/>
          <w:szCs w:val="20"/>
          <w:lang w:val="en-GB"/>
        </w:rPr>
        <w:footnoteReference w:id="57"/>
      </w:r>
      <w:r w:rsidR="0028658D" w:rsidRPr="00685C1A">
        <w:rPr>
          <w:rFonts w:cstheme="minorHAnsi"/>
          <w:szCs w:val="20"/>
          <w:lang w:val="en-GB"/>
        </w:rPr>
        <w:t xml:space="preserve"> </w:t>
      </w:r>
      <w:r w:rsidR="000C5C93" w:rsidRPr="00685C1A">
        <w:rPr>
          <w:rFonts w:cstheme="minorHAnsi"/>
          <w:szCs w:val="20"/>
          <w:lang w:val="en-GB"/>
        </w:rPr>
        <w:t xml:space="preserve">Hungary’s </w:t>
      </w:r>
      <w:r w:rsidR="00CA496D" w:rsidRPr="00685C1A">
        <w:rPr>
          <w:rFonts w:cstheme="minorHAnsi"/>
          <w:szCs w:val="20"/>
          <w:lang w:val="en-GB"/>
        </w:rPr>
        <w:t xml:space="preserve">largest opposition newspaper </w:t>
      </w:r>
      <w:proofErr w:type="spellStart"/>
      <w:r w:rsidR="00CA496D" w:rsidRPr="00685C1A">
        <w:rPr>
          <w:rFonts w:cstheme="minorHAnsi"/>
          <w:i/>
          <w:iCs/>
          <w:szCs w:val="20"/>
        </w:rPr>
        <w:t>Népszabadság</w:t>
      </w:r>
      <w:proofErr w:type="spellEnd"/>
      <w:r w:rsidR="00CA496D" w:rsidRPr="00685C1A">
        <w:rPr>
          <w:rFonts w:cstheme="minorHAnsi"/>
          <w:szCs w:val="20"/>
          <w:lang w:val="en-GB"/>
        </w:rPr>
        <w:t xml:space="preserve"> was closed suddenly in October 2016, following its reports on c</w:t>
      </w:r>
      <w:proofErr w:type="spellStart"/>
      <w:r w:rsidR="00CA496D" w:rsidRPr="00685C1A">
        <w:rPr>
          <w:rFonts w:cstheme="minorHAnsi"/>
          <w:szCs w:val="20"/>
        </w:rPr>
        <w:t>orruption</w:t>
      </w:r>
      <w:proofErr w:type="spellEnd"/>
      <w:r w:rsidR="00CA496D" w:rsidRPr="00685C1A">
        <w:rPr>
          <w:rFonts w:cstheme="minorHAnsi"/>
          <w:szCs w:val="20"/>
        </w:rPr>
        <w:t xml:space="preserve"> allegations against close allies of the Prime Minister.</w:t>
      </w:r>
      <w:r w:rsidR="00CA496D" w:rsidRPr="00663E17">
        <w:rPr>
          <w:rStyle w:val="FootnoteReference"/>
          <w:rFonts w:cstheme="minorHAnsi"/>
          <w:szCs w:val="20"/>
        </w:rPr>
        <w:footnoteReference w:id="58"/>
      </w:r>
      <w:r w:rsidR="00CA496D" w:rsidRPr="00685C1A">
        <w:rPr>
          <w:rFonts w:cstheme="minorHAnsi"/>
          <w:szCs w:val="20"/>
        </w:rPr>
        <w:t xml:space="preserve"> </w:t>
      </w:r>
      <w:r w:rsidR="004C1C27" w:rsidRPr="00685C1A">
        <w:rPr>
          <w:rFonts w:cstheme="minorHAnsi"/>
          <w:szCs w:val="20"/>
          <w:lang w:val="en-GB"/>
        </w:rPr>
        <w:t xml:space="preserve">The </w:t>
      </w:r>
      <w:r w:rsidR="00933683" w:rsidRPr="00685C1A">
        <w:rPr>
          <w:rFonts w:cstheme="minorHAnsi"/>
          <w:szCs w:val="20"/>
          <w:lang w:val="en-GB"/>
        </w:rPr>
        <w:t xml:space="preserve">country’s largest </w:t>
      </w:r>
      <w:r w:rsidR="004C1C27" w:rsidRPr="00685C1A">
        <w:rPr>
          <w:rFonts w:cstheme="minorHAnsi"/>
          <w:szCs w:val="20"/>
          <w:lang w:val="en-GB"/>
        </w:rPr>
        <w:t xml:space="preserve">independent news website </w:t>
      </w:r>
      <w:r w:rsidR="004C1C27" w:rsidRPr="003325F9">
        <w:rPr>
          <w:rFonts w:cstheme="minorHAnsi"/>
          <w:i/>
          <w:iCs/>
          <w:szCs w:val="20"/>
          <w:lang w:val="en-GB"/>
        </w:rPr>
        <w:t>Inde</w:t>
      </w:r>
      <w:r w:rsidR="000C5C93" w:rsidRPr="003325F9">
        <w:rPr>
          <w:rFonts w:cstheme="minorHAnsi"/>
          <w:i/>
          <w:iCs/>
          <w:szCs w:val="20"/>
          <w:lang w:val="en-GB"/>
        </w:rPr>
        <w:t>x</w:t>
      </w:r>
      <w:r w:rsidR="006D616B" w:rsidRPr="003325F9">
        <w:rPr>
          <w:rFonts w:cstheme="minorHAnsi"/>
          <w:i/>
          <w:iCs/>
          <w:szCs w:val="20"/>
          <w:lang w:val="en-GB"/>
        </w:rPr>
        <w:t>.hu</w:t>
      </w:r>
      <w:r w:rsidR="00933683" w:rsidRPr="00685C1A">
        <w:rPr>
          <w:rFonts w:cstheme="minorHAnsi"/>
          <w:szCs w:val="20"/>
          <w:lang w:val="en-GB"/>
        </w:rPr>
        <w:t xml:space="preserve"> </w:t>
      </w:r>
      <w:r w:rsidR="00EF7200">
        <w:rPr>
          <w:rFonts w:cstheme="minorHAnsi"/>
          <w:szCs w:val="20"/>
          <w:lang w:val="en-GB"/>
        </w:rPr>
        <w:t>was</w:t>
      </w:r>
      <w:r w:rsidR="00DE71FD">
        <w:rPr>
          <w:rFonts w:cstheme="minorHAnsi"/>
          <w:szCs w:val="20"/>
          <w:lang w:val="en-GB"/>
        </w:rPr>
        <w:t xml:space="preserve"> in increasing financial trouble </w:t>
      </w:r>
      <w:r w:rsidR="00933683" w:rsidRPr="00685C1A">
        <w:rPr>
          <w:rFonts w:cstheme="minorHAnsi"/>
          <w:szCs w:val="20"/>
          <w:lang w:val="en-GB"/>
        </w:rPr>
        <w:t>since 2018. In March 2020, 50% of its advertising agenc</w:t>
      </w:r>
      <w:r w:rsidR="00DE71FD">
        <w:rPr>
          <w:rFonts w:cstheme="minorHAnsi"/>
          <w:szCs w:val="20"/>
          <w:lang w:val="en-GB"/>
        </w:rPr>
        <w:t>ies</w:t>
      </w:r>
      <w:r w:rsidR="00933683" w:rsidRPr="00685C1A">
        <w:rPr>
          <w:rFonts w:cstheme="minorHAnsi"/>
          <w:szCs w:val="20"/>
          <w:lang w:val="en-GB"/>
        </w:rPr>
        <w:t xml:space="preserve"> were taken over by an affiliate of the Prime Minister, leading to growing editorial pressure on its staff. </w:t>
      </w:r>
      <w:r w:rsidR="000C5C93" w:rsidRPr="00685C1A">
        <w:rPr>
          <w:rFonts w:cstheme="minorHAnsi"/>
          <w:szCs w:val="20"/>
          <w:lang w:val="en-GB"/>
        </w:rPr>
        <w:t xml:space="preserve">The </w:t>
      </w:r>
      <w:r w:rsidR="00EF7200">
        <w:rPr>
          <w:rFonts w:cstheme="minorHAnsi"/>
          <w:szCs w:val="20"/>
          <w:lang w:val="en-GB"/>
        </w:rPr>
        <w:t>e</w:t>
      </w:r>
      <w:r w:rsidR="000C5C93" w:rsidRPr="00685C1A">
        <w:rPr>
          <w:rFonts w:cstheme="minorHAnsi"/>
          <w:szCs w:val="20"/>
          <w:lang w:val="en-GB"/>
        </w:rPr>
        <w:t>ditor-in-chief</w:t>
      </w:r>
      <w:r w:rsidR="00EF7200">
        <w:rPr>
          <w:rFonts w:cstheme="minorHAnsi"/>
          <w:szCs w:val="20"/>
          <w:lang w:val="en-GB"/>
        </w:rPr>
        <w:t xml:space="preserve"> </w:t>
      </w:r>
      <w:r w:rsidR="000C5C93" w:rsidRPr="00685C1A">
        <w:rPr>
          <w:rFonts w:cstheme="minorHAnsi"/>
          <w:szCs w:val="20"/>
          <w:lang w:val="en-GB"/>
        </w:rPr>
        <w:t xml:space="preserve">publicly criticised </w:t>
      </w:r>
      <w:r w:rsidR="00EF7200">
        <w:rPr>
          <w:rFonts w:cstheme="minorHAnsi"/>
          <w:szCs w:val="20"/>
          <w:lang w:val="en-GB"/>
        </w:rPr>
        <w:t xml:space="preserve">these </w:t>
      </w:r>
      <w:r w:rsidR="000C5C93" w:rsidRPr="00685C1A">
        <w:rPr>
          <w:rFonts w:cstheme="minorHAnsi"/>
          <w:szCs w:val="20"/>
          <w:lang w:val="en-GB"/>
        </w:rPr>
        <w:t>even</w:t>
      </w:r>
      <w:r w:rsidR="00EF57BF" w:rsidRPr="00685C1A">
        <w:rPr>
          <w:rFonts w:cstheme="minorHAnsi"/>
          <w:szCs w:val="20"/>
          <w:lang w:val="en-GB"/>
        </w:rPr>
        <w:t>t</w:t>
      </w:r>
      <w:r w:rsidR="000C5C93" w:rsidRPr="00685C1A">
        <w:rPr>
          <w:rFonts w:cstheme="minorHAnsi"/>
          <w:szCs w:val="20"/>
          <w:lang w:val="en-GB"/>
        </w:rPr>
        <w:t>s</w:t>
      </w:r>
      <w:r w:rsidR="00EF7200">
        <w:rPr>
          <w:rFonts w:cstheme="minorHAnsi"/>
          <w:szCs w:val="20"/>
          <w:lang w:val="en-GB"/>
        </w:rPr>
        <w:t xml:space="preserve"> and</w:t>
      </w:r>
      <w:r w:rsidR="000C5C93" w:rsidRPr="00685C1A">
        <w:rPr>
          <w:rFonts w:cstheme="minorHAnsi"/>
          <w:szCs w:val="20"/>
          <w:lang w:val="en-GB"/>
        </w:rPr>
        <w:t xml:space="preserve"> </w:t>
      </w:r>
      <w:r w:rsidR="00933683" w:rsidRPr="00685C1A">
        <w:rPr>
          <w:rFonts w:cstheme="minorHAnsi"/>
          <w:szCs w:val="20"/>
          <w:lang w:val="en-GB"/>
        </w:rPr>
        <w:t>was dismissed</w:t>
      </w:r>
      <w:r w:rsidR="0023495D" w:rsidRPr="00685C1A">
        <w:rPr>
          <w:rFonts w:cstheme="minorHAnsi"/>
          <w:szCs w:val="20"/>
          <w:lang w:val="en-GB"/>
        </w:rPr>
        <w:t>, following which more than 70 journalists and staff resigned.</w:t>
      </w:r>
      <w:r w:rsidR="0023495D" w:rsidRPr="00663E17">
        <w:rPr>
          <w:rStyle w:val="FootnoteReference"/>
          <w:rFonts w:cstheme="minorHAnsi"/>
          <w:szCs w:val="20"/>
          <w:lang w:val="en-GB"/>
        </w:rPr>
        <w:footnoteReference w:id="59"/>
      </w:r>
      <w:r w:rsidR="007A3DA3" w:rsidRPr="00685C1A">
        <w:rPr>
          <w:rFonts w:cstheme="minorHAnsi"/>
          <w:szCs w:val="20"/>
          <w:lang w:val="en-GB"/>
        </w:rPr>
        <w:t xml:space="preserve"> In November 2020,</w:t>
      </w:r>
      <w:r w:rsidR="007A3DA3" w:rsidRPr="00685C1A">
        <w:rPr>
          <w:rFonts w:cstheme="minorHAnsi"/>
          <w:szCs w:val="20"/>
        </w:rPr>
        <w:t xml:space="preserve"> another </w:t>
      </w:r>
      <w:r w:rsidR="007A3DA3" w:rsidRPr="00685C1A">
        <w:rPr>
          <w:rFonts w:cstheme="minorHAnsi"/>
          <w:szCs w:val="20"/>
          <w:lang w:val="en-GB"/>
        </w:rPr>
        <w:t xml:space="preserve">acquisition sealed the take-over and </w:t>
      </w:r>
      <w:r w:rsidR="007A3DA3" w:rsidRPr="003325F9">
        <w:rPr>
          <w:rFonts w:cstheme="minorHAnsi"/>
          <w:i/>
          <w:iCs/>
          <w:szCs w:val="20"/>
          <w:lang w:val="en-GB"/>
        </w:rPr>
        <w:t>Index</w:t>
      </w:r>
      <w:r w:rsidR="007A3DA3" w:rsidRPr="00685C1A">
        <w:rPr>
          <w:rFonts w:cstheme="minorHAnsi"/>
          <w:szCs w:val="20"/>
          <w:lang w:val="en-GB"/>
        </w:rPr>
        <w:t xml:space="preserve"> has now become part of the pro-government media, </w:t>
      </w:r>
      <w:r w:rsidR="00EF7200">
        <w:rPr>
          <w:rFonts w:cstheme="minorHAnsi"/>
          <w:szCs w:val="20"/>
          <w:lang w:val="en-GB"/>
        </w:rPr>
        <w:t>running</w:t>
      </w:r>
      <w:r w:rsidR="007A3DA3" w:rsidRPr="00685C1A">
        <w:rPr>
          <w:rFonts w:cstheme="minorHAnsi"/>
          <w:szCs w:val="20"/>
          <w:lang w:val="en-GB"/>
        </w:rPr>
        <w:t xml:space="preserve"> exclusively </w:t>
      </w:r>
      <w:r w:rsidR="0081329A" w:rsidRPr="00685C1A">
        <w:rPr>
          <w:rFonts w:cstheme="minorHAnsi"/>
          <w:szCs w:val="20"/>
          <w:lang w:val="en-GB"/>
        </w:rPr>
        <w:t>pro-</w:t>
      </w:r>
      <w:r w:rsidR="00A329A1">
        <w:rPr>
          <w:rFonts w:cstheme="minorHAnsi"/>
          <w:szCs w:val="20"/>
          <w:lang w:val="en-GB"/>
        </w:rPr>
        <w:t>g</w:t>
      </w:r>
      <w:r w:rsidR="0081329A" w:rsidRPr="00685C1A">
        <w:rPr>
          <w:rFonts w:cstheme="minorHAnsi"/>
          <w:szCs w:val="20"/>
          <w:lang w:val="en-GB"/>
        </w:rPr>
        <w:t>overnment storylines</w:t>
      </w:r>
      <w:r w:rsidR="007A3DA3" w:rsidRPr="00685C1A">
        <w:rPr>
          <w:rFonts w:cstheme="minorHAnsi"/>
          <w:szCs w:val="20"/>
          <w:lang w:val="en-GB"/>
        </w:rPr>
        <w:t>.</w:t>
      </w:r>
      <w:r w:rsidR="007A3DA3" w:rsidRPr="00663E17">
        <w:rPr>
          <w:rStyle w:val="FootnoteReference"/>
          <w:rFonts w:cstheme="minorHAnsi"/>
          <w:szCs w:val="20"/>
          <w:lang w:val="en-GB"/>
        </w:rPr>
        <w:footnoteReference w:id="60"/>
      </w:r>
      <w:r w:rsidR="007A3DA3" w:rsidRPr="00685C1A">
        <w:rPr>
          <w:rFonts w:cstheme="minorHAnsi"/>
          <w:szCs w:val="20"/>
          <w:lang w:val="en-GB"/>
        </w:rPr>
        <w:t xml:space="preserve"> </w:t>
      </w:r>
      <w:r w:rsidR="00B945C4" w:rsidRPr="00685C1A">
        <w:rPr>
          <w:rFonts w:cstheme="minorHAnsi"/>
          <w:szCs w:val="20"/>
          <w:lang w:val="en-GB"/>
        </w:rPr>
        <w:t>Following the Media Council’s decision not to renew the broadcasting licenses of two popular music radio stations in early 2019,</w:t>
      </w:r>
      <w:r w:rsidR="00B945C4" w:rsidRPr="00663E17">
        <w:rPr>
          <w:rStyle w:val="FootnoteReference"/>
          <w:rFonts w:cstheme="minorHAnsi"/>
          <w:szCs w:val="20"/>
          <w:lang w:val="en-GB"/>
        </w:rPr>
        <w:footnoteReference w:id="61"/>
      </w:r>
      <w:r w:rsidR="00B945C4" w:rsidRPr="00685C1A">
        <w:rPr>
          <w:rFonts w:cstheme="minorHAnsi"/>
          <w:szCs w:val="20"/>
          <w:lang w:val="en-GB"/>
        </w:rPr>
        <w:t xml:space="preserve"> the frequencies were taken over by radio stations belonging to the KESMA foundation, </w:t>
      </w:r>
      <w:r w:rsidR="006D616B" w:rsidRPr="00685C1A">
        <w:rPr>
          <w:rFonts w:cstheme="minorHAnsi"/>
          <w:szCs w:val="20"/>
          <w:lang w:val="en-GB"/>
        </w:rPr>
        <w:t xml:space="preserve">who have since been </w:t>
      </w:r>
      <w:r w:rsidR="00B945C4" w:rsidRPr="00685C1A">
        <w:rPr>
          <w:rFonts w:cstheme="minorHAnsi"/>
          <w:szCs w:val="20"/>
          <w:lang w:val="en-GB"/>
        </w:rPr>
        <w:t>broadcasting free hourly news</w:t>
      </w:r>
      <w:r w:rsidR="006D616B" w:rsidRPr="00685C1A">
        <w:rPr>
          <w:rFonts w:cstheme="minorHAnsi"/>
          <w:szCs w:val="20"/>
          <w:lang w:val="en-GB"/>
        </w:rPr>
        <w:t xml:space="preserve"> provided by the National News Agency</w:t>
      </w:r>
      <w:r w:rsidR="00B945C4" w:rsidRPr="00685C1A">
        <w:rPr>
          <w:rFonts w:cstheme="minorHAnsi"/>
          <w:szCs w:val="20"/>
          <w:lang w:val="en-GB"/>
        </w:rPr>
        <w:t>.</w:t>
      </w:r>
    </w:p>
    <w:p w14:paraId="4C915ADF" w14:textId="133DBF57" w:rsidR="005264F8" w:rsidRPr="00685C1A" w:rsidRDefault="00B945C4" w:rsidP="001A7208">
      <w:pPr>
        <w:tabs>
          <w:tab w:val="left" w:pos="1613"/>
        </w:tabs>
        <w:spacing w:after="0" w:line="240" w:lineRule="auto"/>
        <w:ind w:left="426"/>
        <w:contextualSpacing/>
        <w:jc w:val="both"/>
        <w:rPr>
          <w:rFonts w:cstheme="minorHAnsi"/>
          <w:szCs w:val="20"/>
          <w:lang w:val="en-GB"/>
        </w:rPr>
      </w:pPr>
      <w:r w:rsidRPr="00685C1A">
        <w:rPr>
          <w:rFonts w:cstheme="minorHAnsi"/>
          <w:szCs w:val="20"/>
          <w:lang w:val="en-GB"/>
        </w:rPr>
        <w:t xml:space="preserve"> </w:t>
      </w:r>
    </w:p>
    <w:p w14:paraId="10299C95" w14:textId="2C6BAC0D" w:rsidR="006413A9" w:rsidRPr="00663E17" w:rsidRDefault="006413A9" w:rsidP="001A7208">
      <w:pPr>
        <w:numPr>
          <w:ilvl w:val="0"/>
          <w:numId w:val="2"/>
        </w:numPr>
        <w:tabs>
          <w:tab w:val="left" w:pos="1613"/>
        </w:tabs>
        <w:spacing w:after="0" w:line="240" w:lineRule="auto"/>
        <w:ind w:left="714" w:hanging="357"/>
        <w:jc w:val="both"/>
        <w:rPr>
          <w:rFonts w:cstheme="minorHAnsi"/>
          <w:szCs w:val="20"/>
          <w:lang w:val="en-GB"/>
        </w:rPr>
      </w:pPr>
      <w:r w:rsidRPr="00663E17">
        <w:rPr>
          <w:rFonts w:cstheme="minorHAnsi"/>
          <w:szCs w:val="20"/>
          <w:lang w:val="en-GB"/>
        </w:rPr>
        <w:t>The excessive discretion of the Media Council discussed above can</w:t>
      </w:r>
      <w:r w:rsidR="00007A82">
        <w:rPr>
          <w:rFonts w:cstheme="minorHAnsi"/>
          <w:szCs w:val="20"/>
          <w:lang w:val="en-GB"/>
        </w:rPr>
        <w:t xml:space="preserve">, unfortunately, </w:t>
      </w:r>
      <w:r w:rsidRPr="00663E17">
        <w:rPr>
          <w:rFonts w:cstheme="minorHAnsi"/>
          <w:szCs w:val="20"/>
          <w:lang w:val="en-GB"/>
        </w:rPr>
        <w:t xml:space="preserve">be </w:t>
      </w:r>
      <w:r w:rsidR="00342E38">
        <w:rPr>
          <w:rFonts w:cstheme="minorHAnsi"/>
          <w:szCs w:val="20"/>
          <w:lang w:val="en-GB"/>
        </w:rPr>
        <w:t>illustrated further by</w:t>
      </w:r>
      <w:r w:rsidRPr="00663E17">
        <w:rPr>
          <w:rFonts w:cstheme="minorHAnsi"/>
          <w:szCs w:val="20"/>
          <w:lang w:val="en-GB"/>
        </w:rPr>
        <w:t xml:space="preserve"> the </w:t>
      </w:r>
      <w:r w:rsidR="00FC61FF">
        <w:rPr>
          <w:rFonts w:cstheme="minorHAnsi"/>
          <w:szCs w:val="20"/>
          <w:lang w:val="en-GB"/>
        </w:rPr>
        <w:t xml:space="preserve">case of </w:t>
      </w:r>
      <w:proofErr w:type="spellStart"/>
      <w:r w:rsidRPr="003325F9">
        <w:rPr>
          <w:rFonts w:cstheme="minorHAnsi"/>
          <w:i/>
          <w:iCs/>
          <w:szCs w:val="20"/>
          <w:lang w:val="en-GB"/>
        </w:rPr>
        <w:t>Klubrádió</w:t>
      </w:r>
      <w:proofErr w:type="spellEnd"/>
      <w:r w:rsidRPr="00663E17">
        <w:rPr>
          <w:rFonts w:cstheme="minorHAnsi"/>
          <w:szCs w:val="20"/>
          <w:lang w:val="en-GB"/>
        </w:rPr>
        <w:t>.</w:t>
      </w:r>
      <w:r w:rsidRPr="00663E17">
        <w:rPr>
          <w:rStyle w:val="FootnoteReference"/>
          <w:rFonts w:cstheme="minorHAnsi"/>
          <w:szCs w:val="20"/>
          <w:lang w:val="en-GB"/>
        </w:rPr>
        <w:footnoteReference w:id="62"/>
      </w:r>
      <w:r w:rsidRPr="00663E17">
        <w:rPr>
          <w:rFonts w:cstheme="minorHAnsi"/>
          <w:szCs w:val="20"/>
          <w:lang w:val="en-GB"/>
        </w:rPr>
        <w:t xml:space="preserve"> Its application for the renewal of its </w:t>
      </w:r>
      <w:r w:rsidR="00342E38">
        <w:rPr>
          <w:rFonts w:cstheme="minorHAnsi"/>
          <w:szCs w:val="20"/>
          <w:lang w:val="en-GB"/>
        </w:rPr>
        <w:t xml:space="preserve">broadcasting </w:t>
      </w:r>
      <w:r w:rsidRPr="00663E17">
        <w:rPr>
          <w:rFonts w:cstheme="minorHAnsi"/>
          <w:szCs w:val="20"/>
          <w:lang w:val="en-GB"/>
        </w:rPr>
        <w:t>licen</w:t>
      </w:r>
      <w:r w:rsidR="00342E38">
        <w:rPr>
          <w:rFonts w:cstheme="minorHAnsi"/>
          <w:szCs w:val="20"/>
          <w:lang w:val="en-GB"/>
        </w:rPr>
        <w:t>c</w:t>
      </w:r>
      <w:r w:rsidRPr="00663E17">
        <w:rPr>
          <w:rFonts w:cstheme="minorHAnsi"/>
          <w:szCs w:val="20"/>
          <w:lang w:val="en-GB"/>
        </w:rPr>
        <w:t xml:space="preserve">e was rejected by the Media Council on 11 September 2020 </w:t>
      </w:r>
      <w:r w:rsidR="00342E38">
        <w:rPr>
          <w:rFonts w:cstheme="minorHAnsi"/>
          <w:szCs w:val="20"/>
          <w:lang w:val="en-GB"/>
        </w:rPr>
        <w:t xml:space="preserve">on the ground </w:t>
      </w:r>
      <w:r w:rsidR="0064069C">
        <w:rPr>
          <w:rFonts w:cstheme="minorHAnsi"/>
          <w:szCs w:val="20"/>
          <w:lang w:val="en-GB"/>
        </w:rPr>
        <w:t xml:space="preserve">that in 2016, </w:t>
      </w:r>
      <w:r w:rsidRPr="00663E17">
        <w:rPr>
          <w:rFonts w:cstheme="minorHAnsi"/>
          <w:szCs w:val="20"/>
          <w:lang w:val="en-GB"/>
        </w:rPr>
        <w:t xml:space="preserve">by twice submitting </w:t>
      </w:r>
      <w:r w:rsidR="0064069C">
        <w:rPr>
          <w:rFonts w:cstheme="minorHAnsi"/>
          <w:szCs w:val="20"/>
          <w:lang w:val="en-GB"/>
        </w:rPr>
        <w:lastRenderedPageBreak/>
        <w:t>its m</w:t>
      </w:r>
      <w:r w:rsidRPr="00663E17">
        <w:rPr>
          <w:rFonts w:cstheme="minorHAnsi"/>
          <w:szCs w:val="20"/>
          <w:lang w:val="en-GB"/>
        </w:rPr>
        <w:t>onthly reports on Hungarian music programming</w:t>
      </w:r>
      <w:r w:rsidR="0064069C">
        <w:rPr>
          <w:rFonts w:cstheme="minorHAnsi"/>
          <w:szCs w:val="20"/>
          <w:lang w:val="en-GB"/>
        </w:rPr>
        <w:t xml:space="preserve"> late</w:t>
      </w:r>
      <w:r w:rsidRPr="00663E17">
        <w:rPr>
          <w:rFonts w:cstheme="minorHAnsi"/>
          <w:szCs w:val="20"/>
          <w:lang w:val="en-GB"/>
        </w:rPr>
        <w:t xml:space="preserve">, </w:t>
      </w:r>
      <w:r w:rsidR="0064069C">
        <w:rPr>
          <w:rFonts w:cstheme="minorHAnsi"/>
          <w:szCs w:val="20"/>
          <w:lang w:val="en-GB"/>
        </w:rPr>
        <w:t xml:space="preserve">it </w:t>
      </w:r>
      <w:r w:rsidRPr="00663E17">
        <w:rPr>
          <w:rFonts w:cstheme="minorHAnsi"/>
          <w:szCs w:val="20"/>
          <w:lang w:val="en-GB"/>
        </w:rPr>
        <w:t xml:space="preserve">had </w:t>
      </w:r>
      <w:r w:rsidR="0011717C">
        <w:rPr>
          <w:rFonts w:cstheme="minorHAnsi"/>
          <w:szCs w:val="20"/>
          <w:lang w:val="en-GB"/>
        </w:rPr>
        <w:t>“</w:t>
      </w:r>
      <w:r w:rsidRPr="00663E17">
        <w:rPr>
          <w:rFonts w:cstheme="minorHAnsi"/>
          <w:szCs w:val="20"/>
          <w:lang w:val="en-GB"/>
        </w:rPr>
        <w:t>repeatedly violated</w:t>
      </w:r>
      <w:r w:rsidR="0011717C">
        <w:rPr>
          <w:rFonts w:cstheme="minorHAnsi"/>
          <w:szCs w:val="20"/>
          <w:lang w:val="en-GB"/>
        </w:rPr>
        <w:t>”</w:t>
      </w:r>
      <w:r w:rsidRPr="00663E17">
        <w:rPr>
          <w:rFonts w:cstheme="minorHAnsi"/>
          <w:szCs w:val="20"/>
          <w:lang w:val="en-GB"/>
        </w:rPr>
        <w:t xml:space="preserve"> its responsibilities under </w:t>
      </w:r>
      <w:r w:rsidR="003A57EF">
        <w:rPr>
          <w:rFonts w:cstheme="minorHAnsi"/>
          <w:szCs w:val="20"/>
          <w:lang w:val="en-GB"/>
        </w:rPr>
        <w:t>Section</w:t>
      </w:r>
      <w:r w:rsidRPr="00663E17">
        <w:rPr>
          <w:rFonts w:cstheme="minorHAnsi"/>
          <w:szCs w:val="20"/>
          <w:lang w:val="en-GB"/>
        </w:rPr>
        <w:t xml:space="preserve"> 22(8) of the Media </w:t>
      </w:r>
      <w:r w:rsidR="00534C83">
        <w:rPr>
          <w:rFonts w:cstheme="minorHAnsi"/>
          <w:szCs w:val="20"/>
          <w:lang w:val="en-GB"/>
        </w:rPr>
        <w:t>Act</w:t>
      </w:r>
      <w:r w:rsidRPr="00663E17">
        <w:rPr>
          <w:rFonts w:cstheme="minorHAnsi"/>
          <w:szCs w:val="20"/>
          <w:lang w:val="en-GB"/>
        </w:rPr>
        <w:t>.</w:t>
      </w:r>
      <w:r w:rsidRPr="00663E17">
        <w:rPr>
          <w:rStyle w:val="FootnoteReference"/>
          <w:rFonts w:cstheme="minorHAnsi"/>
          <w:szCs w:val="20"/>
          <w:lang w:val="en-GB"/>
        </w:rPr>
        <w:footnoteReference w:id="63"/>
      </w:r>
      <w:r w:rsidRPr="00663E17">
        <w:rPr>
          <w:rFonts w:cstheme="minorHAnsi"/>
          <w:szCs w:val="20"/>
          <w:lang w:val="en-GB"/>
        </w:rPr>
        <w:t xml:space="preserve"> </w:t>
      </w:r>
      <w:r w:rsidR="0064069C">
        <w:rPr>
          <w:rFonts w:cstheme="minorHAnsi"/>
          <w:szCs w:val="20"/>
          <w:lang w:val="en-GB"/>
        </w:rPr>
        <w:t>Because t</w:t>
      </w:r>
      <w:r w:rsidRPr="00663E17">
        <w:rPr>
          <w:rFonts w:cstheme="minorHAnsi"/>
          <w:szCs w:val="20"/>
          <w:lang w:val="en-GB"/>
        </w:rPr>
        <w:t>he nature of a ‘</w:t>
      </w:r>
      <w:r w:rsidR="0011717C">
        <w:rPr>
          <w:rFonts w:cstheme="minorHAnsi"/>
          <w:szCs w:val="20"/>
          <w:lang w:val="en-GB"/>
        </w:rPr>
        <w:t>significant</w:t>
      </w:r>
      <w:r w:rsidRPr="00663E17">
        <w:rPr>
          <w:rFonts w:cstheme="minorHAnsi"/>
          <w:szCs w:val="20"/>
          <w:lang w:val="en-GB"/>
        </w:rPr>
        <w:t xml:space="preserve">’ offence </w:t>
      </w:r>
      <w:r w:rsidR="0064069C">
        <w:rPr>
          <w:rFonts w:cstheme="minorHAnsi"/>
          <w:szCs w:val="20"/>
          <w:lang w:val="en-GB"/>
        </w:rPr>
        <w:t xml:space="preserve">is not </w:t>
      </w:r>
      <w:r w:rsidRPr="00663E17">
        <w:rPr>
          <w:rFonts w:cstheme="minorHAnsi"/>
          <w:szCs w:val="20"/>
          <w:lang w:val="en-GB"/>
        </w:rPr>
        <w:t xml:space="preserve">defined in law, the Media Council has used wide discretion. It has not only considered the late submission of reports </w:t>
      </w:r>
      <w:r w:rsidR="0064069C">
        <w:rPr>
          <w:rFonts w:cstheme="minorHAnsi"/>
          <w:szCs w:val="20"/>
          <w:lang w:val="en-GB"/>
        </w:rPr>
        <w:t xml:space="preserve">to be </w:t>
      </w:r>
      <w:r w:rsidR="0011717C">
        <w:rPr>
          <w:rFonts w:cstheme="minorHAnsi"/>
          <w:szCs w:val="20"/>
          <w:lang w:val="en-GB"/>
        </w:rPr>
        <w:t>negligeable in previous cases</w:t>
      </w:r>
      <w:r w:rsidRPr="00663E17">
        <w:rPr>
          <w:rFonts w:cstheme="minorHAnsi"/>
          <w:szCs w:val="20"/>
          <w:lang w:val="en-GB"/>
        </w:rPr>
        <w:t>,</w:t>
      </w:r>
      <w:r w:rsidRPr="00663E17">
        <w:rPr>
          <w:rStyle w:val="FootnoteReference"/>
          <w:rFonts w:cstheme="minorHAnsi"/>
          <w:szCs w:val="20"/>
          <w:lang w:val="en-GB"/>
        </w:rPr>
        <w:footnoteReference w:id="64"/>
      </w:r>
      <w:r w:rsidRPr="00663E17">
        <w:rPr>
          <w:rFonts w:cstheme="minorHAnsi"/>
          <w:szCs w:val="20"/>
          <w:lang w:val="en-GB"/>
        </w:rPr>
        <w:t xml:space="preserve"> but it has also renewed </w:t>
      </w:r>
      <w:r w:rsidR="0064069C">
        <w:rPr>
          <w:rFonts w:cstheme="minorHAnsi"/>
          <w:szCs w:val="20"/>
          <w:lang w:val="en-GB"/>
        </w:rPr>
        <w:t xml:space="preserve">the broadcasting </w:t>
      </w:r>
      <w:r w:rsidRPr="00663E17">
        <w:rPr>
          <w:rFonts w:cstheme="minorHAnsi"/>
          <w:szCs w:val="20"/>
          <w:lang w:val="en-GB"/>
        </w:rPr>
        <w:t>licen</w:t>
      </w:r>
      <w:r w:rsidR="0064069C">
        <w:rPr>
          <w:rFonts w:cstheme="minorHAnsi"/>
          <w:szCs w:val="20"/>
          <w:lang w:val="en-GB"/>
        </w:rPr>
        <w:t>c</w:t>
      </w:r>
      <w:r w:rsidRPr="00663E17">
        <w:rPr>
          <w:rFonts w:cstheme="minorHAnsi"/>
          <w:szCs w:val="20"/>
          <w:lang w:val="en-GB"/>
        </w:rPr>
        <w:t>es of radio stations despite having established ‘repeated violations’ before.</w:t>
      </w:r>
      <w:r w:rsidRPr="00663E17">
        <w:rPr>
          <w:rStyle w:val="FootnoteReference"/>
          <w:rFonts w:cstheme="minorHAnsi"/>
          <w:szCs w:val="20"/>
          <w:lang w:val="en-GB"/>
        </w:rPr>
        <w:footnoteReference w:id="65"/>
      </w:r>
      <w:r w:rsidRPr="00663E17">
        <w:rPr>
          <w:rFonts w:cstheme="minorHAnsi"/>
          <w:szCs w:val="20"/>
          <w:lang w:val="en-GB"/>
        </w:rPr>
        <w:t xml:space="preserve"> This record casts doubts over the Media Council’s assertion that it had no other option but to decide against </w:t>
      </w:r>
      <w:proofErr w:type="spellStart"/>
      <w:r w:rsidRPr="003325F9">
        <w:rPr>
          <w:rFonts w:cstheme="minorHAnsi"/>
          <w:i/>
          <w:iCs/>
          <w:szCs w:val="20"/>
          <w:lang w:val="en-GB"/>
        </w:rPr>
        <w:t>Klubrádió</w:t>
      </w:r>
      <w:proofErr w:type="spellEnd"/>
      <w:r w:rsidRPr="00663E17">
        <w:rPr>
          <w:rFonts w:cstheme="minorHAnsi"/>
          <w:szCs w:val="20"/>
          <w:lang w:val="en-GB"/>
        </w:rPr>
        <w:t xml:space="preserve">. Moreover, there has been no effective remedy for </w:t>
      </w:r>
      <w:r w:rsidR="003325F9">
        <w:rPr>
          <w:rFonts w:cstheme="minorHAnsi"/>
          <w:szCs w:val="20"/>
          <w:lang w:val="en-GB"/>
        </w:rPr>
        <w:t xml:space="preserve">the outlet </w:t>
      </w:r>
      <w:r w:rsidRPr="00663E17">
        <w:rPr>
          <w:rFonts w:cstheme="minorHAnsi"/>
          <w:szCs w:val="20"/>
          <w:lang w:val="en-GB"/>
        </w:rPr>
        <w:t>as periods of litigation against decisions of the Media Council do no</w:t>
      </w:r>
      <w:r w:rsidR="00094428">
        <w:rPr>
          <w:rFonts w:cstheme="minorHAnsi"/>
          <w:szCs w:val="20"/>
          <w:lang w:val="en-GB"/>
        </w:rPr>
        <w:t>t</w:t>
      </w:r>
      <w:r w:rsidRPr="00663E17">
        <w:rPr>
          <w:rFonts w:cstheme="minorHAnsi"/>
          <w:szCs w:val="20"/>
          <w:lang w:val="en-GB"/>
        </w:rPr>
        <w:t xml:space="preserve"> alter the expiry of the licen</w:t>
      </w:r>
      <w:r w:rsidR="0064069C">
        <w:rPr>
          <w:rFonts w:cstheme="minorHAnsi"/>
          <w:szCs w:val="20"/>
          <w:lang w:val="en-GB"/>
        </w:rPr>
        <w:t>c</w:t>
      </w:r>
      <w:r w:rsidRPr="00663E17">
        <w:rPr>
          <w:rFonts w:cstheme="minorHAnsi"/>
          <w:szCs w:val="20"/>
          <w:lang w:val="en-GB"/>
        </w:rPr>
        <w:t xml:space="preserve">e. </w:t>
      </w:r>
      <w:r w:rsidR="00FC61FF">
        <w:rPr>
          <w:rFonts w:cstheme="minorHAnsi"/>
          <w:szCs w:val="20"/>
          <w:lang w:val="en-GB"/>
        </w:rPr>
        <w:t xml:space="preserve">The Commissioner was disappointed to learn that </w:t>
      </w:r>
      <w:proofErr w:type="spellStart"/>
      <w:r w:rsidRPr="003325F9">
        <w:rPr>
          <w:rFonts w:cstheme="minorHAnsi"/>
          <w:i/>
          <w:iCs/>
          <w:szCs w:val="20"/>
          <w:lang w:val="en-GB"/>
        </w:rPr>
        <w:t>Klubrádió</w:t>
      </w:r>
      <w:proofErr w:type="spellEnd"/>
      <w:r w:rsidRPr="00663E17">
        <w:rPr>
          <w:rFonts w:cstheme="minorHAnsi"/>
          <w:szCs w:val="20"/>
          <w:lang w:val="en-GB"/>
        </w:rPr>
        <w:t xml:space="preserve"> lost its airwaves </w:t>
      </w:r>
      <w:r w:rsidR="0064069C">
        <w:rPr>
          <w:rFonts w:cstheme="minorHAnsi"/>
          <w:szCs w:val="20"/>
          <w:lang w:val="en-GB"/>
        </w:rPr>
        <w:t xml:space="preserve">on </w:t>
      </w:r>
      <w:r w:rsidRPr="00663E17">
        <w:rPr>
          <w:rFonts w:cstheme="minorHAnsi"/>
          <w:szCs w:val="20"/>
          <w:lang w:val="en-GB"/>
        </w:rPr>
        <w:t>15 February 2021</w:t>
      </w:r>
      <w:r w:rsidR="00E56FB9">
        <w:rPr>
          <w:rFonts w:cstheme="minorHAnsi"/>
          <w:szCs w:val="20"/>
          <w:lang w:val="en-GB"/>
        </w:rPr>
        <w:t xml:space="preserve">, </w:t>
      </w:r>
      <w:r w:rsidRPr="00663E17">
        <w:rPr>
          <w:rFonts w:cstheme="minorHAnsi"/>
          <w:szCs w:val="20"/>
          <w:lang w:val="en-GB"/>
        </w:rPr>
        <w:t xml:space="preserve">leaving citizens in Budapest </w:t>
      </w:r>
      <w:r w:rsidR="0064069C">
        <w:rPr>
          <w:rFonts w:cstheme="minorHAnsi"/>
          <w:szCs w:val="20"/>
          <w:lang w:val="en-GB"/>
        </w:rPr>
        <w:t>bereft of</w:t>
      </w:r>
      <w:r w:rsidRPr="00663E17">
        <w:rPr>
          <w:rFonts w:cstheme="minorHAnsi"/>
          <w:szCs w:val="20"/>
          <w:lang w:val="en-GB"/>
        </w:rPr>
        <w:t xml:space="preserve"> independent news o</w:t>
      </w:r>
      <w:r w:rsidR="0064069C">
        <w:rPr>
          <w:rFonts w:cstheme="minorHAnsi"/>
          <w:szCs w:val="20"/>
          <w:lang w:val="en-GB"/>
        </w:rPr>
        <w:t>n</w:t>
      </w:r>
      <w:r w:rsidRPr="00663E17">
        <w:rPr>
          <w:rFonts w:cstheme="minorHAnsi"/>
          <w:szCs w:val="20"/>
          <w:lang w:val="en-GB"/>
        </w:rPr>
        <w:t xml:space="preserve"> the radio.</w:t>
      </w:r>
      <w:r w:rsidRPr="00663E17">
        <w:rPr>
          <w:rStyle w:val="FootnoteReference"/>
          <w:rFonts w:cstheme="minorHAnsi"/>
          <w:szCs w:val="20"/>
          <w:lang w:val="en-GB"/>
        </w:rPr>
        <w:footnoteReference w:id="66"/>
      </w:r>
      <w:r w:rsidRPr="00663E17">
        <w:rPr>
          <w:rFonts w:cstheme="minorHAnsi"/>
          <w:szCs w:val="20"/>
          <w:lang w:val="en-GB"/>
        </w:rPr>
        <w:t xml:space="preserve"> </w:t>
      </w:r>
    </w:p>
    <w:p w14:paraId="332E6E0F" w14:textId="77777777" w:rsidR="007651CB" w:rsidRPr="00663E17" w:rsidRDefault="007651CB" w:rsidP="001A7208">
      <w:pPr>
        <w:tabs>
          <w:tab w:val="left" w:pos="1613"/>
        </w:tabs>
        <w:spacing w:after="0" w:line="240" w:lineRule="auto"/>
        <w:ind w:left="426"/>
        <w:contextualSpacing/>
        <w:jc w:val="both"/>
        <w:rPr>
          <w:rFonts w:cstheme="minorHAnsi"/>
          <w:szCs w:val="20"/>
          <w:lang w:val="en-GB"/>
        </w:rPr>
      </w:pPr>
    </w:p>
    <w:p w14:paraId="5F11F975" w14:textId="31DE5D9A" w:rsidR="00B7178F" w:rsidRPr="00663E17" w:rsidRDefault="0064069C" w:rsidP="001A7208">
      <w:pPr>
        <w:numPr>
          <w:ilvl w:val="0"/>
          <w:numId w:val="2"/>
        </w:numPr>
        <w:tabs>
          <w:tab w:val="left" w:pos="1613"/>
        </w:tabs>
        <w:spacing w:after="0" w:line="240" w:lineRule="auto"/>
        <w:ind w:left="714" w:hanging="357"/>
        <w:jc w:val="both"/>
        <w:rPr>
          <w:rFonts w:cstheme="minorHAnsi"/>
          <w:szCs w:val="20"/>
          <w:lang w:val="en-GB"/>
        </w:rPr>
      </w:pPr>
      <w:r>
        <w:rPr>
          <w:rFonts w:cstheme="minorHAnsi"/>
          <w:szCs w:val="20"/>
          <w:lang w:val="en-GB"/>
        </w:rPr>
        <w:t>The i</w:t>
      </w:r>
      <w:r w:rsidR="007D180D" w:rsidRPr="00663E17">
        <w:rPr>
          <w:rFonts w:cstheme="minorHAnsi"/>
          <w:szCs w:val="20"/>
          <w:lang w:val="en-GB"/>
        </w:rPr>
        <w:t>ndependent media have</w:t>
      </w:r>
      <w:r w:rsidR="00A421D5">
        <w:rPr>
          <w:rFonts w:cstheme="minorHAnsi"/>
          <w:szCs w:val="20"/>
          <w:lang w:val="en-GB"/>
        </w:rPr>
        <w:t xml:space="preserve"> </w:t>
      </w:r>
      <w:r>
        <w:rPr>
          <w:rFonts w:cstheme="minorHAnsi"/>
          <w:szCs w:val="20"/>
          <w:lang w:val="en-GB"/>
        </w:rPr>
        <w:t xml:space="preserve">also </w:t>
      </w:r>
      <w:r w:rsidR="007D180D" w:rsidRPr="00663E17">
        <w:rPr>
          <w:rFonts w:cstheme="minorHAnsi"/>
          <w:szCs w:val="20"/>
          <w:lang w:val="en-GB"/>
        </w:rPr>
        <w:t xml:space="preserve">faced growing obstacles </w:t>
      </w:r>
      <w:r>
        <w:rPr>
          <w:rFonts w:cstheme="minorHAnsi"/>
          <w:szCs w:val="20"/>
          <w:lang w:val="en-GB"/>
        </w:rPr>
        <w:t>to</w:t>
      </w:r>
      <w:r w:rsidR="007D180D" w:rsidRPr="00663E17">
        <w:rPr>
          <w:rFonts w:cstheme="minorHAnsi"/>
          <w:szCs w:val="20"/>
          <w:lang w:val="en-GB"/>
        </w:rPr>
        <w:t xml:space="preserve"> their work.</w:t>
      </w:r>
      <w:r w:rsidR="00B945C4" w:rsidRPr="00663E17">
        <w:rPr>
          <w:rFonts w:cstheme="minorHAnsi"/>
          <w:szCs w:val="20"/>
          <w:lang w:val="en-GB"/>
        </w:rPr>
        <w:t xml:space="preserve"> Access to information </w:t>
      </w:r>
      <w:r>
        <w:rPr>
          <w:rFonts w:cstheme="minorHAnsi"/>
          <w:szCs w:val="20"/>
          <w:lang w:val="en-GB"/>
        </w:rPr>
        <w:t xml:space="preserve">is reported to have </w:t>
      </w:r>
      <w:r w:rsidR="00B945C4" w:rsidRPr="00663E17">
        <w:rPr>
          <w:rFonts w:cstheme="minorHAnsi"/>
          <w:szCs w:val="20"/>
          <w:lang w:val="en-GB"/>
        </w:rPr>
        <w:t>become increasingly difficult as their requests for information have been ignored and they have frequently not been invited to press conferences</w:t>
      </w:r>
      <w:r w:rsidR="007651CB" w:rsidRPr="00663E17">
        <w:rPr>
          <w:rFonts w:cstheme="minorHAnsi"/>
          <w:szCs w:val="20"/>
          <w:lang w:val="en-GB"/>
        </w:rPr>
        <w:t>,</w:t>
      </w:r>
      <w:r w:rsidR="00CB62D1" w:rsidRPr="00663E17">
        <w:rPr>
          <w:rStyle w:val="FootnoteReference"/>
          <w:rFonts w:cstheme="minorHAnsi"/>
          <w:szCs w:val="20"/>
          <w:lang w:val="en-GB"/>
        </w:rPr>
        <w:footnoteReference w:id="67"/>
      </w:r>
      <w:r w:rsidR="007651CB" w:rsidRPr="00663E17">
        <w:rPr>
          <w:rFonts w:cstheme="minorHAnsi"/>
          <w:szCs w:val="20"/>
          <w:lang w:val="en-GB"/>
        </w:rPr>
        <w:t xml:space="preserve"> even in the context of </w:t>
      </w:r>
      <w:r w:rsidR="00A421D5">
        <w:rPr>
          <w:rFonts w:cstheme="minorHAnsi"/>
          <w:szCs w:val="20"/>
          <w:lang w:val="en-GB"/>
        </w:rPr>
        <w:t>the</w:t>
      </w:r>
      <w:r w:rsidR="007651CB" w:rsidRPr="00663E17">
        <w:rPr>
          <w:rFonts w:cstheme="minorHAnsi"/>
          <w:szCs w:val="20"/>
          <w:lang w:val="en-GB"/>
        </w:rPr>
        <w:t xml:space="preserve"> pandemic</w:t>
      </w:r>
      <w:r>
        <w:rPr>
          <w:rFonts w:cstheme="minorHAnsi"/>
          <w:szCs w:val="20"/>
          <w:lang w:val="en-GB"/>
        </w:rPr>
        <w:t>,</w:t>
      </w:r>
      <w:r w:rsidR="007651CB" w:rsidRPr="00663E17">
        <w:rPr>
          <w:rFonts w:cstheme="minorHAnsi"/>
          <w:szCs w:val="20"/>
          <w:lang w:val="en-GB"/>
        </w:rPr>
        <w:t xml:space="preserve"> where the </w:t>
      </w:r>
      <w:r>
        <w:rPr>
          <w:rFonts w:cstheme="minorHAnsi"/>
          <w:szCs w:val="20"/>
          <w:lang w:val="en-GB"/>
        </w:rPr>
        <w:t>utmost priority should be given to the broadest possible</w:t>
      </w:r>
      <w:r w:rsidR="007651CB" w:rsidRPr="00663E17">
        <w:rPr>
          <w:rFonts w:cstheme="minorHAnsi"/>
          <w:szCs w:val="20"/>
          <w:lang w:val="en-GB"/>
        </w:rPr>
        <w:t xml:space="preserve"> dissemination of information and news</w:t>
      </w:r>
      <w:r w:rsidR="00B945C4" w:rsidRPr="00663E17">
        <w:rPr>
          <w:rFonts w:cstheme="minorHAnsi"/>
          <w:szCs w:val="20"/>
          <w:lang w:val="en-GB"/>
        </w:rPr>
        <w:t xml:space="preserve">. In two recent judgments, the Court found violations of Article 10 of the Convention </w:t>
      </w:r>
      <w:r>
        <w:rPr>
          <w:rFonts w:cstheme="minorHAnsi"/>
          <w:szCs w:val="20"/>
          <w:lang w:val="en-GB"/>
        </w:rPr>
        <w:t xml:space="preserve">on grounds of the </w:t>
      </w:r>
      <w:r w:rsidR="007651CB" w:rsidRPr="00663E17">
        <w:rPr>
          <w:rFonts w:cstheme="minorHAnsi"/>
          <w:szCs w:val="20"/>
          <w:lang w:val="en-GB"/>
        </w:rPr>
        <w:t xml:space="preserve">suspension of a journalist’s accreditation to Parliament without adequate safeguards and the </w:t>
      </w:r>
      <w:r>
        <w:rPr>
          <w:rFonts w:cstheme="minorHAnsi"/>
          <w:szCs w:val="20"/>
          <w:lang w:val="en-GB"/>
        </w:rPr>
        <w:t xml:space="preserve">barring </w:t>
      </w:r>
      <w:r w:rsidR="007651CB" w:rsidRPr="00663E17">
        <w:rPr>
          <w:rFonts w:cstheme="minorHAnsi"/>
          <w:szCs w:val="20"/>
          <w:lang w:val="en-GB"/>
        </w:rPr>
        <w:t>of a journalist’s access to an asylum reception centre from which he wished to report.</w:t>
      </w:r>
      <w:r w:rsidR="007651CB" w:rsidRPr="00663E17">
        <w:rPr>
          <w:rStyle w:val="FootnoteReference"/>
          <w:rFonts w:cstheme="minorHAnsi"/>
          <w:szCs w:val="20"/>
          <w:lang w:val="en-GB"/>
        </w:rPr>
        <w:footnoteReference w:id="68"/>
      </w:r>
      <w:r w:rsidR="009F1AA7" w:rsidRPr="00663E17">
        <w:rPr>
          <w:rFonts w:cstheme="minorHAnsi"/>
          <w:szCs w:val="20"/>
          <w:lang w:val="en-GB"/>
        </w:rPr>
        <w:t xml:space="preserve"> Investigative journalists seeking to expose corruption and the misuse of public funds for private purposes have</w:t>
      </w:r>
      <w:r w:rsidR="00304E55" w:rsidRPr="00663E17">
        <w:rPr>
          <w:rFonts w:cstheme="minorHAnsi"/>
          <w:szCs w:val="20"/>
          <w:lang w:val="en-GB"/>
        </w:rPr>
        <w:t xml:space="preserve"> faced particular difficulties in accessing information, </w:t>
      </w:r>
      <w:r w:rsidR="005064E5" w:rsidRPr="005064E5">
        <w:rPr>
          <w:rFonts w:cstheme="minorHAnsi"/>
          <w:szCs w:val="20"/>
          <w:lang w:val="en-GB"/>
        </w:rPr>
        <w:t xml:space="preserve">through means which have even included changes in the relevant legislation </w:t>
      </w:r>
      <w:r w:rsidR="009F1AA7" w:rsidRPr="00663E17">
        <w:rPr>
          <w:rFonts w:cstheme="minorHAnsi"/>
          <w:szCs w:val="20"/>
          <w:lang w:val="en-GB"/>
        </w:rPr>
        <w:t>(see above)</w:t>
      </w:r>
      <w:r w:rsidR="005064E5">
        <w:rPr>
          <w:rFonts w:cstheme="minorHAnsi"/>
          <w:szCs w:val="20"/>
          <w:lang w:val="en-GB"/>
        </w:rPr>
        <w:t>,</w:t>
      </w:r>
      <w:r w:rsidR="00A421D5">
        <w:rPr>
          <w:rFonts w:cstheme="minorHAnsi"/>
          <w:szCs w:val="20"/>
          <w:lang w:val="en-GB"/>
        </w:rPr>
        <w:t xml:space="preserve"> and </w:t>
      </w:r>
      <w:r w:rsidR="005064E5">
        <w:rPr>
          <w:rFonts w:cstheme="minorHAnsi"/>
          <w:szCs w:val="20"/>
          <w:lang w:val="en-GB"/>
        </w:rPr>
        <w:t>b</w:t>
      </w:r>
      <w:r w:rsidR="00A421D5">
        <w:rPr>
          <w:rFonts w:cstheme="minorHAnsi"/>
          <w:szCs w:val="20"/>
          <w:lang w:val="en-GB"/>
        </w:rPr>
        <w:t>ee</w:t>
      </w:r>
      <w:r w:rsidR="0001401D">
        <w:rPr>
          <w:rFonts w:cstheme="minorHAnsi"/>
          <w:szCs w:val="20"/>
          <w:lang w:val="en-GB"/>
        </w:rPr>
        <w:t>n</w:t>
      </w:r>
      <w:r w:rsidR="00A421D5">
        <w:rPr>
          <w:rFonts w:cstheme="minorHAnsi"/>
          <w:szCs w:val="20"/>
          <w:lang w:val="en-GB"/>
        </w:rPr>
        <w:t xml:space="preserve"> increasingly exposed to </w:t>
      </w:r>
      <w:r w:rsidR="00D54DD4">
        <w:rPr>
          <w:rFonts w:cstheme="minorHAnsi"/>
          <w:szCs w:val="20"/>
          <w:lang w:val="en-GB"/>
        </w:rPr>
        <w:t>police questioning and threats of</w:t>
      </w:r>
      <w:r w:rsidR="0001401D">
        <w:rPr>
          <w:rFonts w:cstheme="minorHAnsi"/>
          <w:szCs w:val="20"/>
          <w:lang w:val="en-GB"/>
        </w:rPr>
        <w:t xml:space="preserve"> litigation.</w:t>
      </w:r>
      <w:r w:rsidR="00304E55" w:rsidRPr="00663E17">
        <w:rPr>
          <w:rStyle w:val="FootnoteReference"/>
          <w:rFonts w:cstheme="minorHAnsi"/>
          <w:szCs w:val="20"/>
          <w:lang w:val="en-GB"/>
        </w:rPr>
        <w:footnoteReference w:id="69"/>
      </w:r>
    </w:p>
    <w:p w14:paraId="4F9BE4C1" w14:textId="77777777" w:rsidR="00B7178F" w:rsidRPr="00663E17" w:rsidRDefault="00B7178F" w:rsidP="001A7208">
      <w:pPr>
        <w:pStyle w:val="ListParagraph"/>
        <w:spacing w:after="0" w:line="240" w:lineRule="auto"/>
        <w:ind w:left="426" w:hanging="357"/>
        <w:jc w:val="both"/>
        <w:rPr>
          <w:rFonts w:cstheme="minorHAnsi"/>
          <w:szCs w:val="20"/>
          <w:lang w:val="en-GB"/>
        </w:rPr>
      </w:pPr>
    </w:p>
    <w:p w14:paraId="1936DBBF" w14:textId="07984694" w:rsidR="00B7178F" w:rsidRPr="00663E17" w:rsidRDefault="00B7178F" w:rsidP="001A7208">
      <w:pPr>
        <w:numPr>
          <w:ilvl w:val="0"/>
          <w:numId w:val="2"/>
        </w:numPr>
        <w:tabs>
          <w:tab w:val="left" w:pos="1613"/>
        </w:tabs>
        <w:spacing w:after="0" w:line="240" w:lineRule="auto"/>
        <w:ind w:left="714" w:hanging="357"/>
        <w:jc w:val="both"/>
        <w:rPr>
          <w:rFonts w:cstheme="minorHAnsi"/>
          <w:szCs w:val="20"/>
          <w:lang w:val="en-GB"/>
        </w:rPr>
      </w:pPr>
      <w:r w:rsidRPr="00663E17">
        <w:rPr>
          <w:rFonts w:cstheme="minorHAnsi"/>
          <w:szCs w:val="20"/>
          <w:lang w:val="en-GB"/>
        </w:rPr>
        <w:t>T</w:t>
      </w:r>
      <w:r w:rsidR="00DF2D31" w:rsidRPr="00663E17">
        <w:rPr>
          <w:rFonts w:cstheme="minorHAnsi"/>
          <w:szCs w:val="20"/>
          <w:lang w:val="en-GB"/>
        </w:rPr>
        <w:t>h</w:t>
      </w:r>
      <w:r w:rsidR="007651CB" w:rsidRPr="00663E17">
        <w:rPr>
          <w:rFonts w:cstheme="minorHAnsi"/>
          <w:szCs w:val="20"/>
          <w:lang w:val="en-GB"/>
        </w:rPr>
        <w:t xml:space="preserve">e Commissioner </w:t>
      </w:r>
      <w:r w:rsidR="00A421D5">
        <w:rPr>
          <w:rFonts w:cstheme="minorHAnsi"/>
          <w:szCs w:val="20"/>
          <w:lang w:val="en-GB"/>
        </w:rPr>
        <w:t xml:space="preserve">notes </w:t>
      </w:r>
      <w:r w:rsidR="005064E5">
        <w:rPr>
          <w:rFonts w:cstheme="minorHAnsi"/>
          <w:szCs w:val="20"/>
          <w:lang w:val="en-GB"/>
        </w:rPr>
        <w:t xml:space="preserve">that there has been an extreme </w:t>
      </w:r>
      <w:r w:rsidR="007651CB" w:rsidRPr="00663E17">
        <w:rPr>
          <w:rFonts w:cstheme="minorHAnsi"/>
          <w:szCs w:val="20"/>
          <w:lang w:val="en-GB"/>
        </w:rPr>
        <w:t xml:space="preserve">polarisation of </w:t>
      </w:r>
      <w:r w:rsidR="005064E5">
        <w:rPr>
          <w:rFonts w:cstheme="minorHAnsi"/>
          <w:szCs w:val="20"/>
          <w:lang w:val="en-GB"/>
        </w:rPr>
        <w:t xml:space="preserve">the Hungarian, </w:t>
      </w:r>
      <w:r w:rsidR="007651CB" w:rsidRPr="00663E17">
        <w:rPr>
          <w:rFonts w:cstheme="minorHAnsi"/>
          <w:szCs w:val="20"/>
          <w:lang w:val="en-GB"/>
        </w:rPr>
        <w:t xml:space="preserve">which has an overall </w:t>
      </w:r>
      <w:r w:rsidR="005064E5">
        <w:rPr>
          <w:rFonts w:cstheme="minorHAnsi"/>
          <w:szCs w:val="20"/>
          <w:lang w:val="en-GB"/>
        </w:rPr>
        <w:t>adverse</w:t>
      </w:r>
      <w:r w:rsidR="007651CB" w:rsidRPr="00663E17">
        <w:rPr>
          <w:rFonts w:cstheme="minorHAnsi"/>
          <w:szCs w:val="20"/>
          <w:lang w:val="en-GB"/>
        </w:rPr>
        <w:t xml:space="preserve"> effect on the free exchange of information and opinions. </w:t>
      </w:r>
      <w:r w:rsidR="009F1AA7" w:rsidRPr="00663E17">
        <w:rPr>
          <w:rFonts w:cstheme="minorHAnsi"/>
          <w:szCs w:val="20"/>
          <w:lang w:val="en-GB"/>
        </w:rPr>
        <w:t xml:space="preserve">Her </w:t>
      </w:r>
      <w:r w:rsidR="007651CB" w:rsidRPr="00663E17">
        <w:rPr>
          <w:rFonts w:cstheme="minorHAnsi"/>
          <w:szCs w:val="20"/>
          <w:lang w:val="en-GB"/>
        </w:rPr>
        <w:t>discussions with government representatives in February 2021</w:t>
      </w:r>
      <w:r w:rsidR="009F1AA7" w:rsidRPr="00663E17">
        <w:rPr>
          <w:rFonts w:cstheme="minorHAnsi"/>
          <w:szCs w:val="20"/>
          <w:lang w:val="en-GB"/>
        </w:rPr>
        <w:t xml:space="preserve"> confirmed that</w:t>
      </w:r>
      <w:r w:rsidR="007651CB" w:rsidRPr="00663E17">
        <w:rPr>
          <w:rFonts w:cstheme="minorHAnsi"/>
          <w:szCs w:val="20"/>
          <w:lang w:val="en-GB"/>
        </w:rPr>
        <w:t xml:space="preserve"> </w:t>
      </w:r>
      <w:r w:rsidR="007E46E4" w:rsidRPr="00663E17">
        <w:rPr>
          <w:rFonts w:cstheme="minorHAnsi"/>
          <w:szCs w:val="20"/>
          <w:lang w:val="en-GB"/>
        </w:rPr>
        <w:t xml:space="preserve">any form of criticism expressed by </w:t>
      </w:r>
      <w:r w:rsidR="005064E5">
        <w:rPr>
          <w:rFonts w:cstheme="minorHAnsi"/>
          <w:szCs w:val="20"/>
          <w:lang w:val="en-GB"/>
        </w:rPr>
        <w:t xml:space="preserve">the </w:t>
      </w:r>
      <w:r w:rsidR="007E46E4" w:rsidRPr="00663E17">
        <w:rPr>
          <w:rFonts w:cstheme="minorHAnsi"/>
          <w:szCs w:val="20"/>
          <w:lang w:val="en-GB"/>
        </w:rPr>
        <w:t xml:space="preserve">media is interpreted </w:t>
      </w:r>
      <w:r w:rsidR="009F1AA7" w:rsidRPr="00663E17">
        <w:rPr>
          <w:rFonts w:cstheme="minorHAnsi"/>
          <w:szCs w:val="20"/>
          <w:lang w:val="en-GB"/>
        </w:rPr>
        <w:t xml:space="preserve">by </w:t>
      </w:r>
      <w:r w:rsidR="00094428">
        <w:rPr>
          <w:rFonts w:cstheme="minorHAnsi"/>
          <w:szCs w:val="20"/>
          <w:lang w:val="en-GB"/>
        </w:rPr>
        <w:t xml:space="preserve">the </w:t>
      </w:r>
      <w:r w:rsidR="009F1AA7" w:rsidRPr="00663E17">
        <w:rPr>
          <w:rFonts w:cstheme="minorHAnsi"/>
          <w:szCs w:val="20"/>
          <w:lang w:val="en-GB"/>
        </w:rPr>
        <w:t xml:space="preserve">government </w:t>
      </w:r>
      <w:r w:rsidR="007E46E4" w:rsidRPr="00663E17">
        <w:rPr>
          <w:rFonts w:cstheme="minorHAnsi"/>
          <w:szCs w:val="20"/>
          <w:lang w:val="en-GB"/>
        </w:rPr>
        <w:t xml:space="preserve">as hostility and proof of an ‘anti-government’ disposition. </w:t>
      </w:r>
      <w:r w:rsidR="00094428">
        <w:rPr>
          <w:rFonts w:cstheme="minorHAnsi"/>
          <w:szCs w:val="20"/>
          <w:lang w:val="en-GB"/>
        </w:rPr>
        <w:t>Yet, s</w:t>
      </w:r>
      <w:r w:rsidR="007E46E4" w:rsidRPr="00663E17">
        <w:rPr>
          <w:rFonts w:cstheme="minorHAnsi"/>
          <w:szCs w:val="20"/>
          <w:lang w:val="en-GB"/>
        </w:rPr>
        <w:t>crutinising govern</w:t>
      </w:r>
      <w:r w:rsidR="0052159D" w:rsidRPr="00663E17">
        <w:rPr>
          <w:rFonts w:cstheme="minorHAnsi"/>
          <w:szCs w:val="20"/>
          <w:lang w:val="en-GB"/>
        </w:rPr>
        <w:t>ment</w:t>
      </w:r>
      <w:r w:rsidR="007E46E4" w:rsidRPr="00663E17">
        <w:rPr>
          <w:rFonts w:cstheme="minorHAnsi"/>
          <w:szCs w:val="20"/>
          <w:lang w:val="en-GB"/>
        </w:rPr>
        <w:t xml:space="preserve"> is one of the core functions of </w:t>
      </w:r>
      <w:r w:rsidR="005064E5">
        <w:rPr>
          <w:rFonts w:cstheme="minorHAnsi"/>
          <w:szCs w:val="20"/>
          <w:lang w:val="en-GB"/>
        </w:rPr>
        <w:t xml:space="preserve">the </w:t>
      </w:r>
      <w:r w:rsidR="007E46E4" w:rsidRPr="00663E17">
        <w:rPr>
          <w:rFonts w:cstheme="minorHAnsi"/>
          <w:szCs w:val="20"/>
          <w:lang w:val="en-GB"/>
        </w:rPr>
        <w:t>media</w:t>
      </w:r>
      <w:r w:rsidR="0052159D" w:rsidRPr="00663E17">
        <w:rPr>
          <w:rFonts w:cstheme="minorHAnsi"/>
          <w:szCs w:val="20"/>
          <w:lang w:val="en-GB"/>
        </w:rPr>
        <w:t>,</w:t>
      </w:r>
      <w:r w:rsidR="005064E5">
        <w:rPr>
          <w:rFonts w:cstheme="minorHAnsi"/>
          <w:szCs w:val="20"/>
          <w:lang w:val="en-GB"/>
        </w:rPr>
        <w:t xml:space="preserve"> and</w:t>
      </w:r>
      <w:r w:rsidR="0052159D" w:rsidRPr="00663E17">
        <w:rPr>
          <w:rFonts w:cstheme="minorHAnsi"/>
          <w:szCs w:val="20"/>
          <w:lang w:val="en-GB"/>
        </w:rPr>
        <w:t xml:space="preserve"> it is </w:t>
      </w:r>
      <w:r w:rsidR="005064E5">
        <w:rPr>
          <w:rFonts w:cstheme="minorHAnsi"/>
          <w:szCs w:val="20"/>
          <w:lang w:val="en-GB"/>
        </w:rPr>
        <w:t xml:space="preserve">actually </w:t>
      </w:r>
      <w:r w:rsidR="0052159D" w:rsidRPr="00663E17">
        <w:rPr>
          <w:rFonts w:cstheme="minorHAnsi"/>
          <w:szCs w:val="20"/>
          <w:lang w:val="en-GB"/>
        </w:rPr>
        <w:t>“</w:t>
      </w:r>
      <w:r w:rsidR="00A421D5">
        <w:rPr>
          <w:rFonts w:cstheme="minorHAnsi"/>
          <w:szCs w:val="20"/>
          <w:lang w:val="en-GB"/>
        </w:rPr>
        <w:t xml:space="preserve">in </w:t>
      </w:r>
      <w:r w:rsidR="0052159D" w:rsidRPr="00663E17">
        <w:rPr>
          <w:rFonts w:cstheme="minorHAnsi"/>
          <w:szCs w:val="20"/>
          <w:lang w:val="en-GB"/>
        </w:rPr>
        <w:t>the strong interest of a democratic society” for the press to exercise its vital role as a public watchdog.</w:t>
      </w:r>
      <w:r w:rsidR="0052159D" w:rsidRPr="00663E17">
        <w:rPr>
          <w:rStyle w:val="FootnoteReference"/>
          <w:rFonts w:cstheme="minorHAnsi"/>
          <w:szCs w:val="20"/>
          <w:lang w:val="en-GB"/>
        </w:rPr>
        <w:footnoteReference w:id="70"/>
      </w:r>
      <w:r w:rsidR="0052159D" w:rsidRPr="00663E17">
        <w:rPr>
          <w:rFonts w:cstheme="minorHAnsi"/>
          <w:szCs w:val="20"/>
          <w:lang w:val="en-GB"/>
        </w:rPr>
        <w:t xml:space="preserve"> </w:t>
      </w:r>
      <w:r w:rsidR="00AC040E" w:rsidRPr="00663E17">
        <w:rPr>
          <w:rFonts w:cstheme="minorHAnsi"/>
          <w:szCs w:val="20"/>
          <w:lang w:val="en-GB"/>
        </w:rPr>
        <w:t xml:space="preserve">It is </w:t>
      </w:r>
      <w:r w:rsidR="007B0DFE" w:rsidRPr="00663E17">
        <w:rPr>
          <w:rFonts w:cstheme="minorHAnsi"/>
          <w:szCs w:val="20"/>
          <w:lang w:val="en-GB"/>
        </w:rPr>
        <w:t>th</w:t>
      </w:r>
      <w:r w:rsidR="005064E5">
        <w:rPr>
          <w:rFonts w:cstheme="minorHAnsi"/>
          <w:szCs w:val="20"/>
          <w:lang w:val="en-GB"/>
        </w:rPr>
        <w:t>erefore</w:t>
      </w:r>
      <w:r w:rsidR="007B0DFE" w:rsidRPr="00663E17">
        <w:rPr>
          <w:rFonts w:cstheme="minorHAnsi"/>
          <w:szCs w:val="20"/>
          <w:lang w:val="en-GB"/>
        </w:rPr>
        <w:t xml:space="preserve"> </w:t>
      </w:r>
      <w:r w:rsidR="00AC040E" w:rsidRPr="00663E17">
        <w:rPr>
          <w:rFonts w:cstheme="minorHAnsi"/>
          <w:szCs w:val="20"/>
          <w:lang w:val="en-GB"/>
        </w:rPr>
        <w:t>unacceptable</w:t>
      </w:r>
      <w:r w:rsidR="007B0DFE" w:rsidRPr="00663E17">
        <w:rPr>
          <w:rFonts w:cstheme="minorHAnsi"/>
          <w:szCs w:val="20"/>
          <w:lang w:val="en-GB"/>
        </w:rPr>
        <w:t xml:space="preserve"> and contrary to basic media freedom standards</w:t>
      </w:r>
      <w:r w:rsidR="00AC040E" w:rsidRPr="00663E17">
        <w:rPr>
          <w:rFonts w:cstheme="minorHAnsi"/>
          <w:szCs w:val="20"/>
          <w:lang w:val="en-GB"/>
        </w:rPr>
        <w:t xml:space="preserve"> for journalists to be de</w:t>
      </w:r>
      <w:r w:rsidR="007D7295" w:rsidRPr="00663E17">
        <w:rPr>
          <w:rFonts w:cstheme="minorHAnsi"/>
          <w:szCs w:val="20"/>
          <w:lang w:val="en-GB"/>
        </w:rPr>
        <w:t xml:space="preserve">nigrated as ‘activists’ or ‘Soros mercenaries’ </w:t>
      </w:r>
      <w:r w:rsidR="005064E5">
        <w:rPr>
          <w:rFonts w:cstheme="minorHAnsi"/>
          <w:szCs w:val="20"/>
          <w:lang w:val="en-GB"/>
        </w:rPr>
        <w:t>simply because they are doing their job</w:t>
      </w:r>
      <w:r w:rsidR="007D7295" w:rsidRPr="00663E17">
        <w:rPr>
          <w:rFonts w:cstheme="minorHAnsi"/>
          <w:szCs w:val="20"/>
          <w:lang w:val="en-GB"/>
        </w:rPr>
        <w:t>.</w:t>
      </w:r>
      <w:r w:rsidR="007D7295" w:rsidRPr="00663E17">
        <w:rPr>
          <w:rStyle w:val="FootnoteReference"/>
          <w:rFonts w:cstheme="minorHAnsi"/>
          <w:szCs w:val="20"/>
          <w:lang w:val="en-GB"/>
        </w:rPr>
        <w:footnoteReference w:id="71"/>
      </w:r>
      <w:r w:rsidR="00587744" w:rsidRPr="00663E17">
        <w:rPr>
          <w:rFonts w:cstheme="minorHAnsi"/>
          <w:szCs w:val="20"/>
          <w:lang w:val="en-GB"/>
        </w:rPr>
        <w:t xml:space="preserve"> </w:t>
      </w:r>
      <w:r w:rsidR="00FC61FF">
        <w:rPr>
          <w:rFonts w:cstheme="minorHAnsi"/>
          <w:szCs w:val="20"/>
          <w:lang w:val="en-GB"/>
        </w:rPr>
        <w:t xml:space="preserve">The Commissioner is deeply concerned by </w:t>
      </w:r>
      <w:r w:rsidR="00587744" w:rsidRPr="00663E17">
        <w:rPr>
          <w:rFonts w:cstheme="minorHAnsi"/>
          <w:szCs w:val="20"/>
          <w:lang w:val="en-GB"/>
        </w:rPr>
        <w:t xml:space="preserve">reports of repeated harassment </w:t>
      </w:r>
      <w:r w:rsidR="00D22FA5">
        <w:rPr>
          <w:rFonts w:cstheme="minorHAnsi"/>
          <w:szCs w:val="20"/>
          <w:lang w:val="en-GB"/>
        </w:rPr>
        <w:t>of</w:t>
      </w:r>
      <w:r w:rsidR="00587744" w:rsidRPr="00663E17">
        <w:rPr>
          <w:rFonts w:cstheme="minorHAnsi"/>
          <w:szCs w:val="20"/>
          <w:lang w:val="en-GB"/>
        </w:rPr>
        <w:t xml:space="preserve"> independent media </w:t>
      </w:r>
      <w:r w:rsidR="00587744" w:rsidRPr="00663E17">
        <w:rPr>
          <w:rFonts w:cstheme="minorHAnsi"/>
          <w:szCs w:val="20"/>
          <w:lang w:val="en-GB"/>
        </w:rPr>
        <w:lastRenderedPageBreak/>
        <w:t xml:space="preserve">representatives </w:t>
      </w:r>
      <w:r w:rsidR="004071D3">
        <w:rPr>
          <w:rFonts w:cstheme="minorHAnsi"/>
          <w:szCs w:val="20"/>
          <w:lang w:val="en-GB"/>
        </w:rPr>
        <w:t>by</w:t>
      </w:r>
      <w:r w:rsidR="00587744" w:rsidRPr="00663E17">
        <w:rPr>
          <w:rFonts w:cstheme="minorHAnsi"/>
          <w:szCs w:val="20"/>
          <w:lang w:val="en-GB"/>
        </w:rPr>
        <w:t xml:space="preserve"> government officials, </w:t>
      </w:r>
      <w:r w:rsidR="004071D3">
        <w:rPr>
          <w:rFonts w:cstheme="minorHAnsi"/>
          <w:szCs w:val="20"/>
          <w:lang w:val="en-GB"/>
        </w:rPr>
        <w:t xml:space="preserve">who </w:t>
      </w:r>
      <w:r w:rsidR="00587744" w:rsidRPr="00663E17">
        <w:rPr>
          <w:rFonts w:cstheme="minorHAnsi"/>
          <w:szCs w:val="20"/>
          <w:lang w:val="en-GB"/>
        </w:rPr>
        <w:t>call</w:t>
      </w:r>
      <w:r w:rsidR="004071D3">
        <w:rPr>
          <w:rFonts w:cstheme="minorHAnsi"/>
          <w:szCs w:val="20"/>
          <w:lang w:val="en-GB"/>
        </w:rPr>
        <w:t xml:space="preserve"> </w:t>
      </w:r>
      <w:r w:rsidR="00587744" w:rsidRPr="00663E17">
        <w:rPr>
          <w:rFonts w:cstheme="minorHAnsi"/>
          <w:szCs w:val="20"/>
          <w:lang w:val="en-GB"/>
        </w:rPr>
        <w:t>them “traitors” for opposing the Prime Minister and threaten them with legal retaliation.</w:t>
      </w:r>
      <w:r w:rsidR="00587744" w:rsidRPr="00663E17">
        <w:rPr>
          <w:rStyle w:val="FootnoteReference"/>
          <w:rFonts w:cstheme="minorHAnsi"/>
          <w:szCs w:val="20"/>
          <w:lang w:val="en-GB"/>
        </w:rPr>
        <w:footnoteReference w:id="72"/>
      </w:r>
      <w:r w:rsidR="00587744" w:rsidRPr="00663E17">
        <w:rPr>
          <w:rFonts w:cstheme="minorHAnsi"/>
          <w:szCs w:val="20"/>
          <w:lang w:val="en-GB"/>
        </w:rPr>
        <w:t xml:space="preserve"> </w:t>
      </w:r>
    </w:p>
    <w:p w14:paraId="6898FB09" w14:textId="77777777" w:rsidR="00B7178F" w:rsidRPr="00663E17" w:rsidRDefault="00B7178F" w:rsidP="001A7208">
      <w:pPr>
        <w:pStyle w:val="ListParagraph"/>
        <w:spacing w:after="0" w:line="240" w:lineRule="auto"/>
        <w:ind w:left="426" w:hanging="357"/>
        <w:jc w:val="both"/>
        <w:rPr>
          <w:rFonts w:cstheme="minorHAnsi"/>
          <w:szCs w:val="20"/>
          <w:lang w:val="en-GB"/>
        </w:rPr>
      </w:pPr>
    </w:p>
    <w:p w14:paraId="261F4B65" w14:textId="2EF9E0E8" w:rsidR="007B0DFE" w:rsidRPr="0001401D" w:rsidRDefault="00B7178F" w:rsidP="001A7208">
      <w:pPr>
        <w:numPr>
          <w:ilvl w:val="0"/>
          <w:numId w:val="2"/>
        </w:numPr>
        <w:tabs>
          <w:tab w:val="left" w:pos="1613"/>
        </w:tabs>
        <w:spacing w:after="0" w:line="240" w:lineRule="auto"/>
        <w:ind w:left="714" w:hanging="357"/>
        <w:jc w:val="both"/>
        <w:rPr>
          <w:rFonts w:cstheme="minorHAnsi"/>
          <w:szCs w:val="20"/>
          <w:lang w:val="en-GB"/>
        </w:rPr>
      </w:pPr>
      <w:r w:rsidRPr="0001401D">
        <w:rPr>
          <w:rFonts w:cstheme="minorHAnsi"/>
          <w:szCs w:val="20"/>
          <w:lang w:val="en-GB"/>
        </w:rPr>
        <w:t xml:space="preserve">In the current climate, the Commissioner </w:t>
      </w:r>
      <w:r w:rsidR="00DA3C3C">
        <w:rPr>
          <w:rFonts w:cstheme="minorHAnsi"/>
          <w:szCs w:val="20"/>
          <w:lang w:val="en-GB"/>
        </w:rPr>
        <w:t xml:space="preserve">further </w:t>
      </w:r>
      <w:r w:rsidRPr="0001401D">
        <w:rPr>
          <w:rFonts w:cstheme="minorHAnsi"/>
          <w:szCs w:val="20"/>
          <w:lang w:val="en-GB"/>
        </w:rPr>
        <w:t>notes with great concern that i</w:t>
      </w:r>
      <w:r w:rsidR="009F1AA7" w:rsidRPr="0001401D">
        <w:rPr>
          <w:rFonts w:cstheme="minorHAnsi"/>
          <w:szCs w:val="20"/>
          <w:lang w:val="en-GB"/>
        </w:rPr>
        <w:t>ndependent journalists</w:t>
      </w:r>
      <w:r w:rsidRPr="0001401D">
        <w:rPr>
          <w:rFonts w:cstheme="minorHAnsi"/>
          <w:szCs w:val="20"/>
          <w:lang w:val="en-GB"/>
        </w:rPr>
        <w:t xml:space="preserve"> who are being aggressed or defamed have virtually no remedy at their disposal. </w:t>
      </w:r>
      <w:r w:rsidR="004071D3">
        <w:rPr>
          <w:rFonts w:cstheme="minorHAnsi"/>
          <w:szCs w:val="20"/>
          <w:lang w:val="en-GB"/>
        </w:rPr>
        <w:t xml:space="preserve">Because </w:t>
      </w:r>
      <w:r w:rsidRPr="0001401D">
        <w:rPr>
          <w:rFonts w:cstheme="minorHAnsi"/>
          <w:szCs w:val="20"/>
          <w:lang w:val="en-GB"/>
        </w:rPr>
        <w:t xml:space="preserve">the Media Council </w:t>
      </w:r>
      <w:r w:rsidR="004071D3">
        <w:rPr>
          <w:rFonts w:cstheme="minorHAnsi"/>
          <w:szCs w:val="20"/>
          <w:lang w:val="en-GB"/>
        </w:rPr>
        <w:t xml:space="preserve">cannot be </w:t>
      </w:r>
      <w:r w:rsidR="00A421D5" w:rsidRPr="0001401D">
        <w:rPr>
          <w:rFonts w:cstheme="minorHAnsi"/>
          <w:szCs w:val="20"/>
          <w:lang w:val="en-GB"/>
        </w:rPr>
        <w:t xml:space="preserve">trusted </w:t>
      </w:r>
      <w:r w:rsidR="004071D3">
        <w:rPr>
          <w:rFonts w:cstheme="minorHAnsi"/>
          <w:szCs w:val="20"/>
          <w:lang w:val="en-GB"/>
        </w:rPr>
        <w:t xml:space="preserve">to act </w:t>
      </w:r>
      <w:r w:rsidR="00A421D5" w:rsidRPr="0001401D">
        <w:rPr>
          <w:rFonts w:cstheme="minorHAnsi"/>
          <w:szCs w:val="20"/>
          <w:lang w:val="en-GB"/>
        </w:rPr>
        <w:t>as an independent or effective authority</w:t>
      </w:r>
      <w:r w:rsidRPr="0001401D">
        <w:rPr>
          <w:rFonts w:cstheme="minorHAnsi"/>
          <w:szCs w:val="20"/>
          <w:lang w:val="en-GB"/>
        </w:rPr>
        <w:t xml:space="preserve">, journalists </w:t>
      </w:r>
      <w:r w:rsidR="004071D3">
        <w:rPr>
          <w:rFonts w:cstheme="minorHAnsi"/>
          <w:szCs w:val="20"/>
          <w:lang w:val="en-GB"/>
        </w:rPr>
        <w:t>are forced to</w:t>
      </w:r>
      <w:r w:rsidRPr="0001401D">
        <w:rPr>
          <w:rFonts w:cstheme="minorHAnsi"/>
          <w:szCs w:val="20"/>
          <w:lang w:val="en-GB"/>
        </w:rPr>
        <w:t xml:space="preserve"> turn to the courts. </w:t>
      </w:r>
      <w:r w:rsidR="00B432A6" w:rsidRPr="0001401D">
        <w:rPr>
          <w:rFonts w:cstheme="minorHAnsi"/>
          <w:szCs w:val="20"/>
          <w:lang w:val="en-GB"/>
        </w:rPr>
        <w:t xml:space="preserve">While such proceedings have frequently </w:t>
      </w:r>
      <w:r w:rsidR="004071D3">
        <w:rPr>
          <w:rFonts w:cstheme="minorHAnsi"/>
          <w:szCs w:val="20"/>
          <w:lang w:val="en-GB"/>
        </w:rPr>
        <w:t xml:space="preserve">come out </w:t>
      </w:r>
      <w:r w:rsidR="00B432A6" w:rsidRPr="0001401D">
        <w:rPr>
          <w:rFonts w:cstheme="minorHAnsi"/>
          <w:szCs w:val="20"/>
          <w:lang w:val="en-GB"/>
        </w:rPr>
        <w:t xml:space="preserve">in their favour and the media outlets in question </w:t>
      </w:r>
      <w:r w:rsidR="004071D3">
        <w:rPr>
          <w:rFonts w:cstheme="minorHAnsi"/>
          <w:szCs w:val="20"/>
          <w:lang w:val="en-GB"/>
        </w:rPr>
        <w:t>have been o</w:t>
      </w:r>
      <w:r w:rsidR="00B432A6" w:rsidRPr="0001401D">
        <w:rPr>
          <w:rFonts w:cstheme="minorHAnsi"/>
          <w:szCs w:val="20"/>
          <w:lang w:val="en-GB"/>
        </w:rPr>
        <w:t xml:space="preserve">rdered to issue corrective statements and/or pay fines, these </w:t>
      </w:r>
      <w:r w:rsidR="004071D3">
        <w:rPr>
          <w:rFonts w:cstheme="minorHAnsi"/>
          <w:szCs w:val="20"/>
          <w:lang w:val="en-GB"/>
        </w:rPr>
        <w:t xml:space="preserve">orders </w:t>
      </w:r>
      <w:r w:rsidR="00B432A6" w:rsidRPr="0001401D">
        <w:rPr>
          <w:rFonts w:cstheme="minorHAnsi"/>
          <w:szCs w:val="20"/>
          <w:lang w:val="en-GB"/>
        </w:rPr>
        <w:t xml:space="preserve">have </w:t>
      </w:r>
      <w:r w:rsidR="00FC61FF">
        <w:rPr>
          <w:rFonts w:cstheme="minorHAnsi"/>
          <w:szCs w:val="20"/>
          <w:lang w:val="en-GB"/>
        </w:rPr>
        <w:t xml:space="preserve">not always been </w:t>
      </w:r>
      <w:r w:rsidR="004071D3">
        <w:rPr>
          <w:rFonts w:cstheme="minorHAnsi"/>
          <w:szCs w:val="20"/>
          <w:lang w:val="en-GB"/>
        </w:rPr>
        <w:t>c</w:t>
      </w:r>
      <w:r w:rsidR="00FC61FF">
        <w:rPr>
          <w:rFonts w:cstheme="minorHAnsi"/>
          <w:szCs w:val="20"/>
          <w:lang w:val="en-GB"/>
        </w:rPr>
        <w:t xml:space="preserve">omplied with (see below) and </w:t>
      </w:r>
      <w:r w:rsidR="004071D3">
        <w:rPr>
          <w:rFonts w:cstheme="minorHAnsi"/>
          <w:szCs w:val="20"/>
          <w:lang w:val="en-GB"/>
        </w:rPr>
        <w:t xml:space="preserve">have not succeeded </w:t>
      </w:r>
      <w:r w:rsidR="00B432A6" w:rsidRPr="0001401D">
        <w:rPr>
          <w:rFonts w:cstheme="minorHAnsi"/>
          <w:szCs w:val="20"/>
          <w:lang w:val="en-GB"/>
        </w:rPr>
        <w:t xml:space="preserve">in </w:t>
      </w:r>
      <w:r w:rsidR="00A421D5" w:rsidRPr="0001401D">
        <w:rPr>
          <w:rFonts w:cstheme="minorHAnsi"/>
          <w:szCs w:val="20"/>
          <w:lang w:val="en-GB"/>
        </w:rPr>
        <w:t xml:space="preserve">putting an end to </w:t>
      </w:r>
      <w:r w:rsidR="00B432A6" w:rsidRPr="0001401D">
        <w:rPr>
          <w:rFonts w:cstheme="minorHAnsi"/>
          <w:szCs w:val="20"/>
          <w:lang w:val="en-GB"/>
        </w:rPr>
        <w:t xml:space="preserve">what </w:t>
      </w:r>
      <w:r w:rsidR="00C306F0">
        <w:rPr>
          <w:rFonts w:cstheme="minorHAnsi"/>
          <w:szCs w:val="20"/>
          <w:lang w:val="en-GB"/>
        </w:rPr>
        <w:t>are clearly co-</w:t>
      </w:r>
      <w:r w:rsidR="00B432A6" w:rsidRPr="0001401D">
        <w:rPr>
          <w:rFonts w:cstheme="minorHAnsi"/>
          <w:szCs w:val="20"/>
          <w:lang w:val="en-GB"/>
        </w:rPr>
        <w:t xml:space="preserve">ordinated campaigns against </w:t>
      </w:r>
      <w:r w:rsidR="004071D3">
        <w:rPr>
          <w:rFonts w:cstheme="minorHAnsi"/>
          <w:szCs w:val="20"/>
          <w:lang w:val="en-GB"/>
        </w:rPr>
        <w:t xml:space="preserve">the </w:t>
      </w:r>
      <w:r w:rsidR="00B432A6" w:rsidRPr="0001401D">
        <w:rPr>
          <w:rFonts w:cstheme="minorHAnsi"/>
          <w:szCs w:val="20"/>
          <w:lang w:val="en-GB"/>
        </w:rPr>
        <w:t xml:space="preserve">independent media. </w:t>
      </w:r>
      <w:r w:rsidR="0001401D">
        <w:rPr>
          <w:rFonts w:cstheme="minorHAnsi"/>
          <w:szCs w:val="20"/>
          <w:lang w:val="en-GB"/>
        </w:rPr>
        <w:t xml:space="preserve">It is </w:t>
      </w:r>
      <w:r w:rsidR="004071D3">
        <w:rPr>
          <w:rFonts w:cstheme="minorHAnsi"/>
          <w:szCs w:val="20"/>
          <w:lang w:val="en-GB"/>
        </w:rPr>
        <w:t>also</w:t>
      </w:r>
      <w:r w:rsidR="0001401D">
        <w:rPr>
          <w:rFonts w:cstheme="minorHAnsi"/>
          <w:szCs w:val="20"/>
          <w:lang w:val="en-GB"/>
        </w:rPr>
        <w:t xml:space="preserve"> alarming that the </w:t>
      </w:r>
      <w:r w:rsidR="00541C19" w:rsidRPr="0001401D">
        <w:rPr>
          <w:rFonts w:cstheme="minorHAnsi"/>
          <w:szCs w:val="20"/>
          <w:lang w:val="en-GB"/>
        </w:rPr>
        <w:t>level of threat felt by individual journalists</w:t>
      </w:r>
      <w:r w:rsidR="0001401D">
        <w:rPr>
          <w:rFonts w:cstheme="minorHAnsi"/>
          <w:szCs w:val="20"/>
          <w:lang w:val="en-GB"/>
        </w:rPr>
        <w:t xml:space="preserve"> is growing</w:t>
      </w:r>
      <w:r w:rsidR="00541C19" w:rsidRPr="0001401D">
        <w:rPr>
          <w:rFonts w:cstheme="minorHAnsi"/>
          <w:szCs w:val="20"/>
          <w:lang w:val="en-GB"/>
        </w:rPr>
        <w:t xml:space="preserve">. </w:t>
      </w:r>
      <w:r w:rsidR="004071D3">
        <w:rPr>
          <w:rFonts w:cstheme="minorHAnsi"/>
          <w:szCs w:val="20"/>
          <w:lang w:val="en-GB"/>
        </w:rPr>
        <w:t>Although there have not yet been any a</w:t>
      </w:r>
      <w:r w:rsidR="00541C19" w:rsidRPr="0001401D">
        <w:rPr>
          <w:rFonts w:cstheme="minorHAnsi"/>
          <w:szCs w:val="20"/>
          <w:lang w:val="en-GB"/>
        </w:rPr>
        <w:t>ct</w:t>
      </w:r>
      <w:r w:rsidR="004071D3">
        <w:rPr>
          <w:rFonts w:cstheme="minorHAnsi"/>
          <w:szCs w:val="20"/>
          <w:lang w:val="en-GB"/>
        </w:rPr>
        <w:t>s</w:t>
      </w:r>
      <w:r w:rsidR="00541C19" w:rsidRPr="0001401D">
        <w:rPr>
          <w:rFonts w:cstheme="minorHAnsi"/>
          <w:szCs w:val="20"/>
          <w:lang w:val="en-GB"/>
        </w:rPr>
        <w:t xml:space="preserve"> of physical violence, </w:t>
      </w:r>
      <w:r w:rsidR="0001401D">
        <w:rPr>
          <w:rFonts w:cstheme="minorHAnsi"/>
          <w:szCs w:val="20"/>
          <w:lang w:val="en-GB"/>
        </w:rPr>
        <w:t xml:space="preserve">it is </w:t>
      </w:r>
      <w:r w:rsidR="004071D3">
        <w:rPr>
          <w:rFonts w:cstheme="minorHAnsi"/>
          <w:szCs w:val="20"/>
          <w:lang w:val="en-GB"/>
        </w:rPr>
        <w:t>clear</w:t>
      </w:r>
      <w:r w:rsidR="0001401D">
        <w:rPr>
          <w:rFonts w:cstheme="minorHAnsi"/>
          <w:szCs w:val="20"/>
          <w:lang w:val="en-GB"/>
        </w:rPr>
        <w:t xml:space="preserve"> </w:t>
      </w:r>
      <w:r w:rsidR="00541C19" w:rsidRPr="0001401D">
        <w:rPr>
          <w:rFonts w:cstheme="minorHAnsi"/>
          <w:szCs w:val="20"/>
          <w:lang w:val="en-GB"/>
        </w:rPr>
        <w:t xml:space="preserve">that actual violence </w:t>
      </w:r>
      <w:r w:rsidR="00E01071">
        <w:rPr>
          <w:rFonts w:cstheme="minorHAnsi"/>
          <w:szCs w:val="20"/>
          <w:lang w:val="en-GB"/>
        </w:rPr>
        <w:t>might</w:t>
      </w:r>
      <w:r w:rsidR="004071D3">
        <w:rPr>
          <w:rFonts w:cstheme="minorHAnsi"/>
          <w:szCs w:val="20"/>
          <w:lang w:val="en-GB"/>
        </w:rPr>
        <w:t xml:space="preserve"> flare up, </w:t>
      </w:r>
      <w:r w:rsidR="00541C19" w:rsidRPr="0001401D">
        <w:rPr>
          <w:rFonts w:cstheme="minorHAnsi"/>
          <w:szCs w:val="20"/>
          <w:lang w:val="en-GB"/>
        </w:rPr>
        <w:t xml:space="preserve">if fuelled by repetitive hate messages </w:t>
      </w:r>
      <w:r w:rsidR="00C306F0">
        <w:rPr>
          <w:rFonts w:cstheme="minorHAnsi"/>
          <w:szCs w:val="20"/>
          <w:lang w:val="en-GB"/>
        </w:rPr>
        <w:t>that</w:t>
      </w:r>
      <w:r w:rsidR="004071D3">
        <w:rPr>
          <w:rFonts w:cstheme="minorHAnsi"/>
          <w:szCs w:val="20"/>
          <w:lang w:val="en-GB"/>
        </w:rPr>
        <w:t xml:space="preserve"> </w:t>
      </w:r>
      <w:r w:rsidR="00541C19" w:rsidRPr="0001401D">
        <w:rPr>
          <w:rFonts w:cstheme="minorHAnsi"/>
          <w:szCs w:val="20"/>
          <w:lang w:val="en-GB"/>
        </w:rPr>
        <w:t>circulat</w:t>
      </w:r>
      <w:r w:rsidR="00E01071">
        <w:rPr>
          <w:rFonts w:cstheme="minorHAnsi"/>
          <w:szCs w:val="20"/>
          <w:lang w:val="en-GB"/>
        </w:rPr>
        <w:t>e</w:t>
      </w:r>
      <w:r w:rsidR="00541C19" w:rsidRPr="0001401D">
        <w:rPr>
          <w:rFonts w:cstheme="minorHAnsi"/>
          <w:szCs w:val="20"/>
          <w:lang w:val="en-GB"/>
        </w:rPr>
        <w:t xml:space="preserve"> with impunity.</w:t>
      </w:r>
    </w:p>
    <w:p w14:paraId="26B3B59E" w14:textId="77777777" w:rsidR="0028658D" w:rsidRPr="00663E17" w:rsidRDefault="0028658D" w:rsidP="001A7208">
      <w:pPr>
        <w:tabs>
          <w:tab w:val="left" w:pos="1613"/>
        </w:tabs>
        <w:spacing w:after="0" w:line="240" w:lineRule="auto"/>
        <w:ind w:left="426" w:hanging="357"/>
        <w:contextualSpacing/>
        <w:jc w:val="both"/>
        <w:rPr>
          <w:rFonts w:cstheme="minorHAnsi"/>
          <w:szCs w:val="20"/>
          <w:u w:val="single"/>
          <w:lang w:val="en-GB"/>
        </w:rPr>
      </w:pPr>
    </w:p>
    <w:p w14:paraId="0ED32C58" w14:textId="397BF752" w:rsidR="0028658D" w:rsidRPr="00AF582E" w:rsidRDefault="00C14156" w:rsidP="001A7208">
      <w:pPr>
        <w:pStyle w:val="ListParagraph"/>
        <w:numPr>
          <w:ilvl w:val="0"/>
          <w:numId w:val="22"/>
        </w:numPr>
        <w:spacing w:after="0" w:line="240" w:lineRule="auto"/>
        <w:ind w:left="1134" w:hanging="425"/>
        <w:contextualSpacing w:val="0"/>
        <w:rPr>
          <w:rFonts w:eastAsia="Times New Roman" w:cs="Arial"/>
          <w:b/>
          <w:bCs/>
          <w:szCs w:val="20"/>
          <w:lang w:val="en-GB" w:eastAsia="zh-CN"/>
        </w:rPr>
      </w:pPr>
      <w:r>
        <w:rPr>
          <w:rFonts w:eastAsia="Times New Roman" w:cs="Arial"/>
          <w:b/>
          <w:bCs/>
          <w:szCs w:val="20"/>
          <w:lang w:val="en-GB" w:eastAsia="zh-CN"/>
        </w:rPr>
        <w:t>Impact</w:t>
      </w:r>
      <w:r w:rsidR="0028658D" w:rsidRPr="00AF582E">
        <w:rPr>
          <w:rFonts w:eastAsia="Times New Roman" w:cs="Arial"/>
          <w:b/>
          <w:bCs/>
          <w:szCs w:val="20"/>
          <w:lang w:val="en-GB" w:eastAsia="zh-CN"/>
        </w:rPr>
        <w:t xml:space="preserve"> on judges and </w:t>
      </w:r>
      <w:r w:rsidR="00E05372" w:rsidRPr="00AF582E">
        <w:rPr>
          <w:rFonts w:eastAsia="Times New Roman" w:cs="Arial"/>
          <w:b/>
          <w:bCs/>
          <w:szCs w:val="20"/>
          <w:lang w:val="en-GB" w:eastAsia="zh-CN"/>
        </w:rPr>
        <w:t>public</w:t>
      </w:r>
      <w:r w:rsidR="0028658D" w:rsidRPr="00AF582E">
        <w:rPr>
          <w:rFonts w:eastAsia="Times New Roman" w:cs="Arial"/>
          <w:b/>
          <w:bCs/>
          <w:szCs w:val="20"/>
          <w:lang w:val="en-GB" w:eastAsia="zh-CN"/>
        </w:rPr>
        <w:t xml:space="preserve"> officials </w:t>
      </w:r>
    </w:p>
    <w:p w14:paraId="25165CFE" w14:textId="65FA3059" w:rsidR="0028658D" w:rsidRPr="00663E17" w:rsidRDefault="0028658D" w:rsidP="001A7208">
      <w:pPr>
        <w:tabs>
          <w:tab w:val="left" w:pos="1613"/>
        </w:tabs>
        <w:spacing w:after="0" w:line="240" w:lineRule="auto"/>
        <w:ind w:left="426" w:hanging="357"/>
        <w:contextualSpacing/>
        <w:jc w:val="both"/>
        <w:rPr>
          <w:rFonts w:cstheme="minorHAnsi"/>
          <w:szCs w:val="20"/>
          <w:u w:val="single"/>
          <w:lang w:val="en-GB"/>
        </w:rPr>
      </w:pPr>
    </w:p>
    <w:p w14:paraId="71313F12" w14:textId="5FA28048" w:rsidR="0028658D" w:rsidRPr="00663E17" w:rsidRDefault="00531093" w:rsidP="001A7208">
      <w:pPr>
        <w:numPr>
          <w:ilvl w:val="0"/>
          <w:numId w:val="2"/>
        </w:numPr>
        <w:tabs>
          <w:tab w:val="left" w:pos="1613"/>
        </w:tabs>
        <w:spacing w:after="0" w:line="240" w:lineRule="auto"/>
        <w:ind w:left="714" w:hanging="357"/>
        <w:jc w:val="both"/>
        <w:rPr>
          <w:rFonts w:cstheme="minorHAnsi"/>
          <w:szCs w:val="20"/>
          <w:lang w:val="en-GB"/>
        </w:rPr>
      </w:pPr>
      <w:r w:rsidRPr="00663E17">
        <w:rPr>
          <w:rFonts w:cstheme="minorHAnsi"/>
          <w:szCs w:val="20"/>
          <w:lang w:val="en-GB"/>
        </w:rPr>
        <w:t xml:space="preserve">In its Grand Chamber </w:t>
      </w:r>
      <w:r w:rsidR="001A2834">
        <w:rPr>
          <w:rFonts w:cstheme="minorHAnsi"/>
          <w:szCs w:val="20"/>
          <w:lang w:val="en-GB"/>
        </w:rPr>
        <w:t xml:space="preserve">judgment </w:t>
      </w:r>
      <w:r w:rsidR="004475B8">
        <w:rPr>
          <w:rFonts w:cstheme="minorHAnsi"/>
          <w:szCs w:val="20"/>
          <w:lang w:val="en-GB"/>
        </w:rPr>
        <w:t xml:space="preserve">on </w:t>
      </w:r>
      <w:r w:rsidRPr="001A2834">
        <w:rPr>
          <w:rFonts w:cstheme="minorHAnsi"/>
          <w:i/>
          <w:iCs/>
          <w:szCs w:val="20"/>
          <w:lang w:val="en-GB"/>
        </w:rPr>
        <w:t xml:space="preserve">Baka </w:t>
      </w:r>
      <w:r w:rsidR="001A2834" w:rsidRPr="001A2834">
        <w:rPr>
          <w:rFonts w:cstheme="minorHAnsi"/>
          <w:i/>
          <w:iCs/>
          <w:szCs w:val="20"/>
          <w:lang w:val="en-GB"/>
        </w:rPr>
        <w:t>vs Hungary</w:t>
      </w:r>
      <w:r w:rsidRPr="00663E17">
        <w:rPr>
          <w:rFonts w:cstheme="minorHAnsi"/>
          <w:szCs w:val="20"/>
          <w:lang w:val="en-GB"/>
        </w:rPr>
        <w:t>,</w:t>
      </w:r>
      <w:r w:rsidR="001A2834" w:rsidRPr="00663E17">
        <w:rPr>
          <w:rStyle w:val="FootnoteReference"/>
          <w:rFonts w:cstheme="minorHAnsi"/>
          <w:szCs w:val="20"/>
          <w:lang w:val="en-GB"/>
        </w:rPr>
        <w:footnoteReference w:id="73"/>
      </w:r>
      <w:r w:rsidRPr="00663E17">
        <w:rPr>
          <w:rFonts w:cstheme="minorHAnsi"/>
          <w:szCs w:val="20"/>
          <w:lang w:val="en-GB"/>
        </w:rPr>
        <w:t xml:space="preserve"> the </w:t>
      </w:r>
      <w:r w:rsidR="001F2C95">
        <w:rPr>
          <w:rFonts w:cstheme="minorHAnsi"/>
          <w:szCs w:val="20"/>
          <w:lang w:val="en-GB"/>
        </w:rPr>
        <w:t>C</w:t>
      </w:r>
      <w:r w:rsidRPr="00663E17">
        <w:rPr>
          <w:rFonts w:cstheme="minorHAnsi"/>
          <w:szCs w:val="20"/>
          <w:lang w:val="en-GB"/>
        </w:rPr>
        <w:t>ourt</w:t>
      </w:r>
      <w:r w:rsidR="001F2C95">
        <w:rPr>
          <w:rFonts w:cstheme="minorHAnsi"/>
          <w:szCs w:val="20"/>
          <w:lang w:val="en-GB"/>
        </w:rPr>
        <w:t xml:space="preserve"> </w:t>
      </w:r>
      <w:r w:rsidRPr="00663E17">
        <w:rPr>
          <w:rFonts w:cstheme="minorHAnsi"/>
          <w:szCs w:val="20"/>
          <w:lang w:val="en-GB"/>
        </w:rPr>
        <w:t xml:space="preserve">found a violation of Article 10 </w:t>
      </w:r>
      <w:r w:rsidR="004475B8">
        <w:rPr>
          <w:rFonts w:cstheme="minorHAnsi"/>
          <w:szCs w:val="20"/>
          <w:lang w:val="en-GB"/>
        </w:rPr>
        <w:t xml:space="preserve">on the ground of </w:t>
      </w:r>
      <w:r w:rsidRPr="00663E17">
        <w:rPr>
          <w:rFonts w:cstheme="minorHAnsi"/>
          <w:szCs w:val="20"/>
          <w:lang w:val="en-GB"/>
        </w:rPr>
        <w:t xml:space="preserve">the undue and premature termination of the applicant’s mandate as President of the former Hungarian Supreme Court </w:t>
      </w:r>
      <w:r w:rsidR="000556EA" w:rsidRPr="000556EA">
        <w:rPr>
          <w:rFonts w:cstheme="minorHAnsi"/>
          <w:szCs w:val="20"/>
        </w:rPr>
        <w:t>after he had publicly expressed his views on a number of legislative reforms affecting the judiciary</w:t>
      </w:r>
      <w:r w:rsidRPr="00663E17">
        <w:rPr>
          <w:rFonts w:cstheme="minorHAnsi"/>
          <w:szCs w:val="20"/>
          <w:lang w:val="en-GB"/>
        </w:rPr>
        <w:t xml:space="preserve">. The Court also found that the impugned measures had a “chilling effect”, discouraging the applicant and other judges and court presidents from participating in public debate on issues concerning the independence of the judiciary. </w:t>
      </w:r>
      <w:r w:rsidR="000556EA">
        <w:rPr>
          <w:rFonts w:cstheme="minorHAnsi"/>
          <w:szCs w:val="20"/>
        </w:rPr>
        <w:t>T</w:t>
      </w:r>
      <w:r w:rsidR="000556EA" w:rsidRPr="00663E17">
        <w:rPr>
          <w:rFonts w:cstheme="minorHAnsi"/>
          <w:szCs w:val="20"/>
        </w:rPr>
        <w:t>he Committee of Ministers</w:t>
      </w:r>
      <w:r w:rsidR="000556EA">
        <w:rPr>
          <w:rFonts w:cstheme="minorHAnsi"/>
          <w:szCs w:val="20"/>
        </w:rPr>
        <w:t xml:space="preserve"> of the Council of Europe, </w:t>
      </w:r>
      <w:r w:rsidR="000556EA" w:rsidRPr="00D1022D">
        <w:rPr>
          <w:rFonts w:cstheme="minorHAnsi"/>
          <w:szCs w:val="20"/>
        </w:rPr>
        <w:t>examining the execution of the</w:t>
      </w:r>
      <w:r w:rsidR="000556EA">
        <w:rPr>
          <w:rFonts w:cstheme="minorHAnsi"/>
          <w:szCs w:val="20"/>
        </w:rPr>
        <w:t xml:space="preserve"> </w:t>
      </w:r>
      <w:r w:rsidR="000556EA" w:rsidRPr="003177B8">
        <w:rPr>
          <w:rFonts w:cstheme="minorHAnsi"/>
          <w:i/>
          <w:iCs/>
          <w:szCs w:val="20"/>
        </w:rPr>
        <w:t>Baka</w:t>
      </w:r>
      <w:r w:rsidR="000556EA" w:rsidRPr="00D1022D">
        <w:rPr>
          <w:rFonts w:cstheme="minorHAnsi"/>
          <w:szCs w:val="20"/>
        </w:rPr>
        <w:t xml:space="preserve"> judgment</w:t>
      </w:r>
      <w:r w:rsidR="000556EA">
        <w:rPr>
          <w:rFonts w:cstheme="minorHAnsi"/>
          <w:szCs w:val="20"/>
        </w:rPr>
        <w:t xml:space="preserve"> in September 2019, noted </w:t>
      </w:r>
      <w:r w:rsidR="000C7912" w:rsidRPr="00663E17">
        <w:rPr>
          <w:rFonts w:cstheme="minorHAnsi"/>
          <w:szCs w:val="20"/>
        </w:rPr>
        <w:t>“with grave concern” reports suggesting that the chilling effect on the freedom of expression of judges and court presidents in general “has not only not been addressed but rather aggravated”.</w:t>
      </w:r>
      <w:r w:rsidR="000C7912" w:rsidRPr="00663E17">
        <w:rPr>
          <w:rStyle w:val="FootnoteReference"/>
          <w:rFonts w:cstheme="minorHAnsi"/>
          <w:szCs w:val="20"/>
        </w:rPr>
        <w:footnoteReference w:id="74"/>
      </w:r>
      <w:r w:rsidR="000C7912" w:rsidRPr="00663E17">
        <w:rPr>
          <w:rFonts w:cstheme="minorHAnsi"/>
          <w:szCs w:val="20"/>
        </w:rPr>
        <w:t xml:space="preserve"> </w:t>
      </w:r>
      <w:r w:rsidR="00C548F8" w:rsidRPr="00663E17">
        <w:rPr>
          <w:rFonts w:cstheme="minorHAnsi"/>
          <w:szCs w:val="20"/>
          <w:lang w:val="en-GB"/>
        </w:rPr>
        <w:t xml:space="preserve">In line with the ongoing supervision of the execution of the judgment by the Committee of Ministers, the Commissioner expects the Hungarian authorities to take decisive action to ensure that the chilling effect on judges is </w:t>
      </w:r>
      <w:r w:rsidR="004475B8">
        <w:rPr>
          <w:rFonts w:cstheme="minorHAnsi"/>
          <w:szCs w:val="20"/>
          <w:lang w:val="en-GB"/>
        </w:rPr>
        <w:t>remedie</w:t>
      </w:r>
      <w:r w:rsidR="00C548F8" w:rsidRPr="00663E17">
        <w:rPr>
          <w:rFonts w:cstheme="minorHAnsi"/>
          <w:szCs w:val="20"/>
          <w:lang w:val="en-GB"/>
        </w:rPr>
        <w:t>d.</w:t>
      </w:r>
      <w:r w:rsidR="00C548F8" w:rsidRPr="00663E17">
        <w:rPr>
          <w:rStyle w:val="FootnoteReference"/>
          <w:rFonts w:cstheme="minorHAnsi"/>
          <w:szCs w:val="20"/>
          <w:lang w:val="en-GB"/>
        </w:rPr>
        <w:footnoteReference w:id="75"/>
      </w:r>
      <w:r w:rsidR="00C548F8" w:rsidRPr="00663E17">
        <w:rPr>
          <w:rFonts w:cstheme="minorHAnsi"/>
          <w:szCs w:val="20"/>
          <w:lang w:val="en-GB"/>
        </w:rPr>
        <w:t xml:space="preserve"> </w:t>
      </w:r>
      <w:r w:rsidR="00C306F0">
        <w:rPr>
          <w:rFonts w:cstheme="minorHAnsi"/>
          <w:szCs w:val="20"/>
          <w:lang w:val="en-GB"/>
        </w:rPr>
        <w:t>I</w:t>
      </w:r>
      <w:r w:rsidR="00C548F8" w:rsidRPr="00663E17">
        <w:rPr>
          <w:rFonts w:cstheme="minorHAnsi"/>
          <w:szCs w:val="20"/>
          <w:lang w:val="en-GB"/>
        </w:rPr>
        <w:t xml:space="preserve">t is </w:t>
      </w:r>
      <w:r w:rsidR="004475B8">
        <w:rPr>
          <w:rFonts w:cstheme="minorHAnsi"/>
          <w:szCs w:val="20"/>
          <w:lang w:val="en-GB"/>
        </w:rPr>
        <w:t xml:space="preserve">a source of deep </w:t>
      </w:r>
      <w:r w:rsidR="00C548F8" w:rsidRPr="00663E17">
        <w:rPr>
          <w:rFonts w:cstheme="minorHAnsi"/>
          <w:szCs w:val="20"/>
          <w:lang w:val="en-GB"/>
        </w:rPr>
        <w:t>concern</w:t>
      </w:r>
      <w:r w:rsidR="004475B8">
        <w:rPr>
          <w:rFonts w:cstheme="minorHAnsi"/>
          <w:szCs w:val="20"/>
          <w:lang w:val="en-GB"/>
        </w:rPr>
        <w:t xml:space="preserve"> in this context</w:t>
      </w:r>
      <w:r w:rsidR="00435B61">
        <w:rPr>
          <w:rFonts w:cstheme="minorHAnsi"/>
          <w:szCs w:val="20"/>
          <w:lang w:val="en-GB"/>
        </w:rPr>
        <w:t>,</w:t>
      </w:r>
      <w:r w:rsidR="00C548F8" w:rsidRPr="00663E17">
        <w:rPr>
          <w:rFonts w:cstheme="minorHAnsi"/>
          <w:szCs w:val="20"/>
          <w:lang w:val="en-GB"/>
        </w:rPr>
        <w:t xml:space="preserve"> however, that court decisions have repeatedly and publicly been criticised by government spokespersons</w:t>
      </w:r>
      <w:r w:rsidR="00435B61">
        <w:rPr>
          <w:rFonts w:cstheme="minorHAnsi"/>
          <w:szCs w:val="20"/>
          <w:lang w:val="en-GB"/>
        </w:rPr>
        <w:t>.</w:t>
      </w:r>
      <w:r w:rsidR="00435B61" w:rsidRPr="00663E17">
        <w:rPr>
          <w:rStyle w:val="FootnoteReference"/>
          <w:rFonts w:cstheme="minorHAnsi"/>
          <w:szCs w:val="20"/>
          <w:lang w:val="en-GB"/>
        </w:rPr>
        <w:footnoteReference w:id="76"/>
      </w:r>
      <w:r w:rsidR="00C548F8" w:rsidRPr="00663E17">
        <w:rPr>
          <w:rFonts w:cstheme="minorHAnsi"/>
          <w:szCs w:val="20"/>
          <w:lang w:val="en-GB"/>
        </w:rPr>
        <w:t xml:space="preserve"> </w:t>
      </w:r>
      <w:r w:rsidR="00435B61">
        <w:rPr>
          <w:rFonts w:cstheme="minorHAnsi"/>
          <w:szCs w:val="20"/>
          <w:lang w:val="en-GB"/>
        </w:rPr>
        <w:t>This evident</w:t>
      </w:r>
      <w:r w:rsidR="00C548F8" w:rsidRPr="00663E17">
        <w:rPr>
          <w:rFonts w:cstheme="minorHAnsi"/>
          <w:szCs w:val="20"/>
          <w:lang w:val="en-GB"/>
        </w:rPr>
        <w:t xml:space="preserve"> lack of res</w:t>
      </w:r>
      <w:r w:rsidR="00C306F0">
        <w:rPr>
          <w:rFonts w:cstheme="minorHAnsi"/>
          <w:szCs w:val="20"/>
          <w:lang w:val="en-GB"/>
        </w:rPr>
        <w:t>pect</w:t>
      </w:r>
      <w:r w:rsidR="00C548F8" w:rsidRPr="00663E17">
        <w:rPr>
          <w:rFonts w:cstheme="minorHAnsi"/>
          <w:szCs w:val="20"/>
          <w:lang w:val="en-GB"/>
        </w:rPr>
        <w:t xml:space="preserve"> for the independence of the judiciary</w:t>
      </w:r>
      <w:r w:rsidR="00435B61">
        <w:rPr>
          <w:rFonts w:cstheme="minorHAnsi"/>
          <w:szCs w:val="20"/>
          <w:lang w:val="en-GB"/>
        </w:rPr>
        <w:t xml:space="preserve"> reinforces the chilling effect on </w:t>
      </w:r>
      <w:r w:rsidR="000556EA">
        <w:rPr>
          <w:rFonts w:cstheme="minorHAnsi"/>
          <w:szCs w:val="20"/>
          <w:lang w:val="en-GB"/>
        </w:rPr>
        <w:t xml:space="preserve">the freedom of expression of </w:t>
      </w:r>
      <w:r w:rsidR="00435B61">
        <w:rPr>
          <w:rFonts w:cstheme="minorHAnsi"/>
          <w:szCs w:val="20"/>
          <w:lang w:val="en-GB"/>
        </w:rPr>
        <w:t>ordinary judges</w:t>
      </w:r>
      <w:r w:rsidR="000556EA">
        <w:rPr>
          <w:rFonts w:cstheme="minorHAnsi"/>
          <w:szCs w:val="20"/>
          <w:lang w:val="en-GB"/>
        </w:rPr>
        <w:t>,</w:t>
      </w:r>
      <w:r w:rsidR="00435B61">
        <w:rPr>
          <w:rFonts w:cstheme="minorHAnsi"/>
          <w:szCs w:val="20"/>
          <w:lang w:val="en-GB"/>
        </w:rPr>
        <w:t xml:space="preserve"> especially </w:t>
      </w:r>
      <w:r w:rsidR="004475B8">
        <w:rPr>
          <w:rFonts w:cstheme="minorHAnsi"/>
          <w:szCs w:val="20"/>
          <w:lang w:val="en-GB"/>
        </w:rPr>
        <w:t>as</w:t>
      </w:r>
      <w:r w:rsidR="00435B61">
        <w:rPr>
          <w:rFonts w:cstheme="minorHAnsi"/>
          <w:szCs w:val="20"/>
          <w:lang w:val="en-GB"/>
        </w:rPr>
        <w:t xml:space="preserve"> the President of the National Judiciary Office and other court leaders have </w:t>
      </w:r>
      <w:r w:rsidR="004475B8">
        <w:rPr>
          <w:rFonts w:cstheme="minorHAnsi"/>
          <w:szCs w:val="20"/>
          <w:lang w:val="en-GB"/>
        </w:rPr>
        <w:t>said nothing about</w:t>
      </w:r>
      <w:r w:rsidR="00435B61">
        <w:rPr>
          <w:rFonts w:cstheme="minorHAnsi"/>
          <w:szCs w:val="20"/>
          <w:lang w:val="en-GB"/>
        </w:rPr>
        <w:t xml:space="preserve"> these attacks</w:t>
      </w:r>
      <w:r w:rsidR="00C306F0">
        <w:rPr>
          <w:rFonts w:cstheme="minorHAnsi"/>
          <w:szCs w:val="20"/>
          <w:lang w:val="en-GB"/>
        </w:rPr>
        <w:t>.</w:t>
      </w:r>
      <w:r w:rsidR="00435B61">
        <w:rPr>
          <w:rStyle w:val="FootnoteReference"/>
          <w:rFonts w:cstheme="minorHAnsi"/>
          <w:szCs w:val="20"/>
          <w:lang w:val="en-GB"/>
        </w:rPr>
        <w:footnoteReference w:id="77"/>
      </w:r>
      <w:r w:rsidR="00C548F8" w:rsidRPr="00663E17">
        <w:rPr>
          <w:rFonts w:cstheme="minorHAnsi"/>
          <w:szCs w:val="20"/>
          <w:lang w:val="en-GB"/>
        </w:rPr>
        <w:t xml:space="preserve">  </w:t>
      </w:r>
    </w:p>
    <w:p w14:paraId="651AF8C2" w14:textId="77777777" w:rsidR="00F866A1" w:rsidRPr="00663E17" w:rsidRDefault="00F866A1" w:rsidP="001A7208">
      <w:pPr>
        <w:pStyle w:val="ListParagraph"/>
        <w:tabs>
          <w:tab w:val="left" w:pos="1613"/>
        </w:tabs>
        <w:spacing w:after="0" w:line="240" w:lineRule="auto"/>
        <w:ind w:left="426"/>
        <w:jc w:val="both"/>
        <w:rPr>
          <w:rFonts w:cstheme="minorHAnsi"/>
          <w:szCs w:val="20"/>
          <w:lang w:val="en-GB"/>
        </w:rPr>
      </w:pPr>
    </w:p>
    <w:p w14:paraId="31CD9DBB" w14:textId="0F3477DB" w:rsidR="00F55F4B" w:rsidRPr="003458BA" w:rsidRDefault="00F866A1" w:rsidP="0053195E">
      <w:pPr>
        <w:numPr>
          <w:ilvl w:val="0"/>
          <w:numId w:val="2"/>
        </w:numPr>
        <w:tabs>
          <w:tab w:val="left" w:pos="1613"/>
        </w:tabs>
        <w:spacing w:after="0" w:line="240" w:lineRule="auto"/>
        <w:ind w:left="714" w:hanging="357"/>
        <w:jc w:val="both"/>
        <w:rPr>
          <w:rFonts w:cstheme="minorHAnsi"/>
          <w:szCs w:val="20"/>
          <w:u w:val="single"/>
          <w:lang w:val="en-GB"/>
        </w:rPr>
      </w:pPr>
      <w:r w:rsidRPr="000556EA">
        <w:rPr>
          <w:rFonts w:cstheme="minorHAnsi"/>
          <w:szCs w:val="20"/>
          <w:lang w:val="en-GB"/>
        </w:rPr>
        <w:t>In 2020 and in the context of the pandemic, publi</w:t>
      </w:r>
      <w:r w:rsidR="0090030C" w:rsidRPr="000556EA">
        <w:rPr>
          <w:rFonts w:cstheme="minorHAnsi"/>
          <w:szCs w:val="20"/>
          <w:lang w:val="en-GB"/>
        </w:rPr>
        <w:t xml:space="preserve">c officials, including teachers and health officials, </w:t>
      </w:r>
      <w:r w:rsidR="004475B8">
        <w:rPr>
          <w:rFonts w:cstheme="minorHAnsi"/>
          <w:szCs w:val="20"/>
          <w:lang w:val="en-GB"/>
        </w:rPr>
        <w:t>were</w:t>
      </w:r>
      <w:r w:rsidR="0090030C" w:rsidRPr="000556EA">
        <w:rPr>
          <w:rFonts w:cstheme="minorHAnsi"/>
          <w:szCs w:val="20"/>
          <w:lang w:val="en-GB"/>
        </w:rPr>
        <w:t xml:space="preserve"> banned </w:t>
      </w:r>
      <w:r w:rsidRPr="000556EA">
        <w:rPr>
          <w:rFonts w:cstheme="minorHAnsi"/>
          <w:szCs w:val="20"/>
          <w:lang w:val="en-GB"/>
        </w:rPr>
        <w:t xml:space="preserve">from speaking to </w:t>
      </w:r>
      <w:r w:rsidR="004475B8">
        <w:rPr>
          <w:rFonts w:cstheme="minorHAnsi"/>
          <w:szCs w:val="20"/>
          <w:lang w:val="en-GB"/>
        </w:rPr>
        <w:t xml:space="preserve">the </w:t>
      </w:r>
      <w:r w:rsidRPr="000556EA">
        <w:rPr>
          <w:rFonts w:cstheme="minorHAnsi"/>
          <w:szCs w:val="20"/>
          <w:lang w:val="en-GB"/>
        </w:rPr>
        <w:t>independent media, as all information related to COVID-19 and the government</w:t>
      </w:r>
      <w:r w:rsidR="004475B8">
        <w:rPr>
          <w:rFonts w:cstheme="minorHAnsi"/>
          <w:szCs w:val="20"/>
          <w:lang w:val="en-GB"/>
        </w:rPr>
        <w:t>’s</w:t>
      </w:r>
      <w:r w:rsidRPr="000556EA">
        <w:rPr>
          <w:rFonts w:cstheme="minorHAnsi"/>
          <w:szCs w:val="20"/>
          <w:lang w:val="en-GB"/>
        </w:rPr>
        <w:t xml:space="preserve"> response measures ha</w:t>
      </w:r>
      <w:r w:rsidR="004475B8">
        <w:rPr>
          <w:rFonts w:cstheme="minorHAnsi"/>
          <w:szCs w:val="20"/>
          <w:lang w:val="en-GB"/>
        </w:rPr>
        <w:t>s</w:t>
      </w:r>
      <w:r w:rsidRPr="000556EA">
        <w:rPr>
          <w:rFonts w:cstheme="minorHAnsi"/>
          <w:szCs w:val="20"/>
          <w:lang w:val="en-GB"/>
        </w:rPr>
        <w:t xml:space="preserve"> been centralised. </w:t>
      </w:r>
      <w:r w:rsidR="00E2186A" w:rsidRPr="000556EA">
        <w:rPr>
          <w:rFonts w:cstheme="minorHAnsi"/>
          <w:szCs w:val="20"/>
          <w:lang w:val="en-GB"/>
        </w:rPr>
        <w:t xml:space="preserve">The Commissioner was informed during the online consultations that the creation of a central communication platform was considered necessary to protect citizens from disinformation. </w:t>
      </w:r>
      <w:r w:rsidR="00906AA5">
        <w:rPr>
          <w:rFonts w:cstheme="minorHAnsi"/>
          <w:szCs w:val="20"/>
          <w:lang w:val="en-GB"/>
        </w:rPr>
        <w:t>H</w:t>
      </w:r>
      <w:r w:rsidR="00E2186A" w:rsidRPr="000556EA">
        <w:rPr>
          <w:rFonts w:cstheme="minorHAnsi"/>
          <w:szCs w:val="20"/>
          <w:lang w:val="en-GB"/>
        </w:rPr>
        <w:t xml:space="preserve">owever, the Commissioner considers </w:t>
      </w:r>
      <w:r w:rsidR="00E2186A" w:rsidRPr="000556EA">
        <w:rPr>
          <w:rFonts w:cstheme="minorHAnsi"/>
          <w:iCs/>
          <w:szCs w:val="20"/>
          <w:lang w:val="en-GB"/>
        </w:rPr>
        <w:t xml:space="preserve">freedom of expression and </w:t>
      </w:r>
      <w:r w:rsidR="00906AA5">
        <w:rPr>
          <w:rFonts w:cstheme="minorHAnsi"/>
          <w:iCs/>
          <w:szCs w:val="20"/>
          <w:lang w:val="en-GB"/>
        </w:rPr>
        <w:t xml:space="preserve">the </w:t>
      </w:r>
      <w:r w:rsidR="00E2186A" w:rsidRPr="000556EA">
        <w:rPr>
          <w:rFonts w:cstheme="minorHAnsi"/>
          <w:iCs/>
          <w:szCs w:val="20"/>
          <w:lang w:val="en-GB"/>
        </w:rPr>
        <w:t xml:space="preserve">free flow of information </w:t>
      </w:r>
      <w:r w:rsidR="00906AA5">
        <w:rPr>
          <w:rFonts w:cstheme="minorHAnsi"/>
          <w:iCs/>
          <w:szCs w:val="20"/>
          <w:lang w:val="en-GB"/>
        </w:rPr>
        <w:t>to be the best means of dealing with</w:t>
      </w:r>
      <w:r w:rsidR="00E2186A" w:rsidRPr="000556EA">
        <w:rPr>
          <w:rFonts w:cstheme="minorHAnsi"/>
          <w:iCs/>
          <w:szCs w:val="20"/>
          <w:lang w:val="en-GB"/>
        </w:rPr>
        <w:t xml:space="preserve"> disinformation, particularly in an environment where any form of criticism is actively </w:t>
      </w:r>
      <w:r w:rsidR="00906AA5">
        <w:rPr>
          <w:rFonts w:cstheme="minorHAnsi"/>
          <w:iCs/>
          <w:szCs w:val="20"/>
          <w:lang w:val="en-GB"/>
        </w:rPr>
        <w:t>quashed</w:t>
      </w:r>
      <w:r w:rsidR="00DA3C3C">
        <w:rPr>
          <w:rFonts w:cstheme="minorHAnsi"/>
          <w:iCs/>
          <w:szCs w:val="20"/>
          <w:lang w:val="en-GB"/>
        </w:rPr>
        <w:t>.</w:t>
      </w:r>
    </w:p>
    <w:p w14:paraId="2957B7A6" w14:textId="37543A99" w:rsidR="003458BA" w:rsidRDefault="003458BA" w:rsidP="003458BA">
      <w:pPr>
        <w:pStyle w:val="ListParagraph"/>
        <w:spacing w:after="0" w:line="240" w:lineRule="auto"/>
        <w:ind w:left="1134"/>
        <w:contextualSpacing w:val="0"/>
        <w:rPr>
          <w:rFonts w:eastAsia="Times New Roman" w:cs="Arial"/>
          <w:b/>
          <w:bCs/>
          <w:szCs w:val="20"/>
          <w:lang w:val="en-GB" w:eastAsia="zh-CN"/>
        </w:rPr>
      </w:pPr>
    </w:p>
    <w:p w14:paraId="3558C9E9" w14:textId="77777777" w:rsidR="00770022" w:rsidRDefault="00770022" w:rsidP="003458BA">
      <w:pPr>
        <w:pStyle w:val="ListParagraph"/>
        <w:spacing w:after="0" w:line="240" w:lineRule="auto"/>
        <w:ind w:left="1134"/>
        <w:contextualSpacing w:val="0"/>
        <w:rPr>
          <w:rFonts w:eastAsia="Times New Roman" w:cs="Arial"/>
          <w:b/>
          <w:bCs/>
          <w:szCs w:val="20"/>
          <w:lang w:val="en-GB" w:eastAsia="zh-CN"/>
        </w:rPr>
      </w:pPr>
    </w:p>
    <w:p w14:paraId="3BD246B9" w14:textId="4B73823A" w:rsidR="0028658D" w:rsidRPr="00AF582E" w:rsidRDefault="00435B61" w:rsidP="001A7208">
      <w:pPr>
        <w:pStyle w:val="ListParagraph"/>
        <w:numPr>
          <w:ilvl w:val="0"/>
          <w:numId w:val="22"/>
        </w:numPr>
        <w:spacing w:after="0" w:line="240" w:lineRule="auto"/>
        <w:ind w:left="1134" w:hanging="425"/>
        <w:contextualSpacing w:val="0"/>
        <w:rPr>
          <w:rFonts w:eastAsia="Times New Roman" w:cs="Arial"/>
          <w:b/>
          <w:bCs/>
          <w:szCs w:val="20"/>
          <w:lang w:val="en-GB" w:eastAsia="zh-CN"/>
        </w:rPr>
      </w:pPr>
      <w:r>
        <w:rPr>
          <w:rFonts w:eastAsia="Times New Roman" w:cs="Arial"/>
          <w:b/>
          <w:bCs/>
          <w:szCs w:val="20"/>
          <w:lang w:val="en-GB" w:eastAsia="zh-CN"/>
        </w:rPr>
        <w:lastRenderedPageBreak/>
        <w:t>Impact</w:t>
      </w:r>
      <w:r w:rsidR="0028658D" w:rsidRPr="00AF582E">
        <w:rPr>
          <w:rFonts w:eastAsia="Times New Roman" w:cs="Arial"/>
          <w:b/>
          <w:bCs/>
          <w:szCs w:val="20"/>
          <w:lang w:val="en-GB" w:eastAsia="zh-CN"/>
        </w:rPr>
        <w:t xml:space="preserve"> on civil society</w:t>
      </w:r>
      <w:r w:rsidR="00C14156">
        <w:rPr>
          <w:rFonts w:eastAsia="Times New Roman" w:cs="Arial"/>
          <w:b/>
          <w:bCs/>
          <w:szCs w:val="20"/>
          <w:lang w:val="en-GB" w:eastAsia="zh-CN"/>
        </w:rPr>
        <w:t>, human rights defenders</w:t>
      </w:r>
      <w:r w:rsidR="0028658D" w:rsidRPr="00AF582E">
        <w:rPr>
          <w:rFonts w:eastAsia="Times New Roman" w:cs="Arial"/>
          <w:b/>
          <w:bCs/>
          <w:szCs w:val="20"/>
          <w:lang w:val="en-GB" w:eastAsia="zh-CN"/>
        </w:rPr>
        <w:t xml:space="preserve"> and independent voices </w:t>
      </w:r>
    </w:p>
    <w:p w14:paraId="17D24567" w14:textId="78BD4101" w:rsidR="0028658D" w:rsidRPr="00663E17" w:rsidRDefault="0028658D" w:rsidP="001A7208">
      <w:pPr>
        <w:tabs>
          <w:tab w:val="left" w:pos="1613"/>
        </w:tabs>
        <w:spacing w:after="0" w:line="240" w:lineRule="auto"/>
        <w:ind w:left="426" w:hanging="357"/>
        <w:contextualSpacing/>
        <w:jc w:val="both"/>
        <w:rPr>
          <w:rFonts w:cstheme="minorHAnsi"/>
          <w:szCs w:val="20"/>
          <w:u w:val="single"/>
          <w:lang w:val="en-GB"/>
        </w:rPr>
      </w:pPr>
    </w:p>
    <w:p w14:paraId="2DA0B946" w14:textId="66A06056" w:rsidR="0068037D" w:rsidRPr="00663E17" w:rsidRDefault="003A69C2" w:rsidP="001A7208">
      <w:pPr>
        <w:numPr>
          <w:ilvl w:val="0"/>
          <w:numId w:val="2"/>
        </w:numPr>
        <w:tabs>
          <w:tab w:val="left" w:pos="1613"/>
        </w:tabs>
        <w:spacing w:after="0" w:line="240" w:lineRule="auto"/>
        <w:ind w:left="714" w:hanging="357"/>
        <w:jc w:val="both"/>
        <w:rPr>
          <w:rFonts w:cstheme="minorHAnsi"/>
          <w:szCs w:val="20"/>
          <w:lang w:val="en-GB"/>
        </w:rPr>
      </w:pPr>
      <w:r w:rsidRPr="00663E17">
        <w:rPr>
          <w:rFonts w:cstheme="minorHAnsi"/>
          <w:szCs w:val="20"/>
          <w:lang w:val="en-GB"/>
        </w:rPr>
        <w:t xml:space="preserve">The </w:t>
      </w:r>
      <w:r w:rsidR="00435B61">
        <w:rPr>
          <w:rFonts w:cstheme="minorHAnsi"/>
          <w:szCs w:val="20"/>
          <w:lang w:val="en-GB"/>
        </w:rPr>
        <w:t>prevailing</w:t>
      </w:r>
      <w:r w:rsidRPr="00663E17">
        <w:rPr>
          <w:rFonts w:cstheme="minorHAnsi"/>
          <w:szCs w:val="20"/>
          <w:lang w:val="en-GB"/>
        </w:rPr>
        <w:t xml:space="preserve"> climate </w:t>
      </w:r>
      <w:r w:rsidR="00435B61">
        <w:rPr>
          <w:rFonts w:cstheme="minorHAnsi"/>
          <w:szCs w:val="20"/>
          <w:lang w:val="en-GB"/>
        </w:rPr>
        <w:t xml:space="preserve">in Hungary </w:t>
      </w:r>
      <w:r w:rsidRPr="00663E17">
        <w:rPr>
          <w:rFonts w:cstheme="minorHAnsi"/>
          <w:szCs w:val="20"/>
          <w:lang w:val="en-GB"/>
        </w:rPr>
        <w:t xml:space="preserve">also has a chilling effect on civil society activists and </w:t>
      </w:r>
      <w:r w:rsidR="00EB48CE">
        <w:rPr>
          <w:rFonts w:cstheme="minorHAnsi"/>
          <w:szCs w:val="20"/>
          <w:lang w:val="en-GB"/>
        </w:rPr>
        <w:t>those</w:t>
      </w:r>
      <w:r w:rsidRPr="00663E17">
        <w:rPr>
          <w:rFonts w:cstheme="minorHAnsi"/>
          <w:szCs w:val="20"/>
          <w:lang w:val="en-GB"/>
        </w:rPr>
        <w:t xml:space="preserve"> who wish to express an independent opinion. </w:t>
      </w:r>
      <w:r w:rsidR="009E3941" w:rsidRPr="00663E17">
        <w:rPr>
          <w:rFonts w:cstheme="minorHAnsi"/>
          <w:szCs w:val="20"/>
          <w:lang w:val="en-GB"/>
        </w:rPr>
        <w:t>A</w:t>
      </w:r>
      <w:r w:rsidRPr="00663E17">
        <w:rPr>
          <w:rFonts w:cstheme="minorHAnsi"/>
          <w:szCs w:val="20"/>
          <w:lang w:val="en-GB"/>
        </w:rPr>
        <w:t xml:space="preserve"> political analyst, who ha</w:t>
      </w:r>
      <w:r w:rsidR="009E3941" w:rsidRPr="00663E17">
        <w:rPr>
          <w:rFonts w:cstheme="minorHAnsi"/>
          <w:szCs w:val="20"/>
          <w:lang w:val="en-GB"/>
        </w:rPr>
        <w:t xml:space="preserve">d remarked on the government’s apparent disregard for public mistrust </w:t>
      </w:r>
      <w:r w:rsidR="00906AA5">
        <w:rPr>
          <w:rFonts w:cstheme="minorHAnsi"/>
          <w:szCs w:val="20"/>
          <w:lang w:val="en-GB"/>
        </w:rPr>
        <w:t xml:space="preserve">regarding </w:t>
      </w:r>
      <w:r w:rsidR="009E3941" w:rsidRPr="00663E17">
        <w:rPr>
          <w:rFonts w:cstheme="minorHAnsi"/>
          <w:szCs w:val="20"/>
          <w:lang w:val="en-GB"/>
        </w:rPr>
        <w:t xml:space="preserve">vaccinations in </w:t>
      </w:r>
      <w:r w:rsidR="00421C02" w:rsidRPr="00663E17">
        <w:rPr>
          <w:rFonts w:cstheme="minorHAnsi"/>
          <w:szCs w:val="20"/>
          <w:lang w:val="en-GB"/>
        </w:rPr>
        <w:t xml:space="preserve">an interview in </w:t>
      </w:r>
      <w:r w:rsidR="009E3941" w:rsidRPr="00663E17">
        <w:rPr>
          <w:rFonts w:cstheme="minorHAnsi"/>
          <w:szCs w:val="20"/>
          <w:lang w:val="en-GB"/>
        </w:rPr>
        <w:t xml:space="preserve">December 2020, </w:t>
      </w:r>
      <w:r w:rsidR="00421C02" w:rsidRPr="00663E17">
        <w:rPr>
          <w:rFonts w:cstheme="minorHAnsi"/>
          <w:szCs w:val="20"/>
          <w:lang w:val="en-GB"/>
        </w:rPr>
        <w:t>was subjected to an intense smear</w:t>
      </w:r>
      <w:r w:rsidR="00906AA5">
        <w:rPr>
          <w:rFonts w:cstheme="minorHAnsi"/>
          <w:szCs w:val="20"/>
          <w:lang w:val="en-GB"/>
        </w:rPr>
        <w:t xml:space="preserve"> </w:t>
      </w:r>
      <w:r w:rsidR="00421C02" w:rsidRPr="00663E17">
        <w:rPr>
          <w:rFonts w:cstheme="minorHAnsi"/>
          <w:szCs w:val="20"/>
          <w:lang w:val="en-GB"/>
        </w:rPr>
        <w:t xml:space="preserve">campaign in </w:t>
      </w:r>
      <w:r w:rsidR="00906AA5">
        <w:rPr>
          <w:rFonts w:cstheme="minorHAnsi"/>
          <w:szCs w:val="20"/>
          <w:lang w:val="en-GB"/>
        </w:rPr>
        <w:t xml:space="preserve">the </w:t>
      </w:r>
      <w:r w:rsidR="00421C02" w:rsidRPr="00663E17">
        <w:rPr>
          <w:rFonts w:cstheme="minorHAnsi"/>
          <w:szCs w:val="20"/>
          <w:lang w:val="en-GB"/>
        </w:rPr>
        <w:t>pro-</w:t>
      </w:r>
      <w:r w:rsidR="00A329A1">
        <w:rPr>
          <w:rFonts w:cstheme="minorHAnsi"/>
          <w:szCs w:val="20"/>
          <w:lang w:val="en-GB"/>
        </w:rPr>
        <w:t>g</w:t>
      </w:r>
      <w:r w:rsidR="00421C02" w:rsidRPr="00663E17">
        <w:rPr>
          <w:rFonts w:cstheme="minorHAnsi"/>
          <w:szCs w:val="20"/>
          <w:lang w:val="en-GB"/>
        </w:rPr>
        <w:t xml:space="preserve">overnment media, </w:t>
      </w:r>
      <w:r w:rsidR="00906AA5">
        <w:rPr>
          <w:rFonts w:cstheme="minorHAnsi"/>
          <w:szCs w:val="20"/>
          <w:lang w:val="en-GB"/>
        </w:rPr>
        <w:t xml:space="preserve">falsely </w:t>
      </w:r>
      <w:r w:rsidR="00421C02" w:rsidRPr="00663E17">
        <w:rPr>
          <w:rFonts w:cstheme="minorHAnsi"/>
          <w:szCs w:val="20"/>
          <w:lang w:val="en-GB"/>
        </w:rPr>
        <w:t xml:space="preserve">alleging </w:t>
      </w:r>
      <w:r w:rsidR="00421C02" w:rsidRPr="00663E17">
        <w:rPr>
          <w:rFonts w:cstheme="minorHAnsi"/>
          <w:szCs w:val="20"/>
        </w:rPr>
        <w:t>that he had encouraged opposition politicians to undermine confidence in vaccines and “sacrifice citizens</w:t>
      </w:r>
      <w:r w:rsidR="00906AA5">
        <w:rPr>
          <w:rFonts w:cstheme="minorHAnsi"/>
          <w:szCs w:val="20"/>
        </w:rPr>
        <w:t>’</w:t>
      </w:r>
      <w:r w:rsidR="00421C02" w:rsidRPr="00663E17">
        <w:rPr>
          <w:rFonts w:cstheme="minorHAnsi"/>
          <w:szCs w:val="20"/>
        </w:rPr>
        <w:t xml:space="preserve"> lives for political gain”</w:t>
      </w:r>
      <w:r w:rsidR="00556E91">
        <w:rPr>
          <w:rFonts w:cstheme="minorHAnsi"/>
          <w:szCs w:val="20"/>
        </w:rPr>
        <w:t>.</w:t>
      </w:r>
      <w:r w:rsidR="00556E91" w:rsidRPr="00663E17">
        <w:rPr>
          <w:rStyle w:val="FootnoteReference"/>
          <w:rFonts w:cstheme="minorHAnsi"/>
          <w:szCs w:val="20"/>
        </w:rPr>
        <w:footnoteReference w:id="78"/>
      </w:r>
      <w:r w:rsidR="00421C02" w:rsidRPr="00663E17">
        <w:rPr>
          <w:rFonts w:cstheme="minorHAnsi"/>
          <w:szCs w:val="20"/>
        </w:rPr>
        <w:t xml:space="preserve"> </w:t>
      </w:r>
      <w:r w:rsidR="00556E91">
        <w:rPr>
          <w:rFonts w:cstheme="minorHAnsi"/>
          <w:szCs w:val="20"/>
        </w:rPr>
        <w:t>Subsequently h</w:t>
      </w:r>
      <w:r w:rsidR="00421C02" w:rsidRPr="00663E17">
        <w:rPr>
          <w:rFonts w:cstheme="minorHAnsi"/>
          <w:szCs w:val="20"/>
        </w:rPr>
        <w:t>e received death threats. In a previous</w:t>
      </w:r>
      <w:r w:rsidR="00906AA5">
        <w:rPr>
          <w:rFonts w:cstheme="minorHAnsi"/>
          <w:szCs w:val="20"/>
        </w:rPr>
        <w:t xml:space="preserve"> </w:t>
      </w:r>
      <w:r w:rsidR="00421C02" w:rsidRPr="00663E17">
        <w:rPr>
          <w:rFonts w:cstheme="minorHAnsi"/>
          <w:szCs w:val="20"/>
        </w:rPr>
        <w:t>disinformation campaign</w:t>
      </w:r>
      <w:r w:rsidR="00C93B74" w:rsidRPr="00663E17">
        <w:rPr>
          <w:rFonts w:cstheme="minorHAnsi"/>
          <w:szCs w:val="20"/>
        </w:rPr>
        <w:t xml:space="preserve"> </w:t>
      </w:r>
      <w:r w:rsidR="00906AA5">
        <w:rPr>
          <w:rFonts w:cstheme="minorHAnsi"/>
          <w:szCs w:val="20"/>
        </w:rPr>
        <w:t xml:space="preserve">of this sort </w:t>
      </w:r>
      <w:r w:rsidR="00C93B74" w:rsidRPr="00663E17">
        <w:rPr>
          <w:rFonts w:cstheme="minorHAnsi"/>
          <w:szCs w:val="20"/>
        </w:rPr>
        <w:t>in early 2019</w:t>
      </w:r>
      <w:r w:rsidR="00421C02" w:rsidRPr="00663E17">
        <w:rPr>
          <w:rFonts w:cstheme="minorHAnsi"/>
          <w:szCs w:val="20"/>
        </w:rPr>
        <w:t xml:space="preserve">, numerous articles published in </w:t>
      </w:r>
      <w:proofErr w:type="spellStart"/>
      <w:r w:rsidR="00421C02" w:rsidRPr="003325F9">
        <w:rPr>
          <w:rFonts w:cstheme="minorHAnsi"/>
          <w:i/>
          <w:iCs/>
          <w:szCs w:val="20"/>
        </w:rPr>
        <w:t>Origo</w:t>
      </w:r>
      <w:proofErr w:type="spellEnd"/>
      <w:r w:rsidR="00421C02" w:rsidRPr="000105A0">
        <w:rPr>
          <w:rFonts w:cstheme="minorHAnsi"/>
          <w:szCs w:val="20"/>
        </w:rPr>
        <w:t xml:space="preserve">, </w:t>
      </w:r>
      <w:r w:rsidR="00421C02" w:rsidRPr="003325F9">
        <w:rPr>
          <w:rFonts w:cstheme="minorHAnsi"/>
          <w:i/>
          <w:iCs/>
          <w:szCs w:val="20"/>
        </w:rPr>
        <w:t>888</w:t>
      </w:r>
      <w:r w:rsidR="00421C02" w:rsidRPr="000105A0">
        <w:rPr>
          <w:rFonts w:cstheme="minorHAnsi"/>
          <w:szCs w:val="20"/>
        </w:rPr>
        <w:t xml:space="preserve"> </w:t>
      </w:r>
      <w:r w:rsidR="00906AA5" w:rsidRPr="000105A0">
        <w:rPr>
          <w:rFonts w:cstheme="minorHAnsi"/>
          <w:szCs w:val="20"/>
        </w:rPr>
        <w:t>an</w:t>
      </w:r>
      <w:r w:rsidR="00421C02" w:rsidRPr="000105A0">
        <w:rPr>
          <w:rFonts w:cstheme="minorHAnsi"/>
          <w:szCs w:val="20"/>
        </w:rPr>
        <w:t xml:space="preserve">d </w:t>
      </w:r>
      <w:proofErr w:type="spellStart"/>
      <w:r w:rsidR="00421C02" w:rsidRPr="003325F9">
        <w:rPr>
          <w:rFonts w:cstheme="minorHAnsi"/>
          <w:i/>
          <w:iCs/>
          <w:szCs w:val="20"/>
        </w:rPr>
        <w:t>Figyel</w:t>
      </w:r>
      <w:r w:rsidR="007B1D68" w:rsidRPr="003325F9">
        <w:rPr>
          <w:rFonts w:cstheme="minorHAnsi"/>
          <w:i/>
          <w:iCs/>
          <w:szCs w:val="20"/>
        </w:rPr>
        <w:t>ő</w:t>
      </w:r>
      <w:proofErr w:type="spellEnd"/>
      <w:r w:rsidR="007B1D68" w:rsidRPr="007B1D68">
        <w:rPr>
          <w:rFonts w:cstheme="minorHAnsi"/>
          <w:szCs w:val="20"/>
        </w:rPr>
        <w:t xml:space="preserve"> </w:t>
      </w:r>
      <w:r w:rsidR="00421C02" w:rsidRPr="00663E17">
        <w:rPr>
          <w:rFonts w:cstheme="minorHAnsi"/>
          <w:szCs w:val="20"/>
        </w:rPr>
        <w:t xml:space="preserve">had claimed that the analyst </w:t>
      </w:r>
      <w:r w:rsidR="00C93B74" w:rsidRPr="00663E17">
        <w:rPr>
          <w:rFonts w:cstheme="minorHAnsi"/>
          <w:szCs w:val="20"/>
        </w:rPr>
        <w:t xml:space="preserve">served foreign interests and was involved in a secret British psychological warfare campaign. While the claims were debunked </w:t>
      </w:r>
      <w:r w:rsidR="00906AA5">
        <w:rPr>
          <w:rFonts w:cstheme="minorHAnsi"/>
          <w:szCs w:val="20"/>
        </w:rPr>
        <w:t xml:space="preserve">in December 2020 </w:t>
      </w:r>
      <w:r w:rsidR="00C93B74" w:rsidRPr="00663E17">
        <w:rPr>
          <w:rFonts w:cstheme="minorHAnsi"/>
          <w:szCs w:val="20"/>
        </w:rPr>
        <w:t xml:space="preserve">in a second instance ruling by the Budapest Regional </w:t>
      </w:r>
      <w:r w:rsidR="00906AA5">
        <w:rPr>
          <w:rFonts w:cstheme="minorHAnsi"/>
          <w:szCs w:val="20"/>
        </w:rPr>
        <w:t>Court,</w:t>
      </w:r>
      <w:r w:rsidR="0068037D" w:rsidRPr="00663E17">
        <w:rPr>
          <w:rStyle w:val="FootnoteReference"/>
          <w:rFonts w:cstheme="minorHAnsi"/>
          <w:szCs w:val="20"/>
        </w:rPr>
        <w:footnoteReference w:id="79"/>
      </w:r>
      <w:r w:rsidR="00C93B74" w:rsidRPr="00663E17">
        <w:rPr>
          <w:rFonts w:cstheme="minorHAnsi"/>
          <w:szCs w:val="20"/>
        </w:rPr>
        <w:t xml:space="preserve"> </w:t>
      </w:r>
      <w:r w:rsidR="00906AA5">
        <w:rPr>
          <w:rFonts w:cstheme="minorHAnsi"/>
          <w:szCs w:val="20"/>
        </w:rPr>
        <w:t xml:space="preserve">on 14 March </w:t>
      </w:r>
      <w:r w:rsidR="00906AA5" w:rsidRPr="00906AA5">
        <w:rPr>
          <w:rFonts w:cstheme="minorHAnsi"/>
          <w:szCs w:val="20"/>
          <w:lang w:val="en-GB"/>
        </w:rPr>
        <w:t xml:space="preserve">2021 </w:t>
      </w:r>
      <w:r w:rsidR="00400014">
        <w:rPr>
          <w:rFonts w:cstheme="minorHAnsi"/>
          <w:szCs w:val="20"/>
          <w:lang w:val="en-GB"/>
        </w:rPr>
        <w:t xml:space="preserve">the three outlets had still </w:t>
      </w:r>
      <w:r w:rsidR="00906AA5" w:rsidRPr="00906AA5">
        <w:rPr>
          <w:rFonts w:cstheme="minorHAnsi"/>
          <w:szCs w:val="20"/>
          <w:lang w:val="en-GB"/>
        </w:rPr>
        <w:t xml:space="preserve">not published </w:t>
      </w:r>
      <w:r w:rsidR="00400014">
        <w:rPr>
          <w:rFonts w:cstheme="minorHAnsi"/>
          <w:szCs w:val="20"/>
          <w:lang w:val="en-GB"/>
        </w:rPr>
        <w:t xml:space="preserve">the verdict and corrected the </w:t>
      </w:r>
      <w:r w:rsidR="00906AA5" w:rsidRPr="00906AA5">
        <w:rPr>
          <w:rFonts w:cstheme="minorHAnsi"/>
          <w:szCs w:val="20"/>
          <w:lang w:val="en-GB"/>
        </w:rPr>
        <w:t>facts as the Regional Court had ordered</w:t>
      </w:r>
      <w:r w:rsidR="00906AA5">
        <w:rPr>
          <w:rFonts w:cstheme="minorHAnsi"/>
          <w:szCs w:val="20"/>
        </w:rPr>
        <w:t>.</w:t>
      </w:r>
    </w:p>
    <w:p w14:paraId="09813378" w14:textId="77777777" w:rsidR="0068037D" w:rsidRPr="00663E17" w:rsidRDefault="0068037D" w:rsidP="001A7208">
      <w:pPr>
        <w:pStyle w:val="ListParagraph"/>
        <w:tabs>
          <w:tab w:val="left" w:pos="1613"/>
        </w:tabs>
        <w:spacing w:after="0" w:line="240" w:lineRule="auto"/>
        <w:ind w:left="426"/>
        <w:jc w:val="both"/>
        <w:rPr>
          <w:rFonts w:cstheme="minorHAnsi"/>
          <w:szCs w:val="20"/>
          <w:lang w:val="en-GB"/>
        </w:rPr>
      </w:pPr>
    </w:p>
    <w:p w14:paraId="6BEA8920" w14:textId="14D3CBAD" w:rsidR="00685C1A" w:rsidRPr="00685C1A" w:rsidRDefault="0068037D" w:rsidP="001A7208">
      <w:pPr>
        <w:numPr>
          <w:ilvl w:val="0"/>
          <w:numId w:val="2"/>
        </w:numPr>
        <w:tabs>
          <w:tab w:val="left" w:pos="1613"/>
        </w:tabs>
        <w:spacing w:after="0" w:line="240" w:lineRule="auto"/>
        <w:ind w:left="714" w:hanging="357"/>
        <w:jc w:val="both"/>
        <w:rPr>
          <w:rFonts w:cstheme="minorHAnsi"/>
          <w:szCs w:val="20"/>
          <w:u w:val="single"/>
          <w:lang w:val="en-GB"/>
        </w:rPr>
      </w:pPr>
      <w:r w:rsidRPr="00663E17">
        <w:rPr>
          <w:rFonts w:cstheme="minorHAnsi"/>
          <w:szCs w:val="20"/>
          <w:lang w:val="en-GB"/>
        </w:rPr>
        <w:t xml:space="preserve">Civil society representatives and human rights defenders have </w:t>
      </w:r>
      <w:r w:rsidR="00FA7520">
        <w:rPr>
          <w:rFonts w:cstheme="minorHAnsi"/>
          <w:szCs w:val="20"/>
          <w:lang w:val="en-GB"/>
        </w:rPr>
        <w:t>also been demonised</w:t>
      </w:r>
      <w:r w:rsidR="0028658D" w:rsidRPr="00663E17">
        <w:rPr>
          <w:rFonts w:cstheme="minorHAnsi"/>
          <w:szCs w:val="20"/>
          <w:lang w:val="en-GB"/>
        </w:rPr>
        <w:t xml:space="preserve"> as “foreign agents” and </w:t>
      </w:r>
      <w:r w:rsidR="008318F2" w:rsidRPr="00663E17">
        <w:rPr>
          <w:rFonts w:cstheme="minorHAnsi"/>
          <w:szCs w:val="20"/>
          <w:lang w:val="en-GB"/>
        </w:rPr>
        <w:t>“</w:t>
      </w:r>
      <w:r w:rsidR="0028658D" w:rsidRPr="00663E17">
        <w:rPr>
          <w:rFonts w:cstheme="minorHAnsi"/>
          <w:szCs w:val="20"/>
          <w:lang w:val="en-GB"/>
        </w:rPr>
        <w:t>traitors to the nation</w:t>
      </w:r>
      <w:r w:rsidR="008318F2" w:rsidRPr="00663E17">
        <w:rPr>
          <w:rFonts w:cstheme="minorHAnsi"/>
          <w:szCs w:val="20"/>
          <w:lang w:val="en-GB"/>
        </w:rPr>
        <w:t>”</w:t>
      </w:r>
      <w:r w:rsidR="0073397D" w:rsidRPr="00663E17">
        <w:rPr>
          <w:rFonts w:cstheme="minorHAnsi"/>
          <w:szCs w:val="20"/>
          <w:lang w:val="en-GB"/>
        </w:rPr>
        <w:t xml:space="preserve">, particularly </w:t>
      </w:r>
      <w:r w:rsidR="00FA7520">
        <w:rPr>
          <w:rFonts w:cstheme="minorHAnsi"/>
          <w:szCs w:val="20"/>
          <w:lang w:val="en-GB"/>
        </w:rPr>
        <w:t>when</w:t>
      </w:r>
      <w:r w:rsidR="0073397D" w:rsidRPr="00663E17">
        <w:rPr>
          <w:rFonts w:cstheme="minorHAnsi"/>
          <w:szCs w:val="20"/>
          <w:lang w:val="en-GB"/>
        </w:rPr>
        <w:t xml:space="preserve"> protect</w:t>
      </w:r>
      <w:r w:rsidR="00C14156">
        <w:rPr>
          <w:rFonts w:cstheme="minorHAnsi"/>
          <w:szCs w:val="20"/>
          <w:lang w:val="en-GB"/>
        </w:rPr>
        <w:t>ing</w:t>
      </w:r>
      <w:r w:rsidR="0073397D" w:rsidRPr="00663E17">
        <w:rPr>
          <w:rFonts w:cstheme="minorHAnsi"/>
          <w:szCs w:val="20"/>
          <w:lang w:val="en-GB"/>
        </w:rPr>
        <w:t xml:space="preserve"> the rights of migrants, Roma or LGBTI people</w:t>
      </w:r>
      <w:r w:rsidR="003F16EC">
        <w:rPr>
          <w:rFonts w:cstheme="minorHAnsi"/>
          <w:szCs w:val="20"/>
          <w:lang w:val="en-GB"/>
        </w:rPr>
        <w:t xml:space="preserve">. </w:t>
      </w:r>
      <w:r w:rsidR="00C14156">
        <w:rPr>
          <w:rFonts w:cstheme="minorHAnsi"/>
          <w:szCs w:val="20"/>
          <w:lang w:val="en-GB"/>
        </w:rPr>
        <w:t>L</w:t>
      </w:r>
      <w:r w:rsidR="003F16EC">
        <w:rPr>
          <w:rFonts w:cstheme="minorHAnsi"/>
          <w:szCs w:val="20"/>
          <w:lang w:val="en-GB"/>
        </w:rPr>
        <w:t>egislative amendments in recent years have</w:t>
      </w:r>
      <w:r w:rsidR="00C037CB" w:rsidRPr="00663E17">
        <w:rPr>
          <w:rFonts w:cstheme="minorHAnsi"/>
          <w:szCs w:val="20"/>
          <w:lang w:val="en-GB"/>
        </w:rPr>
        <w:t xml:space="preserve"> show</w:t>
      </w:r>
      <w:r w:rsidR="003F16EC">
        <w:rPr>
          <w:rFonts w:cstheme="minorHAnsi"/>
          <w:szCs w:val="20"/>
          <w:lang w:val="en-GB"/>
        </w:rPr>
        <w:t>n</w:t>
      </w:r>
      <w:r w:rsidR="00C037CB" w:rsidRPr="00663E17">
        <w:rPr>
          <w:rFonts w:cstheme="minorHAnsi"/>
          <w:szCs w:val="20"/>
          <w:lang w:val="en-GB"/>
        </w:rPr>
        <w:t xml:space="preserve"> blatant disrespect for the </w:t>
      </w:r>
      <w:r w:rsidR="00C037CB" w:rsidRPr="00663E17">
        <w:rPr>
          <w:rFonts w:cstheme="minorHAnsi"/>
          <w:szCs w:val="20"/>
        </w:rPr>
        <w:t xml:space="preserve">important role that civil society </w:t>
      </w:r>
      <w:proofErr w:type="spellStart"/>
      <w:r w:rsidR="00C037CB" w:rsidRPr="00663E17">
        <w:rPr>
          <w:rFonts w:cstheme="minorHAnsi"/>
          <w:szCs w:val="20"/>
        </w:rPr>
        <w:t>organisations</w:t>
      </w:r>
      <w:proofErr w:type="spellEnd"/>
      <w:r w:rsidR="00C037CB" w:rsidRPr="00663E17">
        <w:rPr>
          <w:rFonts w:cstheme="minorHAnsi"/>
          <w:szCs w:val="20"/>
        </w:rPr>
        <w:t xml:space="preserve"> play in modern democratic societies.</w:t>
      </w:r>
      <w:r w:rsidR="00025919">
        <w:rPr>
          <w:rStyle w:val="FootnoteReference"/>
          <w:rFonts w:cstheme="minorHAnsi"/>
          <w:szCs w:val="20"/>
        </w:rPr>
        <w:footnoteReference w:id="80"/>
      </w:r>
      <w:r w:rsidR="00D03BF9" w:rsidRPr="00663E17">
        <w:rPr>
          <w:rFonts w:cstheme="minorHAnsi"/>
          <w:szCs w:val="20"/>
          <w:lang w:val="en-GB"/>
        </w:rPr>
        <w:t xml:space="preserve"> </w:t>
      </w:r>
      <w:r w:rsidR="00685C1A">
        <w:rPr>
          <w:rFonts w:cstheme="minorHAnsi"/>
          <w:szCs w:val="20"/>
          <w:lang w:val="en-GB"/>
        </w:rPr>
        <w:t>In June 2020, the Court of Justice of the European Union found the</w:t>
      </w:r>
      <w:r w:rsidR="00D03BF9" w:rsidRPr="00663E17">
        <w:rPr>
          <w:rFonts w:cstheme="minorHAnsi"/>
          <w:szCs w:val="20"/>
          <w:lang w:val="en-GB"/>
        </w:rPr>
        <w:t xml:space="preserve"> registration and publication obligations imposed on civil society organisations who receive support from abroad </w:t>
      </w:r>
      <w:r w:rsidR="00FA7520">
        <w:rPr>
          <w:rFonts w:cstheme="minorHAnsi"/>
          <w:szCs w:val="20"/>
          <w:lang w:val="en-GB"/>
        </w:rPr>
        <w:t xml:space="preserve">to be </w:t>
      </w:r>
      <w:r w:rsidR="00D03BF9" w:rsidRPr="00663E17">
        <w:rPr>
          <w:rFonts w:cstheme="minorHAnsi"/>
          <w:szCs w:val="20"/>
          <w:lang w:val="en-GB"/>
        </w:rPr>
        <w:t>in breach of Hungary’s obligations under EU law</w:t>
      </w:r>
      <w:r w:rsidR="00142B56">
        <w:rPr>
          <w:rFonts w:cstheme="minorHAnsi"/>
          <w:szCs w:val="20"/>
          <w:lang w:val="en-GB"/>
        </w:rPr>
        <w:t>, as they undermine</w:t>
      </w:r>
      <w:r w:rsidR="00FA7520">
        <w:rPr>
          <w:rFonts w:cstheme="minorHAnsi"/>
          <w:szCs w:val="20"/>
          <w:lang w:val="en-GB"/>
        </w:rPr>
        <w:t>d</w:t>
      </w:r>
      <w:r w:rsidR="00142B56">
        <w:rPr>
          <w:rFonts w:cstheme="minorHAnsi"/>
          <w:szCs w:val="20"/>
          <w:lang w:val="en-GB"/>
        </w:rPr>
        <w:t xml:space="preserve"> </w:t>
      </w:r>
      <w:r w:rsidR="00257DB1" w:rsidRPr="00257DB1">
        <w:rPr>
          <w:rFonts w:cstheme="minorHAnsi"/>
          <w:szCs w:val="20"/>
          <w:lang w:val="en-GB"/>
        </w:rPr>
        <w:t xml:space="preserve">their right to freedom of association </w:t>
      </w:r>
      <w:r w:rsidR="00685C1A">
        <w:rPr>
          <w:rFonts w:cstheme="minorHAnsi"/>
          <w:szCs w:val="20"/>
          <w:lang w:val="en-GB"/>
        </w:rPr>
        <w:t xml:space="preserve">and </w:t>
      </w:r>
      <w:r w:rsidR="00257DB1" w:rsidRPr="00257DB1">
        <w:rPr>
          <w:rFonts w:cstheme="minorHAnsi"/>
          <w:szCs w:val="20"/>
          <w:lang w:val="en-GB"/>
        </w:rPr>
        <w:t>creat</w:t>
      </w:r>
      <w:r w:rsidR="00142B56">
        <w:rPr>
          <w:rFonts w:cstheme="minorHAnsi"/>
          <w:szCs w:val="20"/>
          <w:lang w:val="en-GB"/>
        </w:rPr>
        <w:t>e</w:t>
      </w:r>
      <w:r w:rsidR="00FA7520">
        <w:rPr>
          <w:rFonts w:cstheme="minorHAnsi"/>
          <w:szCs w:val="20"/>
          <w:lang w:val="en-GB"/>
        </w:rPr>
        <w:t>d</w:t>
      </w:r>
      <w:r w:rsidR="00257DB1" w:rsidRPr="00257DB1">
        <w:rPr>
          <w:rFonts w:cstheme="minorHAnsi"/>
          <w:szCs w:val="20"/>
          <w:lang w:val="en-GB"/>
        </w:rPr>
        <w:t xml:space="preserve"> a climate of </w:t>
      </w:r>
      <w:r w:rsidR="00C14156">
        <w:rPr>
          <w:rFonts w:cstheme="minorHAnsi"/>
          <w:szCs w:val="20"/>
          <w:lang w:val="en-GB"/>
        </w:rPr>
        <w:t>suspicion and stigmatisation</w:t>
      </w:r>
      <w:r w:rsidR="00257DB1" w:rsidRPr="00257DB1">
        <w:rPr>
          <w:rFonts w:cstheme="minorHAnsi"/>
          <w:szCs w:val="20"/>
          <w:lang w:val="en-GB"/>
        </w:rPr>
        <w:t xml:space="preserve"> towards them</w:t>
      </w:r>
      <w:r w:rsidR="00685C1A">
        <w:rPr>
          <w:rFonts w:cstheme="minorHAnsi"/>
          <w:szCs w:val="20"/>
          <w:lang w:val="en-GB"/>
        </w:rPr>
        <w:t>.</w:t>
      </w:r>
      <w:r w:rsidR="00142B56" w:rsidRPr="00663E17">
        <w:rPr>
          <w:rStyle w:val="FootnoteReference"/>
          <w:rFonts w:cstheme="minorHAnsi"/>
          <w:szCs w:val="20"/>
          <w:lang w:val="en-GB"/>
        </w:rPr>
        <w:footnoteReference w:id="81"/>
      </w:r>
      <w:r w:rsidR="00D03BF9" w:rsidRPr="00663E17">
        <w:rPr>
          <w:rFonts w:cstheme="minorHAnsi"/>
          <w:szCs w:val="20"/>
          <w:lang w:val="en-GB"/>
        </w:rPr>
        <w:t xml:space="preserve"> </w:t>
      </w:r>
      <w:r w:rsidR="00685C1A">
        <w:rPr>
          <w:rFonts w:cstheme="minorHAnsi"/>
          <w:szCs w:val="20"/>
          <w:lang w:val="en-GB"/>
        </w:rPr>
        <w:t xml:space="preserve">Following the judgment, </w:t>
      </w:r>
      <w:r w:rsidR="00D03BF9" w:rsidRPr="00663E17">
        <w:rPr>
          <w:rFonts w:cstheme="minorHAnsi"/>
          <w:szCs w:val="20"/>
          <w:lang w:val="en-GB"/>
        </w:rPr>
        <w:t xml:space="preserve">the Prime Minister </w:t>
      </w:r>
      <w:r w:rsidR="00FA7520">
        <w:rPr>
          <w:rFonts w:cstheme="minorHAnsi"/>
          <w:szCs w:val="20"/>
          <w:lang w:val="en-GB"/>
        </w:rPr>
        <w:t xml:space="preserve">talked of </w:t>
      </w:r>
      <w:r w:rsidR="00D03BF9" w:rsidRPr="00663E17">
        <w:rPr>
          <w:rFonts w:cstheme="minorHAnsi"/>
          <w:szCs w:val="20"/>
          <w:lang w:val="en-GB"/>
        </w:rPr>
        <w:t>“liberal imperialism in Western Europe” and “conspiracies to man</w:t>
      </w:r>
      <w:r w:rsidR="00FA7520">
        <w:rPr>
          <w:rFonts w:cstheme="minorHAnsi"/>
          <w:szCs w:val="20"/>
          <w:lang w:val="en-GB"/>
        </w:rPr>
        <w:t>o</w:t>
      </w:r>
      <w:r w:rsidR="00D03BF9" w:rsidRPr="00663E17">
        <w:rPr>
          <w:rFonts w:cstheme="minorHAnsi"/>
          <w:szCs w:val="20"/>
          <w:lang w:val="en-GB"/>
        </w:rPr>
        <w:t>euv</w:t>
      </w:r>
      <w:r w:rsidR="00556E91">
        <w:rPr>
          <w:rFonts w:cstheme="minorHAnsi"/>
          <w:szCs w:val="20"/>
          <w:lang w:val="en-GB"/>
        </w:rPr>
        <w:t>r</w:t>
      </w:r>
      <w:r w:rsidR="00FA7520">
        <w:rPr>
          <w:rFonts w:cstheme="minorHAnsi"/>
          <w:szCs w:val="20"/>
          <w:lang w:val="en-GB"/>
        </w:rPr>
        <w:t>e</w:t>
      </w:r>
      <w:r w:rsidR="00D03BF9" w:rsidRPr="00663E17">
        <w:rPr>
          <w:rFonts w:cstheme="minorHAnsi"/>
          <w:szCs w:val="20"/>
          <w:lang w:val="en-GB"/>
        </w:rPr>
        <w:t xml:space="preserve"> for power</w:t>
      </w:r>
      <w:r w:rsidR="00D40BB1" w:rsidRPr="00663E17">
        <w:rPr>
          <w:rFonts w:cstheme="minorHAnsi"/>
          <w:szCs w:val="20"/>
          <w:lang w:val="en-GB"/>
        </w:rPr>
        <w:t>”,</w:t>
      </w:r>
      <w:r w:rsidR="00D03BF9" w:rsidRPr="00663E17">
        <w:rPr>
          <w:rFonts w:cstheme="minorHAnsi"/>
          <w:szCs w:val="20"/>
          <w:lang w:val="en-GB"/>
        </w:rPr>
        <w:t xml:space="preserve"> </w:t>
      </w:r>
      <w:r w:rsidR="00FA7520">
        <w:rPr>
          <w:rFonts w:cstheme="minorHAnsi"/>
          <w:szCs w:val="20"/>
          <w:lang w:val="en-GB"/>
        </w:rPr>
        <w:t>referri</w:t>
      </w:r>
      <w:r w:rsidR="00556E91">
        <w:rPr>
          <w:rFonts w:cstheme="minorHAnsi"/>
          <w:szCs w:val="20"/>
          <w:lang w:val="en-GB"/>
        </w:rPr>
        <w:t>ng</w:t>
      </w:r>
      <w:r w:rsidR="00FA7520">
        <w:rPr>
          <w:rFonts w:cstheme="minorHAnsi"/>
          <w:szCs w:val="20"/>
          <w:lang w:val="en-GB"/>
        </w:rPr>
        <w:t xml:space="preserve"> to</w:t>
      </w:r>
      <w:r w:rsidR="00556E91">
        <w:rPr>
          <w:rFonts w:cstheme="minorHAnsi"/>
          <w:szCs w:val="20"/>
          <w:lang w:val="en-GB"/>
        </w:rPr>
        <w:t xml:space="preserve"> </w:t>
      </w:r>
      <w:r w:rsidR="00D40BB1" w:rsidRPr="00663E17">
        <w:rPr>
          <w:rFonts w:cstheme="minorHAnsi"/>
          <w:szCs w:val="20"/>
          <w:lang w:val="en-GB"/>
        </w:rPr>
        <w:t>“</w:t>
      </w:r>
      <w:r w:rsidR="00D40BB1" w:rsidRPr="00663E17">
        <w:rPr>
          <w:rFonts w:cstheme="minorHAnsi"/>
          <w:szCs w:val="20"/>
        </w:rPr>
        <w:t xml:space="preserve">political </w:t>
      </w:r>
      <w:proofErr w:type="spellStart"/>
      <w:r w:rsidR="00D40BB1" w:rsidRPr="00663E17">
        <w:rPr>
          <w:rFonts w:cstheme="minorHAnsi"/>
          <w:szCs w:val="20"/>
        </w:rPr>
        <w:t>organisations</w:t>
      </w:r>
      <w:proofErr w:type="spellEnd"/>
      <w:r w:rsidR="00D40BB1" w:rsidRPr="00663E17">
        <w:rPr>
          <w:rFonts w:cstheme="minorHAnsi"/>
          <w:szCs w:val="20"/>
        </w:rPr>
        <w:t xml:space="preserve"> in Hungary that are striving to erode the independence of their own country. Suddenly they’re not on the side of the Hungarians, but are always found on the side of foreigners, outsiders, </w:t>
      </w:r>
      <w:proofErr w:type="spellStart"/>
      <w:r w:rsidR="00D40BB1" w:rsidRPr="00663E17">
        <w:rPr>
          <w:rFonts w:cstheme="minorHAnsi"/>
          <w:szCs w:val="20"/>
        </w:rPr>
        <w:t>centres</w:t>
      </w:r>
      <w:proofErr w:type="spellEnd"/>
      <w:r w:rsidR="00D40BB1" w:rsidRPr="00663E17">
        <w:rPr>
          <w:rFonts w:cstheme="minorHAnsi"/>
          <w:szCs w:val="20"/>
        </w:rPr>
        <w:t xml:space="preserve"> of power</w:t>
      </w:r>
      <w:r w:rsidR="003F16EC">
        <w:rPr>
          <w:rFonts w:cstheme="minorHAnsi"/>
          <w:szCs w:val="20"/>
        </w:rPr>
        <w:t>…”</w:t>
      </w:r>
      <w:r w:rsidR="00E56FB9">
        <w:rPr>
          <w:rFonts w:cstheme="minorHAnsi"/>
          <w:szCs w:val="20"/>
        </w:rPr>
        <w:t>;</w:t>
      </w:r>
      <w:r w:rsidR="00D40BB1" w:rsidRPr="00663E17">
        <w:rPr>
          <w:rStyle w:val="FootnoteReference"/>
          <w:rFonts w:cstheme="minorHAnsi"/>
          <w:szCs w:val="20"/>
          <w:lang w:val="en-GB"/>
        </w:rPr>
        <w:footnoteReference w:id="82"/>
      </w:r>
      <w:r w:rsidR="00544C9F">
        <w:rPr>
          <w:rFonts w:cstheme="minorHAnsi"/>
          <w:szCs w:val="20"/>
        </w:rPr>
        <w:t xml:space="preserve"> </w:t>
      </w:r>
      <w:r w:rsidR="00FA7520">
        <w:rPr>
          <w:rFonts w:cstheme="minorHAnsi"/>
          <w:szCs w:val="20"/>
        </w:rPr>
        <w:t xml:space="preserve">his </w:t>
      </w:r>
      <w:r w:rsidR="00544C9F">
        <w:rPr>
          <w:rFonts w:cstheme="minorHAnsi"/>
          <w:szCs w:val="20"/>
        </w:rPr>
        <w:t>suggest</w:t>
      </w:r>
      <w:r w:rsidR="00FA7520">
        <w:rPr>
          <w:rFonts w:cstheme="minorHAnsi"/>
          <w:szCs w:val="20"/>
        </w:rPr>
        <w:t xml:space="preserve">ion was that some </w:t>
      </w:r>
      <w:r w:rsidR="00544C9F">
        <w:rPr>
          <w:rFonts w:cstheme="minorHAnsi"/>
          <w:szCs w:val="20"/>
        </w:rPr>
        <w:t xml:space="preserve">threat </w:t>
      </w:r>
      <w:r w:rsidR="00FA7520">
        <w:rPr>
          <w:rFonts w:cstheme="minorHAnsi"/>
          <w:szCs w:val="20"/>
        </w:rPr>
        <w:t xml:space="preserve">arose </w:t>
      </w:r>
      <w:r w:rsidR="00544C9F">
        <w:rPr>
          <w:rFonts w:cstheme="minorHAnsi"/>
          <w:szCs w:val="20"/>
        </w:rPr>
        <w:t xml:space="preserve">from an activity </w:t>
      </w:r>
      <w:r w:rsidR="00E56FB9">
        <w:rPr>
          <w:rFonts w:cstheme="minorHAnsi"/>
          <w:szCs w:val="20"/>
        </w:rPr>
        <w:t>which</w:t>
      </w:r>
      <w:r w:rsidR="00544C9F">
        <w:rPr>
          <w:rFonts w:cstheme="minorHAnsi"/>
          <w:szCs w:val="20"/>
        </w:rPr>
        <w:t xml:space="preserve"> is regarded</w:t>
      </w:r>
      <w:r w:rsidR="00544C9F" w:rsidRPr="00544C9F">
        <w:rPr>
          <w:rFonts w:cstheme="minorHAnsi"/>
          <w:szCs w:val="20"/>
        </w:rPr>
        <w:t xml:space="preserve"> </w:t>
      </w:r>
      <w:r w:rsidR="00FA7520">
        <w:rPr>
          <w:rFonts w:cstheme="minorHAnsi"/>
          <w:szCs w:val="20"/>
        </w:rPr>
        <w:t xml:space="preserve">by the Court as </w:t>
      </w:r>
      <w:r w:rsidR="00544C9F">
        <w:rPr>
          <w:rFonts w:cstheme="minorHAnsi"/>
          <w:szCs w:val="20"/>
        </w:rPr>
        <w:t xml:space="preserve">“important </w:t>
      </w:r>
      <w:r w:rsidR="00FA7520">
        <w:rPr>
          <w:rFonts w:cstheme="minorHAnsi"/>
          <w:szCs w:val="20"/>
        </w:rPr>
        <w:t>t</w:t>
      </w:r>
      <w:r w:rsidR="00544C9F">
        <w:rPr>
          <w:rFonts w:cstheme="minorHAnsi"/>
          <w:szCs w:val="20"/>
        </w:rPr>
        <w:t>o the proper functioning of democracy”.</w:t>
      </w:r>
      <w:r w:rsidR="00544C9F">
        <w:rPr>
          <w:rStyle w:val="FootnoteReference"/>
          <w:rFonts w:cstheme="minorHAnsi"/>
          <w:szCs w:val="20"/>
        </w:rPr>
        <w:footnoteReference w:id="83"/>
      </w:r>
      <w:r w:rsidR="00544C9F">
        <w:rPr>
          <w:rFonts w:cstheme="minorHAnsi"/>
          <w:szCs w:val="20"/>
        </w:rPr>
        <w:t xml:space="preserve"> </w:t>
      </w:r>
    </w:p>
    <w:p w14:paraId="2DD3898E" w14:textId="77777777" w:rsidR="00685C1A" w:rsidRPr="00685C1A" w:rsidRDefault="00685C1A" w:rsidP="001A7208">
      <w:pPr>
        <w:pStyle w:val="ListParagraph"/>
        <w:tabs>
          <w:tab w:val="left" w:pos="1613"/>
        </w:tabs>
        <w:spacing w:after="0" w:line="240" w:lineRule="auto"/>
        <w:ind w:left="426"/>
        <w:jc w:val="both"/>
        <w:rPr>
          <w:rFonts w:cstheme="minorHAnsi"/>
          <w:szCs w:val="20"/>
          <w:u w:val="single"/>
          <w:lang w:val="en-GB"/>
        </w:rPr>
      </w:pPr>
    </w:p>
    <w:p w14:paraId="3B057D84" w14:textId="457203E9" w:rsidR="00205384" w:rsidRDefault="003469C8" w:rsidP="00931882">
      <w:pPr>
        <w:numPr>
          <w:ilvl w:val="0"/>
          <w:numId w:val="2"/>
        </w:numPr>
        <w:tabs>
          <w:tab w:val="left" w:pos="1613"/>
        </w:tabs>
        <w:spacing w:after="0" w:line="240" w:lineRule="auto"/>
        <w:ind w:left="714" w:hanging="357"/>
        <w:jc w:val="both"/>
        <w:rPr>
          <w:rFonts w:cstheme="minorHAnsi"/>
          <w:szCs w:val="20"/>
          <w:lang w:val="en-GB"/>
        </w:rPr>
      </w:pPr>
      <w:r w:rsidRPr="00931882">
        <w:rPr>
          <w:rFonts w:cstheme="minorHAnsi"/>
          <w:szCs w:val="20"/>
        </w:rPr>
        <w:t xml:space="preserve">In June 2018, the Hungarian Parliament adopted a legislative package </w:t>
      </w:r>
      <w:r w:rsidR="00FA7520">
        <w:rPr>
          <w:rFonts w:cstheme="minorHAnsi"/>
          <w:szCs w:val="20"/>
        </w:rPr>
        <w:t>which</w:t>
      </w:r>
      <w:r w:rsidRPr="00931882">
        <w:rPr>
          <w:rFonts w:cstheme="minorHAnsi"/>
          <w:szCs w:val="20"/>
        </w:rPr>
        <w:t>, among other</w:t>
      </w:r>
      <w:r w:rsidR="00FA7520">
        <w:rPr>
          <w:rFonts w:cstheme="minorHAnsi"/>
          <w:szCs w:val="20"/>
        </w:rPr>
        <w:t xml:space="preserve"> thing</w:t>
      </w:r>
      <w:r w:rsidRPr="00931882">
        <w:rPr>
          <w:rFonts w:cstheme="minorHAnsi"/>
          <w:szCs w:val="20"/>
        </w:rPr>
        <w:t xml:space="preserve">s, </w:t>
      </w:r>
      <w:proofErr w:type="spellStart"/>
      <w:r w:rsidRPr="00931882">
        <w:rPr>
          <w:rFonts w:cstheme="minorHAnsi"/>
          <w:szCs w:val="20"/>
        </w:rPr>
        <w:t>criminalised</w:t>
      </w:r>
      <w:proofErr w:type="spellEnd"/>
      <w:r w:rsidRPr="00931882">
        <w:rPr>
          <w:rFonts w:cstheme="minorHAnsi"/>
          <w:szCs w:val="20"/>
        </w:rPr>
        <w:t xml:space="preserve"> </w:t>
      </w:r>
      <w:r w:rsidR="001A4020" w:rsidRPr="00931882">
        <w:rPr>
          <w:rFonts w:cstheme="minorHAnsi"/>
          <w:szCs w:val="20"/>
        </w:rPr>
        <w:t>advocacy and campaigning activities on behalf of asylum seekers and migrants</w:t>
      </w:r>
      <w:r w:rsidRPr="00931882">
        <w:rPr>
          <w:rFonts w:cstheme="minorHAnsi"/>
          <w:szCs w:val="20"/>
        </w:rPr>
        <w:t xml:space="preserve"> and levied </w:t>
      </w:r>
      <w:r w:rsidRPr="00931882">
        <w:rPr>
          <w:rFonts w:cstheme="minorHAnsi"/>
          <w:szCs w:val="20"/>
          <w:lang w:val="en-GB"/>
        </w:rPr>
        <w:t>a 25% tax on any financial support to an “immigration-supporting activity” in Hungary</w:t>
      </w:r>
      <w:r w:rsidR="00681A56" w:rsidRPr="00931882">
        <w:rPr>
          <w:rFonts w:cstheme="minorHAnsi"/>
          <w:szCs w:val="20"/>
          <w:lang w:val="en-GB"/>
        </w:rPr>
        <w:t xml:space="preserve">. </w:t>
      </w:r>
      <w:r w:rsidR="0053195E" w:rsidRPr="00931882">
        <w:rPr>
          <w:rFonts w:cstheme="minorHAnsi"/>
          <w:szCs w:val="20"/>
          <w:lang w:val="en-GB"/>
        </w:rPr>
        <w:t>The Commissioner considers that b</w:t>
      </w:r>
      <w:r w:rsidR="00681A56" w:rsidRPr="00931882">
        <w:rPr>
          <w:rFonts w:cstheme="minorHAnsi"/>
          <w:szCs w:val="20"/>
          <w:lang w:val="en-GB"/>
        </w:rPr>
        <w:t xml:space="preserve">oth amendments </w:t>
      </w:r>
      <w:r w:rsidR="00FA33E4" w:rsidRPr="00931882">
        <w:rPr>
          <w:rFonts w:cstheme="minorHAnsi"/>
          <w:szCs w:val="20"/>
          <w:lang w:val="en-GB"/>
        </w:rPr>
        <w:t xml:space="preserve">constitute illegitimate </w:t>
      </w:r>
      <w:r w:rsidR="00681A56" w:rsidRPr="00931882">
        <w:rPr>
          <w:rFonts w:cstheme="minorHAnsi"/>
          <w:szCs w:val="20"/>
          <w:lang w:val="en-GB"/>
        </w:rPr>
        <w:t>interfere</w:t>
      </w:r>
      <w:r w:rsidR="00FA33E4" w:rsidRPr="00931882">
        <w:rPr>
          <w:rFonts w:cstheme="minorHAnsi"/>
          <w:szCs w:val="20"/>
          <w:lang w:val="en-GB"/>
        </w:rPr>
        <w:t>nces</w:t>
      </w:r>
      <w:r w:rsidR="00681A56" w:rsidRPr="00931882">
        <w:rPr>
          <w:rFonts w:cstheme="minorHAnsi"/>
          <w:szCs w:val="20"/>
          <w:lang w:val="en-GB"/>
        </w:rPr>
        <w:t xml:space="preserve"> with the freedom of expression of civil society </w:t>
      </w:r>
      <w:r w:rsidR="00FA33E4" w:rsidRPr="00931882">
        <w:rPr>
          <w:rFonts w:cstheme="minorHAnsi"/>
          <w:szCs w:val="20"/>
          <w:lang w:val="en-GB"/>
        </w:rPr>
        <w:t>organisations engaged in the defence of refugee and migrant rights</w:t>
      </w:r>
      <w:r w:rsidR="00D01A08" w:rsidRPr="00931882">
        <w:rPr>
          <w:rFonts w:cstheme="minorHAnsi"/>
          <w:szCs w:val="20"/>
          <w:lang w:val="en-GB"/>
        </w:rPr>
        <w:t xml:space="preserve"> and </w:t>
      </w:r>
      <w:r w:rsidR="00681A56" w:rsidRPr="00931882">
        <w:rPr>
          <w:rFonts w:cstheme="minorHAnsi"/>
          <w:szCs w:val="20"/>
          <w:lang w:val="en-GB"/>
        </w:rPr>
        <w:t>have a chilling effect on the exercise of rights</w:t>
      </w:r>
      <w:r w:rsidR="00FA33E4" w:rsidRPr="00931882">
        <w:rPr>
          <w:rFonts w:cstheme="minorHAnsi"/>
          <w:szCs w:val="20"/>
          <w:lang w:val="en-GB"/>
        </w:rPr>
        <w:t xml:space="preserve"> guaranteed </w:t>
      </w:r>
      <w:r w:rsidR="00FA7520">
        <w:rPr>
          <w:rFonts w:cstheme="minorHAnsi"/>
          <w:szCs w:val="20"/>
          <w:lang w:val="en-GB"/>
        </w:rPr>
        <w:t>by</w:t>
      </w:r>
      <w:r w:rsidR="00FA33E4" w:rsidRPr="00931882">
        <w:rPr>
          <w:rFonts w:cstheme="minorHAnsi"/>
          <w:szCs w:val="20"/>
          <w:lang w:val="en-GB"/>
        </w:rPr>
        <w:t xml:space="preserve"> the Convention</w:t>
      </w:r>
      <w:r w:rsidR="00D01A08" w:rsidRPr="00931882">
        <w:rPr>
          <w:rFonts w:cstheme="minorHAnsi"/>
          <w:szCs w:val="20"/>
          <w:lang w:val="en-GB"/>
        </w:rPr>
        <w:t>.</w:t>
      </w:r>
      <w:r w:rsidR="00681A56">
        <w:rPr>
          <w:rStyle w:val="FootnoteReference"/>
          <w:rFonts w:cstheme="minorHAnsi"/>
          <w:szCs w:val="20"/>
          <w:lang w:val="en-GB"/>
        </w:rPr>
        <w:footnoteReference w:id="84"/>
      </w:r>
      <w:r w:rsidR="00681A56" w:rsidRPr="00931882">
        <w:rPr>
          <w:rFonts w:cstheme="minorHAnsi"/>
          <w:szCs w:val="20"/>
          <w:lang w:val="en-GB"/>
        </w:rPr>
        <w:t xml:space="preserve"> </w:t>
      </w:r>
      <w:r w:rsidR="005F47BF" w:rsidRPr="00931882">
        <w:rPr>
          <w:rFonts w:cstheme="minorHAnsi"/>
          <w:szCs w:val="20"/>
          <w:lang w:val="en-GB"/>
        </w:rPr>
        <w:t>Inexplicably</w:t>
      </w:r>
      <w:r w:rsidR="00C037CB" w:rsidRPr="00931882">
        <w:rPr>
          <w:rFonts w:cstheme="minorHAnsi"/>
          <w:szCs w:val="20"/>
          <w:lang w:val="en-GB"/>
        </w:rPr>
        <w:t>, the Commissioner for Fundamental Rights has remained silent on these developments</w:t>
      </w:r>
      <w:r w:rsidR="005F47BF" w:rsidRPr="00931882">
        <w:rPr>
          <w:rFonts w:cstheme="minorHAnsi"/>
          <w:szCs w:val="20"/>
          <w:lang w:val="en-GB"/>
        </w:rPr>
        <w:t xml:space="preserve">. He </w:t>
      </w:r>
      <w:r w:rsidR="00FA7520">
        <w:rPr>
          <w:rFonts w:cstheme="minorHAnsi"/>
          <w:szCs w:val="20"/>
          <w:lang w:val="en-GB"/>
        </w:rPr>
        <w:t>has</w:t>
      </w:r>
      <w:r w:rsidR="005F47BF" w:rsidRPr="00931882">
        <w:rPr>
          <w:rFonts w:cstheme="minorHAnsi"/>
          <w:szCs w:val="20"/>
          <w:lang w:val="en-GB"/>
        </w:rPr>
        <w:t xml:space="preserve"> not react</w:t>
      </w:r>
      <w:r w:rsidR="00FA7520">
        <w:rPr>
          <w:rFonts w:cstheme="minorHAnsi"/>
          <w:szCs w:val="20"/>
          <w:lang w:val="en-GB"/>
        </w:rPr>
        <w:t>ed</w:t>
      </w:r>
      <w:r w:rsidR="005F47BF" w:rsidRPr="00931882">
        <w:rPr>
          <w:rFonts w:cstheme="minorHAnsi"/>
          <w:szCs w:val="20"/>
          <w:lang w:val="en-GB"/>
        </w:rPr>
        <w:t xml:space="preserve"> to repeated and collective requests from civil society organisations to intervene on their behalf</w:t>
      </w:r>
      <w:r w:rsidR="00466C5E" w:rsidRPr="00931882">
        <w:rPr>
          <w:rFonts w:cstheme="minorHAnsi"/>
          <w:szCs w:val="20"/>
          <w:lang w:val="en-GB"/>
        </w:rPr>
        <w:t xml:space="preserve"> despite the fact that support </w:t>
      </w:r>
      <w:r w:rsidR="00FA7520">
        <w:rPr>
          <w:rFonts w:cstheme="minorHAnsi"/>
          <w:szCs w:val="20"/>
          <w:lang w:val="en-GB"/>
        </w:rPr>
        <w:t>f</w:t>
      </w:r>
      <w:r w:rsidR="00466C5E" w:rsidRPr="00931882">
        <w:rPr>
          <w:rFonts w:cstheme="minorHAnsi"/>
          <w:szCs w:val="20"/>
          <w:lang w:val="en-GB"/>
        </w:rPr>
        <w:t>o</w:t>
      </w:r>
      <w:r w:rsidR="00FA7520">
        <w:rPr>
          <w:rFonts w:cstheme="minorHAnsi"/>
          <w:szCs w:val="20"/>
          <w:lang w:val="en-GB"/>
        </w:rPr>
        <w:t>r</w:t>
      </w:r>
      <w:r w:rsidR="00466C5E" w:rsidRPr="00931882">
        <w:rPr>
          <w:rFonts w:cstheme="minorHAnsi"/>
          <w:szCs w:val="20"/>
          <w:lang w:val="en-GB"/>
        </w:rPr>
        <w:t xml:space="preserve"> human rights defenders and co-operation with civil society organisations is listed </w:t>
      </w:r>
      <w:r w:rsidR="00FA7520">
        <w:rPr>
          <w:rFonts w:cstheme="minorHAnsi"/>
          <w:szCs w:val="20"/>
          <w:lang w:val="en-GB"/>
        </w:rPr>
        <w:t xml:space="preserve">as one of </w:t>
      </w:r>
      <w:r w:rsidR="00466C5E" w:rsidRPr="00931882">
        <w:rPr>
          <w:rFonts w:cstheme="minorHAnsi"/>
          <w:szCs w:val="20"/>
          <w:lang w:val="en-GB"/>
        </w:rPr>
        <w:t xml:space="preserve">his core functions and </w:t>
      </w:r>
      <w:r w:rsidR="0053195E" w:rsidRPr="00931882">
        <w:rPr>
          <w:rFonts w:cstheme="minorHAnsi"/>
          <w:szCs w:val="20"/>
          <w:lang w:val="en-GB"/>
        </w:rPr>
        <w:t>he</w:t>
      </w:r>
      <w:r w:rsidR="00466C5E" w:rsidRPr="00931882">
        <w:rPr>
          <w:rFonts w:cstheme="minorHAnsi"/>
          <w:szCs w:val="20"/>
          <w:lang w:val="en-GB"/>
        </w:rPr>
        <w:t xml:space="preserve"> </w:t>
      </w:r>
      <w:r w:rsidR="00FA7520">
        <w:rPr>
          <w:rFonts w:cstheme="minorHAnsi"/>
          <w:szCs w:val="20"/>
          <w:lang w:val="en-GB"/>
        </w:rPr>
        <w:t xml:space="preserve">has </w:t>
      </w:r>
      <w:r w:rsidR="00466C5E" w:rsidRPr="00931882">
        <w:rPr>
          <w:rFonts w:cstheme="minorHAnsi"/>
          <w:szCs w:val="20"/>
          <w:lang w:val="en-GB"/>
        </w:rPr>
        <w:t xml:space="preserve">confirmed his particular </w:t>
      </w:r>
      <w:r w:rsidR="00EE2B85" w:rsidRPr="00931882">
        <w:rPr>
          <w:rFonts w:cstheme="minorHAnsi"/>
          <w:szCs w:val="20"/>
          <w:lang w:val="en-GB"/>
        </w:rPr>
        <w:t xml:space="preserve">and personal </w:t>
      </w:r>
      <w:r w:rsidR="00FA7520">
        <w:rPr>
          <w:rFonts w:cstheme="minorHAnsi"/>
          <w:szCs w:val="20"/>
          <w:lang w:val="en-GB"/>
        </w:rPr>
        <w:t xml:space="preserve">interest </w:t>
      </w:r>
      <w:r w:rsidR="00E523F4">
        <w:rPr>
          <w:rFonts w:cstheme="minorHAnsi"/>
          <w:szCs w:val="20"/>
          <w:lang w:val="en-GB"/>
        </w:rPr>
        <w:t>in</w:t>
      </w:r>
      <w:r w:rsidR="00EE2B85" w:rsidRPr="00931882">
        <w:rPr>
          <w:rFonts w:cstheme="minorHAnsi"/>
          <w:szCs w:val="20"/>
          <w:lang w:val="en-GB"/>
        </w:rPr>
        <w:t xml:space="preserve"> th</w:t>
      </w:r>
      <w:r w:rsidR="00FF689A" w:rsidRPr="00931882">
        <w:rPr>
          <w:rFonts w:cstheme="minorHAnsi"/>
          <w:szCs w:val="20"/>
          <w:lang w:val="en-GB"/>
        </w:rPr>
        <w:t>is aspect of his work</w:t>
      </w:r>
      <w:r w:rsidR="00EE2B85" w:rsidRPr="00931882">
        <w:rPr>
          <w:rFonts w:cstheme="minorHAnsi"/>
          <w:szCs w:val="20"/>
          <w:lang w:val="en-GB"/>
        </w:rPr>
        <w:t xml:space="preserve"> </w:t>
      </w:r>
      <w:r w:rsidR="00FA7520">
        <w:rPr>
          <w:rFonts w:cstheme="minorHAnsi"/>
          <w:szCs w:val="20"/>
          <w:lang w:val="en-GB"/>
        </w:rPr>
        <w:t xml:space="preserve">on occasions including the </w:t>
      </w:r>
      <w:r w:rsidR="00EE2B85" w:rsidRPr="00931882">
        <w:rPr>
          <w:rFonts w:cstheme="minorHAnsi"/>
          <w:szCs w:val="20"/>
          <w:lang w:val="en-GB"/>
        </w:rPr>
        <w:t>online consultations.</w:t>
      </w:r>
    </w:p>
    <w:p w14:paraId="4E6872EC" w14:textId="6728C948" w:rsidR="0028658D" w:rsidRPr="00AF582E" w:rsidRDefault="00EE2B85" w:rsidP="001A7208">
      <w:pPr>
        <w:pStyle w:val="ListParagraph"/>
        <w:numPr>
          <w:ilvl w:val="0"/>
          <w:numId w:val="22"/>
        </w:numPr>
        <w:spacing w:after="0" w:line="240" w:lineRule="auto"/>
        <w:ind w:left="1134" w:hanging="425"/>
        <w:contextualSpacing w:val="0"/>
        <w:rPr>
          <w:rFonts w:eastAsia="Times New Roman" w:cs="Arial"/>
          <w:b/>
          <w:bCs/>
          <w:szCs w:val="20"/>
          <w:lang w:val="en-GB" w:eastAsia="zh-CN"/>
        </w:rPr>
      </w:pPr>
      <w:r>
        <w:rPr>
          <w:rFonts w:eastAsia="Times New Roman" w:cs="Arial"/>
          <w:b/>
          <w:bCs/>
          <w:szCs w:val="20"/>
          <w:lang w:val="en-GB" w:eastAsia="zh-CN"/>
        </w:rPr>
        <w:lastRenderedPageBreak/>
        <w:t>Impact</w:t>
      </w:r>
      <w:r w:rsidR="0028658D" w:rsidRPr="00AF582E">
        <w:rPr>
          <w:rFonts w:eastAsia="Times New Roman" w:cs="Arial"/>
          <w:b/>
          <w:bCs/>
          <w:szCs w:val="20"/>
          <w:lang w:val="en-GB" w:eastAsia="zh-CN"/>
        </w:rPr>
        <w:t xml:space="preserve"> on </w:t>
      </w:r>
      <w:r w:rsidR="00D836C0">
        <w:rPr>
          <w:rFonts w:eastAsia="Times New Roman" w:cs="Arial"/>
          <w:b/>
          <w:bCs/>
          <w:szCs w:val="20"/>
          <w:lang w:val="en-GB" w:eastAsia="zh-CN"/>
        </w:rPr>
        <w:t xml:space="preserve">specific </w:t>
      </w:r>
      <w:r w:rsidR="0028658D" w:rsidRPr="00AF582E">
        <w:rPr>
          <w:rFonts w:eastAsia="Times New Roman" w:cs="Arial"/>
          <w:b/>
          <w:bCs/>
          <w:szCs w:val="20"/>
          <w:lang w:val="en-GB" w:eastAsia="zh-CN"/>
        </w:rPr>
        <w:t>groups</w:t>
      </w:r>
      <w:r w:rsidR="00D836C0">
        <w:rPr>
          <w:rFonts w:eastAsia="Times New Roman" w:cs="Arial"/>
          <w:b/>
          <w:bCs/>
          <w:szCs w:val="20"/>
          <w:lang w:val="en-GB" w:eastAsia="zh-CN"/>
        </w:rPr>
        <w:t xml:space="preserve"> and their access to rights</w:t>
      </w:r>
    </w:p>
    <w:p w14:paraId="3006731F" w14:textId="027B38D8" w:rsidR="0028658D" w:rsidRPr="00663E17" w:rsidRDefault="0028658D" w:rsidP="001A7208">
      <w:pPr>
        <w:tabs>
          <w:tab w:val="left" w:pos="1613"/>
        </w:tabs>
        <w:spacing w:after="0" w:line="240" w:lineRule="auto"/>
        <w:ind w:left="426" w:hanging="357"/>
        <w:contextualSpacing/>
        <w:jc w:val="both"/>
        <w:rPr>
          <w:rFonts w:cstheme="minorHAnsi"/>
          <w:szCs w:val="20"/>
          <w:u w:val="single"/>
          <w:lang w:val="en-GB"/>
        </w:rPr>
      </w:pPr>
    </w:p>
    <w:p w14:paraId="53613399" w14:textId="77342C10" w:rsidR="000130EA" w:rsidRDefault="00DB52CE" w:rsidP="002565FD">
      <w:pPr>
        <w:numPr>
          <w:ilvl w:val="0"/>
          <w:numId w:val="2"/>
        </w:numPr>
        <w:tabs>
          <w:tab w:val="left" w:pos="1613"/>
        </w:tabs>
        <w:spacing w:after="0" w:line="240" w:lineRule="auto"/>
        <w:ind w:left="714" w:hanging="357"/>
        <w:jc w:val="both"/>
        <w:rPr>
          <w:rFonts w:cstheme="minorHAnsi"/>
          <w:szCs w:val="20"/>
          <w:lang w:val="en-GB"/>
        </w:rPr>
      </w:pPr>
      <w:r w:rsidRPr="00663E17">
        <w:rPr>
          <w:rFonts w:cstheme="minorHAnsi"/>
          <w:szCs w:val="20"/>
          <w:lang w:val="en-GB"/>
        </w:rPr>
        <w:t xml:space="preserve">Persons belonging to </w:t>
      </w:r>
      <w:r w:rsidR="00D836C0">
        <w:rPr>
          <w:rFonts w:cstheme="minorHAnsi"/>
          <w:szCs w:val="20"/>
          <w:lang w:val="en-GB"/>
        </w:rPr>
        <w:t>marginalised</w:t>
      </w:r>
      <w:r w:rsidRPr="00663E17">
        <w:rPr>
          <w:rFonts w:cstheme="minorHAnsi"/>
          <w:szCs w:val="20"/>
          <w:lang w:val="en-GB"/>
        </w:rPr>
        <w:t xml:space="preserve"> groups, including migrants and LGBTI, have </w:t>
      </w:r>
      <w:r w:rsidR="00D836C0">
        <w:rPr>
          <w:rFonts w:cstheme="minorHAnsi"/>
          <w:szCs w:val="20"/>
          <w:lang w:val="en-GB"/>
        </w:rPr>
        <w:t xml:space="preserve">faced growing harassment in recent years, </w:t>
      </w:r>
      <w:r w:rsidR="00E523F4">
        <w:rPr>
          <w:rFonts w:cstheme="minorHAnsi"/>
          <w:szCs w:val="20"/>
          <w:lang w:val="en-GB"/>
        </w:rPr>
        <w:t xml:space="preserve">with the result that they have been </w:t>
      </w:r>
      <w:r w:rsidR="00D836C0">
        <w:rPr>
          <w:rFonts w:cstheme="minorHAnsi"/>
          <w:szCs w:val="20"/>
          <w:lang w:val="en-GB"/>
        </w:rPr>
        <w:t>s</w:t>
      </w:r>
      <w:r w:rsidRPr="00663E17">
        <w:rPr>
          <w:rFonts w:cstheme="minorHAnsi"/>
          <w:szCs w:val="20"/>
          <w:lang w:val="en-GB"/>
        </w:rPr>
        <w:t>ilenc</w:t>
      </w:r>
      <w:r w:rsidR="00E523F4">
        <w:rPr>
          <w:rFonts w:cstheme="minorHAnsi"/>
          <w:szCs w:val="20"/>
          <w:lang w:val="en-GB"/>
        </w:rPr>
        <w:t>ed</w:t>
      </w:r>
      <w:r w:rsidRPr="00663E17">
        <w:rPr>
          <w:rFonts w:cstheme="minorHAnsi"/>
          <w:szCs w:val="20"/>
          <w:lang w:val="en-GB"/>
        </w:rPr>
        <w:t>. The LGBTI community in particular has been the target of homophobic and transphobic statements by governing officials, including the Prime Minister himself.</w:t>
      </w:r>
      <w:r w:rsidR="00030188" w:rsidRPr="00663E17">
        <w:rPr>
          <w:rStyle w:val="FootnoteReference"/>
          <w:rFonts w:cstheme="minorHAnsi"/>
          <w:szCs w:val="20"/>
          <w:lang w:val="en-GB"/>
        </w:rPr>
        <w:footnoteReference w:id="85"/>
      </w:r>
      <w:r w:rsidR="00030188" w:rsidRPr="00663E17">
        <w:rPr>
          <w:rFonts w:cstheme="minorHAnsi"/>
          <w:szCs w:val="20"/>
          <w:lang w:val="en-GB"/>
        </w:rPr>
        <w:t xml:space="preserve"> </w:t>
      </w:r>
      <w:r w:rsidR="00D02C54" w:rsidRPr="00663E17">
        <w:rPr>
          <w:rFonts w:cstheme="minorHAnsi"/>
          <w:szCs w:val="20"/>
          <w:lang w:val="en-GB"/>
        </w:rPr>
        <w:t xml:space="preserve">Several legislative amendments in 2020, adopted during consecutive ‘states of danger’ </w:t>
      </w:r>
      <w:r w:rsidR="00E523F4">
        <w:rPr>
          <w:rFonts w:cstheme="minorHAnsi"/>
          <w:szCs w:val="20"/>
          <w:lang w:val="en-GB"/>
        </w:rPr>
        <w:t>of no</w:t>
      </w:r>
      <w:r w:rsidR="00D02C54" w:rsidRPr="00663E17">
        <w:rPr>
          <w:rFonts w:cstheme="minorHAnsi"/>
          <w:szCs w:val="20"/>
          <w:lang w:val="en-GB"/>
        </w:rPr>
        <w:t xml:space="preserve"> relevance to the pandemic</w:t>
      </w:r>
      <w:r w:rsidR="00FA33E4">
        <w:rPr>
          <w:rFonts w:cstheme="minorHAnsi"/>
          <w:szCs w:val="20"/>
          <w:lang w:val="en-GB"/>
        </w:rPr>
        <w:t xml:space="preserve"> but </w:t>
      </w:r>
      <w:r w:rsidR="00E523F4">
        <w:rPr>
          <w:rFonts w:cstheme="minorHAnsi"/>
          <w:szCs w:val="20"/>
          <w:lang w:val="en-GB"/>
        </w:rPr>
        <w:t xml:space="preserve">creating </w:t>
      </w:r>
      <w:r w:rsidR="00FA33E4">
        <w:rPr>
          <w:rFonts w:cstheme="minorHAnsi"/>
          <w:szCs w:val="20"/>
          <w:lang w:val="en-GB"/>
        </w:rPr>
        <w:t xml:space="preserve">conditions </w:t>
      </w:r>
      <w:r w:rsidR="00E523F4">
        <w:rPr>
          <w:rFonts w:cstheme="minorHAnsi"/>
          <w:szCs w:val="20"/>
          <w:lang w:val="en-GB"/>
        </w:rPr>
        <w:t>which</w:t>
      </w:r>
      <w:r w:rsidR="00FA33E4">
        <w:rPr>
          <w:rFonts w:cstheme="minorHAnsi"/>
          <w:szCs w:val="20"/>
          <w:lang w:val="en-GB"/>
        </w:rPr>
        <w:t xml:space="preserve"> precluded </w:t>
      </w:r>
      <w:r w:rsidR="00E523F4">
        <w:rPr>
          <w:rFonts w:cstheme="minorHAnsi"/>
          <w:szCs w:val="20"/>
          <w:lang w:val="en-GB"/>
        </w:rPr>
        <w:t xml:space="preserve">any </w:t>
      </w:r>
      <w:r w:rsidR="00FA33E4">
        <w:rPr>
          <w:rFonts w:cstheme="minorHAnsi"/>
          <w:szCs w:val="20"/>
          <w:lang w:val="en-GB"/>
        </w:rPr>
        <w:t>public debate or manifestation of disapproval</w:t>
      </w:r>
      <w:r w:rsidR="00D02C54" w:rsidRPr="00663E17">
        <w:rPr>
          <w:rFonts w:cstheme="minorHAnsi"/>
          <w:szCs w:val="20"/>
          <w:lang w:val="en-GB"/>
        </w:rPr>
        <w:t xml:space="preserve">, </w:t>
      </w:r>
      <w:r w:rsidR="00FA33E4">
        <w:rPr>
          <w:rFonts w:cstheme="minorHAnsi"/>
          <w:szCs w:val="20"/>
          <w:lang w:val="en-GB"/>
        </w:rPr>
        <w:t xml:space="preserve">significantly curbed the rights of </w:t>
      </w:r>
      <w:r w:rsidR="00D02C54" w:rsidRPr="00663E17">
        <w:rPr>
          <w:rFonts w:cstheme="minorHAnsi"/>
          <w:szCs w:val="20"/>
          <w:lang w:val="en-GB"/>
        </w:rPr>
        <w:t xml:space="preserve">LGBTI persons </w:t>
      </w:r>
      <w:r w:rsidR="00FA33E4">
        <w:rPr>
          <w:rFonts w:cstheme="minorHAnsi"/>
          <w:szCs w:val="20"/>
          <w:lang w:val="en-GB"/>
        </w:rPr>
        <w:t>or served to stigmatise them</w:t>
      </w:r>
      <w:r w:rsidR="000130EA">
        <w:rPr>
          <w:rFonts w:cstheme="minorHAnsi"/>
          <w:szCs w:val="20"/>
          <w:lang w:val="en-GB"/>
        </w:rPr>
        <w:t xml:space="preserve"> further</w:t>
      </w:r>
      <w:r w:rsidR="00D02C54" w:rsidRPr="00663E17">
        <w:rPr>
          <w:rFonts w:cstheme="minorHAnsi"/>
          <w:szCs w:val="20"/>
          <w:lang w:val="en-GB"/>
        </w:rPr>
        <w:t>.</w:t>
      </w:r>
      <w:r w:rsidR="00D02C54" w:rsidRPr="00663E17">
        <w:rPr>
          <w:rStyle w:val="FootnoteReference"/>
          <w:rFonts w:cstheme="minorHAnsi"/>
          <w:szCs w:val="20"/>
          <w:lang w:val="en-GB"/>
        </w:rPr>
        <w:footnoteReference w:id="86"/>
      </w:r>
      <w:r w:rsidR="00D02C54" w:rsidRPr="00663E17">
        <w:rPr>
          <w:rFonts w:cstheme="minorHAnsi"/>
          <w:szCs w:val="20"/>
          <w:lang w:val="en-GB"/>
        </w:rPr>
        <w:t xml:space="preserve"> </w:t>
      </w:r>
      <w:r w:rsidR="00855859">
        <w:rPr>
          <w:rFonts w:cstheme="minorHAnsi"/>
          <w:szCs w:val="20"/>
          <w:lang w:val="en-GB"/>
        </w:rPr>
        <w:t xml:space="preserve">In September 2020, a children’s book with fairy tales featuring the stories of </w:t>
      </w:r>
      <w:r w:rsidR="002E1977">
        <w:rPr>
          <w:rFonts w:cstheme="minorHAnsi"/>
          <w:szCs w:val="20"/>
          <w:lang w:val="en-GB"/>
        </w:rPr>
        <w:t>different individuals</w:t>
      </w:r>
      <w:r w:rsidR="00855859">
        <w:rPr>
          <w:rFonts w:cstheme="minorHAnsi"/>
          <w:szCs w:val="20"/>
          <w:lang w:val="en-GB"/>
        </w:rPr>
        <w:t>, including LGBTI persons and Roma, was publicly shredded by a member of Parliament and a planned public</w:t>
      </w:r>
      <w:r w:rsidR="000130EA">
        <w:rPr>
          <w:rFonts w:cstheme="minorHAnsi"/>
          <w:szCs w:val="20"/>
          <w:lang w:val="en-GB"/>
        </w:rPr>
        <w:t xml:space="preserve"> </w:t>
      </w:r>
      <w:r w:rsidR="00E523F4">
        <w:rPr>
          <w:rFonts w:cstheme="minorHAnsi"/>
          <w:szCs w:val="20"/>
          <w:lang w:val="en-GB"/>
        </w:rPr>
        <w:t>reading</w:t>
      </w:r>
      <w:r w:rsidR="000130EA">
        <w:rPr>
          <w:rFonts w:cstheme="minorHAnsi"/>
          <w:szCs w:val="20"/>
          <w:lang w:val="en-GB"/>
        </w:rPr>
        <w:t xml:space="preserve"> </w:t>
      </w:r>
      <w:r w:rsidR="00855859">
        <w:rPr>
          <w:rFonts w:cstheme="minorHAnsi"/>
          <w:szCs w:val="20"/>
          <w:lang w:val="en-GB"/>
        </w:rPr>
        <w:t xml:space="preserve">of the book had to be </w:t>
      </w:r>
      <w:r w:rsidR="000130EA">
        <w:rPr>
          <w:rFonts w:cstheme="minorHAnsi"/>
          <w:szCs w:val="20"/>
          <w:lang w:val="en-GB"/>
        </w:rPr>
        <w:t xml:space="preserve">reorganised </w:t>
      </w:r>
      <w:r w:rsidR="00855859">
        <w:rPr>
          <w:rFonts w:cstheme="minorHAnsi"/>
          <w:szCs w:val="20"/>
          <w:lang w:val="en-GB"/>
        </w:rPr>
        <w:t>for fear of violence</w:t>
      </w:r>
      <w:r w:rsidR="000130EA">
        <w:rPr>
          <w:rFonts w:cstheme="minorHAnsi"/>
          <w:szCs w:val="20"/>
          <w:lang w:val="en-GB"/>
        </w:rPr>
        <w:t xml:space="preserve"> from extreme right-wing groups</w:t>
      </w:r>
      <w:r w:rsidR="00855859">
        <w:rPr>
          <w:rFonts w:cstheme="minorHAnsi"/>
          <w:szCs w:val="20"/>
          <w:lang w:val="en-GB"/>
        </w:rPr>
        <w:t>.</w:t>
      </w:r>
      <w:r w:rsidR="00B34669">
        <w:rPr>
          <w:rStyle w:val="FootnoteReference"/>
          <w:rFonts w:cstheme="minorHAnsi"/>
          <w:szCs w:val="20"/>
          <w:lang w:val="en-GB"/>
        </w:rPr>
        <w:footnoteReference w:id="87"/>
      </w:r>
      <w:r w:rsidR="00855859">
        <w:rPr>
          <w:rFonts w:cstheme="minorHAnsi"/>
          <w:szCs w:val="20"/>
          <w:lang w:val="en-GB"/>
        </w:rPr>
        <w:t xml:space="preserve"> </w:t>
      </w:r>
      <w:r w:rsidR="004B261F">
        <w:rPr>
          <w:rFonts w:cstheme="minorHAnsi"/>
          <w:szCs w:val="20"/>
          <w:lang w:val="en-GB"/>
        </w:rPr>
        <w:t>T</w:t>
      </w:r>
      <w:r w:rsidR="000130EA">
        <w:rPr>
          <w:rFonts w:cstheme="minorHAnsi"/>
          <w:szCs w:val="20"/>
          <w:lang w:val="en-GB"/>
        </w:rPr>
        <w:t>he Consumer Protection Authority ordered the publisher of the book to in</w:t>
      </w:r>
      <w:r w:rsidR="00E523F4">
        <w:rPr>
          <w:rFonts w:cstheme="minorHAnsi"/>
          <w:szCs w:val="20"/>
          <w:lang w:val="en-GB"/>
        </w:rPr>
        <w:t>clude</w:t>
      </w:r>
      <w:r w:rsidR="000130EA">
        <w:rPr>
          <w:rFonts w:cstheme="minorHAnsi"/>
          <w:szCs w:val="20"/>
          <w:lang w:val="en-GB"/>
        </w:rPr>
        <w:t xml:space="preserve"> a warning on its cover that </w:t>
      </w:r>
      <w:r w:rsidR="00E523F4">
        <w:rPr>
          <w:rFonts w:cstheme="minorHAnsi"/>
          <w:szCs w:val="20"/>
          <w:lang w:val="en-GB"/>
        </w:rPr>
        <w:t xml:space="preserve">it portrayed </w:t>
      </w:r>
      <w:r w:rsidR="000130EA">
        <w:rPr>
          <w:rFonts w:cstheme="minorHAnsi"/>
          <w:szCs w:val="20"/>
          <w:lang w:val="en-GB"/>
        </w:rPr>
        <w:t>“non-traditional gender roles”.</w:t>
      </w:r>
      <w:r w:rsidR="000130EA">
        <w:rPr>
          <w:rStyle w:val="FootnoteReference"/>
          <w:rFonts w:cstheme="minorHAnsi"/>
          <w:szCs w:val="20"/>
          <w:lang w:val="en-GB"/>
        </w:rPr>
        <w:footnoteReference w:id="88"/>
      </w:r>
      <w:r w:rsidR="000130EA">
        <w:rPr>
          <w:rFonts w:cstheme="minorHAnsi"/>
          <w:szCs w:val="20"/>
          <w:lang w:val="en-GB"/>
        </w:rPr>
        <w:t xml:space="preserve"> </w:t>
      </w:r>
    </w:p>
    <w:p w14:paraId="3F080498" w14:textId="77777777" w:rsidR="000130EA" w:rsidRDefault="000130EA" w:rsidP="000130EA">
      <w:pPr>
        <w:tabs>
          <w:tab w:val="left" w:pos="1613"/>
        </w:tabs>
        <w:spacing w:after="0" w:line="240" w:lineRule="auto"/>
        <w:ind w:left="714"/>
        <w:jc w:val="both"/>
        <w:rPr>
          <w:rFonts w:cstheme="minorHAnsi"/>
          <w:szCs w:val="20"/>
          <w:lang w:val="en-GB"/>
        </w:rPr>
      </w:pPr>
    </w:p>
    <w:p w14:paraId="16873068" w14:textId="0AA34640" w:rsidR="0028658D" w:rsidRPr="00FC4B7C" w:rsidRDefault="002B2559" w:rsidP="00F27C10">
      <w:pPr>
        <w:numPr>
          <w:ilvl w:val="0"/>
          <w:numId w:val="2"/>
        </w:numPr>
        <w:tabs>
          <w:tab w:val="left" w:pos="1613"/>
        </w:tabs>
        <w:spacing w:after="0" w:line="240" w:lineRule="auto"/>
        <w:ind w:left="714" w:hanging="357"/>
        <w:jc w:val="both"/>
        <w:rPr>
          <w:rFonts w:cstheme="minorHAnsi"/>
          <w:szCs w:val="20"/>
          <w:lang w:val="en-GB"/>
        </w:rPr>
      </w:pPr>
      <w:bookmarkStart w:id="8" w:name="_Hlk66370455"/>
      <w:r>
        <w:rPr>
          <w:rFonts w:cstheme="minorHAnsi"/>
          <w:szCs w:val="20"/>
          <w:lang w:val="en-GB"/>
        </w:rPr>
        <w:t>As a result, t</w:t>
      </w:r>
      <w:r w:rsidR="000130EA" w:rsidRPr="00FC4B7C">
        <w:rPr>
          <w:rFonts w:cstheme="minorHAnsi"/>
          <w:szCs w:val="20"/>
          <w:lang w:val="en-GB"/>
        </w:rPr>
        <w:t xml:space="preserve">he </w:t>
      </w:r>
      <w:r w:rsidR="0096257B" w:rsidRPr="00FC4B7C">
        <w:rPr>
          <w:rFonts w:cstheme="minorHAnsi"/>
          <w:szCs w:val="20"/>
          <w:lang w:val="en-GB"/>
        </w:rPr>
        <w:t xml:space="preserve">overall climate </w:t>
      </w:r>
      <w:r w:rsidR="00E523F4">
        <w:rPr>
          <w:rFonts w:cstheme="minorHAnsi"/>
          <w:szCs w:val="20"/>
          <w:lang w:val="en-GB"/>
        </w:rPr>
        <w:t>for</w:t>
      </w:r>
      <w:r w:rsidR="0096257B" w:rsidRPr="00FC4B7C">
        <w:rPr>
          <w:rFonts w:cstheme="minorHAnsi"/>
          <w:szCs w:val="20"/>
          <w:lang w:val="en-GB"/>
        </w:rPr>
        <w:t xml:space="preserve"> L</w:t>
      </w:r>
      <w:r w:rsidR="00D02C54" w:rsidRPr="00FC4B7C">
        <w:rPr>
          <w:rFonts w:cstheme="minorHAnsi"/>
          <w:szCs w:val="20"/>
          <w:lang w:val="en-GB"/>
        </w:rPr>
        <w:t xml:space="preserve">GBTI </w:t>
      </w:r>
      <w:r w:rsidR="0096257B" w:rsidRPr="00FC4B7C">
        <w:rPr>
          <w:rFonts w:cstheme="minorHAnsi"/>
          <w:szCs w:val="20"/>
          <w:lang w:val="en-GB"/>
        </w:rPr>
        <w:t xml:space="preserve">persons is deteriorating </w:t>
      </w:r>
      <w:r w:rsidR="000130EA" w:rsidRPr="00FC4B7C">
        <w:rPr>
          <w:rFonts w:cstheme="minorHAnsi"/>
          <w:szCs w:val="20"/>
          <w:lang w:val="en-GB"/>
        </w:rPr>
        <w:t xml:space="preserve">rapidly, </w:t>
      </w:r>
      <w:r w:rsidR="00D02C54" w:rsidRPr="00FC4B7C">
        <w:rPr>
          <w:rFonts w:cstheme="minorHAnsi"/>
          <w:szCs w:val="20"/>
          <w:lang w:val="en-GB"/>
        </w:rPr>
        <w:t xml:space="preserve">resulting in </w:t>
      </w:r>
      <w:r w:rsidR="000130EA" w:rsidRPr="00FC4B7C">
        <w:rPr>
          <w:rFonts w:cstheme="minorHAnsi"/>
          <w:szCs w:val="20"/>
          <w:lang w:val="en-GB"/>
        </w:rPr>
        <w:t xml:space="preserve">their </w:t>
      </w:r>
      <w:r w:rsidR="00E523F4">
        <w:rPr>
          <w:rFonts w:cstheme="minorHAnsi"/>
          <w:szCs w:val="20"/>
          <w:lang w:val="en-GB"/>
        </w:rPr>
        <w:t xml:space="preserve">being </w:t>
      </w:r>
      <w:r w:rsidR="00D02C54" w:rsidRPr="00FC4B7C">
        <w:rPr>
          <w:rFonts w:cstheme="minorHAnsi"/>
          <w:szCs w:val="20"/>
          <w:lang w:val="en-GB"/>
        </w:rPr>
        <w:t>marginalis</w:t>
      </w:r>
      <w:r w:rsidR="00E523F4">
        <w:rPr>
          <w:rFonts w:cstheme="minorHAnsi"/>
          <w:szCs w:val="20"/>
          <w:lang w:val="en-GB"/>
        </w:rPr>
        <w:t xml:space="preserve">ed </w:t>
      </w:r>
      <w:r w:rsidR="00055578" w:rsidRPr="00FC4B7C">
        <w:rPr>
          <w:rFonts w:cstheme="minorHAnsi"/>
          <w:szCs w:val="20"/>
          <w:lang w:val="en-GB"/>
        </w:rPr>
        <w:t>and silenc</w:t>
      </w:r>
      <w:r w:rsidR="00E523F4">
        <w:rPr>
          <w:rFonts w:cstheme="minorHAnsi"/>
          <w:szCs w:val="20"/>
          <w:lang w:val="en-GB"/>
        </w:rPr>
        <w:t>ed still more</w:t>
      </w:r>
      <w:bookmarkEnd w:id="8"/>
      <w:r w:rsidR="000130EA" w:rsidRPr="00FC4B7C">
        <w:rPr>
          <w:rFonts w:cstheme="minorHAnsi"/>
          <w:szCs w:val="20"/>
          <w:lang w:val="en-GB"/>
        </w:rPr>
        <w:t xml:space="preserve">. </w:t>
      </w:r>
      <w:r w:rsidR="00FC4B7C" w:rsidRPr="00FC4B7C">
        <w:rPr>
          <w:rFonts w:cstheme="minorHAnsi"/>
          <w:szCs w:val="20"/>
          <w:lang w:val="en-GB"/>
        </w:rPr>
        <w:t xml:space="preserve">While </w:t>
      </w:r>
      <w:r w:rsidR="000130EA" w:rsidRPr="00FC4B7C">
        <w:rPr>
          <w:rFonts w:cstheme="minorHAnsi"/>
          <w:szCs w:val="20"/>
          <w:lang w:val="en-GB"/>
        </w:rPr>
        <w:t xml:space="preserve">LGBTI persons themselves are not </w:t>
      </w:r>
      <w:r w:rsidR="00FC4B7C" w:rsidRPr="00FC4B7C">
        <w:rPr>
          <w:rFonts w:cstheme="minorHAnsi"/>
          <w:szCs w:val="20"/>
          <w:lang w:val="en-GB"/>
        </w:rPr>
        <w:t xml:space="preserve">given access to the media to </w:t>
      </w:r>
      <w:r w:rsidR="00E523F4">
        <w:rPr>
          <w:rFonts w:cstheme="minorHAnsi"/>
          <w:szCs w:val="20"/>
          <w:lang w:val="en-GB"/>
        </w:rPr>
        <w:t>express</w:t>
      </w:r>
      <w:r w:rsidR="00FC4B7C" w:rsidRPr="00FC4B7C">
        <w:rPr>
          <w:rFonts w:cstheme="minorHAnsi"/>
          <w:szCs w:val="20"/>
          <w:lang w:val="en-GB"/>
        </w:rPr>
        <w:t xml:space="preserve"> their views and concerns,</w:t>
      </w:r>
      <w:r w:rsidR="000130EA">
        <w:rPr>
          <w:rStyle w:val="FootnoteReference"/>
          <w:rFonts w:cstheme="minorHAnsi"/>
          <w:szCs w:val="20"/>
          <w:lang w:val="en-GB"/>
        </w:rPr>
        <w:footnoteReference w:id="89"/>
      </w:r>
      <w:r w:rsidR="000130EA" w:rsidRPr="00FC4B7C">
        <w:rPr>
          <w:rFonts w:cstheme="minorHAnsi"/>
          <w:szCs w:val="20"/>
          <w:lang w:val="en-GB"/>
        </w:rPr>
        <w:t xml:space="preserve"> </w:t>
      </w:r>
      <w:r w:rsidR="00FC4B7C" w:rsidRPr="00FC4B7C">
        <w:rPr>
          <w:rFonts w:cstheme="minorHAnsi"/>
          <w:szCs w:val="20"/>
          <w:lang w:val="en-GB"/>
        </w:rPr>
        <w:t xml:space="preserve">violent homophobic groups are </w:t>
      </w:r>
      <w:r w:rsidR="00E523F4">
        <w:rPr>
          <w:rFonts w:cstheme="minorHAnsi"/>
          <w:szCs w:val="20"/>
          <w:lang w:val="en-GB"/>
        </w:rPr>
        <w:t>given</w:t>
      </w:r>
      <w:r w:rsidR="00FC4B7C" w:rsidRPr="00FC4B7C">
        <w:rPr>
          <w:rFonts w:cstheme="minorHAnsi"/>
          <w:szCs w:val="20"/>
          <w:lang w:val="en-GB"/>
        </w:rPr>
        <w:t xml:space="preserve"> ample coverage</w:t>
      </w:r>
      <w:r w:rsidR="002E1977">
        <w:rPr>
          <w:rFonts w:cstheme="minorHAnsi"/>
          <w:szCs w:val="20"/>
          <w:lang w:val="en-GB"/>
        </w:rPr>
        <w:t>. This</w:t>
      </w:r>
      <w:r w:rsidR="00B31EBB">
        <w:rPr>
          <w:rFonts w:cstheme="minorHAnsi"/>
          <w:szCs w:val="20"/>
          <w:lang w:val="en-GB"/>
        </w:rPr>
        <w:t xml:space="preserve"> imbalance</w:t>
      </w:r>
      <w:r w:rsidR="00E97D0A">
        <w:rPr>
          <w:rFonts w:cstheme="minorHAnsi"/>
          <w:szCs w:val="20"/>
          <w:lang w:val="en-GB"/>
        </w:rPr>
        <w:t xml:space="preserve"> </w:t>
      </w:r>
      <w:r w:rsidR="00FC4B7C" w:rsidRPr="00FC4B7C">
        <w:rPr>
          <w:rFonts w:cstheme="minorHAnsi"/>
          <w:szCs w:val="20"/>
          <w:lang w:val="en-GB"/>
        </w:rPr>
        <w:t>fuel</w:t>
      </w:r>
      <w:r w:rsidR="00E97D0A">
        <w:rPr>
          <w:rFonts w:cstheme="minorHAnsi"/>
          <w:szCs w:val="20"/>
          <w:lang w:val="en-GB"/>
        </w:rPr>
        <w:t>s</w:t>
      </w:r>
      <w:r w:rsidR="00FC4B7C" w:rsidRPr="00FC4B7C">
        <w:rPr>
          <w:rFonts w:cstheme="minorHAnsi"/>
          <w:szCs w:val="20"/>
          <w:lang w:val="en-GB"/>
        </w:rPr>
        <w:t xml:space="preserve"> a </w:t>
      </w:r>
      <w:r w:rsidR="00E97D0A">
        <w:rPr>
          <w:rFonts w:cstheme="minorHAnsi"/>
          <w:szCs w:val="20"/>
          <w:lang w:val="en-GB"/>
        </w:rPr>
        <w:t xml:space="preserve">general </w:t>
      </w:r>
      <w:r w:rsidR="00FC4B7C" w:rsidRPr="00FC4B7C">
        <w:rPr>
          <w:rFonts w:cstheme="minorHAnsi"/>
          <w:szCs w:val="20"/>
          <w:lang w:val="en-GB"/>
        </w:rPr>
        <w:t xml:space="preserve">climate of hostility </w:t>
      </w:r>
      <w:r w:rsidR="00E97D0A">
        <w:rPr>
          <w:rFonts w:cstheme="minorHAnsi"/>
          <w:szCs w:val="20"/>
          <w:lang w:val="en-GB"/>
        </w:rPr>
        <w:t xml:space="preserve">against the </w:t>
      </w:r>
      <w:r w:rsidR="00FC4B7C" w:rsidRPr="00FC4B7C">
        <w:rPr>
          <w:rFonts w:cstheme="minorHAnsi"/>
          <w:szCs w:val="20"/>
          <w:lang w:val="en-GB"/>
        </w:rPr>
        <w:t>LGBTI community</w:t>
      </w:r>
      <w:r w:rsidR="00E97D0A">
        <w:rPr>
          <w:rFonts w:cstheme="minorHAnsi"/>
          <w:szCs w:val="20"/>
          <w:lang w:val="en-GB"/>
        </w:rPr>
        <w:t xml:space="preserve"> while, at the same time, making them invisible and reducing the public space </w:t>
      </w:r>
      <w:r w:rsidR="00EF6D08">
        <w:rPr>
          <w:rFonts w:cstheme="minorHAnsi"/>
          <w:szCs w:val="20"/>
          <w:lang w:val="en-GB"/>
        </w:rPr>
        <w:t xml:space="preserve">on offer to </w:t>
      </w:r>
      <w:r w:rsidR="00E97D0A">
        <w:rPr>
          <w:rFonts w:cstheme="minorHAnsi"/>
          <w:szCs w:val="20"/>
          <w:lang w:val="en-GB"/>
        </w:rPr>
        <w:t>them</w:t>
      </w:r>
      <w:r w:rsidR="00FC4B7C" w:rsidRPr="00FC4B7C">
        <w:rPr>
          <w:rFonts w:cstheme="minorHAnsi"/>
          <w:szCs w:val="20"/>
          <w:lang w:val="en-GB"/>
        </w:rPr>
        <w:t>.</w:t>
      </w:r>
      <w:r w:rsidR="00FC4B7C">
        <w:rPr>
          <w:rFonts w:cstheme="minorHAnsi"/>
          <w:szCs w:val="20"/>
          <w:lang w:val="en-GB"/>
        </w:rPr>
        <w:t xml:space="preserve"> </w:t>
      </w:r>
      <w:r w:rsidR="002E1977">
        <w:rPr>
          <w:rFonts w:cstheme="minorHAnsi"/>
          <w:szCs w:val="20"/>
          <w:lang w:val="en-GB"/>
        </w:rPr>
        <w:t>The Commissioner</w:t>
      </w:r>
      <w:r w:rsidR="00B31EBB">
        <w:rPr>
          <w:rFonts w:cstheme="minorHAnsi"/>
          <w:szCs w:val="20"/>
          <w:lang w:val="en-GB"/>
        </w:rPr>
        <w:t xml:space="preserve"> </w:t>
      </w:r>
      <w:r w:rsidR="002E1977">
        <w:rPr>
          <w:rFonts w:cstheme="minorHAnsi"/>
          <w:szCs w:val="20"/>
          <w:lang w:val="en-GB"/>
        </w:rPr>
        <w:t xml:space="preserve">finds incomprehensible that </w:t>
      </w:r>
      <w:r w:rsidR="002E1977" w:rsidRPr="00FC4B7C">
        <w:rPr>
          <w:rFonts w:cstheme="minorHAnsi"/>
          <w:szCs w:val="20"/>
          <w:lang w:val="en-GB"/>
        </w:rPr>
        <w:t xml:space="preserve">the Commissioner for Fundamental Rights </w:t>
      </w:r>
      <w:r w:rsidR="00EF6D08">
        <w:rPr>
          <w:rFonts w:cstheme="minorHAnsi"/>
          <w:szCs w:val="20"/>
          <w:lang w:val="en-GB"/>
        </w:rPr>
        <w:t>failed to react</w:t>
      </w:r>
      <w:r w:rsidR="002E1977">
        <w:rPr>
          <w:rFonts w:cstheme="minorHAnsi"/>
          <w:szCs w:val="20"/>
          <w:lang w:val="en-GB"/>
        </w:rPr>
        <w:t>, d</w:t>
      </w:r>
      <w:r w:rsidR="00D02C54" w:rsidRPr="00FC4B7C">
        <w:rPr>
          <w:rFonts w:cstheme="minorHAnsi"/>
          <w:szCs w:val="20"/>
          <w:lang w:val="en-GB"/>
        </w:rPr>
        <w:t>espite repeated request</w:t>
      </w:r>
      <w:r w:rsidR="00EF6D08">
        <w:rPr>
          <w:rFonts w:cstheme="minorHAnsi"/>
          <w:szCs w:val="20"/>
          <w:lang w:val="en-GB"/>
        </w:rPr>
        <w:t>s</w:t>
      </w:r>
      <w:r w:rsidR="00D02C54" w:rsidRPr="00FC4B7C">
        <w:rPr>
          <w:rFonts w:cstheme="minorHAnsi"/>
          <w:szCs w:val="20"/>
          <w:lang w:val="en-GB"/>
        </w:rPr>
        <w:t xml:space="preserve"> by civil society representatives and citizens </w:t>
      </w:r>
      <w:r w:rsidR="00EF6D08">
        <w:rPr>
          <w:rFonts w:cstheme="minorHAnsi"/>
          <w:szCs w:val="20"/>
          <w:lang w:val="en-GB"/>
        </w:rPr>
        <w:t xml:space="preserve">for him </w:t>
      </w:r>
      <w:r w:rsidR="00D02C54" w:rsidRPr="00FC4B7C">
        <w:rPr>
          <w:rFonts w:cstheme="minorHAnsi"/>
          <w:szCs w:val="20"/>
          <w:lang w:val="en-GB"/>
        </w:rPr>
        <w:t xml:space="preserve">to intervene. During the online consultations, he </w:t>
      </w:r>
      <w:r w:rsidR="00EF6D08">
        <w:rPr>
          <w:rFonts w:cstheme="minorHAnsi"/>
          <w:szCs w:val="20"/>
          <w:lang w:val="en-GB"/>
        </w:rPr>
        <w:t xml:space="preserve">highlighted </w:t>
      </w:r>
      <w:r w:rsidR="00D02C54" w:rsidRPr="00FC4B7C">
        <w:rPr>
          <w:rFonts w:cstheme="minorHAnsi"/>
          <w:szCs w:val="20"/>
          <w:lang w:val="en-GB"/>
        </w:rPr>
        <w:t>the ne</w:t>
      </w:r>
      <w:r w:rsidR="00EF6D08">
        <w:rPr>
          <w:rFonts w:cstheme="minorHAnsi"/>
          <w:szCs w:val="20"/>
          <w:lang w:val="en-GB"/>
        </w:rPr>
        <w:t>ed</w:t>
      </w:r>
      <w:r w:rsidR="00D02C54" w:rsidRPr="00FC4B7C">
        <w:rPr>
          <w:rFonts w:cstheme="minorHAnsi"/>
          <w:szCs w:val="20"/>
          <w:lang w:val="en-GB"/>
        </w:rPr>
        <w:t xml:space="preserve"> to examine complex human rights matters carefully</w:t>
      </w:r>
      <w:r w:rsidR="00D1520F" w:rsidRPr="00FC4B7C">
        <w:rPr>
          <w:rFonts w:cstheme="minorHAnsi"/>
          <w:szCs w:val="20"/>
          <w:lang w:val="en-GB"/>
        </w:rPr>
        <w:t xml:space="preserve">, as hurried steps </w:t>
      </w:r>
      <w:r w:rsidR="00EF6D08">
        <w:rPr>
          <w:rFonts w:cstheme="minorHAnsi"/>
          <w:szCs w:val="20"/>
          <w:lang w:val="en-GB"/>
        </w:rPr>
        <w:t xml:space="preserve">could </w:t>
      </w:r>
      <w:r w:rsidR="00D1520F" w:rsidRPr="00FC4B7C">
        <w:rPr>
          <w:rFonts w:cstheme="minorHAnsi"/>
          <w:szCs w:val="20"/>
          <w:lang w:val="en-GB"/>
        </w:rPr>
        <w:t xml:space="preserve">backfire and </w:t>
      </w:r>
      <w:r w:rsidR="00FF689A">
        <w:rPr>
          <w:rFonts w:cstheme="minorHAnsi"/>
          <w:szCs w:val="20"/>
          <w:lang w:val="en-GB"/>
        </w:rPr>
        <w:t>“</w:t>
      </w:r>
      <w:r w:rsidR="00D1520F" w:rsidRPr="00FC4B7C">
        <w:rPr>
          <w:rFonts w:cstheme="minorHAnsi"/>
          <w:szCs w:val="20"/>
          <w:lang w:val="en-GB"/>
        </w:rPr>
        <w:t xml:space="preserve">views on </w:t>
      </w:r>
      <w:r w:rsidR="00055578" w:rsidRPr="00FC4B7C">
        <w:rPr>
          <w:rFonts w:cstheme="minorHAnsi"/>
          <w:szCs w:val="20"/>
          <w:lang w:val="en-GB"/>
        </w:rPr>
        <w:t>LGBTI issues</w:t>
      </w:r>
      <w:r w:rsidR="00FF689A">
        <w:rPr>
          <w:rFonts w:cstheme="minorHAnsi"/>
          <w:szCs w:val="20"/>
          <w:lang w:val="en-GB"/>
        </w:rPr>
        <w:t>”</w:t>
      </w:r>
      <w:r w:rsidR="00055578" w:rsidRPr="00FC4B7C">
        <w:rPr>
          <w:rFonts w:cstheme="minorHAnsi"/>
          <w:szCs w:val="20"/>
          <w:lang w:val="en-GB"/>
        </w:rPr>
        <w:t xml:space="preserve"> </w:t>
      </w:r>
      <w:r w:rsidR="00CA12F4" w:rsidRPr="00FC4B7C">
        <w:rPr>
          <w:rFonts w:cstheme="minorHAnsi"/>
          <w:szCs w:val="20"/>
          <w:lang w:val="en-GB"/>
        </w:rPr>
        <w:t>diverge</w:t>
      </w:r>
      <w:r w:rsidR="00EF6D08">
        <w:rPr>
          <w:rFonts w:cstheme="minorHAnsi"/>
          <w:szCs w:val="20"/>
          <w:lang w:val="en-GB"/>
        </w:rPr>
        <w:t>d</w:t>
      </w:r>
      <w:r w:rsidR="00CA12F4" w:rsidRPr="00FC4B7C">
        <w:rPr>
          <w:rFonts w:cstheme="minorHAnsi"/>
          <w:szCs w:val="20"/>
          <w:lang w:val="en-GB"/>
        </w:rPr>
        <w:t xml:space="preserve"> in Hungary</w:t>
      </w:r>
      <w:r w:rsidR="00D1520F" w:rsidRPr="00FC4B7C">
        <w:rPr>
          <w:rFonts w:cstheme="minorHAnsi"/>
          <w:szCs w:val="20"/>
          <w:lang w:val="en-GB"/>
        </w:rPr>
        <w:t xml:space="preserve">. While </w:t>
      </w:r>
      <w:r w:rsidR="00CA12F4" w:rsidRPr="00FC4B7C">
        <w:rPr>
          <w:rFonts w:cstheme="minorHAnsi"/>
          <w:szCs w:val="20"/>
          <w:lang w:val="en-GB"/>
        </w:rPr>
        <w:t xml:space="preserve">that may be the case, </w:t>
      </w:r>
      <w:r w:rsidR="0053195E">
        <w:rPr>
          <w:rFonts w:cstheme="minorHAnsi"/>
          <w:szCs w:val="20"/>
          <w:lang w:val="en-GB"/>
        </w:rPr>
        <w:t xml:space="preserve">the Commissioner </w:t>
      </w:r>
      <w:r w:rsidR="00EF6D08">
        <w:rPr>
          <w:rFonts w:cstheme="minorHAnsi"/>
          <w:szCs w:val="20"/>
          <w:lang w:val="en-GB"/>
        </w:rPr>
        <w:t xml:space="preserve">stresses </w:t>
      </w:r>
      <w:r w:rsidR="0053195E">
        <w:rPr>
          <w:rFonts w:cstheme="minorHAnsi"/>
          <w:szCs w:val="20"/>
          <w:lang w:val="en-GB"/>
        </w:rPr>
        <w:t xml:space="preserve">that </w:t>
      </w:r>
      <w:r w:rsidR="00D1520F" w:rsidRPr="00FC4B7C">
        <w:rPr>
          <w:rFonts w:cstheme="minorHAnsi"/>
          <w:szCs w:val="20"/>
          <w:lang w:val="en-GB"/>
        </w:rPr>
        <w:t xml:space="preserve">human rights obligations </w:t>
      </w:r>
      <w:r w:rsidR="00EF6D08">
        <w:rPr>
          <w:rFonts w:cstheme="minorHAnsi"/>
          <w:szCs w:val="20"/>
          <w:lang w:val="en-GB"/>
        </w:rPr>
        <w:t xml:space="preserve">apply continuously </w:t>
      </w:r>
      <w:r w:rsidR="00D1520F" w:rsidRPr="00FC4B7C">
        <w:rPr>
          <w:rFonts w:cstheme="minorHAnsi"/>
          <w:szCs w:val="20"/>
          <w:lang w:val="en-GB"/>
        </w:rPr>
        <w:t>and</w:t>
      </w:r>
      <w:r w:rsidR="0053195E">
        <w:rPr>
          <w:rFonts w:cstheme="minorHAnsi"/>
          <w:szCs w:val="20"/>
          <w:lang w:val="en-GB"/>
        </w:rPr>
        <w:t xml:space="preserve"> that</w:t>
      </w:r>
      <w:r w:rsidR="00D1520F" w:rsidRPr="00FC4B7C">
        <w:rPr>
          <w:rFonts w:cstheme="minorHAnsi"/>
          <w:szCs w:val="20"/>
          <w:lang w:val="en-GB"/>
        </w:rPr>
        <w:t xml:space="preserve"> </w:t>
      </w:r>
      <w:r w:rsidR="00CA12F4" w:rsidRPr="00FC4B7C">
        <w:rPr>
          <w:rFonts w:cstheme="minorHAnsi"/>
          <w:szCs w:val="20"/>
          <w:lang w:val="en-GB"/>
        </w:rPr>
        <w:t xml:space="preserve">it is </w:t>
      </w:r>
      <w:r w:rsidR="001E192E">
        <w:rPr>
          <w:rFonts w:cstheme="minorHAnsi"/>
          <w:szCs w:val="20"/>
          <w:lang w:val="en-GB"/>
        </w:rPr>
        <w:t xml:space="preserve">indeed </w:t>
      </w:r>
      <w:r w:rsidR="00EF6D08">
        <w:rPr>
          <w:rFonts w:cstheme="minorHAnsi"/>
          <w:szCs w:val="20"/>
          <w:lang w:val="en-GB"/>
        </w:rPr>
        <w:t xml:space="preserve">an integral part of the role </w:t>
      </w:r>
      <w:r w:rsidR="00CA12F4" w:rsidRPr="00FC4B7C">
        <w:rPr>
          <w:rFonts w:cstheme="minorHAnsi"/>
          <w:szCs w:val="20"/>
          <w:lang w:val="en-GB"/>
        </w:rPr>
        <w:t xml:space="preserve">of </w:t>
      </w:r>
      <w:r w:rsidR="008446E5" w:rsidRPr="00FC4B7C">
        <w:rPr>
          <w:rFonts w:cstheme="minorHAnsi"/>
          <w:szCs w:val="20"/>
          <w:lang w:val="en-GB"/>
        </w:rPr>
        <w:t xml:space="preserve">an </w:t>
      </w:r>
      <w:r w:rsidR="00CA12F4" w:rsidRPr="00FC4B7C">
        <w:rPr>
          <w:rFonts w:cstheme="minorHAnsi"/>
          <w:szCs w:val="20"/>
          <w:lang w:val="en-GB"/>
        </w:rPr>
        <w:t>independent Ombudsman Institution to uphold international human rights norms</w:t>
      </w:r>
      <w:r w:rsidR="00FF689A">
        <w:rPr>
          <w:rFonts w:cstheme="minorHAnsi"/>
          <w:szCs w:val="20"/>
          <w:lang w:val="en-GB"/>
        </w:rPr>
        <w:t>,</w:t>
      </w:r>
      <w:r w:rsidR="00CA12F4" w:rsidRPr="00FC4B7C">
        <w:rPr>
          <w:rFonts w:cstheme="minorHAnsi"/>
          <w:szCs w:val="20"/>
          <w:lang w:val="en-GB"/>
        </w:rPr>
        <w:t xml:space="preserve"> make every effort to pro</w:t>
      </w:r>
      <w:r w:rsidR="00FF689A">
        <w:rPr>
          <w:rFonts w:cstheme="minorHAnsi"/>
          <w:szCs w:val="20"/>
          <w:lang w:val="en-GB"/>
        </w:rPr>
        <w:t xml:space="preserve">tect those whose rights are violated </w:t>
      </w:r>
      <w:r w:rsidR="007F34F5" w:rsidRPr="00FC4B7C">
        <w:rPr>
          <w:rFonts w:cstheme="minorHAnsi"/>
          <w:szCs w:val="20"/>
          <w:lang w:val="en-GB"/>
        </w:rPr>
        <w:t>and provide them with a voice</w:t>
      </w:r>
      <w:r w:rsidR="008446E5" w:rsidRPr="00FC4B7C">
        <w:rPr>
          <w:rFonts w:cstheme="minorHAnsi"/>
          <w:szCs w:val="20"/>
          <w:lang w:val="en-GB"/>
        </w:rPr>
        <w:t>,</w:t>
      </w:r>
      <w:r w:rsidR="00CA12F4" w:rsidRPr="00FC4B7C">
        <w:rPr>
          <w:rFonts w:cstheme="minorHAnsi"/>
          <w:szCs w:val="20"/>
          <w:lang w:val="en-GB"/>
        </w:rPr>
        <w:t xml:space="preserve"> even </w:t>
      </w:r>
      <w:r w:rsidR="00EF6D08">
        <w:rPr>
          <w:rFonts w:cstheme="minorHAnsi"/>
          <w:szCs w:val="20"/>
          <w:lang w:val="en-GB"/>
        </w:rPr>
        <w:t xml:space="preserve">when </w:t>
      </w:r>
      <w:r w:rsidR="00CA12F4" w:rsidRPr="00FC4B7C">
        <w:rPr>
          <w:rFonts w:cstheme="minorHAnsi"/>
          <w:szCs w:val="20"/>
          <w:lang w:val="en-GB"/>
        </w:rPr>
        <w:t>face</w:t>
      </w:r>
      <w:r w:rsidR="00EF6D08">
        <w:rPr>
          <w:rFonts w:cstheme="minorHAnsi"/>
          <w:szCs w:val="20"/>
          <w:lang w:val="en-GB"/>
        </w:rPr>
        <w:t>d</w:t>
      </w:r>
      <w:r w:rsidR="00CA12F4" w:rsidRPr="00FC4B7C">
        <w:rPr>
          <w:rFonts w:cstheme="minorHAnsi"/>
          <w:szCs w:val="20"/>
          <w:lang w:val="en-GB"/>
        </w:rPr>
        <w:t xml:space="preserve"> </w:t>
      </w:r>
      <w:r w:rsidR="00EF6D08">
        <w:rPr>
          <w:rFonts w:cstheme="minorHAnsi"/>
          <w:szCs w:val="20"/>
          <w:lang w:val="en-GB"/>
        </w:rPr>
        <w:t>by</w:t>
      </w:r>
      <w:r w:rsidR="00CA12F4" w:rsidRPr="00FC4B7C">
        <w:rPr>
          <w:rFonts w:cstheme="minorHAnsi"/>
          <w:szCs w:val="20"/>
          <w:lang w:val="en-GB"/>
        </w:rPr>
        <w:t xml:space="preserve"> an unfavourable government. </w:t>
      </w:r>
    </w:p>
    <w:p w14:paraId="14BC327B" w14:textId="77777777" w:rsidR="00260831" w:rsidRDefault="00260831" w:rsidP="001A7208">
      <w:pPr>
        <w:tabs>
          <w:tab w:val="left" w:pos="1613"/>
        </w:tabs>
        <w:spacing w:after="0" w:line="240" w:lineRule="auto"/>
        <w:ind w:left="426"/>
        <w:jc w:val="both"/>
        <w:rPr>
          <w:rFonts w:cstheme="minorHAnsi"/>
          <w:szCs w:val="20"/>
          <w:lang w:val="en-GB"/>
        </w:rPr>
      </w:pPr>
    </w:p>
    <w:p w14:paraId="121ACD5B" w14:textId="283661B6" w:rsidR="009C7093" w:rsidRDefault="009C7093" w:rsidP="001A7208">
      <w:pPr>
        <w:tabs>
          <w:tab w:val="left" w:pos="1613"/>
        </w:tabs>
        <w:spacing w:after="0" w:line="240" w:lineRule="auto"/>
        <w:ind w:left="714"/>
        <w:jc w:val="both"/>
        <w:rPr>
          <w:rFonts w:cstheme="minorHAnsi"/>
          <w:b/>
          <w:bCs/>
          <w:szCs w:val="20"/>
          <w:lang w:val="en-GB"/>
        </w:rPr>
      </w:pPr>
      <w:r w:rsidRPr="00055578">
        <w:rPr>
          <w:rFonts w:cstheme="minorHAnsi"/>
          <w:b/>
          <w:bCs/>
          <w:szCs w:val="20"/>
          <w:lang w:val="en-GB"/>
        </w:rPr>
        <w:t>Conclusions and recommendations</w:t>
      </w:r>
    </w:p>
    <w:p w14:paraId="530F8BEC" w14:textId="0C8C7595" w:rsidR="00055578" w:rsidRDefault="00055578" w:rsidP="001A7208">
      <w:pPr>
        <w:tabs>
          <w:tab w:val="left" w:pos="1613"/>
        </w:tabs>
        <w:spacing w:after="0" w:line="240" w:lineRule="auto"/>
        <w:ind w:left="426"/>
        <w:jc w:val="both"/>
        <w:rPr>
          <w:rFonts w:cstheme="minorHAnsi"/>
          <w:szCs w:val="20"/>
          <w:lang w:val="en-GB"/>
        </w:rPr>
      </w:pPr>
    </w:p>
    <w:p w14:paraId="577E29C5" w14:textId="606B25C0" w:rsidR="009F3322" w:rsidRPr="00933025" w:rsidRDefault="00260831" w:rsidP="008A7B5E">
      <w:pPr>
        <w:numPr>
          <w:ilvl w:val="0"/>
          <w:numId w:val="2"/>
        </w:numPr>
        <w:tabs>
          <w:tab w:val="left" w:pos="1613"/>
        </w:tabs>
        <w:spacing w:after="0" w:line="240" w:lineRule="auto"/>
        <w:ind w:left="714" w:hanging="357"/>
        <w:jc w:val="both"/>
        <w:rPr>
          <w:rFonts w:cstheme="minorHAnsi"/>
          <w:iCs/>
          <w:szCs w:val="20"/>
          <w:lang w:val="hu"/>
        </w:rPr>
      </w:pPr>
      <w:bookmarkStart w:id="9" w:name="_Hlk64890220"/>
      <w:bookmarkStart w:id="10" w:name="_Hlk65158525"/>
      <w:r w:rsidRPr="00933025">
        <w:rPr>
          <w:rFonts w:cstheme="minorHAnsi"/>
          <w:szCs w:val="20"/>
          <w:lang w:val="en-GB"/>
        </w:rPr>
        <w:t xml:space="preserve">The combined effects of a politically controlled media regulatory authority and sustained </w:t>
      </w:r>
      <w:r w:rsidR="00EF6D08">
        <w:rPr>
          <w:rFonts w:cstheme="minorHAnsi"/>
          <w:szCs w:val="20"/>
          <w:lang w:val="en-GB"/>
        </w:rPr>
        <w:t xml:space="preserve">and </w:t>
      </w:r>
      <w:r w:rsidRPr="00933025">
        <w:rPr>
          <w:rFonts w:cstheme="minorHAnsi"/>
          <w:szCs w:val="20"/>
          <w:lang w:val="en-GB"/>
        </w:rPr>
        <w:t>distort</w:t>
      </w:r>
      <w:r w:rsidR="00EF6D08">
        <w:rPr>
          <w:rFonts w:cstheme="minorHAnsi"/>
          <w:szCs w:val="20"/>
          <w:lang w:val="en-GB"/>
        </w:rPr>
        <w:t>ing</w:t>
      </w:r>
      <w:r w:rsidRPr="00933025">
        <w:rPr>
          <w:rFonts w:cstheme="minorHAnsi"/>
          <w:szCs w:val="20"/>
          <w:lang w:val="en-GB"/>
        </w:rPr>
        <w:t xml:space="preserve"> </w:t>
      </w:r>
      <w:r w:rsidR="00EF6D08">
        <w:rPr>
          <w:rFonts w:cstheme="minorHAnsi"/>
          <w:szCs w:val="20"/>
          <w:lang w:val="en-GB"/>
        </w:rPr>
        <w:t xml:space="preserve">state </w:t>
      </w:r>
      <w:r w:rsidRPr="00933025">
        <w:rPr>
          <w:rFonts w:cstheme="minorHAnsi"/>
          <w:szCs w:val="20"/>
          <w:lang w:val="en-GB"/>
        </w:rPr>
        <w:t>intervention in the media market have eroded the conditions for media pluralism and the freedom of expression in Hungary</w:t>
      </w:r>
      <w:bookmarkEnd w:id="9"/>
      <w:r w:rsidRPr="00933025">
        <w:rPr>
          <w:rFonts w:cstheme="minorHAnsi"/>
          <w:szCs w:val="20"/>
          <w:lang w:val="en-GB"/>
        </w:rPr>
        <w:t xml:space="preserve">. </w:t>
      </w:r>
      <w:bookmarkStart w:id="11" w:name="_Hlk64890295"/>
      <w:r w:rsidRPr="00933025">
        <w:rPr>
          <w:rFonts w:cstheme="minorHAnsi"/>
          <w:szCs w:val="20"/>
          <w:lang w:val="en-GB"/>
        </w:rPr>
        <w:t>While independent voices can still be heard and media consum</w:t>
      </w:r>
      <w:r w:rsidR="00EF6D08">
        <w:rPr>
          <w:rFonts w:cstheme="minorHAnsi"/>
          <w:szCs w:val="20"/>
          <w:lang w:val="en-GB"/>
        </w:rPr>
        <w:t>er</w:t>
      </w:r>
      <w:r w:rsidRPr="00933025">
        <w:rPr>
          <w:rFonts w:cstheme="minorHAnsi"/>
          <w:szCs w:val="20"/>
          <w:lang w:val="en-GB"/>
        </w:rPr>
        <w:t xml:space="preserve"> surveys in 2020 cautiously suggest a renewed public appreciation for independent and professional journalism,</w:t>
      </w:r>
      <w:r w:rsidRPr="00663E17">
        <w:rPr>
          <w:rStyle w:val="FootnoteReference"/>
          <w:rFonts w:cstheme="minorHAnsi"/>
          <w:szCs w:val="20"/>
          <w:lang w:val="en-GB"/>
        </w:rPr>
        <w:footnoteReference w:id="90"/>
      </w:r>
      <w:r w:rsidRPr="00933025">
        <w:rPr>
          <w:rFonts w:cstheme="minorHAnsi"/>
          <w:szCs w:val="20"/>
          <w:lang w:val="en-GB"/>
        </w:rPr>
        <w:t xml:space="preserve"> </w:t>
      </w:r>
      <w:r w:rsidR="00EF6D08">
        <w:rPr>
          <w:rFonts w:cstheme="minorHAnsi"/>
          <w:szCs w:val="20"/>
          <w:lang w:val="en-GB"/>
        </w:rPr>
        <w:t>such voices</w:t>
      </w:r>
      <w:r w:rsidR="00EB48CE" w:rsidRPr="00933025">
        <w:rPr>
          <w:rFonts w:cstheme="minorHAnsi"/>
          <w:szCs w:val="20"/>
          <w:lang w:val="en-GB"/>
        </w:rPr>
        <w:t xml:space="preserve"> have been systematically crowded out</w:t>
      </w:r>
      <w:r w:rsidR="00602F63" w:rsidRPr="00933025">
        <w:rPr>
          <w:rFonts w:cstheme="minorHAnsi"/>
          <w:szCs w:val="20"/>
          <w:lang w:val="en-GB"/>
        </w:rPr>
        <w:t>. F</w:t>
      </w:r>
      <w:r w:rsidRPr="00933025">
        <w:rPr>
          <w:rFonts w:cstheme="minorHAnsi"/>
          <w:szCs w:val="20"/>
          <w:lang w:val="en-GB"/>
        </w:rPr>
        <w:t xml:space="preserve">ree political debate and the free exchange of diverse opinions, </w:t>
      </w:r>
      <w:r w:rsidR="00EF6D08">
        <w:rPr>
          <w:rFonts w:cstheme="minorHAnsi"/>
          <w:szCs w:val="20"/>
          <w:lang w:val="en-GB"/>
        </w:rPr>
        <w:t xml:space="preserve">which are the </w:t>
      </w:r>
      <w:r w:rsidRPr="00933025">
        <w:rPr>
          <w:rFonts w:cstheme="minorHAnsi"/>
          <w:szCs w:val="20"/>
          <w:lang w:val="en-GB"/>
        </w:rPr>
        <w:t>pre</w:t>
      </w:r>
      <w:r w:rsidR="00EF6D08">
        <w:rPr>
          <w:rFonts w:cstheme="minorHAnsi"/>
          <w:szCs w:val="20"/>
          <w:lang w:val="en-GB"/>
        </w:rPr>
        <w:t>requisites</w:t>
      </w:r>
      <w:r w:rsidRPr="00933025">
        <w:rPr>
          <w:rFonts w:cstheme="minorHAnsi"/>
          <w:szCs w:val="20"/>
          <w:lang w:val="en-GB"/>
        </w:rPr>
        <w:t xml:space="preserve"> for democratic societies to </w:t>
      </w:r>
      <w:r w:rsidR="00C676B9">
        <w:rPr>
          <w:rFonts w:cstheme="minorHAnsi"/>
          <w:szCs w:val="20"/>
          <w:lang w:val="en-GB"/>
        </w:rPr>
        <w:t>thrive</w:t>
      </w:r>
      <w:r w:rsidRPr="00933025">
        <w:rPr>
          <w:rFonts w:cstheme="minorHAnsi"/>
          <w:szCs w:val="20"/>
          <w:lang w:val="en-GB"/>
        </w:rPr>
        <w:t xml:space="preserve">, have been </w:t>
      </w:r>
      <w:r w:rsidR="004535EE" w:rsidRPr="00933025">
        <w:rPr>
          <w:rFonts w:cstheme="minorHAnsi"/>
          <w:szCs w:val="20"/>
          <w:lang w:val="en-GB"/>
        </w:rPr>
        <w:t>severely curtailed</w:t>
      </w:r>
      <w:r w:rsidR="00602F63" w:rsidRPr="00933025">
        <w:rPr>
          <w:rFonts w:cstheme="minorHAnsi"/>
          <w:szCs w:val="20"/>
          <w:lang w:val="en-GB"/>
        </w:rPr>
        <w:t>, particularly outside the capital</w:t>
      </w:r>
      <w:r w:rsidR="004535EE" w:rsidRPr="00933025">
        <w:rPr>
          <w:rFonts w:cstheme="minorHAnsi"/>
          <w:szCs w:val="20"/>
          <w:lang w:val="en-GB"/>
        </w:rPr>
        <w:t xml:space="preserve">. </w:t>
      </w:r>
      <w:bookmarkEnd w:id="11"/>
      <w:r w:rsidR="00A66709" w:rsidRPr="00933025">
        <w:rPr>
          <w:rFonts w:cstheme="minorHAnsi"/>
          <w:iCs/>
          <w:szCs w:val="20"/>
          <w:lang w:val="hu"/>
        </w:rPr>
        <w:t xml:space="preserve">The situation is exacerbated by sustained </w:t>
      </w:r>
      <w:r w:rsidR="004535EE" w:rsidRPr="00933025">
        <w:rPr>
          <w:rFonts w:cstheme="minorHAnsi"/>
          <w:iCs/>
          <w:szCs w:val="20"/>
          <w:lang w:val="hu"/>
        </w:rPr>
        <w:t xml:space="preserve">smear </w:t>
      </w:r>
      <w:r w:rsidR="00A66709" w:rsidRPr="00933025">
        <w:rPr>
          <w:rFonts w:cstheme="minorHAnsi"/>
          <w:iCs/>
          <w:szCs w:val="20"/>
          <w:lang w:val="hu"/>
        </w:rPr>
        <w:t>campaigns against human rights defenders and independent voices</w:t>
      </w:r>
      <w:r w:rsidR="001E192E">
        <w:rPr>
          <w:rFonts w:cstheme="minorHAnsi"/>
          <w:iCs/>
          <w:szCs w:val="20"/>
          <w:lang w:val="hu"/>
        </w:rPr>
        <w:t>,</w:t>
      </w:r>
      <w:r w:rsidR="00A66709" w:rsidRPr="00933025">
        <w:rPr>
          <w:rFonts w:cstheme="minorHAnsi"/>
          <w:iCs/>
          <w:szCs w:val="20"/>
          <w:lang w:val="hu"/>
        </w:rPr>
        <w:t xml:space="preserve"> </w:t>
      </w:r>
      <w:r w:rsidR="00960F7F">
        <w:rPr>
          <w:rFonts w:cstheme="minorHAnsi"/>
          <w:iCs/>
          <w:szCs w:val="20"/>
          <w:lang w:val="hu"/>
        </w:rPr>
        <w:t>which</w:t>
      </w:r>
      <w:r w:rsidR="00A66709" w:rsidRPr="00933025">
        <w:rPr>
          <w:rFonts w:cstheme="minorHAnsi"/>
          <w:iCs/>
          <w:szCs w:val="20"/>
          <w:lang w:val="hu"/>
        </w:rPr>
        <w:t xml:space="preserve"> </w:t>
      </w:r>
      <w:r w:rsidR="004535EE" w:rsidRPr="00933025">
        <w:rPr>
          <w:rFonts w:cstheme="minorHAnsi"/>
          <w:iCs/>
          <w:szCs w:val="20"/>
          <w:lang w:val="hu"/>
        </w:rPr>
        <w:t xml:space="preserve">are designed to </w:t>
      </w:r>
      <w:r w:rsidR="00A66709" w:rsidRPr="00933025">
        <w:rPr>
          <w:rFonts w:cstheme="minorHAnsi"/>
          <w:iCs/>
          <w:szCs w:val="20"/>
          <w:lang w:val="hu"/>
        </w:rPr>
        <w:t>stifle civil soci</w:t>
      </w:r>
      <w:r w:rsidR="002E1977" w:rsidRPr="00933025">
        <w:rPr>
          <w:rFonts w:cstheme="minorHAnsi"/>
          <w:iCs/>
          <w:szCs w:val="20"/>
          <w:lang w:val="hu"/>
        </w:rPr>
        <w:t>e</w:t>
      </w:r>
      <w:r w:rsidR="00A66709" w:rsidRPr="00933025">
        <w:rPr>
          <w:rFonts w:cstheme="minorHAnsi"/>
          <w:iCs/>
          <w:szCs w:val="20"/>
          <w:lang w:val="hu"/>
        </w:rPr>
        <w:t>ty and sen</w:t>
      </w:r>
      <w:r w:rsidR="004535EE" w:rsidRPr="00933025">
        <w:rPr>
          <w:rFonts w:cstheme="minorHAnsi"/>
          <w:iCs/>
          <w:szCs w:val="20"/>
          <w:lang w:val="hu"/>
        </w:rPr>
        <w:t>d</w:t>
      </w:r>
      <w:r w:rsidR="00A66709" w:rsidRPr="00933025">
        <w:rPr>
          <w:rFonts w:cstheme="minorHAnsi"/>
          <w:iCs/>
          <w:szCs w:val="20"/>
          <w:lang w:val="hu"/>
        </w:rPr>
        <w:t xml:space="preserve"> a clear </w:t>
      </w:r>
      <w:r w:rsidR="004535EE" w:rsidRPr="00933025">
        <w:rPr>
          <w:rFonts w:cstheme="minorHAnsi"/>
          <w:iCs/>
          <w:szCs w:val="20"/>
          <w:lang w:val="hu"/>
        </w:rPr>
        <w:t xml:space="preserve">and chilling </w:t>
      </w:r>
      <w:r w:rsidR="00A66709" w:rsidRPr="00933025">
        <w:rPr>
          <w:rFonts w:cstheme="minorHAnsi"/>
          <w:iCs/>
          <w:szCs w:val="20"/>
          <w:lang w:val="hu"/>
        </w:rPr>
        <w:t xml:space="preserve">message that </w:t>
      </w:r>
      <w:r w:rsidR="00960F7F">
        <w:rPr>
          <w:rFonts w:cstheme="minorHAnsi"/>
          <w:iCs/>
          <w:szCs w:val="20"/>
          <w:lang w:val="hu"/>
        </w:rPr>
        <w:t xml:space="preserve">there will be prompt retaliation against </w:t>
      </w:r>
      <w:r w:rsidR="00A66709" w:rsidRPr="00933025">
        <w:rPr>
          <w:rFonts w:cstheme="minorHAnsi"/>
          <w:iCs/>
          <w:szCs w:val="20"/>
          <w:lang w:val="hu"/>
        </w:rPr>
        <w:t>any form of criticism against the government.</w:t>
      </w:r>
      <w:r w:rsidR="004535EE" w:rsidRPr="00933025">
        <w:rPr>
          <w:rFonts w:cstheme="minorHAnsi"/>
          <w:iCs/>
          <w:szCs w:val="20"/>
          <w:lang w:val="hu"/>
        </w:rPr>
        <w:t xml:space="preserve"> </w:t>
      </w:r>
      <w:r w:rsidR="00960F7F">
        <w:rPr>
          <w:rFonts w:cstheme="minorHAnsi"/>
          <w:iCs/>
          <w:szCs w:val="20"/>
          <w:lang w:val="hu"/>
        </w:rPr>
        <w:t>Moreover, t</w:t>
      </w:r>
      <w:r w:rsidR="004535EE" w:rsidRPr="00933025">
        <w:rPr>
          <w:rFonts w:cstheme="minorHAnsi"/>
          <w:iCs/>
          <w:szCs w:val="20"/>
          <w:lang w:val="hu"/>
        </w:rPr>
        <w:t xml:space="preserve">he government has </w:t>
      </w:r>
      <w:r w:rsidR="00960F7F">
        <w:rPr>
          <w:rFonts w:cstheme="minorHAnsi"/>
          <w:iCs/>
          <w:szCs w:val="20"/>
          <w:lang w:val="hu"/>
        </w:rPr>
        <w:lastRenderedPageBreak/>
        <w:t>c</w:t>
      </w:r>
      <w:r w:rsidR="004535EE" w:rsidRPr="00933025">
        <w:rPr>
          <w:rFonts w:cstheme="minorHAnsi"/>
          <w:iCs/>
          <w:szCs w:val="20"/>
          <w:lang w:val="hu"/>
        </w:rPr>
        <w:t>onsistently failed to</w:t>
      </w:r>
      <w:r w:rsidR="00205384">
        <w:rPr>
          <w:rFonts w:cstheme="minorHAnsi"/>
          <w:iCs/>
          <w:szCs w:val="20"/>
          <w:lang w:val="hu"/>
        </w:rPr>
        <w:t xml:space="preserve"> recognise the importance of the </w:t>
      </w:r>
      <w:r w:rsidR="00EB48CE" w:rsidRPr="00933025">
        <w:rPr>
          <w:rFonts w:cstheme="minorHAnsi"/>
          <w:iCs/>
          <w:szCs w:val="20"/>
          <w:lang w:val="hu"/>
        </w:rPr>
        <w:t xml:space="preserve">role of independent institutions, </w:t>
      </w:r>
      <w:r w:rsidR="00960F7F">
        <w:rPr>
          <w:rFonts w:cstheme="minorHAnsi"/>
          <w:iCs/>
          <w:szCs w:val="20"/>
          <w:lang w:val="hu"/>
        </w:rPr>
        <w:t xml:space="preserve">whether </w:t>
      </w:r>
      <w:r w:rsidR="004535EE" w:rsidRPr="00933025">
        <w:rPr>
          <w:rFonts w:cstheme="minorHAnsi"/>
          <w:iCs/>
          <w:szCs w:val="20"/>
          <w:lang w:val="hu"/>
        </w:rPr>
        <w:t xml:space="preserve">regulatory authorities </w:t>
      </w:r>
      <w:r w:rsidR="00960F7F">
        <w:rPr>
          <w:rFonts w:cstheme="minorHAnsi"/>
          <w:iCs/>
          <w:szCs w:val="20"/>
          <w:lang w:val="hu"/>
        </w:rPr>
        <w:t>or</w:t>
      </w:r>
      <w:r w:rsidR="004535EE" w:rsidRPr="00933025">
        <w:rPr>
          <w:rFonts w:cstheme="minorHAnsi"/>
          <w:iCs/>
          <w:szCs w:val="20"/>
          <w:lang w:val="hu"/>
        </w:rPr>
        <w:t xml:space="preserve"> the </w:t>
      </w:r>
      <w:r w:rsidR="00EB48CE" w:rsidRPr="00933025">
        <w:rPr>
          <w:rFonts w:cstheme="minorHAnsi"/>
          <w:iCs/>
          <w:szCs w:val="20"/>
          <w:lang w:val="hu"/>
        </w:rPr>
        <w:t>judiciary</w:t>
      </w:r>
      <w:r w:rsidR="00FF67D3" w:rsidRPr="00933025">
        <w:rPr>
          <w:rFonts w:cstheme="minorHAnsi"/>
          <w:iCs/>
          <w:szCs w:val="20"/>
          <w:lang w:val="hu"/>
        </w:rPr>
        <w:t xml:space="preserve">. By </w:t>
      </w:r>
      <w:r w:rsidR="004535EE" w:rsidRPr="00933025">
        <w:rPr>
          <w:rFonts w:cstheme="minorHAnsi"/>
          <w:iCs/>
          <w:szCs w:val="20"/>
          <w:lang w:val="hu"/>
        </w:rPr>
        <w:t xml:space="preserve">repeatedly disregarding </w:t>
      </w:r>
      <w:r w:rsidR="00437433">
        <w:rPr>
          <w:rFonts w:cstheme="minorHAnsi"/>
          <w:iCs/>
          <w:szCs w:val="20"/>
          <w:lang w:val="hu"/>
        </w:rPr>
        <w:t xml:space="preserve">the </w:t>
      </w:r>
      <w:r w:rsidR="004535EE" w:rsidRPr="00933025">
        <w:rPr>
          <w:rFonts w:cstheme="minorHAnsi"/>
          <w:iCs/>
          <w:szCs w:val="20"/>
          <w:lang w:val="hu"/>
        </w:rPr>
        <w:t>judgments of national and international courts</w:t>
      </w:r>
      <w:r w:rsidR="00FF67D3" w:rsidRPr="00933025">
        <w:rPr>
          <w:rFonts w:cstheme="minorHAnsi"/>
          <w:iCs/>
          <w:szCs w:val="20"/>
          <w:lang w:val="hu"/>
        </w:rPr>
        <w:t>, the government has</w:t>
      </w:r>
      <w:r w:rsidR="009F3322" w:rsidRPr="00933025">
        <w:rPr>
          <w:rFonts w:cstheme="minorHAnsi"/>
          <w:iCs/>
          <w:szCs w:val="20"/>
          <w:lang w:val="hu"/>
        </w:rPr>
        <w:t xml:space="preserve"> demonstrated that it has no intention of adhering to the rule of law, which is </w:t>
      </w:r>
      <w:r w:rsidR="00437433">
        <w:rPr>
          <w:rFonts w:cstheme="minorHAnsi"/>
          <w:iCs/>
          <w:szCs w:val="20"/>
          <w:lang w:val="hu"/>
        </w:rPr>
        <w:t>crucial for</w:t>
      </w:r>
      <w:r w:rsidR="00FF67D3" w:rsidRPr="00933025">
        <w:rPr>
          <w:rFonts w:cstheme="minorHAnsi"/>
          <w:iCs/>
          <w:szCs w:val="20"/>
          <w:lang w:val="hu"/>
        </w:rPr>
        <w:t xml:space="preserve"> the functio</w:t>
      </w:r>
      <w:r w:rsidR="00106EE9" w:rsidRPr="00933025">
        <w:rPr>
          <w:rFonts w:cstheme="minorHAnsi"/>
          <w:iCs/>
          <w:szCs w:val="20"/>
          <w:lang w:val="hu"/>
        </w:rPr>
        <w:t>n</w:t>
      </w:r>
      <w:r w:rsidR="00FF67D3" w:rsidRPr="00933025">
        <w:rPr>
          <w:rFonts w:cstheme="minorHAnsi"/>
          <w:iCs/>
          <w:szCs w:val="20"/>
          <w:lang w:val="hu"/>
        </w:rPr>
        <w:t>ing of democracy and</w:t>
      </w:r>
      <w:r w:rsidR="00B31EBB">
        <w:rPr>
          <w:rFonts w:cstheme="minorHAnsi"/>
          <w:iCs/>
          <w:szCs w:val="20"/>
          <w:lang w:val="hu"/>
        </w:rPr>
        <w:t>, indeed,</w:t>
      </w:r>
      <w:r w:rsidR="00FF67D3" w:rsidRPr="00933025">
        <w:rPr>
          <w:rFonts w:cstheme="minorHAnsi"/>
          <w:iCs/>
          <w:szCs w:val="20"/>
          <w:lang w:val="hu"/>
        </w:rPr>
        <w:t xml:space="preserve"> the </w:t>
      </w:r>
      <w:r w:rsidR="00B31EBB">
        <w:rPr>
          <w:rFonts w:cstheme="minorHAnsi"/>
          <w:iCs/>
          <w:szCs w:val="20"/>
          <w:lang w:val="hu"/>
        </w:rPr>
        <w:t xml:space="preserve">unencumbered </w:t>
      </w:r>
      <w:r w:rsidR="00FF67D3" w:rsidRPr="00933025">
        <w:rPr>
          <w:rFonts w:cstheme="minorHAnsi"/>
          <w:iCs/>
          <w:szCs w:val="20"/>
          <w:lang w:val="hu"/>
        </w:rPr>
        <w:t>exercise of</w:t>
      </w:r>
      <w:r w:rsidR="009F3322" w:rsidRPr="00933025">
        <w:rPr>
          <w:rFonts w:cstheme="minorHAnsi"/>
          <w:iCs/>
          <w:szCs w:val="20"/>
          <w:lang w:val="hu"/>
        </w:rPr>
        <w:t xml:space="preserve"> freedom of expression. </w:t>
      </w:r>
    </w:p>
    <w:p w14:paraId="6C215355" w14:textId="77777777" w:rsidR="009F3322" w:rsidRPr="00106EE9" w:rsidRDefault="009F3322" w:rsidP="009F3322">
      <w:pPr>
        <w:tabs>
          <w:tab w:val="left" w:pos="1613"/>
        </w:tabs>
        <w:spacing w:after="0" w:line="240" w:lineRule="auto"/>
        <w:ind w:left="714"/>
        <w:jc w:val="both"/>
        <w:rPr>
          <w:rFonts w:cstheme="minorHAnsi"/>
          <w:iCs/>
          <w:szCs w:val="20"/>
          <w:lang w:val="en-GB"/>
        </w:rPr>
      </w:pPr>
    </w:p>
    <w:bookmarkEnd w:id="10"/>
    <w:p w14:paraId="0284C8FE" w14:textId="32AB12A7" w:rsidR="00055578" w:rsidRDefault="00260831" w:rsidP="001A7208">
      <w:pPr>
        <w:numPr>
          <w:ilvl w:val="0"/>
          <w:numId w:val="2"/>
        </w:numPr>
        <w:tabs>
          <w:tab w:val="left" w:pos="1613"/>
        </w:tabs>
        <w:spacing w:after="0" w:line="240" w:lineRule="auto"/>
        <w:ind w:left="714" w:hanging="357"/>
        <w:jc w:val="both"/>
        <w:rPr>
          <w:rFonts w:cstheme="minorHAnsi"/>
          <w:szCs w:val="20"/>
          <w:lang w:val="en-GB"/>
        </w:rPr>
      </w:pPr>
      <w:r>
        <w:rPr>
          <w:rFonts w:cstheme="minorHAnsi"/>
          <w:szCs w:val="20"/>
          <w:lang w:val="en-GB"/>
        </w:rPr>
        <w:t xml:space="preserve">In order to create a </w:t>
      </w:r>
      <w:r w:rsidR="00441CDD">
        <w:rPr>
          <w:rFonts w:cstheme="minorHAnsi"/>
          <w:szCs w:val="20"/>
          <w:lang w:val="en-GB"/>
        </w:rPr>
        <w:t>favourable environment for media pluralism</w:t>
      </w:r>
      <w:r>
        <w:rPr>
          <w:rFonts w:cstheme="minorHAnsi"/>
          <w:szCs w:val="20"/>
          <w:lang w:val="en-GB"/>
        </w:rPr>
        <w:t xml:space="preserve"> and freedom of expression in Hungary, the authorities should:</w:t>
      </w:r>
      <w:r w:rsidR="00441CDD">
        <w:rPr>
          <w:rFonts w:cstheme="minorHAnsi"/>
          <w:szCs w:val="20"/>
          <w:lang w:val="en-GB"/>
        </w:rPr>
        <w:t xml:space="preserve"> </w:t>
      </w:r>
    </w:p>
    <w:p w14:paraId="03878EFA" w14:textId="77777777" w:rsidR="00055578" w:rsidRPr="00055578" w:rsidRDefault="00055578" w:rsidP="001A7208">
      <w:pPr>
        <w:tabs>
          <w:tab w:val="left" w:pos="1613"/>
        </w:tabs>
        <w:spacing w:after="0" w:line="240" w:lineRule="auto"/>
        <w:ind w:left="426"/>
        <w:jc w:val="both"/>
        <w:rPr>
          <w:rFonts w:cstheme="minorHAnsi"/>
          <w:szCs w:val="20"/>
          <w:lang w:val="en-GB"/>
        </w:rPr>
      </w:pPr>
    </w:p>
    <w:p w14:paraId="4EC698DB" w14:textId="2BC9C622" w:rsidR="009C7093" w:rsidRDefault="00437433" w:rsidP="001A7208">
      <w:pPr>
        <w:numPr>
          <w:ilvl w:val="0"/>
          <w:numId w:val="12"/>
        </w:numPr>
        <w:tabs>
          <w:tab w:val="left" w:pos="1613"/>
        </w:tabs>
        <w:spacing w:after="0" w:line="240" w:lineRule="auto"/>
        <w:ind w:hanging="357"/>
        <w:jc w:val="both"/>
        <w:rPr>
          <w:rFonts w:cstheme="minorHAnsi"/>
          <w:szCs w:val="20"/>
          <w:lang w:val="en-GB"/>
        </w:rPr>
      </w:pPr>
      <w:r>
        <w:rPr>
          <w:rFonts w:cstheme="minorHAnsi"/>
          <w:szCs w:val="20"/>
          <w:lang w:val="en-GB"/>
        </w:rPr>
        <w:t>a</w:t>
      </w:r>
      <w:r w:rsidR="009C7093" w:rsidRPr="00441CDD">
        <w:rPr>
          <w:rFonts w:cstheme="minorHAnsi"/>
          <w:szCs w:val="20"/>
          <w:lang w:val="en-GB"/>
        </w:rPr>
        <w:t xml:space="preserve">mend </w:t>
      </w:r>
      <w:r w:rsidR="000B60D3" w:rsidRPr="00441CDD">
        <w:rPr>
          <w:rFonts w:cstheme="minorHAnsi"/>
          <w:szCs w:val="20"/>
          <w:lang w:val="en-GB"/>
        </w:rPr>
        <w:t xml:space="preserve">the </w:t>
      </w:r>
      <w:r w:rsidR="009C7093" w:rsidRPr="00441CDD">
        <w:rPr>
          <w:rFonts w:cstheme="minorHAnsi"/>
          <w:szCs w:val="20"/>
          <w:lang w:val="en-GB"/>
        </w:rPr>
        <w:t xml:space="preserve">media legislation to </w:t>
      </w:r>
      <w:proofErr w:type="spellStart"/>
      <w:r w:rsidR="00260831">
        <w:rPr>
          <w:rFonts w:cstheme="minorHAnsi"/>
          <w:szCs w:val="20"/>
          <w:lang w:val="en-GB"/>
        </w:rPr>
        <w:t>i</w:t>
      </w:r>
      <w:proofErr w:type="spellEnd"/>
      <w:r w:rsidR="00260831">
        <w:rPr>
          <w:rFonts w:cstheme="minorHAnsi"/>
          <w:szCs w:val="20"/>
          <w:lang w:val="en-GB"/>
        </w:rPr>
        <w:t xml:space="preserve">) divide the </w:t>
      </w:r>
      <w:r>
        <w:rPr>
          <w:rFonts w:cstheme="minorHAnsi"/>
          <w:szCs w:val="20"/>
          <w:lang w:val="en-GB"/>
        </w:rPr>
        <w:t>powers</w:t>
      </w:r>
      <w:r w:rsidR="00260831">
        <w:rPr>
          <w:rFonts w:cstheme="minorHAnsi"/>
          <w:szCs w:val="20"/>
          <w:lang w:val="en-GB"/>
        </w:rPr>
        <w:t xml:space="preserve"> of the President of the Media Authority and </w:t>
      </w:r>
      <w:r>
        <w:rPr>
          <w:rFonts w:cstheme="minorHAnsi"/>
          <w:szCs w:val="20"/>
          <w:lang w:val="en-GB"/>
        </w:rPr>
        <w:t xml:space="preserve">the </w:t>
      </w:r>
      <w:r w:rsidR="00260831">
        <w:rPr>
          <w:rFonts w:cstheme="minorHAnsi"/>
          <w:szCs w:val="20"/>
          <w:lang w:val="en-GB"/>
        </w:rPr>
        <w:t xml:space="preserve">Chairperson of the Media Council </w:t>
      </w:r>
      <w:r w:rsidR="00B95DD0">
        <w:rPr>
          <w:rFonts w:cstheme="minorHAnsi"/>
          <w:szCs w:val="20"/>
          <w:lang w:val="en-GB"/>
        </w:rPr>
        <w:t>between</w:t>
      </w:r>
      <w:r w:rsidR="00260831">
        <w:rPr>
          <w:rFonts w:cstheme="minorHAnsi"/>
          <w:szCs w:val="20"/>
          <w:lang w:val="en-GB"/>
        </w:rPr>
        <w:t xml:space="preserve"> several autonomous bodies; ii) </w:t>
      </w:r>
      <w:r w:rsidR="00B95DD0">
        <w:rPr>
          <w:rFonts w:cstheme="minorHAnsi"/>
          <w:szCs w:val="20"/>
          <w:lang w:val="en-GB"/>
        </w:rPr>
        <w:t xml:space="preserve">establish means of </w:t>
      </w:r>
      <w:r w:rsidR="009C7093" w:rsidRPr="00441CDD">
        <w:rPr>
          <w:rFonts w:cstheme="minorHAnsi"/>
          <w:szCs w:val="20"/>
          <w:lang w:val="en-GB"/>
        </w:rPr>
        <w:t>safeguard</w:t>
      </w:r>
      <w:r w:rsidR="00B95DD0">
        <w:rPr>
          <w:rFonts w:cstheme="minorHAnsi"/>
          <w:szCs w:val="20"/>
          <w:lang w:val="en-GB"/>
        </w:rPr>
        <w:t>ing</w:t>
      </w:r>
      <w:r w:rsidR="009C7093" w:rsidRPr="00441CDD">
        <w:rPr>
          <w:rFonts w:cstheme="minorHAnsi"/>
          <w:szCs w:val="20"/>
          <w:lang w:val="en-GB"/>
        </w:rPr>
        <w:t xml:space="preserve"> </w:t>
      </w:r>
      <w:r w:rsidR="00260831">
        <w:rPr>
          <w:rFonts w:cstheme="minorHAnsi"/>
          <w:szCs w:val="20"/>
          <w:lang w:val="en-GB"/>
        </w:rPr>
        <w:t xml:space="preserve">the Media Council’s </w:t>
      </w:r>
      <w:r w:rsidR="00B95DD0">
        <w:rPr>
          <w:rFonts w:cstheme="minorHAnsi"/>
          <w:szCs w:val="20"/>
          <w:lang w:val="en-GB"/>
        </w:rPr>
        <w:t xml:space="preserve">freedom </w:t>
      </w:r>
      <w:r w:rsidR="00260831">
        <w:rPr>
          <w:rFonts w:cstheme="minorHAnsi"/>
          <w:szCs w:val="20"/>
          <w:lang w:val="en-GB"/>
        </w:rPr>
        <w:t xml:space="preserve">from political control and </w:t>
      </w:r>
      <w:r w:rsidR="00B95DD0">
        <w:rPr>
          <w:rFonts w:cstheme="minorHAnsi"/>
          <w:szCs w:val="20"/>
          <w:lang w:val="en-GB"/>
        </w:rPr>
        <w:t xml:space="preserve">ensuring that it </w:t>
      </w:r>
      <w:r w:rsidR="009C7093" w:rsidRPr="00441CDD">
        <w:rPr>
          <w:rFonts w:cstheme="minorHAnsi"/>
          <w:szCs w:val="20"/>
          <w:lang w:val="en-GB"/>
        </w:rPr>
        <w:t>represent</w:t>
      </w:r>
      <w:r w:rsidR="00B95DD0">
        <w:rPr>
          <w:rFonts w:cstheme="minorHAnsi"/>
          <w:szCs w:val="20"/>
          <w:lang w:val="en-GB"/>
        </w:rPr>
        <w:t>s</w:t>
      </w:r>
      <w:r w:rsidR="009C7093" w:rsidRPr="00441CDD">
        <w:rPr>
          <w:rFonts w:cstheme="minorHAnsi"/>
          <w:szCs w:val="20"/>
          <w:lang w:val="en-GB"/>
        </w:rPr>
        <w:t xml:space="preserve"> </w:t>
      </w:r>
      <w:r w:rsidR="00B95DD0">
        <w:rPr>
          <w:rFonts w:cstheme="minorHAnsi"/>
          <w:szCs w:val="20"/>
          <w:lang w:val="en-GB"/>
        </w:rPr>
        <w:t xml:space="preserve">the full range of </w:t>
      </w:r>
      <w:r w:rsidR="009C7093" w:rsidRPr="00441CDD">
        <w:rPr>
          <w:rFonts w:cstheme="minorHAnsi"/>
          <w:szCs w:val="20"/>
          <w:lang w:val="en-GB"/>
        </w:rPr>
        <w:t xml:space="preserve">political/social groups and </w:t>
      </w:r>
      <w:r w:rsidR="000B60D3" w:rsidRPr="00441CDD">
        <w:rPr>
          <w:rFonts w:cstheme="minorHAnsi"/>
          <w:szCs w:val="20"/>
          <w:lang w:val="en-GB"/>
        </w:rPr>
        <w:t xml:space="preserve">the </w:t>
      </w:r>
      <w:r w:rsidR="009C7093" w:rsidRPr="00441CDD">
        <w:rPr>
          <w:rFonts w:cstheme="minorHAnsi"/>
          <w:szCs w:val="20"/>
          <w:lang w:val="en-GB"/>
        </w:rPr>
        <w:t>media community</w:t>
      </w:r>
      <w:r w:rsidR="00260831">
        <w:rPr>
          <w:rFonts w:cstheme="minorHAnsi"/>
          <w:szCs w:val="20"/>
          <w:lang w:val="en-GB"/>
        </w:rPr>
        <w:t xml:space="preserve">; </w:t>
      </w:r>
      <w:r w:rsidR="00EB48CE">
        <w:rPr>
          <w:rFonts w:cstheme="minorHAnsi"/>
          <w:szCs w:val="20"/>
          <w:lang w:val="en-GB"/>
        </w:rPr>
        <w:t xml:space="preserve">iii) reduce the ambiguity of provisions </w:t>
      </w:r>
      <w:r w:rsidR="00B95DD0">
        <w:rPr>
          <w:rFonts w:cstheme="minorHAnsi"/>
          <w:szCs w:val="20"/>
          <w:lang w:val="en-GB"/>
        </w:rPr>
        <w:t>on</w:t>
      </w:r>
      <w:r w:rsidR="00EB48CE">
        <w:rPr>
          <w:rFonts w:cstheme="minorHAnsi"/>
          <w:szCs w:val="20"/>
          <w:lang w:val="en-GB"/>
        </w:rPr>
        <w:t xml:space="preserve"> illegal content and the application of </w:t>
      </w:r>
      <w:r w:rsidR="00B95DD0">
        <w:rPr>
          <w:rFonts w:cstheme="minorHAnsi"/>
          <w:szCs w:val="20"/>
          <w:lang w:val="en-GB"/>
        </w:rPr>
        <w:t>the Media Council’s punitive</w:t>
      </w:r>
      <w:r w:rsidR="00EB48CE">
        <w:rPr>
          <w:rFonts w:cstheme="minorHAnsi"/>
          <w:szCs w:val="20"/>
          <w:lang w:val="en-GB"/>
        </w:rPr>
        <w:t xml:space="preserve"> powers; </w:t>
      </w:r>
      <w:r w:rsidR="00260831">
        <w:rPr>
          <w:rFonts w:cstheme="minorHAnsi"/>
          <w:szCs w:val="20"/>
          <w:lang w:val="en-GB"/>
        </w:rPr>
        <w:t>and i</w:t>
      </w:r>
      <w:r w:rsidR="00EB48CE">
        <w:rPr>
          <w:rFonts w:cstheme="minorHAnsi"/>
          <w:szCs w:val="20"/>
          <w:lang w:val="en-GB"/>
        </w:rPr>
        <w:t>v</w:t>
      </w:r>
      <w:r w:rsidR="00260831">
        <w:rPr>
          <w:rFonts w:cstheme="minorHAnsi"/>
          <w:szCs w:val="20"/>
          <w:lang w:val="en-GB"/>
        </w:rPr>
        <w:t>)</w:t>
      </w:r>
      <w:r w:rsidR="009C7093" w:rsidRPr="00441CDD">
        <w:rPr>
          <w:rFonts w:cstheme="minorHAnsi"/>
          <w:szCs w:val="20"/>
          <w:lang w:val="en-GB"/>
        </w:rPr>
        <w:t xml:space="preserve"> </w:t>
      </w:r>
      <w:r w:rsidR="00260831">
        <w:rPr>
          <w:rFonts w:cstheme="minorHAnsi"/>
          <w:szCs w:val="20"/>
          <w:lang w:val="en-GB"/>
        </w:rPr>
        <w:t xml:space="preserve">ensure </w:t>
      </w:r>
      <w:r w:rsidR="009C7093" w:rsidRPr="00441CDD">
        <w:rPr>
          <w:rFonts w:cstheme="minorHAnsi"/>
          <w:szCs w:val="20"/>
          <w:lang w:val="en-GB"/>
        </w:rPr>
        <w:t xml:space="preserve">that courts have comprehensive </w:t>
      </w:r>
      <w:r w:rsidR="00B95DD0">
        <w:rPr>
          <w:rFonts w:cstheme="minorHAnsi"/>
          <w:szCs w:val="20"/>
          <w:lang w:val="en-GB"/>
        </w:rPr>
        <w:t xml:space="preserve">powers of </w:t>
      </w:r>
      <w:r w:rsidR="009C7093" w:rsidRPr="00441CDD">
        <w:rPr>
          <w:rFonts w:cstheme="minorHAnsi"/>
          <w:szCs w:val="20"/>
          <w:lang w:val="en-GB"/>
        </w:rPr>
        <w:t xml:space="preserve">scrutiny </w:t>
      </w:r>
      <w:r w:rsidR="00EB48CE">
        <w:rPr>
          <w:rFonts w:cstheme="minorHAnsi"/>
          <w:szCs w:val="20"/>
          <w:lang w:val="en-GB"/>
        </w:rPr>
        <w:t>and suspens</w:t>
      </w:r>
      <w:r w:rsidR="00B95DD0">
        <w:rPr>
          <w:rFonts w:cstheme="minorHAnsi"/>
          <w:szCs w:val="20"/>
          <w:lang w:val="en-GB"/>
        </w:rPr>
        <w:t>ion</w:t>
      </w:r>
      <w:r w:rsidR="00EB48CE">
        <w:rPr>
          <w:rFonts w:cstheme="minorHAnsi"/>
          <w:szCs w:val="20"/>
          <w:lang w:val="en-GB"/>
        </w:rPr>
        <w:t xml:space="preserve"> </w:t>
      </w:r>
      <w:r w:rsidR="00B95DD0">
        <w:rPr>
          <w:rFonts w:cstheme="minorHAnsi"/>
          <w:szCs w:val="20"/>
          <w:lang w:val="en-GB"/>
        </w:rPr>
        <w:t>with regard to its</w:t>
      </w:r>
      <w:r w:rsidR="00260831">
        <w:rPr>
          <w:rFonts w:cstheme="minorHAnsi"/>
          <w:szCs w:val="20"/>
          <w:lang w:val="en-GB"/>
        </w:rPr>
        <w:t xml:space="preserve"> decisions;</w:t>
      </w:r>
    </w:p>
    <w:p w14:paraId="5FF117C3" w14:textId="77777777" w:rsidR="00260831" w:rsidRPr="00441CDD" w:rsidRDefault="00260831" w:rsidP="001A7208">
      <w:pPr>
        <w:tabs>
          <w:tab w:val="left" w:pos="1613"/>
        </w:tabs>
        <w:spacing w:after="0" w:line="240" w:lineRule="auto"/>
        <w:ind w:left="1071"/>
        <w:jc w:val="both"/>
        <w:rPr>
          <w:rFonts w:cstheme="minorHAnsi"/>
          <w:szCs w:val="20"/>
          <w:lang w:val="en-GB"/>
        </w:rPr>
      </w:pPr>
    </w:p>
    <w:p w14:paraId="22990277" w14:textId="2BE63792" w:rsidR="00260831" w:rsidRDefault="00B95DD0" w:rsidP="001A7208">
      <w:pPr>
        <w:numPr>
          <w:ilvl w:val="0"/>
          <w:numId w:val="12"/>
        </w:numPr>
        <w:tabs>
          <w:tab w:val="left" w:pos="1613"/>
        </w:tabs>
        <w:spacing w:after="0" w:line="240" w:lineRule="auto"/>
        <w:ind w:hanging="357"/>
        <w:jc w:val="both"/>
        <w:rPr>
          <w:rFonts w:cstheme="minorHAnsi"/>
          <w:szCs w:val="20"/>
          <w:lang w:val="en-GB"/>
        </w:rPr>
      </w:pPr>
      <w:r>
        <w:rPr>
          <w:rFonts w:cstheme="minorHAnsi"/>
          <w:szCs w:val="20"/>
          <w:lang w:val="en-GB"/>
        </w:rPr>
        <w:t>e</w:t>
      </w:r>
      <w:r w:rsidR="009C7093" w:rsidRPr="00663E17">
        <w:rPr>
          <w:rFonts w:cstheme="minorHAnsi"/>
          <w:szCs w:val="20"/>
          <w:lang w:val="en-GB"/>
        </w:rPr>
        <w:t>ngage in broad consultations</w:t>
      </w:r>
      <w:r w:rsidR="0095158B">
        <w:rPr>
          <w:rFonts w:cstheme="minorHAnsi"/>
          <w:szCs w:val="20"/>
          <w:lang w:val="en-GB"/>
        </w:rPr>
        <w:t xml:space="preserve">, including with relevant civil society organisations, </w:t>
      </w:r>
      <w:r w:rsidR="009C7093" w:rsidRPr="00663E17">
        <w:rPr>
          <w:rFonts w:cstheme="minorHAnsi"/>
          <w:szCs w:val="20"/>
          <w:lang w:val="en-GB"/>
        </w:rPr>
        <w:t>prior to submitting a proposal related to the regulation of online platforms</w:t>
      </w:r>
      <w:r w:rsidR="00363113">
        <w:rPr>
          <w:rFonts w:cstheme="minorHAnsi"/>
          <w:szCs w:val="20"/>
          <w:lang w:val="en-GB"/>
        </w:rPr>
        <w:t xml:space="preserve"> and ensure that it contains clear and predictable provisions for all content moderation and data retention practices, in line with the guarantees enshrined in the Convention</w:t>
      </w:r>
      <w:r w:rsidR="00B31EBB">
        <w:rPr>
          <w:rFonts w:cstheme="minorHAnsi"/>
          <w:szCs w:val="20"/>
          <w:lang w:val="en-GB"/>
        </w:rPr>
        <w:t xml:space="preserve"> and the relevant caselaw of the Court</w:t>
      </w:r>
      <w:r w:rsidR="0095158B">
        <w:rPr>
          <w:rFonts w:cstheme="minorHAnsi"/>
          <w:szCs w:val="20"/>
          <w:lang w:val="en-GB"/>
        </w:rPr>
        <w:t>;</w:t>
      </w:r>
    </w:p>
    <w:p w14:paraId="21EE06FE" w14:textId="5B9592FE" w:rsidR="00260831" w:rsidRDefault="00260831" w:rsidP="001A7208">
      <w:pPr>
        <w:tabs>
          <w:tab w:val="left" w:pos="1613"/>
        </w:tabs>
        <w:spacing w:after="0" w:line="240" w:lineRule="auto"/>
        <w:ind w:left="1071"/>
        <w:jc w:val="both"/>
        <w:rPr>
          <w:rFonts w:cstheme="minorHAnsi"/>
          <w:szCs w:val="20"/>
          <w:lang w:val="en-GB"/>
        </w:rPr>
      </w:pPr>
    </w:p>
    <w:p w14:paraId="14350C18" w14:textId="3D00FBF9" w:rsidR="00B67B99" w:rsidRDefault="00B95DD0" w:rsidP="00B67B99">
      <w:pPr>
        <w:pStyle w:val="ListParagraph"/>
        <w:numPr>
          <w:ilvl w:val="0"/>
          <w:numId w:val="12"/>
        </w:numPr>
        <w:tabs>
          <w:tab w:val="left" w:pos="1613"/>
        </w:tabs>
        <w:spacing w:after="0" w:line="240" w:lineRule="auto"/>
        <w:jc w:val="both"/>
        <w:rPr>
          <w:rFonts w:cstheme="minorHAnsi"/>
          <w:szCs w:val="20"/>
          <w:lang w:val="en-GB"/>
        </w:rPr>
      </w:pPr>
      <w:r>
        <w:rPr>
          <w:rFonts w:cstheme="minorHAnsi"/>
          <w:szCs w:val="20"/>
          <w:lang w:val="en-GB"/>
        </w:rPr>
        <w:t>t</w:t>
      </w:r>
      <w:r w:rsidR="00B67B99">
        <w:rPr>
          <w:rFonts w:cstheme="minorHAnsi"/>
          <w:szCs w:val="20"/>
          <w:lang w:val="en-GB"/>
        </w:rPr>
        <w:t xml:space="preserve">ake proactive steps to enable the free exchange of diverse information and opinions as </w:t>
      </w:r>
      <w:r>
        <w:rPr>
          <w:rFonts w:cstheme="minorHAnsi"/>
          <w:szCs w:val="20"/>
          <w:lang w:val="en-GB"/>
        </w:rPr>
        <w:t xml:space="preserve">these are the </w:t>
      </w:r>
      <w:r w:rsidR="00B67B99">
        <w:rPr>
          <w:rFonts w:cstheme="minorHAnsi"/>
          <w:szCs w:val="20"/>
          <w:lang w:val="en-GB"/>
        </w:rPr>
        <w:t xml:space="preserve">best </w:t>
      </w:r>
      <w:r>
        <w:rPr>
          <w:rFonts w:cstheme="minorHAnsi"/>
          <w:szCs w:val="20"/>
          <w:lang w:val="en-GB"/>
        </w:rPr>
        <w:t xml:space="preserve">means of </w:t>
      </w:r>
      <w:r w:rsidR="00B67B99">
        <w:rPr>
          <w:rFonts w:cstheme="minorHAnsi"/>
          <w:szCs w:val="20"/>
          <w:lang w:val="en-GB"/>
        </w:rPr>
        <w:t>address</w:t>
      </w:r>
      <w:r>
        <w:rPr>
          <w:rFonts w:cstheme="minorHAnsi"/>
          <w:szCs w:val="20"/>
          <w:lang w:val="en-GB"/>
        </w:rPr>
        <w:t>ing</w:t>
      </w:r>
      <w:r w:rsidR="00B67B99">
        <w:rPr>
          <w:rFonts w:cstheme="minorHAnsi"/>
          <w:szCs w:val="20"/>
          <w:lang w:val="en-GB"/>
        </w:rPr>
        <w:t xml:space="preserve"> disinformation</w:t>
      </w:r>
      <w:r>
        <w:rPr>
          <w:rFonts w:cstheme="minorHAnsi"/>
          <w:szCs w:val="20"/>
          <w:lang w:val="en-GB"/>
        </w:rPr>
        <w:t>,</w:t>
      </w:r>
      <w:r w:rsidR="00B67B99">
        <w:rPr>
          <w:rFonts w:cstheme="minorHAnsi"/>
          <w:szCs w:val="20"/>
          <w:lang w:val="en-GB"/>
        </w:rPr>
        <w:t xml:space="preserve"> and ensur</w:t>
      </w:r>
      <w:r>
        <w:rPr>
          <w:rFonts w:cstheme="minorHAnsi"/>
          <w:szCs w:val="20"/>
          <w:lang w:val="en-GB"/>
        </w:rPr>
        <w:t>e</w:t>
      </w:r>
      <w:r w:rsidR="00B67B99">
        <w:rPr>
          <w:rFonts w:cstheme="minorHAnsi"/>
          <w:szCs w:val="20"/>
          <w:lang w:val="en-GB"/>
        </w:rPr>
        <w:t xml:space="preserve"> that </w:t>
      </w:r>
      <w:r>
        <w:rPr>
          <w:rFonts w:cstheme="minorHAnsi"/>
          <w:szCs w:val="20"/>
          <w:lang w:val="en-GB"/>
        </w:rPr>
        <w:t xml:space="preserve">the </w:t>
      </w:r>
      <w:r w:rsidR="00B67B99">
        <w:rPr>
          <w:rFonts w:cstheme="minorHAnsi"/>
          <w:szCs w:val="20"/>
          <w:lang w:val="en-GB"/>
        </w:rPr>
        <w:t xml:space="preserve">relevant Criminal Law provisions are compliant with the </w:t>
      </w:r>
      <w:r>
        <w:rPr>
          <w:rFonts w:cstheme="minorHAnsi"/>
          <w:szCs w:val="20"/>
          <w:lang w:val="en-GB"/>
        </w:rPr>
        <w:t>requirements</w:t>
      </w:r>
      <w:r w:rsidR="00B67B99">
        <w:rPr>
          <w:rFonts w:cstheme="minorHAnsi"/>
          <w:szCs w:val="20"/>
          <w:lang w:val="en-GB"/>
        </w:rPr>
        <w:t xml:space="preserve"> </w:t>
      </w:r>
      <w:r>
        <w:rPr>
          <w:rFonts w:cstheme="minorHAnsi"/>
          <w:szCs w:val="20"/>
          <w:lang w:val="en-GB"/>
        </w:rPr>
        <w:t>of</w:t>
      </w:r>
      <w:r w:rsidR="00B67B99">
        <w:rPr>
          <w:rFonts w:cstheme="minorHAnsi"/>
          <w:szCs w:val="20"/>
          <w:lang w:val="en-GB"/>
        </w:rPr>
        <w:t xml:space="preserve"> legality, necessity and proportiona</w:t>
      </w:r>
      <w:r>
        <w:rPr>
          <w:rFonts w:cstheme="minorHAnsi"/>
          <w:szCs w:val="20"/>
          <w:lang w:val="en-GB"/>
        </w:rPr>
        <w:t>lity</w:t>
      </w:r>
      <w:r w:rsidR="00B67B99">
        <w:rPr>
          <w:rFonts w:cstheme="minorHAnsi"/>
          <w:szCs w:val="20"/>
          <w:lang w:val="en-GB"/>
        </w:rPr>
        <w:t xml:space="preserve"> </w:t>
      </w:r>
      <w:r>
        <w:rPr>
          <w:rFonts w:cstheme="minorHAnsi"/>
          <w:szCs w:val="20"/>
          <w:lang w:val="en-GB"/>
        </w:rPr>
        <w:t>enshrine</w:t>
      </w:r>
      <w:r w:rsidR="00B67B99">
        <w:rPr>
          <w:rFonts w:cstheme="minorHAnsi"/>
          <w:szCs w:val="20"/>
          <w:lang w:val="en-GB"/>
        </w:rPr>
        <w:t xml:space="preserve">d in Article 10 of the Convention; </w:t>
      </w:r>
    </w:p>
    <w:p w14:paraId="58C1E690" w14:textId="77777777" w:rsidR="00B67B99" w:rsidRPr="00B67B99" w:rsidRDefault="00B67B99" w:rsidP="00B67B99">
      <w:pPr>
        <w:pStyle w:val="ListParagraph"/>
        <w:rPr>
          <w:rFonts w:cstheme="minorHAnsi"/>
          <w:szCs w:val="20"/>
          <w:lang w:val="en-GB"/>
        </w:rPr>
      </w:pPr>
    </w:p>
    <w:p w14:paraId="190A01EF" w14:textId="68429F86" w:rsidR="00363113" w:rsidRDefault="00B95DD0" w:rsidP="00611C07">
      <w:pPr>
        <w:pStyle w:val="ListParagraph"/>
        <w:numPr>
          <w:ilvl w:val="0"/>
          <w:numId w:val="12"/>
        </w:numPr>
        <w:tabs>
          <w:tab w:val="left" w:pos="1613"/>
        </w:tabs>
        <w:spacing w:after="0" w:line="240" w:lineRule="auto"/>
        <w:ind w:hanging="357"/>
        <w:jc w:val="both"/>
        <w:rPr>
          <w:rFonts w:cstheme="minorHAnsi"/>
          <w:szCs w:val="20"/>
          <w:lang w:val="en-GB"/>
        </w:rPr>
      </w:pPr>
      <w:r>
        <w:rPr>
          <w:rFonts w:cstheme="minorHAnsi"/>
          <w:szCs w:val="20"/>
          <w:lang w:val="en-GB"/>
        </w:rPr>
        <w:t>t</w:t>
      </w:r>
      <w:r w:rsidR="00363113">
        <w:rPr>
          <w:rFonts w:cstheme="minorHAnsi"/>
          <w:szCs w:val="20"/>
          <w:lang w:val="en-GB"/>
        </w:rPr>
        <w:t xml:space="preserve">ake all </w:t>
      </w:r>
      <w:r>
        <w:rPr>
          <w:rFonts w:cstheme="minorHAnsi"/>
          <w:szCs w:val="20"/>
          <w:lang w:val="en-GB"/>
        </w:rPr>
        <w:t xml:space="preserve">the </w:t>
      </w:r>
      <w:r w:rsidR="00363113">
        <w:rPr>
          <w:rFonts w:cstheme="minorHAnsi"/>
          <w:szCs w:val="20"/>
          <w:lang w:val="en-GB"/>
        </w:rPr>
        <w:t xml:space="preserve">necessary steps to implement the </w:t>
      </w:r>
      <w:proofErr w:type="spellStart"/>
      <w:r w:rsidR="00363113">
        <w:rPr>
          <w:rFonts w:cstheme="minorHAnsi"/>
          <w:szCs w:val="20"/>
          <w:lang w:val="en-GB"/>
        </w:rPr>
        <w:t>Troms</w:t>
      </w:r>
      <w:r w:rsidR="00363113">
        <w:rPr>
          <w:rFonts w:cs="Arial"/>
          <w:szCs w:val="20"/>
          <w:lang w:val="en-GB"/>
        </w:rPr>
        <w:t>ø</w:t>
      </w:r>
      <w:proofErr w:type="spellEnd"/>
      <w:r w:rsidR="00363113">
        <w:rPr>
          <w:rFonts w:cstheme="minorHAnsi"/>
          <w:szCs w:val="20"/>
          <w:lang w:val="en-GB"/>
        </w:rPr>
        <w:t xml:space="preserve"> Convention and ensure that strong public interest safeguards are included in </w:t>
      </w:r>
      <w:r>
        <w:rPr>
          <w:rFonts w:cstheme="minorHAnsi"/>
          <w:szCs w:val="20"/>
          <w:lang w:val="en-GB"/>
        </w:rPr>
        <w:t xml:space="preserve">the </w:t>
      </w:r>
      <w:r w:rsidR="00363113">
        <w:rPr>
          <w:rFonts w:cstheme="minorHAnsi"/>
          <w:szCs w:val="20"/>
          <w:lang w:val="en-GB"/>
        </w:rPr>
        <w:t>relevant legislat</w:t>
      </w:r>
      <w:r>
        <w:rPr>
          <w:rFonts w:cstheme="minorHAnsi"/>
          <w:szCs w:val="20"/>
          <w:lang w:val="en-GB"/>
        </w:rPr>
        <w:t xml:space="preserve">ion on </w:t>
      </w:r>
      <w:r w:rsidR="00E0670B">
        <w:rPr>
          <w:rFonts w:cstheme="minorHAnsi"/>
          <w:szCs w:val="20"/>
          <w:lang w:val="en-GB"/>
        </w:rPr>
        <w:t>access to public</w:t>
      </w:r>
      <w:r w:rsidR="00B31EBB">
        <w:rPr>
          <w:rFonts w:cstheme="minorHAnsi"/>
          <w:szCs w:val="20"/>
          <w:lang w:val="en-GB"/>
        </w:rPr>
        <w:t>ly held information</w:t>
      </w:r>
      <w:r w:rsidR="00363113">
        <w:rPr>
          <w:rFonts w:cstheme="minorHAnsi"/>
          <w:szCs w:val="20"/>
          <w:lang w:val="en-GB"/>
        </w:rPr>
        <w:t xml:space="preserve">; show respect for the independent opinions of the NAIH and reduce the applicable deadlines for freedom of information requests as </w:t>
      </w:r>
      <w:r w:rsidR="00CB62D1">
        <w:rPr>
          <w:rFonts w:cstheme="minorHAnsi"/>
          <w:szCs w:val="20"/>
          <w:lang w:val="en-GB"/>
        </w:rPr>
        <w:t>set</w:t>
      </w:r>
      <w:r w:rsidR="00363113">
        <w:rPr>
          <w:rFonts w:cstheme="minorHAnsi"/>
          <w:szCs w:val="20"/>
          <w:lang w:val="en-GB"/>
        </w:rPr>
        <w:t xml:space="preserve"> by Government Decree 521/2020 (XI.25); </w:t>
      </w:r>
    </w:p>
    <w:p w14:paraId="2FF8DF0E" w14:textId="77777777" w:rsidR="00363113" w:rsidRPr="00363113" w:rsidRDefault="00363113" w:rsidP="00611C07">
      <w:pPr>
        <w:pStyle w:val="ListParagraph"/>
        <w:jc w:val="both"/>
        <w:rPr>
          <w:rFonts w:cstheme="minorHAnsi"/>
          <w:szCs w:val="20"/>
          <w:lang w:val="en-GB"/>
        </w:rPr>
      </w:pPr>
    </w:p>
    <w:p w14:paraId="22CFFF97" w14:textId="0C1CE9CE" w:rsidR="00260831" w:rsidRDefault="00B95DD0" w:rsidP="00611C07">
      <w:pPr>
        <w:pStyle w:val="ListParagraph"/>
        <w:numPr>
          <w:ilvl w:val="0"/>
          <w:numId w:val="12"/>
        </w:numPr>
        <w:tabs>
          <w:tab w:val="left" w:pos="1613"/>
        </w:tabs>
        <w:spacing w:after="0" w:line="240" w:lineRule="auto"/>
        <w:ind w:hanging="357"/>
        <w:jc w:val="both"/>
        <w:rPr>
          <w:rFonts w:cstheme="minorHAnsi"/>
          <w:szCs w:val="20"/>
          <w:lang w:val="en-GB"/>
        </w:rPr>
      </w:pPr>
      <w:r>
        <w:rPr>
          <w:rFonts w:cstheme="minorHAnsi"/>
          <w:szCs w:val="20"/>
          <w:lang w:val="en-GB"/>
        </w:rPr>
        <w:t>p</w:t>
      </w:r>
      <w:r w:rsidR="00260831" w:rsidRPr="00260831">
        <w:rPr>
          <w:rFonts w:cstheme="minorHAnsi"/>
          <w:szCs w:val="20"/>
          <w:lang w:val="en-GB"/>
        </w:rPr>
        <w:t xml:space="preserve">ublish information on </w:t>
      </w:r>
      <w:r w:rsidR="00CB62D1">
        <w:rPr>
          <w:rFonts w:cstheme="minorHAnsi"/>
          <w:szCs w:val="20"/>
          <w:lang w:val="en-GB"/>
        </w:rPr>
        <w:t xml:space="preserve">the </w:t>
      </w:r>
      <w:r w:rsidR="00B67B99">
        <w:rPr>
          <w:rFonts w:cstheme="minorHAnsi"/>
          <w:szCs w:val="20"/>
          <w:lang w:val="en-GB"/>
        </w:rPr>
        <w:t>processes and distribution of state advertis</w:t>
      </w:r>
      <w:r w:rsidR="00CB62D1">
        <w:rPr>
          <w:rFonts w:cstheme="minorHAnsi"/>
          <w:szCs w:val="20"/>
          <w:lang w:val="en-GB"/>
        </w:rPr>
        <w:t>ing</w:t>
      </w:r>
      <w:r w:rsidR="00B67B99">
        <w:rPr>
          <w:rFonts w:cstheme="minorHAnsi"/>
          <w:szCs w:val="20"/>
          <w:lang w:val="en-GB"/>
        </w:rPr>
        <w:t xml:space="preserve"> revenues</w:t>
      </w:r>
      <w:r w:rsidR="00260831" w:rsidRPr="00260831">
        <w:rPr>
          <w:rFonts w:cstheme="minorHAnsi"/>
          <w:szCs w:val="20"/>
          <w:lang w:val="en-GB"/>
        </w:rPr>
        <w:t xml:space="preserve"> and</w:t>
      </w:r>
      <w:r w:rsidR="00582706">
        <w:rPr>
          <w:rFonts w:cstheme="minorHAnsi"/>
          <w:szCs w:val="20"/>
          <w:lang w:val="en-GB"/>
        </w:rPr>
        <w:t xml:space="preserve"> </w:t>
      </w:r>
      <w:r w:rsidR="00260831">
        <w:rPr>
          <w:rFonts w:cstheme="minorHAnsi"/>
          <w:szCs w:val="20"/>
          <w:lang w:val="en-GB"/>
        </w:rPr>
        <w:t>c</w:t>
      </w:r>
      <w:r w:rsidR="009C7093" w:rsidRPr="00260831">
        <w:rPr>
          <w:rFonts w:cstheme="minorHAnsi"/>
          <w:szCs w:val="20"/>
          <w:lang w:val="en-GB"/>
        </w:rPr>
        <w:t>omply with</w:t>
      </w:r>
      <w:r w:rsidR="00582706">
        <w:rPr>
          <w:rFonts w:cstheme="minorHAnsi"/>
          <w:szCs w:val="20"/>
          <w:lang w:val="en-GB"/>
        </w:rPr>
        <w:t xml:space="preserve"> Europe</w:t>
      </w:r>
      <w:r w:rsidR="00624232">
        <w:rPr>
          <w:rFonts w:cstheme="minorHAnsi"/>
          <w:szCs w:val="20"/>
          <w:lang w:val="en-GB"/>
        </w:rPr>
        <w:t xml:space="preserve">an standards related to </w:t>
      </w:r>
      <w:r w:rsidR="009C7093" w:rsidRPr="00260831">
        <w:rPr>
          <w:rFonts w:cstheme="minorHAnsi"/>
          <w:szCs w:val="20"/>
          <w:lang w:val="en-GB"/>
        </w:rPr>
        <w:t xml:space="preserve">transparency </w:t>
      </w:r>
      <w:r w:rsidR="00260831">
        <w:rPr>
          <w:rFonts w:cstheme="minorHAnsi"/>
          <w:szCs w:val="20"/>
          <w:lang w:val="en-GB"/>
        </w:rPr>
        <w:t xml:space="preserve">of </w:t>
      </w:r>
      <w:r w:rsidR="00B67B99">
        <w:rPr>
          <w:rFonts w:cstheme="minorHAnsi"/>
          <w:szCs w:val="20"/>
          <w:lang w:val="en-GB"/>
        </w:rPr>
        <w:t xml:space="preserve">media </w:t>
      </w:r>
      <w:r w:rsidR="00260831">
        <w:rPr>
          <w:rFonts w:cstheme="minorHAnsi"/>
          <w:szCs w:val="20"/>
          <w:lang w:val="en-GB"/>
        </w:rPr>
        <w:t xml:space="preserve">ownership </w:t>
      </w:r>
      <w:r w:rsidR="00582706">
        <w:rPr>
          <w:rFonts w:cstheme="minorHAnsi"/>
          <w:szCs w:val="20"/>
          <w:lang w:val="en-GB"/>
        </w:rPr>
        <w:t xml:space="preserve">and </w:t>
      </w:r>
      <w:r w:rsidR="00582706" w:rsidRPr="00582706">
        <w:rPr>
          <w:rFonts w:cstheme="minorHAnsi"/>
          <w:szCs w:val="20"/>
        </w:rPr>
        <w:t xml:space="preserve">the application of </w:t>
      </w:r>
      <w:r w:rsidR="00CB62D1">
        <w:rPr>
          <w:rFonts w:cstheme="minorHAnsi"/>
          <w:szCs w:val="20"/>
        </w:rPr>
        <w:t>s</w:t>
      </w:r>
      <w:r w:rsidR="00582706" w:rsidRPr="00582706">
        <w:rPr>
          <w:rFonts w:cstheme="minorHAnsi"/>
          <w:szCs w:val="20"/>
        </w:rPr>
        <w:t>tate aid rules to public service broadcasting</w:t>
      </w:r>
      <w:r w:rsidR="00E0670B">
        <w:rPr>
          <w:rFonts w:cstheme="minorHAnsi"/>
          <w:szCs w:val="20"/>
          <w:lang w:val="en-GB"/>
        </w:rPr>
        <w:t>;</w:t>
      </w:r>
    </w:p>
    <w:p w14:paraId="11D0963E" w14:textId="77777777" w:rsidR="00260831" w:rsidRDefault="00260831" w:rsidP="00611C07">
      <w:pPr>
        <w:tabs>
          <w:tab w:val="left" w:pos="1613"/>
        </w:tabs>
        <w:spacing w:after="0" w:line="240" w:lineRule="auto"/>
        <w:ind w:left="1071"/>
        <w:jc w:val="both"/>
        <w:rPr>
          <w:rFonts w:cstheme="minorHAnsi"/>
          <w:szCs w:val="20"/>
          <w:lang w:val="en-GB"/>
        </w:rPr>
      </w:pPr>
    </w:p>
    <w:p w14:paraId="162C1A26" w14:textId="77A2CEAF" w:rsidR="00611C07" w:rsidRDefault="00B95DD0" w:rsidP="00611C07">
      <w:pPr>
        <w:numPr>
          <w:ilvl w:val="0"/>
          <w:numId w:val="12"/>
        </w:numPr>
        <w:tabs>
          <w:tab w:val="left" w:pos="1613"/>
        </w:tabs>
        <w:spacing w:after="0" w:line="240" w:lineRule="auto"/>
        <w:ind w:left="1072" w:hanging="357"/>
        <w:contextualSpacing/>
        <w:jc w:val="both"/>
        <w:rPr>
          <w:rFonts w:cstheme="minorHAnsi"/>
          <w:szCs w:val="20"/>
          <w:lang w:val="en-GB"/>
        </w:rPr>
      </w:pPr>
      <w:r>
        <w:rPr>
          <w:rFonts w:cstheme="minorHAnsi"/>
          <w:szCs w:val="20"/>
          <w:lang w:val="en-GB"/>
        </w:rPr>
        <w:t>a</w:t>
      </w:r>
      <w:r w:rsidR="00611C07" w:rsidRPr="00611C07">
        <w:rPr>
          <w:rFonts w:cstheme="minorHAnsi"/>
          <w:szCs w:val="20"/>
          <w:lang w:val="en-GB"/>
        </w:rPr>
        <w:t>dhere to Council of Europe standards relat</w:t>
      </w:r>
      <w:r w:rsidR="00CB62D1">
        <w:rPr>
          <w:rFonts w:cstheme="minorHAnsi"/>
          <w:szCs w:val="20"/>
          <w:lang w:val="en-GB"/>
        </w:rPr>
        <w:t>ing</w:t>
      </w:r>
      <w:r w:rsidR="00611C07" w:rsidRPr="00611C07">
        <w:rPr>
          <w:rFonts w:cstheme="minorHAnsi"/>
          <w:szCs w:val="20"/>
          <w:lang w:val="en-GB"/>
        </w:rPr>
        <w:t xml:space="preserve"> to the protection of media pluralism and s</w:t>
      </w:r>
      <w:r w:rsidR="00B67B99" w:rsidRPr="00611C07">
        <w:rPr>
          <w:rFonts w:cstheme="minorHAnsi"/>
          <w:szCs w:val="20"/>
          <w:lang w:val="en-GB"/>
        </w:rPr>
        <w:t xml:space="preserve">how </w:t>
      </w:r>
      <w:r w:rsidR="00CB62D1">
        <w:rPr>
          <w:rFonts w:cstheme="minorHAnsi"/>
          <w:szCs w:val="20"/>
          <w:lang w:val="en-GB"/>
        </w:rPr>
        <w:t>due regard</w:t>
      </w:r>
      <w:r w:rsidR="00B67B99" w:rsidRPr="00611C07">
        <w:rPr>
          <w:rFonts w:cstheme="minorHAnsi"/>
          <w:szCs w:val="20"/>
          <w:lang w:val="en-GB"/>
        </w:rPr>
        <w:t xml:space="preserve"> for the editorial freedom of </w:t>
      </w:r>
      <w:r w:rsidR="00611C07" w:rsidRPr="00611C07">
        <w:rPr>
          <w:rFonts w:cstheme="minorHAnsi"/>
          <w:szCs w:val="20"/>
          <w:lang w:val="en-GB"/>
        </w:rPr>
        <w:t>all public and private media in Hungary;</w:t>
      </w:r>
      <w:r w:rsidR="00D84D00">
        <w:rPr>
          <w:rFonts w:cstheme="minorHAnsi"/>
          <w:szCs w:val="20"/>
          <w:lang w:val="en-GB"/>
        </w:rPr>
        <w:t xml:space="preserve"> actively promote a favourable environment for free political debate ahead of the 2022 parliamentary elections and ensure a level playing field for all candidates in terms of media coverage and application of campaign financing rules; </w:t>
      </w:r>
    </w:p>
    <w:p w14:paraId="221FAB54" w14:textId="77777777" w:rsidR="00611C07" w:rsidRDefault="00611C07" w:rsidP="00611C07">
      <w:pPr>
        <w:pStyle w:val="ListParagraph"/>
        <w:jc w:val="both"/>
        <w:rPr>
          <w:rFonts w:cstheme="minorHAnsi"/>
          <w:szCs w:val="20"/>
          <w:lang w:val="en-GB"/>
        </w:rPr>
      </w:pPr>
    </w:p>
    <w:p w14:paraId="3059F580" w14:textId="4ABD9BBA" w:rsidR="00B31EBB" w:rsidRDefault="00116590" w:rsidP="001F2C95">
      <w:pPr>
        <w:pStyle w:val="ListParagraph"/>
        <w:numPr>
          <w:ilvl w:val="0"/>
          <w:numId w:val="12"/>
        </w:numPr>
        <w:spacing w:after="0" w:line="240" w:lineRule="auto"/>
        <w:jc w:val="both"/>
        <w:rPr>
          <w:rFonts w:cstheme="minorHAnsi"/>
          <w:szCs w:val="20"/>
          <w:lang w:val="en-GB"/>
        </w:rPr>
      </w:pPr>
      <w:r>
        <w:rPr>
          <w:rFonts w:cstheme="minorHAnsi"/>
          <w:szCs w:val="20"/>
          <w:lang w:val="en-GB"/>
        </w:rPr>
        <w:t>p</w:t>
      </w:r>
      <w:r w:rsidR="00611C07" w:rsidRPr="00566AB8">
        <w:rPr>
          <w:rFonts w:cstheme="minorHAnsi"/>
          <w:szCs w:val="20"/>
          <w:lang w:val="en-GB"/>
        </w:rPr>
        <w:t xml:space="preserve">ublicly and promptly condemn all incidents of hate speech and verbal attacks against journalists and other media actors and put an end to the spread of smear campaigns and misinformation about civil society organisations, human rights defenders and those who </w:t>
      </w:r>
      <w:r w:rsidR="00CB62D1">
        <w:rPr>
          <w:rFonts w:cstheme="minorHAnsi"/>
          <w:szCs w:val="20"/>
          <w:lang w:val="en-GB"/>
        </w:rPr>
        <w:t xml:space="preserve">criticise </w:t>
      </w:r>
      <w:r w:rsidR="00611C07" w:rsidRPr="00566AB8">
        <w:rPr>
          <w:rFonts w:cstheme="minorHAnsi"/>
          <w:szCs w:val="20"/>
          <w:lang w:val="en-GB"/>
        </w:rPr>
        <w:t>the government</w:t>
      </w:r>
      <w:r w:rsidR="00B31EBB">
        <w:rPr>
          <w:rFonts w:cstheme="minorHAnsi"/>
          <w:szCs w:val="20"/>
          <w:lang w:val="en-GB"/>
        </w:rPr>
        <w:t>;</w:t>
      </w:r>
    </w:p>
    <w:p w14:paraId="062C0632" w14:textId="77777777" w:rsidR="00B31EBB" w:rsidRPr="00B31EBB" w:rsidRDefault="00B31EBB" w:rsidP="00B31EBB">
      <w:pPr>
        <w:pStyle w:val="ListParagraph"/>
        <w:rPr>
          <w:rFonts w:cstheme="minorHAnsi"/>
          <w:szCs w:val="20"/>
          <w:lang w:val="en-GB"/>
        </w:rPr>
      </w:pPr>
    </w:p>
    <w:p w14:paraId="64DD85D1" w14:textId="6F4C52BF" w:rsidR="002D557B" w:rsidRPr="00196A91" w:rsidRDefault="00CB62D1" w:rsidP="00196A91">
      <w:pPr>
        <w:pStyle w:val="ListParagraph"/>
        <w:numPr>
          <w:ilvl w:val="0"/>
          <w:numId w:val="12"/>
        </w:numPr>
        <w:tabs>
          <w:tab w:val="left" w:pos="1613"/>
        </w:tabs>
        <w:spacing w:after="0" w:line="240" w:lineRule="auto"/>
        <w:contextualSpacing w:val="0"/>
        <w:jc w:val="both"/>
        <w:rPr>
          <w:rFonts w:cstheme="minorHAnsi"/>
          <w:szCs w:val="20"/>
          <w:lang w:val="en-GB"/>
        </w:rPr>
      </w:pPr>
      <w:r>
        <w:rPr>
          <w:rFonts w:cstheme="minorHAnsi"/>
          <w:szCs w:val="20"/>
          <w:lang w:val="en-GB"/>
        </w:rPr>
        <w:t>s</w:t>
      </w:r>
      <w:r w:rsidR="00B31EBB" w:rsidRPr="00196A91">
        <w:rPr>
          <w:rFonts w:cstheme="minorHAnsi"/>
          <w:szCs w:val="20"/>
          <w:lang w:val="en-GB"/>
        </w:rPr>
        <w:t xml:space="preserve">how unequivocal commitment towards the rule of law and </w:t>
      </w:r>
      <w:r w:rsidR="009A545F" w:rsidRPr="00196A91">
        <w:rPr>
          <w:rFonts w:cstheme="minorHAnsi"/>
          <w:szCs w:val="20"/>
          <w:lang w:val="en-GB"/>
        </w:rPr>
        <w:t xml:space="preserve">implement </w:t>
      </w:r>
      <w:r w:rsidR="00B31EBB" w:rsidRPr="00196A91">
        <w:rPr>
          <w:rFonts w:cstheme="minorHAnsi"/>
          <w:szCs w:val="20"/>
          <w:lang w:val="en-GB"/>
        </w:rPr>
        <w:t>with immediate effect all outstanding judgments of national courts, the Court of Justice of the European Union and the European Court of Human Rights.</w:t>
      </w:r>
    </w:p>
    <w:p w14:paraId="4C2C91AD" w14:textId="620609C0" w:rsidR="002D557B" w:rsidRPr="00663E17" w:rsidRDefault="002D557B" w:rsidP="00611C07">
      <w:pPr>
        <w:tabs>
          <w:tab w:val="left" w:pos="1613"/>
        </w:tabs>
        <w:spacing w:after="0" w:line="240" w:lineRule="auto"/>
        <w:ind w:left="426" w:hanging="357"/>
        <w:jc w:val="both"/>
        <w:rPr>
          <w:rFonts w:cstheme="minorHAnsi"/>
          <w:szCs w:val="20"/>
          <w:lang w:val="en-GB"/>
        </w:rPr>
      </w:pPr>
    </w:p>
    <w:p w14:paraId="1CB0F66D" w14:textId="32FDCCF3" w:rsidR="00DF75A5" w:rsidRPr="00663E17" w:rsidRDefault="00DF75A5" w:rsidP="00CE0A0B">
      <w:pPr>
        <w:tabs>
          <w:tab w:val="left" w:pos="1613"/>
        </w:tabs>
        <w:spacing w:after="0" w:line="240" w:lineRule="auto"/>
        <w:ind w:left="426" w:hanging="357"/>
        <w:jc w:val="both"/>
        <w:rPr>
          <w:rFonts w:cstheme="minorHAnsi"/>
          <w:szCs w:val="20"/>
          <w:lang w:val="en-GB"/>
        </w:rPr>
      </w:pPr>
    </w:p>
    <w:sectPr w:rsidR="00DF75A5" w:rsidRPr="00663E17" w:rsidSect="00770022">
      <w:headerReference w:type="default" r:id="rId15"/>
      <w:footerReference w:type="default" r:id="rId16"/>
      <w:headerReference w:type="first" r:id="rId17"/>
      <w:footerReference w:type="first" r:id="rId18"/>
      <w:pgSz w:w="12240" w:h="15840" w:code="1"/>
      <w:pgMar w:top="1361" w:right="1418" w:bottom="1361"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B4239" w14:textId="77777777" w:rsidR="001B38BC" w:rsidRDefault="001B38BC" w:rsidP="002227B3">
      <w:pPr>
        <w:spacing w:after="0" w:line="240" w:lineRule="auto"/>
      </w:pPr>
      <w:r>
        <w:separator/>
      </w:r>
    </w:p>
  </w:endnote>
  <w:endnote w:type="continuationSeparator" w:id="0">
    <w:p w14:paraId="03C28189" w14:textId="77777777" w:rsidR="001B38BC" w:rsidRDefault="001B38BC" w:rsidP="0022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3695020"/>
      <w:docPartObj>
        <w:docPartGallery w:val="Page Numbers (Bottom of Page)"/>
        <w:docPartUnique/>
      </w:docPartObj>
    </w:sdtPr>
    <w:sdtEndPr/>
    <w:sdtContent>
      <w:p w14:paraId="5B5624CB" w14:textId="12F034F2" w:rsidR="000710F0" w:rsidRDefault="000710F0">
        <w:pPr>
          <w:pStyle w:val="Footer"/>
          <w:jc w:val="right"/>
        </w:pPr>
        <w:r>
          <w:fldChar w:fldCharType="begin"/>
        </w:r>
        <w:r>
          <w:instrText>PAGE   \* MERGEFORMAT</w:instrText>
        </w:r>
        <w:r>
          <w:fldChar w:fldCharType="separate"/>
        </w:r>
        <w:r>
          <w:rPr>
            <w:lang w:val="fr-FR"/>
          </w:rPr>
          <w:t>2</w:t>
        </w:r>
        <w:r>
          <w:fldChar w:fldCharType="end"/>
        </w:r>
      </w:p>
    </w:sdtContent>
  </w:sdt>
  <w:p w14:paraId="6CC2A64C" w14:textId="77777777" w:rsidR="000710F0" w:rsidRDefault="00071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3" w:type="dxa"/>
      <w:tblInd w:w="-567" w:type="dxa"/>
      <w:tblLayout w:type="fixed"/>
      <w:tblLook w:val="0000" w:firstRow="0" w:lastRow="0" w:firstColumn="0" w:lastColumn="0" w:noHBand="0" w:noVBand="0"/>
    </w:tblPr>
    <w:tblGrid>
      <w:gridCol w:w="5171"/>
      <w:gridCol w:w="5172"/>
    </w:tblGrid>
    <w:tr w:rsidR="00EC4851" w:rsidRPr="00596709" w14:paraId="6A877A9E" w14:textId="77777777" w:rsidTr="00770022">
      <w:trPr>
        <w:trHeight w:val="788"/>
      </w:trPr>
      <w:tc>
        <w:tcPr>
          <w:tcW w:w="5171" w:type="dxa"/>
          <w:shd w:val="clear" w:color="auto" w:fill="auto"/>
        </w:tcPr>
        <w:p w14:paraId="4C05A8AD" w14:textId="46885DFF" w:rsidR="00EC4851" w:rsidRPr="00254ECC" w:rsidRDefault="00EC4851" w:rsidP="00EC4851">
          <w:pPr>
            <w:rPr>
              <w:rFonts w:cs="Arial"/>
              <w:szCs w:val="20"/>
              <w:lang w:val="en-GB"/>
            </w:rPr>
          </w:pPr>
          <w:r w:rsidRPr="00B82AF0">
            <w:rPr>
              <w:rFonts w:cs="Arial"/>
              <w:szCs w:val="20"/>
              <w:lang w:val="tr-TR"/>
            </w:rPr>
            <w:t>Stra</w:t>
          </w:r>
          <w:r>
            <w:rPr>
              <w:rFonts w:cs="Arial"/>
              <w:szCs w:val="20"/>
              <w:lang w:val="tr-TR"/>
            </w:rPr>
            <w:t>s</w:t>
          </w:r>
          <w:r w:rsidRPr="00B82AF0">
            <w:rPr>
              <w:rFonts w:cs="Arial"/>
              <w:szCs w:val="20"/>
              <w:lang w:val="tr-TR"/>
            </w:rPr>
            <w:t>b</w:t>
          </w:r>
          <w:r>
            <w:rPr>
              <w:rFonts w:cs="Arial"/>
              <w:szCs w:val="20"/>
              <w:lang w:val="tr-TR"/>
            </w:rPr>
            <w:t>o</w:t>
          </w:r>
          <w:r w:rsidRPr="00B82AF0">
            <w:rPr>
              <w:rFonts w:cs="Arial"/>
              <w:szCs w:val="20"/>
              <w:lang w:val="tr-TR"/>
            </w:rPr>
            <w:t xml:space="preserve">urg, </w:t>
          </w:r>
          <w:r w:rsidR="0059573B">
            <w:rPr>
              <w:rFonts w:cs="Arial"/>
              <w:szCs w:val="20"/>
              <w:lang w:val="tr-TR"/>
            </w:rPr>
            <w:t>30</w:t>
          </w:r>
          <w:r>
            <w:rPr>
              <w:rFonts w:cs="Arial"/>
              <w:szCs w:val="20"/>
              <w:lang w:val="tr-TR"/>
            </w:rPr>
            <w:t xml:space="preserve"> March</w:t>
          </w:r>
          <w:r w:rsidRPr="00B82AF0">
            <w:rPr>
              <w:rFonts w:cs="Arial"/>
              <w:szCs w:val="20"/>
              <w:lang w:val="tr-TR"/>
            </w:rPr>
            <w:t xml:space="preserve"> 202</w:t>
          </w:r>
          <w:r>
            <w:rPr>
              <w:rFonts w:cs="Arial"/>
              <w:szCs w:val="20"/>
              <w:lang w:val="tr-TR"/>
            </w:rPr>
            <w:t>1</w:t>
          </w:r>
        </w:p>
      </w:tc>
      <w:tc>
        <w:tcPr>
          <w:tcW w:w="5172" w:type="dxa"/>
          <w:shd w:val="clear" w:color="auto" w:fill="auto"/>
        </w:tcPr>
        <w:p w14:paraId="6DB597A5" w14:textId="61A2F6BE" w:rsidR="00EC4851" w:rsidRPr="00254ECC" w:rsidRDefault="00EC4851" w:rsidP="00770022">
          <w:pPr>
            <w:jc w:val="right"/>
            <w:rPr>
              <w:rFonts w:cs="Arial"/>
              <w:szCs w:val="20"/>
              <w:lang w:val="en-GB"/>
            </w:rPr>
          </w:pPr>
          <w:proofErr w:type="spellStart"/>
          <w:r w:rsidRPr="00254ECC">
            <w:rPr>
              <w:rFonts w:cs="Arial"/>
              <w:szCs w:val="20"/>
              <w:lang w:val="en-GB"/>
            </w:rPr>
            <w:t>CommDH</w:t>
          </w:r>
          <w:proofErr w:type="spellEnd"/>
          <w:r w:rsidRPr="00254ECC">
            <w:rPr>
              <w:rFonts w:cs="Arial"/>
              <w:szCs w:val="20"/>
              <w:lang w:val="en-GB"/>
            </w:rPr>
            <w:t>(20</w:t>
          </w:r>
          <w:r>
            <w:rPr>
              <w:rFonts w:cs="Arial"/>
              <w:szCs w:val="20"/>
              <w:lang w:val="en-GB"/>
            </w:rPr>
            <w:t>21</w:t>
          </w:r>
          <w:r w:rsidRPr="00254ECC">
            <w:rPr>
              <w:rFonts w:cs="Arial"/>
              <w:szCs w:val="20"/>
              <w:lang w:val="en-GB"/>
            </w:rPr>
            <w:t>)</w:t>
          </w:r>
          <w:r w:rsidR="0059573B">
            <w:rPr>
              <w:rFonts w:cs="Arial"/>
              <w:szCs w:val="20"/>
              <w:lang w:val="en-GB"/>
            </w:rPr>
            <w:t>10</w:t>
          </w:r>
        </w:p>
      </w:tc>
    </w:tr>
  </w:tbl>
  <w:p w14:paraId="44B74136" w14:textId="77777777" w:rsidR="00EC4851" w:rsidRDefault="00EC4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5F1C6" w14:textId="77777777" w:rsidR="001B38BC" w:rsidRDefault="001B38BC" w:rsidP="002227B3">
      <w:pPr>
        <w:spacing w:after="0" w:line="240" w:lineRule="auto"/>
      </w:pPr>
      <w:r>
        <w:separator/>
      </w:r>
    </w:p>
  </w:footnote>
  <w:footnote w:type="continuationSeparator" w:id="0">
    <w:p w14:paraId="07373529" w14:textId="77777777" w:rsidR="001B38BC" w:rsidRDefault="001B38BC" w:rsidP="002227B3">
      <w:pPr>
        <w:spacing w:after="0" w:line="240" w:lineRule="auto"/>
      </w:pPr>
      <w:r>
        <w:continuationSeparator/>
      </w:r>
    </w:p>
  </w:footnote>
  <w:footnote w:id="1">
    <w:p w14:paraId="13596017" w14:textId="1F21E4AC" w:rsidR="000710F0" w:rsidRPr="000710F0" w:rsidRDefault="000710F0" w:rsidP="008938F6">
      <w:pPr>
        <w:pStyle w:val="FootnoteText"/>
        <w:jc w:val="both"/>
        <w:rPr>
          <w:sz w:val="18"/>
          <w:szCs w:val="18"/>
        </w:rPr>
      </w:pPr>
      <w:r w:rsidRPr="000710F0">
        <w:rPr>
          <w:rStyle w:val="FootnoteReference"/>
          <w:sz w:val="18"/>
          <w:szCs w:val="18"/>
        </w:rPr>
        <w:footnoteRef/>
      </w:r>
      <w:r w:rsidRPr="000710F0">
        <w:rPr>
          <w:sz w:val="18"/>
          <w:szCs w:val="18"/>
        </w:rPr>
        <w:t xml:space="preserve"> </w:t>
      </w:r>
      <w:r>
        <w:rPr>
          <w:sz w:val="18"/>
          <w:szCs w:val="18"/>
        </w:rPr>
        <w:t xml:space="preserve">Media freedom issues were also raised in a </w:t>
      </w:r>
      <w:r w:rsidRPr="000710F0">
        <w:rPr>
          <w:sz w:val="18"/>
          <w:szCs w:val="18"/>
          <w:lang w:val="en-US"/>
        </w:rPr>
        <w:t xml:space="preserve">meeting </w:t>
      </w:r>
      <w:r w:rsidR="008938F6">
        <w:rPr>
          <w:sz w:val="18"/>
          <w:szCs w:val="18"/>
          <w:lang w:val="en-US"/>
        </w:rPr>
        <w:t xml:space="preserve">on </w:t>
      </w:r>
      <w:r w:rsidR="008938F6" w:rsidRPr="000710F0">
        <w:rPr>
          <w:sz w:val="18"/>
          <w:szCs w:val="18"/>
          <w:lang w:val="en-US"/>
        </w:rPr>
        <w:t xml:space="preserve">22 September 2020 </w:t>
      </w:r>
      <w:r w:rsidR="008938F6">
        <w:rPr>
          <w:sz w:val="18"/>
          <w:szCs w:val="18"/>
          <w:lang w:val="en-US"/>
        </w:rPr>
        <w:t xml:space="preserve">in Strasbourg </w:t>
      </w:r>
      <w:r>
        <w:rPr>
          <w:sz w:val="18"/>
          <w:szCs w:val="18"/>
          <w:lang w:val="en-US"/>
        </w:rPr>
        <w:t xml:space="preserve">between the Commissioner and the </w:t>
      </w:r>
      <w:r w:rsidRPr="000710F0">
        <w:rPr>
          <w:sz w:val="18"/>
          <w:szCs w:val="18"/>
          <w:lang w:val="en-US"/>
        </w:rPr>
        <w:t>Minister of Foreign Affairs and Trade of Hungary</w:t>
      </w:r>
      <w:r w:rsidR="008938F6">
        <w:rPr>
          <w:sz w:val="18"/>
          <w:szCs w:val="18"/>
          <w:lang w:val="en-US"/>
        </w:rPr>
        <w:t>.</w:t>
      </w:r>
    </w:p>
  </w:footnote>
  <w:footnote w:id="2">
    <w:p w14:paraId="4DAF8ECE" w14:textId="4555AC1D" w:rsidR="000710F0" w:rsidRPr="005264F8" w:rsidRDefault="000710F0" w:rsidP="004164B6">
      <w:pPr>
        <w:pStyle w:val="FootnoteText"/>
        <w:jc w:val="both"/>
        <w:rPr>
          <w:rFonts w:cstheme="minorHAnsi"/>
          <w:sz w:val="18"/>
          <w:szCs w:val="18"/>
        </w:rPr>
      </w:pPr>
      <w:r w:rsidRPr="005264F8">
        <w:rPr>
          <w:rStyle w:val="FootnoteReference"/>
          <w:rFonts w:cstheme="minorHAnsi"/>
          <w:sz w:val="18"/>
          <w:szCs w:val="18"/>
        </w:rPr>
        <w:footnoteRef/>
      </w:r>
      <w:r w:rsidRPr="005264F8">
        <w:rPr>
          <w:rFonts w:cstheme="minorHAnsi"/>
          <w:sz w:val="18"/>
          <w:szCs w:val="18"/>
        </w:rPr>
        <w:t xml:space="preserve"> In </w:t>
      </w:r>
      <w:proofErr w:type="spellStart"/>
      <w:r w:rsidRPr="005264F8">
        <w:rPr>
          <w:rFonts w:cstheme="minorHAnsi"/>
          <w:i/>
          <w:iCs/>
          <w:sz w:val="18"/>
          <w:szCs w:val="18"/>
        </w:rPr>
        <w:t>Manole</w:t>
      </w:r>
      <w:proofErr w:type="spellEnd"/>
      <w:r w:rsidRPr="005264F8">
        <w:rPr>
          <w:rFonts w:cstheme="minorHAnsi"/>
          <w:i/>
          <w:iCs/>
          <w:sz w:val="18"/>
          <w:szCs w:val="18"/>
        </w:rPr>
        <w:t xml:space="preserve"> and Others v. Moldova</w:t>
      </w:r>
      <w:r w:rsidRPr="005264F8">
        <w:rPr>
          <w:rFonts w:cstheme="minorHAnsi"/>
          <w:sz w:val="18"/>
          <w:szCs w:val="18"/>
        </w:rPr>
        <w:t xml:space="preserve"> </w:t>
      </w:r>
      <w:r>
        <w:rPr>
          <w:rFonts w:cstheme="minorHAnsi"/>
          <w:sz w:val="18"/>
          <w:szCs w:val="18"/>
        </w:rPr>
        <w:t>(appl. no.</w:t>
      </w:r>
      <w:hyperlink r:id="rId1" w:anchor="{%22itemid%22:[%22001-94075%22]}" w:history="1">
        <w:r w:rsidRPr="00B91241">
          <w:rPr>
            <w:rStyle w:val="Hyperlink"/>
            <w:rFonts w:cstheme="minorHAnsi"/>
            <w:sz w:val="18"/>
            <w:szCs w:val="18"/>
          </w:rPr>
          <w:t>13936/02</w:t>
        </w:r>
      </w:hyperlink>
      <w:r w:rsidRPr="005264F8">
        <w:rPr>
          <w:rFonts w:cstheme="minorHAnsi"/>
          <w:sz w:val="18"/>
          <w:szCs w:val="18"/>
        </w:rPr>
        <w:t>)</w:t>
      </w:r>
      <w:r>
        <w:rPr>
          <w:rFonts w:cstheme="minorHAnsi"/>
          <w:sz w:val="18"/>
          <w:szCs w:val="18"/>
        </w:rPr>
        <w:t>, judgment</w:t>
      </w:r>
      <w:r w:rsidRPr="005264F8">
        <w:rPr>
          <w:rFonts w:cstheme="minorHAnsi"/>
          <w:sz w:val="18"/>
          <w:szCs w:val="18"/>
        </w:rPr>
        <w:t xml:space="preserve"> of 17 September 2009</w:t>
      </w:r>
      <w:r>
        <w:rPr>
          <w:rFonts w:cstheme="minorHAnsi"/>
          <w:sz w:val="18"/>
          <w:szCs w:val="18"/>
        </w:rPr>
        <w:t>)</w:t>
      </w:r>
      <w:r w:rsidRPr="005264F8">
        <w:rPr>
          <w:rFonts w:cstheme="minorHAnsi"/>
          <w:sz w:val="18"/>
          <w:szCs w:val="18"/>
        </w:rPr>
        <w:t xml:space="preserve">, the Court held that States must be the ultimate guarantors of media pluralism, without which there can be no democracy. </w:t>
      </w:r>
      <w:r>
        <w:rPr>
          <w:rFonts w:cstheme="minorHAnsi"/>
          <w:sz w:val="18"/>
          <w:szCs w:val="18"/>
        </w:rPr>
        <w:t xml:space="preserve">In accordance with </w:t>
      </w:r>
      <w:r w:rsidRPr="005264F8">
        <w:rPr>
          <w:rFonts w:cstheme="minorHAnsi"/>
          <w:sz w:val="18"/>
          <w:szCs w:val="18"/>
        </w:rPr>
        <w:t xml:space="preserve">their duties under Article 10, States must ensure that “the public has access through television and radio to…a range of opinion and comment, reflecting inter alia the diversity of political outlook within the country.” </w:t>
      </w:r>
    </w:p>
  </w:footnote>
  <w:footnote w:id="3">
    <w:p w14:paraId="28DDEDEF" w14:textId="3987835F" w:rsidR="000710F0" w:rsidRPr="005264F8" w:rsidRDefault="000710F0" w:rsidP="00A8405B">
      <w:pPr>
        <w:pStyle w:val="FootnoteText"/>
        <w:jc w:val="both"/>
        <w:rPr>
          <w:rFonts w:cstheme="minorHAnsi"/>
          <w:sz w:val="18"/>
          <w:szCs w:val="18"/>
        </w:rPr>
      </w:pPr>
      <w:r w:rsidRPr="005264F8">
        <w:rPr>
          <w:rStyle w:val="FootnoteReference"/>
          <w:rFonts w:cstheme="minorHAnsi"/>
          <w:sz w:val="18"/>
          <w:szCs w:val="18"/>
        </w:rPr>
        <w:footnoteRef/>
      </w:r>
      <w:r w:rsidRPr="005264F8">
        <w:rPr>
          <w:rFonts w:cstheme="minorHAnsi"/>
          <w:sz w:val="18"/>
          <w:szCs w:val="18"/>
        </w:rPr>
        <w:t xml:space="preserve"> See, among others, the </w:t>
      </w:r>
      <w:hyperlink r:id="rId2" w:history="1">
        <w:r w:rsidRPr="005264F8">
          <w:rPr>
            <w:rStyle w:val="Hyperlink"/>
            <w:rFonts w:cstheme="minorHAnsi"/>
            <w:sz w:val="18"/>
            <w:szCs w:val="18"/>
          </w:rPr>
          <w:t>Opinion of the Commissioner for Human Rights</w:t>
        </w:r>
      </w:hyperlink>
      <w:r w:rsidRPr="005264F8">
        <w:rPr>
          <w:rFonts w:cstheme="minorHAnsi"/>
          <w:sz w:val="18"/>
          <w:szCs w:val="18"/>
        </w:rPr>
        <w:t xml:space="preserve"> </w:t>
      </w:r>
      <w:r>
        <w:rPr>
          <w:rFonts w:cstheme="minorHAnsi"/>
          <w:sz w:val="18"/>
          <w:szCs w:val="18"/>
        </w:rPr>
        <w:t>“</w:t>
      </w:r>
      <w:r w:rsidRPr="005264F8">
        <w:rPr>
          <w:rFonts w:cstheme="minorHAnsi"/>
          <w:sz w:val="18"/>
          <w:szCs w:val="18"/>
        </w:rPr>
        <w:t>Hungary’s Media Legislation in light of Council of Europe standards on freedom of the media</w:t>
      </w:r>
      <w:r>
        <w:rPr>
          <w:rFonts w:cstheme="minorHAnsi"/>
          <w:sz w:val="18"/>
          <w:szCs w:val="18"/>
        </w:rPr>
        <w:t>”</w:t>
      </w:r>
      <w:r w:rsidRPr="005264F8">
        <w:rPr>
          <w:rFonts w:cstheme="minorHAnsi"/>
          <w:sz w:val="18"/>
          <w:szCs w:val="18"/>
        </w:rPr>
        <w:t xml:space="preserve"> of 25 February 2011,</w:t>
      </w:r>
      <w:r>
        <w:rPr>
          <w:rFonts w:cstheme="minorHAnsi"/>
          <w:sz w:val="18"/>
          <w:szCs w:val="18"/>
        </w:rPr>
        <w:t xml:space="preserve"> the l</w:t>
      </w:r>
      <w:r w:rsidRPr="009126DD">
        <w:rPr>
          <w:rFonts w:cstheme="minorHAnsi"/>
          <w:sz w:val="18"/>
          <w:szCs w:val="18"/>
        </w:rPr>
        <w:t xml:space="preserve">egal </w:t>
      </w:r>
      <w:r>
        <w:rPr>
          <w:rFonts w:cstheme="minorHAnsi"/>
          <w:sz w:val="18"/>
          <w:szCs w:val="18"/>
        </w:rPr>
        <w:t>a</w:t>
      </w:r>
      <w:r w:rsidRPr="009126DD">
        <w:rPr>
          <w:rFonts w:cstheme="minorHAnsi"/>
          <w:sz w:val="18"/>
          <w:szCs w:val="18"/>
        </w:rPr>
        <w:t>nalys</w:t>
      </w:r>
      <w:r>
        <w:rPr>
          <w:rFonts w:cstheme="minorHAnsi"/>
          <w:sz w:val="18"/>
          <w:szCs w:val="18"/>
        </w:rPr>
        <w:t>e</w:t>
      </w:r>
      <w:r w:rsidRPr="009126DD">
        <w:rPr>
          <w:rFonts w:cstheme="minorHAnsi"/>
          <w:sz w:val="18"/>
          <w:szCs w:val="18"/>
        </w:rPr>
        <w:t>s</w:t>
      </w:r>
      <w:r>
        <w:rPr>
          <w:rFonts w:cstheme="minorHAnsi"/>
          <w:sz w:val="18"/>
          <w:szCs w:val="18"/>
        </w:rPr>
        <w:t xml:space="preserve"> of Hungarian media legislation, published by the OSCE Representative on Freedom of the Media (</w:t>
      </w:r>
      <w:proofErr w:type="spellStart"/>
      <w:r>
        <w:rPr>
          <w:rFonts w:cstheme="minorHAnsi"/>
          <w:sz w:val="18"/>
          <w:szCs w:val="18"/>
        </w:rPr>
        <w:t>RFoM</w:t>
      </w:r>
      <w:proofErr w:type="spellEnd"/>
      <w:r>
        <w:rPr>
          <w:rFonts w:cstheme="minorHAnsi"/>
          <w:sz w:val="18"/>
          <w:szCs w:val="18"/>
        </w:rPr>
        <w:t xml:space="preserve">) in </w:t>
      </w:r>
      <w:hyperlink r:id="rId3" w:history="1">
        <w:r w:rsidRPr="009126DD">
          <w:rPr>
            <w:rStyle w:val="Hyperlink"/>
            <w:rFonts w:cstheme="minorHAnsi"/>
            <w:sz w:val="18"/>
            <w:szCs w:val="18"/>
          </w:rPr>
          <w:t>September 2010</w:t>
        </w:r>
      </w:hyperlink>
      <w:r>
        <w:rPr>
          <w:rFonts w:cstheme="minorHAnsi"/>
          <w:sz w:val="18"/>
          <w:szCs w:val="18"/>
        </w:rPr>
        <w:t xml:space="preserve"> and </w:t>
      </w:r>
      <w:hyperlink r:id="rId4" w:history="1">
        <w:r w:rsidRPr="009126DD">
          <w:rPr>
            <w:rStyle w:val="Hyperlink"/>
            <w:rFonts w:cstheme="minorHAnsi"/>
            <w:sz w:val="18"/>
            <w:szCs w:val="18"/>
          </w:rPr>
          <w:t>February 2011</w:t>
        </w:r>
      </w:hyperlink>
      <w:r>
        <w:rPr>
          <w:rFonts w:cstheme="minorHAnsi"/>
          <w:sz w:val="18"/>
          <w:szCs w:val="18"/>
        </w:rPr>
        <w:t>,</w:t>
      </w:r>
      <w:r w:rsidRPr="005264F8">
        <w:rPr>
          <w:rFonts w:cstheme="minorHAnsi"/>
          <w:sz w:val="18"/>
          <w:szCs w:val="18"/>
        </w:rPr>
        <w:t xml:space="preserve"> the </w:t>
      </w:r>
      <w:hyperlink r:id="rId5" w:history="1">
        <w:r w:rsidRPr="005264F8">
          <w:rPr>
            <w:rStyle w:val="Hyperlink"/>
            <w:rFonts w:cstheme="minorHAnsi"/>
            <w:sz w:val="18"/>
            <w:szCs w:val="18"/>
          </w:rPr>
          <w:t>End of mission statement</w:t>
        </w:r>
      </w:hyperlink>
      <w:r w:rsidRPr="005264F8">
        <w:rPr>
          <w:rFonts w:cstheme="minorHAnsi"/>
          <w:sz w:val="18"/>
          <w:szCs w:val="18"/>
        </w:rPr>
        <w:t xml:space="preserve"> of the UN </w:t>
      </w:r>
      <w:r w:rsidRPr="005264F8">
        <w:rPr>
          <w:rFonts w:cstheme="minorHAnsi"/>
          <w:sz w:val="18"/>
          <w:szCs w:val="18"/>
          <w:lang w:val="en-US"/>
        </w:rPr>
        <w:t xml:space="preserve">Special Rapporteur on the promotion and protection of the right to freedom of opinion </w:t>
      </w:r>
      <w:r>
        <w:rPr>
          <w:rFonts w:cstheme="minorHAnsi"/>
          <w:sz w:val="18"/>
          <w:szCs w:val="18"/>
          <w:lang w:val="en-US"/>
        </w:rPr>
        <w:t xml:space="preserve">and </w:t>
      </w:r>
      <w:r w:rsidRPr="005264F8">
        <w:rPr>
          <w:rFonts w:cstheme="minorHAnsi"/>
          <w:sz w:val="18"/>
          <w:szCs w:val="18"/>
          <w:lang w:val="en-US"/>
        </w:rPr>
        <w:t xml:space="preserve">expression </w:t>
      </w:r>
      <w:r w:rsidRPr="005264F8">
        <w:rPr>
          <w:rFonts w:cstheme="minorHAnsi"/>
          <w:sz w:val="18"/>
          <w:szCs w:val="18"/>
        </w:rPr>
        <w:t xml:space="preserve">of 5 April 2011, </w:t>
      </w:r>
      <w:r>
        <w:rPr>
          <w:rFonts w:cstheme="minorHAnsi"/>
          <w:sz w:val="18"/>
          <w:szCs w:val="18"/>
        </w:rPr>
        <w:t xml:space="preserve">and </w:t>
      </w:r>
      <w:r w:rsidRPr="005264F8">
        <w:rPr>
          <w:rFonts w:cstheme="minorHAnsi"/>
          <w:sz w:val="18"/>
          <w:szCs w:val="18"/>
        </w:rPr>
        <w:t xml:space="preserve">the </w:t>
      </w:r>
      <w:hyperlink r:id="rId6" w:history="1">
        <w:r w:rsidRPr="005264F8">
          <w:rPr>
            <w:rStyle w:val="Hyperlink"/>
            <w:rFonts w:cstheme="minorHAnsi"/>
            <w:sz w:val="18"/>
            <w:szCs w:val="18"/>
          </w:rPr>
          <w:t>Opinion of the Venice Commission</w:t>
        </w:r>
      </w:hyperlink>
      <w:r w:rsidRPr="005264F8">
        <w:rPr>
          <w:rFonts w:cstheme="minorHAnsi"/>
          <w:sz w:val="18"/>
          <w:szCs w:val="18"/>
        </w:rPr>
        <w:t xml:space="preserve"> on Media Legislation of Hungary, adopted on 22 June 2015</w:t>
      </w:r>
      <w:r>
        <w:rPr>
          <w:rFonts w:cstheme="minorHAnsi"/>
          <w:sz w:val="18"/>
          <w:szCs w:val="18"/>
        </w:rPr>
        <w:t>. In t</w:t>
      </w:r>
      <w:r w:rsidRPr="005264F8">
        <w:rPr>
          <w:rFonts w:cstheme="minorHAnsi"/>
          <w:sz w:val="18"/>
          <w:szCs w:val="18"/>
        </w:rPr>
        <w:t xml:space="preserve">his memorandum, the term ‘media legislation’ is used to refer to the so-called media package which comprises Hungary’s Act CLXXXV </w:t>
      </w:r>
      <w:r>
        <w:rPr>
          <w:rFonts w:cstheme="minorHAnsi"/>
          <w:sz w:val="18"/>
          <w:szCs w:val="18"/>
        </w:rPr>
        <w:t xml:space="preserve">of 2010 </w:t>
      </w:r>
      <w:r w:rsidRPr="005264F8">
        <w:rPr>
          <w:rFonts w:cstheme="minorHAnsi"/>
          <w:sz w:val="18"/>
          <w:szCs w:val="18"/>
        </w:rPr>
        <w:t>on Media Services and the Mass Media (</w:t>
      </w:r>
      <w:r>
        <w:rPr>
          <w:rFonts w:cstheme="minorHAnsi"/>
          <w:sz w:val="18"/>
          <w:szCs w:val="18"/>
        </w:rPr>
        <w:t xml:space="preserve">the </w:t>
      </w:r>
      <w:r w:rsidRPr="005264F8">
        <w:rPr>
          <w:rFonts w:cstheme="minorHAnsi"/>
          <w:sz w:val="18"/>
          <w:szCs w:val="18"/>
        </w:rPr>
        <w:t>Media Act), and Act CIV</w:t>
      </w:r>
      <w:r>
        <w:rPr>
          <w:rFonts w:cstheme="minorHAnsi"/>
          <w:sz w:val="18"/>
          <w:szCs w:val="18"/>
        </w:rPr>
        <w:t xml:space="preserve"> of 2010 </w:t>
      </w:r>
      <w:r w:rsidRPr="005264F8">
        <w:rPr>
          <w:rFonts w:cstheme="minorHAnsi"/>
          <w:sz w:val="18"/>
          <w:szCs w:val="18"/>
        </w:rPr>
        <w:t>on the Freedom of the Press (</w:t>
      </w:r>
      <w:r>
        <w:rPr>
          <w:rFonts w:cstheme="minorHAnsi"/>
          <w:sz w:val="18"/>
          <w:szCs w:val="18"/>
        </w:rPr>
        <w:t xml:space="preserve">the </w:t>
      </w:r>
      <w:r w:rsidRPr="005264F8">
        <w:rPr>
          <w:rFonts w:cstheme="minorHAnsi"/>
          <w:sz w:val="18"/>
          <w:szCs w:val="18"/>
        </w:rPr>
        <w:t xml:space="preserve">Press Act). </w:t>
      </w:r>
    </w:p>
  </w:footnote>
  <w:footnote w:id="4">
    <w:p w14:paraId="16B37540" w14:textId="501D8722" w:rsidR="000710F0" w:rsidRPr="005264F8" w:rsidRDefault="000710F0" w:rsidP="00A8405B">
      <w:pPr>
        <w:pStyle w:val="FootnoteText"/>
        <w:jc w:val="both"/>
        <w:rPr>
          <w:rFonts w:cstheme="minorHAnsi"/>
          <w:sz w:val="18"/>
          <w:szCs w:val="18"/>
        </w:rPr>
      </w:pPr>
      <w:r w:rsidRPr="005264F8">
        <w:rPr>
          <w:rStyle w:val="FootnoteReference"/>
          <w:rFonts w:cstheme="minorHAnsi"/>
          <w:sz w:val="18"/>
          <w:szCs w:val="18"/>
        </w:rPr>
        <w:footnoteRef/>
      </w:r>
      <w:r w:rsidRPr="005264F8">
        <w:rPr>
          <w:rFonts w:cstheme="minorHAnsi"/>
          <w:sz w:val="18"/>
          <w:szCs w:val="18"/>
        </w:rPr>
        <w:t xml:space="preserve"> See also </w:t>
      </w:r>
      <w:r>
        <w:rPr>
          <w:rFonts w:cstheme="minorHAnsi"/>
          <w:sz w:val="18"/>
          <w:szCs w:val="18"/>
        </w:rPr>
        <w:t xml:space="preserve">the </w:t>
      </w:r>
      <w:r w:rsidRPr="005264F8">
        <w:rPr>
          <w:rFonts w:cstheme="minorHAnsi"/>
          <w:sz w:val="18"/>
          <w:szCs w:val="18"/>
        </w:rPr>
        <w:t>Commissioner</w:t>
      </w:r>
      <w:r>
        <w:rPr>
          <w:rFonts w:cstheme="minorHAnsi"/>
          <w:sz w:val="18"/>
          <w:szCs w:val="18"/>
        </w:rPr>
        <w:t xml:space="preserve">’s </w:t>
      </w:r>
      <w:hyperlink r:id="rId7" w:history="1">
        <w:r>
          <w:rPr>
            <w:rStyle w:val="Hyperlink"/>
            <w:rFonts w:cstheme="minorHAnsi"/>
            <w:sz w:val="18"/>
            <w:szCs w:val="18"/>
          </w:rPr>
          <w:t>R</w:t>
        </w:r>
        <w:r w:rsidRPr="00A77FB8">
          <w:rPr>
            <w:rStyle w:val="Hyperlink"/>
            <w:rFonts w:cstheme="minorHAnsi"/>
            <w:sz w:val="18"/>
            <w:szCs w:val="18"/>
          </w:rPr>
          <w:t>eport</w:t>
        </w:r>
      </w:hyperlink>
      <w:r w:rsidRPr="005264F8">
        <w:rPr>
          <w:rFonts w:cstheme="minorHAnsi"/>
          <w:sz w:val="18"/>
          <w:szCs w:val="18"/>
        </w:rPr>
        <w:t xml:space="preserve"> </w:t>
      </w:r>
      <w:r>
        <w:rPr>
          <w:rFonts w:cstheme="minorHAnsi"/>
          <w:sz w:val="18"/>
          <w:szCs w:val="18"/>
        </w:rPr>
        <w:t xml:space="preserve">of </w:t>
      </w:r>
      <w:r w:rsidRPr="005264F8">
        <w:rPr>
          <w:rFonts w:cstheme="minorHAnsi"/>
          <w:sz w:val="18"/>
          <w:szCs w:val="18"/>
        </w:rPr>
        <w:t>July 2014.</w:t>
      </w:r>
    </w:p>
  </w:footnote>
  <w:footnote w:id="5">
    <w:p w14:paraId="41BCC28A" w14:textId="475AABD0" w:rsidR="000710F0" w:rsidRPr="005264F8" w:rsidRDefault="000710F0" w:rsidP="00A8405B">
      <w:pPr>
        <w:pStyle w:val="FootnoteText"/>
        <w:jc w:val="both"/>
        <w:rPr>
          <w:rFonts w:cstheme="minorHAnsi"/>
          <w:sz w:val="18"/>
          <w:szCs w:val="18"/>
        </w:rPr>
      </w:pPr>
      <w:r w:rsidRPr="005264F8">
        <w:rPr>
          <w:rStyle w:val="FootnoteReference"/>
          <w:rFonts w:cstheme="minorHAnsi"/>
          <w:sz w:val="18"/>
          <w:szCs w:val="18"/>
        </w:rPr>
        <w:footnoteRef/>
      </w:r>
      <w:r w:rsidRPr="005264F8">
        <w:rPr>
          <w:rFonts w:cstheme="minorHAnsi"/>
          <w:sz w:val="18"/>
          <w:szCs w:val="18"/>
        </w:rPr>
        <w:t xml:space="preserve"> See </w:t>
      </w:r>
      <w:r>
        <w:rPr>
          <w:rFonts w:cstheme="minorHAnsi"/>
          <w:sz w:val="18"/>
          <w:szCs w:val="18"/>
        </w:rPr>
        <w:t>Section</w:t>
      </w:r>
      <w:r w:rsidRPr="005264F8">
        <w:rPr>
          <w:rFonts w:cstheme="minorHAnsi"/>
          <w:sz w:val="18"/>
          <w:szCs w:val="18"/>
        </w:rPr>
        <w:t xml:space="preserve"> 109 of the Media Act.</w:t>
      </w:r>
    </w:p>
  </w:footnote>
  <w:footnote w:id="6">
    <w:p w14:paraId="41D8B8D3" w14:textId="2D2BADC9" w:rsidR="000710F0" w:rsidRPr="005264F8" w:rsidRDefault="000710F0" w:rsidP="001F2C95">
      <w:pPr>
        <w:pStyle w:val="FootnoteText"/>
        <w:jc w:val="both"/>
        <w:rPr>
          <w:rFonts w:cstheme="minorHAnsi"/>
          <w:sz w:val="18"/>
          <w:szCs w:val="18"/>
        </w:rPr>
      </w:pPr>
      <w:r w:rsidRPr="005264F8">
        <w:rPr>
          <w:rStyle w:val="FootnoteReference"/>
          <w:rFonts w:cstheme="minorHAnsi"/>
          <w:sz w:val="18"/>
          <w:szCs w:val="18"/>
        </w:rPr>
        <w:footnoteRef/>
      </w:r>
      <w:r w:rsidRPr="005264F8">
        <w:rPr>
          <w:rFonts w:cstheme="minorHAnsi"/>
          <w:sz w:val="18"/>
          <w:szCs w:val="18"/>
        </w:rPr>
        <w:t xml:space="preserve"> The law originally </w:t>
      </w:r>
      <w:r>
        <w:rPr>
          <w:rFonts w:cstheme="minorHAnsi"/>
          <w:sz w:val="18"/>
          <w:szCs w:val="18"/>
        </w:rPr>
        <w:t xml:space="preserve">provided for </w:t>
      </w:r>
      <w:r w:rsidRPr="005264F8">
        <w:rPr>
          <w:rFonts w:cstheme="minorHAnsi"/>
          <w:sz w:val="18"/>
          <w:szCs w:val="18"/>
        </w:rPr>
        <w:t xml:space="preserve">an appointment for a renewable term of nine years. In response to international criticism, the mandate of the President of the Media Authority became non-renewable in 2013. See Venice Commission </w:t>
      </w:r>
      <w:hyperlink r:id="rId8" w:history="1">
        <w:r w:rsidRPr="001F2C95">
          <w:rPr>
            <w:rStyle w:val="Hyperlink"/>
            <w:rFonts w:cstheme="minorHAnsi"/>
            <w:sz w:val="18"/>
            <w:szCs w:val="18"/>
          </w:rPr>
          <w:t>Opinion</w:t>
        </w:r>
      </w:hyperlink>
      <w:r w:rsidRPr="005264F8">
        <w:rPr>
          <w:rFonts w:cstheme="minorHAnsi"/>
          <w:sz w:val="18"/>
          <w:szCs w:val="18"/>
        </w:rPr>
        <w:t xml:space="preserve">. </w:t>
      </w:r>
    </w:p>
  </w:footnote>
  <w:footnote w:id="7">
    <w:p w14:paraId="5B139B4F" w14:textId="4EB5DF1F" w:rsidR="000710F0" w:rsidRPr="005264F8" w:rsidRDefault="000710F0" w:rsidP="00992544">
      <w:pPr>
        <w:pStyle w:val="FootnoteText"/>
        <w:rPr>
          <w:sz w:val="18"/>
          <w:szCs w:val="18"/>
        </w:rPr>
      </w:pPr>
      <w:r w:rsidRPr="005264F8">
        <w:rPr>
          <w:rStyle w:val="FootnoteReference"/>
          <w:sz w:val="18"/>
          <w:szCs w:val="18"/>
        </w:rPr>
        <w:footnoteRef/>
      </w:r>
      <w:r w:rsidRPr="005264F8">
        <w:rPr>
          <w:sz w:val="18"/>
          <w:szCs w:val="18"/>
        </w:rPr>
        <w:t xml:space="preserve"> See also Venice Commission </w:t>
      </w:r>
      <w:hyperlink r:id="rId9" w:history="1">
        <w:r w:rsidRPr="001F2C95">
          <w:rPr>
            <w:rStyle w:val="Hyperlink"/>
            <w:sz w:val="18"/>
            <w:szCs w:val="18"/>
          </w:rPr>
          <w:t>Opinion</w:t>
        </w:r>
      </w:hyperlink>
      <w:r w:rsidRPr="005264F8">
        <w:rPr>
          <w:sz w:val="18"/>
          <w:szCs w:val="18"/>
        </w:rPr>
        <w:t xml:space="preserve"> and </w:t>
      </w:r>
      <w:proofErr w:type="spellStart"/>
      <w:r w:rsidRPr="005264F8">
        <w:rPr>
          <w:sz w:val="18"/>
          <w:szCs w:val="18"/>
        </w:rPr>
        <w:t>Mikl</w:t>
      </w:r>
      <w:r w:rsidRPr="005264F8">
        <w:rPr>
          <w:rFonts w:cstheme="minorHAnsi"/>
          <w:sz w:val="18"/>
          <w:szCs w:val="18"/>
        </w:rPr>
        <w:t>ó</w:t>
      </w:r>
      <w:r w:rsidRPr="005264F8">
        <w:rPr>
          <w:sz w:val="18"/>
          <w:szCs w:val="18"/>
        </w:rPr>
        <w:t>s</w:t>
      </w:r>
      <w:proofErr w:type="spellEnd"/>
      <w:r w:rsidRPr="005264F8">
        <w:rPr>
          <w:sz w:val="18"/>
          <w:szCs w:val="18"/>
        </w:rPr>
        <w:t xml:space="preserve"> </w:t>
      </w:r>
      <w:proofErr w:type="spellStart"/>
      <w:r w:rsidRPr="005264F8">
        <w:rPr>
          <w:sz w:val="18"/>
          <w:szCs w:val="18"/>
        </w:rPr>
        <w:t>Haraszti</w:t>
      </w:r>
      <w:proofErr w:type="spellEnd"/>
      <w:r w:rsidRPr="005264F8">
        <w:rPr>
          <w:sz w:val="18"/>
          <w:szCs w:val="18"/>
        </w:rPr>
        <w:t>, ‘</w:t>
      </w:r>
      <w:hyperlink r:id="rId10" w:history="1">
        <w:r w:rsidRPr="005264F8">
          <w:rPr>
            <w:rStyle w:val="Hyperlink"/>
            <w:sz w:val="18"/>
            <w:szCs w:val="18"/>
          </w:rPr>
          <w:t>Hungary’s Media Law Package’</w:t>
        </w:r>
      </w:hyperlink>
      <w:r w:rsidRPr="005264F8">
        <w:rPr>
          <w:sz w:val="18"/>
          <w:szCs w:val="18"/>
        </w:rPr>
        <w:t xml:space="preserve">, 11 February 2011.  </w:t>
      </w:r>
    </w:p>
  </w:footnote>
  <w:footnote w:id="8">
    <w:p w14:paraId="43D7F99C" w14:textId="5792DA96" w:rsidR="000710F0" w:rsidRPr="005264F8" w:rsidRDefault="000710F0">
      <w:pPr>
        <w:pStyle w:val="FootnoteText"/>
        <w:rPr>
          <w:sz w:val="18"/>
          <w:szCs w:val="18"/>
        </w:rPr>
      </w:pPr>
      <w:r w:rsidRPr="005264F8">
        <w:rPr>
          <w:rStyle w:val="FootnoteReference"/>
          <w:sz w:val="18"/>
          <w:szCs w:val="18"/>
        </w:rPr>
        <w:footnoteRef/>
      </w:r>
      <w:r w:rsidRPr="005264F8">
        <w:rPr>
          <w:sz w:val="18"/>
          <w:szCs w:val="18"/>
        </w:rPr>
        <w:t xml:space="preserve"> See </w:t>
      </w:r>
      <w:r>
        <w:rPr>
          <w:sz w:val="18"/>
          <w:szCs w:val="18"/>
        </w:rPr>
        <w:t>Section</w:t>
      </w:r>
      <w:r w:rsidRPr="005264F8">
        <w:rPr>
          <w:sz w:val="18"/>
          <w:szCs w:val="18"/>
        </w:rPr>
        <w:t xml:space="preserve"> 125 of the Media Act.</w:t>
      </w:r>
    </w:p>
  </w:footnote>
  <w:footnote w:id="9">
    <w:p w14:paraId="0D0A07F7" w14:textId="4C217415" w:rsidR="000710F0" w:rsidRPr="005264F8" w:rsidRDefault="000710F0" w:rsidP="005264F8">
      <w:pPr>
        <w:pStyle w:val="FootnoteText"/>
        <w:jc w:val="both"/>
        <w:rPr>
          <w:rFonts w:cstheme="minorHAnsi"/>
          <w:sz w:val="18"/>
          <w:szCs w:val="18"/>
        </w:rPr>
      </w:pPr>
      <w:r w:rsidRPr="005264F8">
        <w:rPr>
          <w:rStyle w:val="FootnoteReference"/>
          <w:rFonts w:cstheme="minorHAnsi"/>
          <w:sz w:val="18"/>
          <w:szCs w:val="18"/>
        </w:rPr>
        <w:footnoteRef/>
      </w:r>
      <w:r w:rsidRPr="005264F8">
        <w:rPr>
          <w:rFonts w:cstheme="minorHAnsi"/>
          <w:sz w:val="18"/>
          <w:szCs w:val="18"/>
        </w:rPr>
        <w:t xml:space="preserve"> See Recommendation </w:t>
      </w:r>
      <w:hyperlink r:id="rId11" w:history="1">
        <w:r w:rsidRPr="005264F8">
          <w:rPr>
            <w:rStyle w:val="Hyperlink"/>
            <w:rFonts w:cstheme="minorHAnsi"/>
            <w:sz w:val="18"/>
            <w:szCs w:val="18"/>
          </w:rPr>
          <w:t>CM/Rec(96)10</w:t>
        </w:r>
      </w:hyperlink>
      <w:r w:rsidRPr="005264F8">
        <w:rPr>
          <w:rFonts w:cstheme="minorHAnsi"/>
          <w:sz w:val="18"/>
          <w:szCs w:val="18"/>
        </w:rPr>
        <w:t xml:space="preserve"> of the Committee of Ministers to member states on the guarantee of the independence of public service broadcasting.  </w:t>
      </w:r>
    </w:p>
  </w:footnote>
  <w:footnote w:id="10">
    <w:p w14:paraId="3F9D7CB6" w14:textId="48FE000B" w:rsidR="000710F0" w:rsidRPr="005264F8" w:rsidRDefault="000710F0" w:rsidP="005264F8">
      <w:pPr>
        <w:pStyle w:val="FootnoteText"/>
        <w:jc w:val="both"/>
        <w:rPr>
          <w:rFonts w:cstheme="minorHAnsi"/>
          <w:sz w:val="18"/>
          <w:szCs w:val="18"/>
        </w:rPr>
      </w:pPr>
      <w:r w:rsidRPr="005264F8">
        <w:rPr>
          <w:rStyle w:val="FootnoteReference"/>
          <w:rFonts w:cstheme="minorHAnsi"/>
          <w:sz w:val="18"/>
          <w:szCs w:val="18"/>
        </w:rPr>
        <w:footnoteRef/>
      </w:r>
      <w:r w:rsidRPr="005264F8">
        <w:rPr>
          <w:rFonts w:cstheme="minorHAnsi"/>
          <w:sz w:val="18"/>
          <w:szCs w:val="18"/>
        </w:rPr>
        <w:t xml:space="preserve"> See V</w:t>
      </w:r>
      <w:r>
        <w:rPr>
          <w:rFonts w:cstheme="minorHAnsi"/>
          <w:sz w:val="18"/>
          <w:szCs w:val="18"/>
        </w:rPr>
        <w:t>enice Commission</w:t>
      </w:r>
      <w:r w:rsidRPr="005264F8">
        <w:rPr>
          <w:rFonts w:cstheme="minorHAnsi"/>
          <w:sz w:val="18"/>
          <w:szCs w:val="18"/>
        </w:rPr>
        <w:t xml:space="preserve"> </w:t>
      </w:r>
      <w:hyperlink r:id="rId12" w:history="1">
        <w:r w:rsidRPr="001F2C95">
          <w:rPr>
            <w:rStyle w:val="Hyperlink"/>
            <w:rFonts w:cstheme="minorHAnsi"/>
            <w:sz w:val="18"/>
            <w:szCs w:val="18"/>
          </w:rPr>
          <w:t>Opinion</w:t>
        </w:r>
      </w:hyperlink>
      <w:r>
        <w:rPr>
          <w:rFonts w:cstheme="minorHAnsi"/>
          <w:sz w:val="18"/>
          <w:szCs w:val="18"/>
        </w:rPr>
        <w:t>.</w:t>
      </w:r>
    </w:p>
  </w:footnote>
  <w:footnote w:id="11">
    <w:p w14:paraId="4842ECD7" w14:textId="49E9A865" w:rsidR="000710F0" w:rsidRPr="005264F8" w:rsidRDefault="000710F0" w:rsidP="005264F8">
      <w:pPr>
        <w:pStyle w:val="FootnoteText"/>
        <w:jc w:val="both"/>
        <w:rPr>
          <w:rFonts w:cstheme="minorHAnsi"/>
          <w:sz w:val="18"/>
          <w:szCs w:val="18"/>
        </w:rPr>
      </w:pPr>
      <w:r w:rsidRPr="005264F8">
        <w:rPr>
          <w:rStyle w:val="FootnoteReference"/>
          <w:rFonts w:cstheme="minorHAnsi"/>
          <w:sz w:val="18"/>
          <w:szCs w:val="18"/>
        </w:rPr>
        <w:footnoteRef/>
      </w:r>
      <w:r w:rsidRPr="005264F8">
        <w:rPr>
          <w:rFonts w:cstheme="minorHAnsi"/>
          <w:sz w:val="18"/>
          <w:szCs w:val="18"/>
        </w:rPr>
        <w:t xml:space="preserve"> See Recommendation </w:t>
      </w:r>
      <w:hyperlink r:id="rId13" w:history="1">
        <w:r w:rsidRPr="005264F8">
          <w:rPr>
            <w:rStyle w:val="Hyperlink"/>
            <w:rFonts w:cstheme="minorHAnsi"/>
            <w:sz w:val="18"/>
            <w:szCs w:val="18"/>
          </w:rPr>
          <w:t>CM/Rec(2000)23</w:t>
        </w:r>
      </w:hyperlink>
      <w:r w:rsidRPr="005264F8">
        <w:rPr>
          <w:rFonts w:cstheme="minorHAnsi"/>
          <w:sz w:val="18"/>
          <w:szCs w:val="18"/>
        </w:rPr>
        <w:t xml:space="preserve"> of the Committee of Ministers to member states on the Independence and Functions of Regulatory Authorities for the Broadcasting Sector, and Article 30 of </w:t>
      </w:r>
      <w:hyperlink r:id="rId14" w:history="1">
        <w:r w:rsidRPr="005264F8">
          <w:rPr>
            <w:rStyle w:val="Hyperlink"/>
            <w:rFonts w:cstheme="minorHAnsi"/>
            <w:sz w:val="18"/>
            <w:szCs w:val="18"/>
            <w:lang w:val="en-US"/>
          </w:rPr>
          <w:t>EU Directive 2018/1808</w:t>
        </w:r>
      </w:hyperlink>
      <w:r w:rsidRPr="005264F8">
        <w:rPr>
          <w:rFonts w:cstheme="minorHAnsi"/>
          <w:sz w:val="18"/>
          <w:szCs w:val="18"/>
        </w:rPr>
        <w:t>.</w:t>
      </w:r>
    </w:p>
  </w:footnote>
  <w:footnote w:id="12">
    <w:p w14:paraId="28EB84AD" w14:textId="138B6BAD" w:rsidR="000710F0" w:rsidRPr="00B91241" w:rsidRDefault="000710F0" w:rsidP="005264F8">
      <w:pPr>
        <w:pStyle w:val="FootnoteText"/>
        <w:jc w:val="both"/>
        <w:rPr>
          <w:rFonts w:cstheme="minorHAnsi"/>
          <w:sz w:val="18"/>
          <w:szCs w:val="18"/>
        </w:rPr>
      </w:pPr>
      <w:r w:rsidRPr="000F64BE">
        <w:rPr>
          <w:rStyle w:val="FootnoteReference"/>
          <w:rFonts w:cstheme="minorHAnsi"/>
          <w:sz w:val="18"/>
          <w:szCs w:val="18"/>
        </w:rPr>
        <w:footnoteRef/>
      </w:r>
      <w:r w:rsidRPr="000F64BE">
        <w:rPr>
          <w:rFonts w:cstheme="minorHAnsi"/>
          <w:sz w:val="18"/>
          <w:szCs w:val="18"/>
        </w:rPr>
        <w:t xml:space="preserve"> See </w:t>
      </w:r>
      <w:hyperlink r:id="rId15" w:history="1">
        <w:r w:rsidRPr="000F64BE">
          <w:rPr>
            <w:rStyle w:val="Hyperlink"/>
            <w:rFonts w:cstheme="minorHAnsi"/>
            <w:sz w:val="18"/>
            <w:szCs w:val="18"/>
          </w:rPr>
          <w:t>Opinion</w:t>
        </w:r>
      </w:hyperlink>
      <w:r w:rsidRPr="000F64BE">
        <w:rPr>
          <w:rFonts w:cstheme="minorHAnsi"/>
          <w:sz w:val="18"/>
          <w:szCs w:val="18"/>
        </w:rPr>
        <w:t xml:space="preserve"> of the Commissioner</w:t>
      </w:r>
      <w:r w:rsidRPr="007F1788">
        <w:rPr>
          <w:rFonts w:cstheme="minorHAnsi"/>
          <w:sz w:val="18"/>
          <w:szCs w:val="18"/>
        </w:rPr>
        <w:t xml:space="preserve"> for Human Rights</w:t>
      </w:r>
      <w:r>
        <w:rPr>
          <w:rFonts w:cstheme="minorHAnsi"/>
          <w:sz w:val="18"/>
          <w:szCs w:val="18"/>
        </w:rPr>
        <w:t xml:space="preserve">, February 2011 and </w:t>
      </w:r>
      <w:proofErr w:type="spellStart"/>
      <w:r w:rsidRPr="00B91241">
        <w:rPr>
          <w:rFonts w:cstheme="minorHAnsi"/>
          <w:i/>
          <w:iCs/>
          <w:sz w:val="18"/>
          <w:szCs w:val="18"/>
        </w:rPr>
        <w:t>Glas</w:t>
      </w:r>
      <w:proofErr w:type="spellEnd"/>
      <w:r w:rsidRPr="00B91241">
        <w:rPr>
          <w:rFonts w:cstheme="minorHAnsi"/>
          <w:i/>
          <w:iCs/>
          <w:sz w:val="18"/>
          <w:szCs w:val="18"/>
        </w:rPr>
        <w:t xml:space="preserve"> Nadezhda EOOD and </w:t>
      </w:r>
      <w:proofErr w:type="spellStart"/>
      <w:r w:rsidRPr="00B91241">
        <w:rPr>
          <w:rFonts w:cstheme="minorHAnsi"/>
          <w:i/>
          <w:iCs/>
          <w:sz w:val="18"/>
          <w:szCs w:val="18"/>
        </w:rPr>
        <w:t>Elenkov</w:t>
      </w:r>
      <w:proofErr w:type="spellEnd"/>
      <w:r w:rsidRPr="00B91241">
        <w:rPr>
          <w:rFonts w:cstheme="minorHAnsi"/>
          <w:i/>
          <w:iCs/>
          <w:sz w:val="18"/>
          <w:szCs w:val="18"/>
        </w:rPr>
        <w:t xml:space="preserve"> v. Bulgaria</w:t>
      </w:r>
      <w:r>
        <w:rPr>
          <w:rFonts w:cstheme="minorHAnsi"/>
          <w:i/>
          <w:iCs/>
          <w:sz w:val="18"/>
          <w:szCs w:val="18"/>
        </w:rPr>
        <w:t xml:space="preserve"> </w:t>
      </w:r>
      <w:r>
        <w:rPr>
          <w:rFonts w:cstheme="minorHAnsi"/>
          <w:sz w:val="18"/>
          <w:szCs w:val="18"/>
        </w:rPr>
        <w:t>(appl. no.</w:t>
      </w:r>
      <w:hyperlink r:id="rId16" w:anchor="{%22itemid%22:[%22001-82632%22]}" w:history="1">
        <w:r w:rsidRPr="00B91241">
          <w:rPr>
            <w:rStyle w:val="Hyperlink"/>
            <w:rFonts w:cstheme="minorHAnsi"/>
            <w:sz w:val="18"/>
            <w:szCs w:val="18"/>
          </w:rPr>
          <w:t>14134/02</w:t>
        </w:r>
      </w:hyperlink>
      <w:r>
        <w:rPr>
          <w:rFonts w:cstheme="minorHAnsi"/>
          <w:sz w:val="18"/>
          <w:szCs w:val="18"/>
        </w:rPr>
        <w:t>, judgment of 11 October 2007).</w:t>
      </w:r>
    </w:p>
  </w:footnote>
  <w:footnote w:id="13">
    <w:p w14:paraId="319D2F21" w14:textId="00C3A068" w:rsidR="000710F0" w:rsidRPr="005264F8" w:rsidRDefault="000710F0" w:rsidP="005264F8">
      <w:pPr>
        <w:pStyle w:val="FootnoteText"/>
        <w:jc w:val="both"/>
        <w:rPr>
          <w:rFonts w:cstheme="minorHAnsi"/>
          <w:sz w:val="18"/>
          <w:szCs w:val="18"/>
        </w:rPr>
      </w:pPr>
      <w:r w:rsidRPr="005264F8">
        <w:rPr>
          <w:rStyle w:val="FootnoteReference"/>
          <w:rFonts w:cstheme="minorHAnsi"/>
          <w:sz w:val="18"/>
          <w:szCs w:val="18"/>
        </w:rPr>
        <w:footnoteRef/>
      </w:r>
      <w:r w:rsidRPr="005264F8">
        <w:rPr>
          <w:rFonts w:cstheme="minorHAnsi"/>
          <w:sz w:val="18"/>
          <w:szCs w:val="18"/>
        </w:rPr>
        <w:t xml:space="preserve"> The Venice Commission ha</w:t>
      </w:r>
      <w:r>
        <w:rPr>
          <w:rFonts w:cstheme="minorHAnsi"/>
          <w:sz w:val="18"/>
          <w:szCs w:val="18"/>
        </w:rPr>
        <w:t>s</w:t>
      </w:r>
      <w:r w:rsidRPr="005264F8">
        <w:rPr>
          <w:rFonts w:cstheme="minorHAnsi"/>
          <w:sz w:val="18"/>
          <w:szCs w:val="18"/>
        </w:rPr>
        <w:t xml:space="preserve"> recommended </w:t>
      </w:r>
      <w:r>
        <w:rPr>
          <w:rFonts w:cstheme="minorHAnsi"/>
          <w:sz w:val="18"/>
          <w:szCs w:val="18"/>
        </w:rPr>
        <w:t>that the</w:t>
      </w:r>
      <w:r w:rsidRPr="005264F8">
        <w:rPr>
          <w:rFonts w:cstheme="minorHAnsi"/>
          <w:sz w:val="18"/>
          <w:szCs w:val="18"/>
        </w:rPr>
        <w:t xml:space="preserve"> Media Council </w:t>
      </w:r>
      <w:r>
        <w:rPr>
          <w:rFonts w:cstheme="minorHAnsi"/>
          <w:sz w:val="18"/>
          <w:szCs w:val="18"/>
        </w:rPr>
        <w:t>should</w:t>
      </w:r>
      <w:r w:rsidRPr="005264F8">
        <w:rPr>
          <w:rFonts w:cstheme="minorHAnsi"/>
          <w:sz w:val="18"/>
          <w:szCs w:val="18"/>
        </w:rPr>
        <w:t xml:space="preserve"> develop policy guidelines to limit its discretion and make its decisions more predictable for media outl</w:t>
      </w:r>
      <w:r>
        <w:rPr>
          <w:rFonts w:cstheme="minorHAnsi"/>
          <w:sz w:val="18"/>
          <w:szCs w:val="18"/>
        </w:rPr>
        <w:t>et</w:t>
      </w:r>
      <w:r w:rsidRPr="005264F8">
        <w:rPr>
          <w:rFonts w:cstheme="minorHAnsi"/>
          <w:sz w:val="18"/>
          <w:szCs w:val="18"/>
        </w:rPr>
        <w:t xml:space="preserve">s. See Venice Commission </w:t>
      </w:r>
      <w:hyperlink r:id="rId17" w:history="1">
        <w:r w:rsidRPr="001F2C95">
          <w:rPr>
            <w:rStyle w:val="Hyperlink"/>
            <w:rFonts w:cstheme="minorHAnsi"/>
            <w:sz w:val="18"/>
            <w:szCs w:val="18"/>
          </w:rPr>
          <w:t>Opinion</w:t>
        </w:r>
      </w:hyperlink>
      <w:r w:rsidRPr="005264F8">
        <w:rPr>
          <w:rFonts w:cstheme="minorHAnsi"/>
          <w:sz w:val="18"/>
          <w:szCs w:val="18"/>
        </w:rPr>
        <w:t xml:space="preserve">. </w:t>
      </w:r>
    </w:p>
  </w:footnote>
  <w:footnote w:id="14">
    <w:p w14:paraId="735B9356" w14:textId="00B091C6" w:rsidR="000710F0" w:rsidRPr="005264F8" w:rsidRDefault="000710F0" w:rsidP="00A8405B">
      <w:pPr>
        <w:pStyle w:val="FootnoteText"/>
        <w:jc w:val="both"/>
        <w:rPr>
          <w:rFonts w:cstheme="minorHAnsi"/>
          <w:sz w:val="18"/>
          <w:szCs w:val="18"/>
        </w:rPr>
      </w:pPr>
      <w:r w:rsidRPr="005264F8">
        <w:rPr>
          <w:rStyle w:val="FootnoteReference"/>
          <w:rFonts w:cstheme="minorHAnsi"/>
          <w:sz w:val="18"/>
          <w:szCs w:val="18"/>
        </w:rPr>
        <w:footnoteRef/>
      </w:r>
      <w:r w:rsidRPr="005264F8">
        <w:rPr>
          <w:rFonts w:cstheme="minorHAnsi"/>
          <w:sz w:val="18"/>
          <w:szCs w:val="18"/>
        </w:rPr>
        <w:t xml:space="preserve"> See </w:t>
      </w:r>
      <w:r w:rsidRPr="00B91241">
        <w:rPr>
          <w:rFonts w:cstheme="minorHAnsi"/>
          <w:bCs/>
          <w:i/>
          <w:iCs/>
          <w:sz w:val="18"/>
          <w:szCs w:val="18"/>
        </w:rPr>
        <w:t>ATV ZRT v. Hungary</w:t>
      </w:r>
      <w:r w:rsidRPr="005264F8">
        <w:rPr>
          <w:rFonts w:cstheme="minorHAnsi"/>
          <w:bCs/>
          <w:sz w:val="18"/>
          <w:szCs w:val="18"/>
        </w:rPr>
        <w:t xml:space="preserve"> </w:t>
      </w:r>
      <w:r>
        <w:rPr>
          <w:rFonts w:cstheme="minorHAnsi"/>
          <w:bCs/>
          <w:sz w:val="18"/>
          <w:szCs w:val="18"/>
        </w:rPr>
        <w:t xml:space="preserve">(appl. no. </w:t>
      </w:r>
      <w:hyperlink r:id="rId18" w:anchor="{%22itemid%22:[%22001-202391%22]}" w:history="1">
        <w:r w:rsidRPr="00B91241">
          <w:rPr>
            <w:rStyle w:val="Hyperlink"/>
            <w:rFonts w:cstheme="minorHAnsi"/>
            <w:bCs/>
            <w:sz w:val="18"/>
            <w:szCs w:val="18"/>
          </w:rPr>
          <w:t>61178/14</w:t>
        </w:r>
      </w:hyperlink>
      <w:r>
        <w:rPr>
          <w:rFonts w:cstheme="minorHAnsi"/>
          <w:bCs/>
          <w:sz w:val="18"/>
          <w:szCs w:val="18"/>
        </w:rPr>
        <w:t>,</w:t>
      </w:r>
      <w:r w:rsidRPr="005264F8">
        <w:rPr>
          <w:rFonts w:cstheme="minorHAnsi"/>
          <w:bCs/>
          <w:sz w:val="18"/>
          <w:szCs w:val="18"/>
        </w:rPr>
        <w:t xml:space="preserve"> </w:t>
      </w:r>
      <w:r>
        <w:rPr>
          <w:rFonts w:cstheme="minorHAnsi"/>
          <w:bCs/>
          <w:sz w:val="18"/>
          <w:szCs w:val="18"/>
        </w:rPr>
        <w:t xml:space="preserve">judgment </w:t>
      </w:r>
      <w:r w:rsidRPr="005264F8">
        <w:rPr>
          <w:rFonts w:cstheme="minorHAnsi"/>
          <w:bCs/>
          <w:sz w:val="18"/>
          <w:szCs w:val="18"/>
        </w:rPr>
        <w:t xml:space="preserve">of </w:t>
      </w:r>
      <w:r>
        <w:rPr>
          <w:rFonts w:cstheme="minorHAnsi"/>
          <w:bCs/>
          <w:sz w:val="18"/>
          <w:szCs w:val="18"/>
        </w:rPr>
        <w:t xml:space="preserve">28 </w:t>
      </w:r>
      <w:r w:rsidRPr="005264F8">
        <w:rPr>
          <w:rFonts w:cstheme="minorHAnsi"/>
          <w:bCs/>
          <w:sz w:val="18"/>
          <w:szCs w:val="18"/>
        </w:rPr>
        <w:t>April 2020</w:t>
      </w:r>
      <w:r>
        <w:rPr>
          <w:rFonts w:cstheme="minorHAnsi"/>
          <w:bCs/>
          <w:sz w:val="18"/>
          <w:szCs w:val="18"/>
        </w:rPr>
        <w:t>)</w:t>
      </w:r>
      <w:r w:rsidRPr="005264F8">
        <w:rPr>
          <w:rFonts w:cstheme="minorHAnsi"/>
          <w:bCs/>
          <w:sz w:val="18"/>
          <w:szCs w:val="18"/>
        </w:rPr>
        <w:t xml:space="preserve">.  </w:t>
      </w:r>
    </w:p>
  </w:footnote>
  <w:footnote w:id="15">
    <w:p w14:paraId="77ED8685" w14:textId="1B687E86" w:rsidR="000710F0" w:rsidRPr="00DA531F" w:rsidRDefault="000710F0">
      <w:pPr>
        <w:pStyle w:val="FootnoteText"/>
        <w:rPr>
          <w:sz w:val="18"/>
          <w:szCs w:val="18"/>
        </w:rPr>
      </w:pPr>
      <w:r w:rsidRPr="00DA531F">
        <w:rPr>
          <w:rStyle w:val="FootnoteReference"/>
          <w:sz w:val="18"/>
          <w:szCs w:val="18"/>
        </w:rPr>
        <w:footnoteRef/>
      </w:r>
      <w:r w:rsidRPr="00DA531F">
        <w:rPr>
          <w:sz w:val="18"/>
          <w:szCs w:val="18"/>
        </w:rPr>
        <w:t xml:space="preserve"> See</w:t>
      </w:r>
      <w:r>
        <w:rPr>
          <w:sz w:val="18"/>
          <w:szCs w:val="18"/>
        </w:rPr>
        <w:t xml:space="preserve"> </w:t>
      </w:r>
      <w:hyperlink r:id="rId19" w:history="1">
        <w:r w:rsidRPr="00DA531F">
          <w:rPr>
            <w:rStyle w:val="Hyperlink"/>
            <w:sz w:val="18"/>
            <w:szCs w:val="18"/>
          </w:rPr>
          <w:t>website</w:t>
        </w:r>
      </w:hyperlink>
      <w:r>
        <w:rPr>
          <w:sz w:val="18"/>
          <w:szCs w:val="18"/>
        </w:rPr>
        <w:t xml:space="preserve"> of the Digital Freedom Committee.</w:t>
      </w:r>
    </w:p>
  </w:footnote>
  <w:footnote w:id="16">
    <w:p w14:paraId="4FFF37B3" w14:textId="3B60D739" w:rsidR="000710F0" w:rsidRPr="005264F8" w:rsidRDefault="000710F0" w:rsidP="00A8405B">
      <w:pPr>
        <w:pStyle w:val="FootnoteText"/>
        <w:jc w:val="both"/>
        <w:rPr>
          <w:rFonts w:cstheme="minorHAnsi"/>
          <w:sz w:val="18"/>
          <w:szCs w:val="18"/>
        </w:rPr>
      </w:pPr>
      <w:r w:rsidRPr="005264F8">
        <w:rPr>
          <w:rStyle w:val="FootnoteReference"/>
          <w:rFonts w:cstheme="minorHAnsi"/>
          <w:sz w:val="18"/>
          <w:szCs w:val="18"/>
        </w:rPr>
        <w:footnoteRef/>
      </w:r>
      <w:r w:rsidRPr="005264F8">
        <w:rPr>
          <w:rFonts w:cstheme="minorHAnsi"/>
          <w:sz w:val="18"/>
          <w:szCs w:val="18"/>
        </w:rPr>
        <w:t xml:space="preserve"> See, among others,</w:t>
      </w:r>
      <w:r>
        <w:rPr>
          <w:rFonts w:cstheme="minorHAnsi"/>
          <w:sz w:val="18"/>
          <w:szCs w:val="18"/>
        </w:rPr>
        <w:t xml:space="preserve"> Recommendation</w:t>
      </w:r>
      <w:r w:rsidRPr="005264F8">
        <w:rPr>
          <w:rFonts w:cstheme="minorHAnsi"/>
          <w:sz w:val="18"/>
          <w:szCs w:val="18"/>
        </w:rPr>
        <w:t xml:space="preserve"> </w:t>
      </w:r>
      <w:hyperlink r:id="rId20" w:history="1">
        <w:r w:rsidRPr="00A45C1E">
          <w:rPr>
            <w:rStyle w:val="Hyperlink"/>
            <w:rFonts w:cstheme="minorHAnsi"/>
            <w:sz w:val="18"/>
            <w:szCs w:val="18"/>
          </w:rPr>
          <w:t>CM/Rec(2018)2</w:t>
        </w:r>
      </w:hyperlink>
      <w:r w:rsidRPr="005264F8">
        <w:rPr>
          <w:rFonts w:cstheme="minorHAnsi"/>
          <w:sz w:val="18"/>
          <w:szCs w:val="18"/>
        </w:rPr>
        <w:t xml:space="preserve"> of the Committee of Ministers to member states on the roles and responsibilities of internet intermediaries.</w:t>
      </w:r>
    </w:p>
  </w:footnote>
  <w:footnote w:id="17">
    <w:p w14:paraId="1A10D758" w14:textId="73562F71" w:rsidR="000710F0" w:rsidRPr="005264F8" w:rsidRDefault="000710F0" w:rsidP="00A8405B">
      <w:pPr>
        <w:pStyle w:val="FootnoteText"/>
        <w:jc w:val="both"/>
        <w:rPr>
          <w:rFonts w:cstheme="minorHAnsi"/>
          <w:sz w:val="18"/>
          <w:szCs w:val="18"/>
        </w:rPr>
      </w:pPr>
      <w:r w:rsidRPr="005264F8">
        <w:rPr>
          <w:rStyle w:val="FootnoteReference"/>
          <w:rFonts w:cstheme="minorHAnsi"/>
          <w:sz w:val="18"/>
          <w:szCs w:val="18"/>
        </w:rPr>
        <w:footnoteRef/>
      </w:r>
      <w:r w:rsidRPr="005264F8">
        <w:rPr>
          <w:rFonts w:cstheme="minorHAnsi"/>
          <w:sz w:val="18"/>
          <w:szCs w:val="18"/>
        </w:rPr>
        <w:t xml:space="preserve"> One person was detained, for instance, for having criticised the decision to ease the lockdown. Another case concerned a </w:t>
      </w:r>
      <w:hyperlink r:id="rId21" w:history="1">
        <w:r w:rsidRPr="005264F8">
          <w:rPr>
            <w:rStyle w:val="Hyperlink"/>
            <w:rFonts w:cstheme="minorHAnsi"/>
            <w:sz w:val="18"/>
            <w:szCs w:val="18"/>
          </w:rPr>
          <w:t>Facebook post</w:t>
        </w:r>
      </w:hyperlink>
      <w:r w:rsidRPr="005264F8">
        <w:rPr>
          <w:rFonts w:cstheme="minorHAnsi"/>
          <w:sz w:val="18"/>
          <w:szCs w:val="18"/>
        </w:rPr>
        <w:t xml:space="preserve"> on 20 April </w:t>
      </w:r>
      <w:r>
        <w:rPr>
          <w:rFonts w:cstheme="minorHAnsi"/>
          <w:sz w:val="18"/>
          <w:szCs w:val="18"/>
        </w:rPr>
        <w:t xml:space="preserve">2020 </w:t>
      </w:r>
      <w:r w:rsidRPr="005264F8">
        <w:rPr>
          <w:rFonts w:cstheme="minorHAnsi"/>
          <w:sz w:val="18"/>
          <w:szCs w:val="18"/>
        </w:rPr>
        <w:t>commenting on the government</w:t>
      </w:r>
      <w:r>
        <w:rPr>
          <w:rFonts w:cstheme="minorHAnsi"/>
          <w:sz w:val="18"/>
          <w:szCs w:val="18"/>
        </w:rPr>
        <w:t>’s</w:t>
      </w:r>
      <w:r w:rsidRPr="005264F8">
        <w:rPr>
          <w:rFonts w:cstheme="minorHAnsi"/>
          <w:sz w:val="18"/>
          <w:szCs w:val="18"/>
        </w:rPr>
        <w:t xml:space="preserve"> instruction to empty 60% of hospital beds to make room for possible COVI</w:t>
      </w:r>
      <w:r>
        <w:rPr>
          <w:rFonts w:cstheme="minorHAnsi"/>
          <w:sz w:val="18"/>
          <w:szCs w:val="18"/>
        </w:rPr>
        <w:t>D</w:t>
      </w:r>
      <w:r w:rsidRPr="005264F8">
        <w:rPr>
          <w:rFonts w:cstheme="minorHAnsi"/>
          <w:sz w:val="18"/>
          <w:szCs w:val="18"/>
        </w:rPr>
        <w:t>-19 patients</w:t>
      </w:r>
      <w:r>
        <w:rPr>
          <w:rFonts w:cstheme="minorHAnsi"/>
          <w:sz w:val="18"/>
          <w:szCs w:val="18"/>
        </w:rPr>
        <w:t>. This resulted in the premature release of patients, with painful consequences. See ‘</w:t>
      </w:r>
      <w:hyperlink r:id="rId22" w:history="1">
        <w:r w:rsidRPr="000967A3">
          <w:rPr>
            <w:rStyle w:val="Hyperlink"/>
            <w:rFonts w:cstheme="minorHAnsi"/>
            <w:sz w:val="18"/>
            <w:szCs w:val="18"/>
          </w:rPr>
          <w:t>Concentration of Power Salvaged: Coronavirus Stocktaking</w:t>
        </w:r>
      </w:hyperlink>
      <w:r>
        <w:rPr>
          <w:rFonts w:cstheme="minorHAnsi"/>
          <w:sz w:val="18"/>
          <w:szCs w:val="18"/>
        </w:rPr>
        <w:t xml:space="preserve">’, </w:t>
      </w:r>
      <w:proofErr w:type="spellStart"/>
      <w:r>
        <w:rPr>
          <w:rFonts w:cstheme="minorHAnsi"/>
          <w:sz w:val="18"/>
          <w:szCs w:val="18"/>
        </w:rPr>
        <w:t>E</w:t>
      </w:r>
      <w:r>
        <w:rPr>
          <w:rFonts w:cs="Arial"/>
          <w:sz w:val="18"/>
          <w:szCs w:val="18"/>
        </w:rPr>
        <w:t>ötvös</w:t>
      </w:r>
      <w:proofErr w:type="spellEnd"/>
      <w:r>
        <w:rPr>
          <w:rFonts w:cs="Arial"/>
          <w:sz w:val="18"/>
          <w:szCs w:val="18"/>
        </w:rPr>
        <w:t xml:space="preserve"> </w:t>
      </w:r>
      <w:proofErr w:type="spellStart"/>
      <w:r>
        <w:rPr>
          <w:rFonts w:cs="Arial"/>
          <w:sz w:val="18"/>
          <w:szCs w:val="18"/>
        </w:rPr>
        <w:t>Károly</w:t>
      </w:r>
      <w:proofErr w:type="spellEnd"/>
      <w:r>
        <w:rPr>
          <w:rFonts w:cs="Arial"/>
          <w:sz w:val="18"/>
          <w:szCs w:val="18"/>
        </w:rPr>
        <w:t xml:space="preserve"> </w:t>
      </w:r>
      <w:proofErr w:type="spellStart"/>
      <w:r>
        <w:rPr>
          <w:rFonts w:cs="Arial"/>
          <w:sz w:val="18"/>
          <w:szCs w:val="18"/>
        </w:rPr>
        <w:t>Intézet</w:t>
      </w:r>
      <w:proofErr w:type="spellEnd"/>
      <w:r>
        <w:rPr>
          <w:rFonts w:cs="Arial"/>
          <w:sz w:val="18"/>
          <w:szCs w:val="18"/>
        </w:rPr>
        <w:t>, 19 June 2020.</w:t>
      </w:r>
      <w:r w:rsidRPr="005264F8">
        <w:rPr>
          <w:rFonts w:cstheme="minorHAnsi"/>
          <w:sz w:val="18"/>
          <w:szCs w:val="18"/>
        </w:rPr>
        <w:t xml:space="preserve"> </w:t>
      </w:r>
    </w:p>
  </w:footnote>
  <w:footnote w:id="18">
    <w:p w14:paraId="3688417B" w14:textId="68BF44B0" w:rsidR="000710F0" w:rsidRPr="00A45C1E" w:rsidRDefault="000710F0">
      <w:pPr>
        <w:pStyle w:val="FootnoteText"/>
        <w:rPr>
          <w:sz w:val="18"/>
          <w:szCs w:val="18"/>
        </w:rPr>
      </w:pPr>
      <w:r w:rsidRPr="00A45C1E">
        <w:rPr>
          <w:rStyle w:val="FootnoteReference"/>
          <w:sz w:val="18"/>
          <w:szCs w:val="18"/>
        </w:rPr>
        <w:footnoteRef/>
      </w:r>
      <w:r w:rsidRPr="00A45C1E">
        <w:rPr>
          <w:sz w:val="18"/>
          <w:szCs w:val="18"/>
        </w:rPr>
        <w:t xml:space="preserve"> Decision 15/2020 of the Constitutional Court. See </w:t>
      </w:r>
      <w:hyperlink r:id="rId23" w:history="1">
        <w:r w:rsidRPr="00A45C1E">
          <w:rPr>
            <w:rStyle w:val="Hyperlink"/>
            <w:sz w:val="18"/>
            <w:szCs w:val="18"/>
          </w:rPr>
          <w:t>European Centre for Press and Media Freedom</w:t>
        </w:r>
      </w:hyperlink>
      <w:r w:rsidRPr="00A45C1E">
        <w:rPr>
          <w:sz w:val="18"/>
          <w:szCs w:val="18"/>
        </w:rPr>
        <w:t>, 17 June 2020.</w:t>
      </w:r>
    </w:p>
  </w:footnote>
  <w:footnote w:id="19">
    <w:p w14:paraId="496A981F" w14:textId="137EA033" w:rsidR="000710F0" w:rsidRPr="005264F8" w:rsidRDefault="000710F0" w:rsidP="00A8405B">
      <w:pPr>
        <w:pStyle w:val="FootnoteText"/>
        <w:jc w:val="both"/>
        <w:rPr>
          <w:rFonts w:cstheme="minorHAnsi"/>
          <w:sz w:val="18"/>
          <w:szCs w:val="18"/>
        </w:rPr>
      </w:pPr>
      <w:r w:rsidRPr="005264F8">
        <w:rPr>
          <w:rStyle w:val="FootnoteReference"/>
          <w:rFonts w:cstheme="minorHAnsi"/>
          <w:sz w:val="18"/>
          <w:szCs w:val="18"/>
        </w:rPr>
        <w:footnoteRef/>
      </w:r>
      <w:r w:rsidRPr="005264F8">
        <w:rPr>
          <w:rFonts w:cstheme="minorHAnsi"/>
          <w:sz w:val="18"/>
          <w:szCs w:val="18"/>
        </w:rPr>
        <w:t xml:space="preserve"> See ‘</w:t>
      </w:r>
      <w:hyperlink r:id="rId24" w:history="1">
        <w:r w:rsidRPr="00A45C1E">
          <w:rPr>
            <w:rStyle w:val="Hyperlink"/>
            <w:rFonts w:cstheme="minorHAnsi"/>
            <w:sz w:val="18"/>
            <w:szCs w:val="18"/>
          </w:rPr>
          <w:t>Research on the obstruction of the work of journalists during the coronavirus pandemic in Hungary</w:t>
        </w:r>
      </w:hyperlink>
      <w:r w:rsidRPr="005264F8">
        <w:rPr>
          <w:rFonts w:cstheme="minorHAnsi"/>
          <w:sz w:val="18"/>
          <w:szCs w:val="18"/>
        </w:rPr>
        <w:t xml:space="preserve">, Hungarian Civil Liberties Union, 15 April 2020. </w:t>
      </w:r>
    </w:p>
  </w:footnote>
  <w:footnote w:id="20">
    <w:p w14:paraId="670903CF" w14:textId="245800FC" w:rsidR="000710F0" w:rsidRPr="005264F8" w:rsidRDefault="000710F0" w:rsidP="00A8405B">
      <w:pPr>
        <w:pStyle w:val="FootnoteText"/>
        <w:jc w:val="both"/>
        <w:rPr>
          <w:rFonts w:cstheme="minorHAnsi"/>
          <w:sz w:val="18"/>
          <w:szCs w:val="18"/>
        </w:rPr>
      </w:pPr>
      <w:r w:rsidRPr="005264F8">
        <w:rPr>
          <w:rStyle w:val="FootnoteReference"/>
          <w:rFonts w:cstheme="minorHAnsi"/>
          <w:sz w:val="18"/>
          <w:szCs w:val="18"/>
        </w:rPr>
        <w:footnoteRef/>
      </w:r>
      <w:r w:rsidRPr="005264F8">
        <w:rPr>
          <w:rFonts w:cstheme="minorHAnsi"/>
          <w:sz w:val="18"/>
          <w:szCs w:val="18"/>
        </w:rPr>
        <w:t xml:space="preserve"> See an </w:t>
      </w:r>
      <w:hyperlink r:id="rId25" w:history="1">
        <w:r w:rsidRPr="005264F8">
          <w:rPr>
            <w:rStyle w:val="Hyperlink"/>
            <w:rFonts w:cstheme="minorHAnsi"/>
            <w:sz w:val="18"/>
            <w:szCs w:val="18"/>
          </w:rPr>
          <w:t>analysis</w:t>
        </w:r>
      </w:hyperlink>
      <w:r w:rsidRPr="005264F8">
        <w:rPr>
          <w:rFonts w:cstheme="minorHAnsi"/>
          <w:sz w:val="18"/>
          <w:szCs w:val="18"/>
        </w:rPr>
        <w:t xml:space="preserve"> also</w:t>
      </w:r>
      <w:r>
        <w:rPr>
          <w:rFonts w:cstheme="minorHAnsi"/>
          <w:sz w:val="18"/>
          <w:szCs w:val="18"/>
        </w:rPr>
        <w:t xml:space="preserve"> covering </w:t>
      </w:r>
      <w:r w:rsidRPr="005264F8">
        <w:rPr>
          <w:rFonts w:cstheme="minorHAnsi"/>
          <w:sz w:val="18"/>
          <w:szCs w:val="18"/>
        </w:rPr>
        <w:t xml:space="preserve">the data protection </w:t>
      </w:r>
      <w:r>
        <w:rPr>
          <w:rFonts w:cstheme="minorHAnsi"/>
          <w:sz w:val="18"/>
          <w:szCs w:val="18"/>
        </w:rPr>
        <w:t xml:space="preserve">effects </w:t>
      </w:r>
      <w:r w:rsidRPr="005264F8">
        <w:rPr>
          <w:rFonts w:cstheme="minorHAnsi"/>
          <w:sz w:val="18"/>
          <w:szCs w:val="18"/>
        </w:rPr>
        <w:t>of the Government Decree</w:t>
      </w:r>
      <w:r>
        <w:rPr>
          <w:rFonts w:cstheme="minorHAnsi"/>
          <w:sz w:val="18"/>
          <w:szCs w:val="18"/>
        </w:rPr>
        <w:t xml:space="preserve"> of</w:t>
      </w:r>
      <w:r w:rsidRPr="005264F8">
        <w:rPr>
          <w:rFonts w:cstheme="minorHAnsi"/>
          <w:sz w:val="18"/>
          <w:szCs w:val="18"/>
        </w:rPr>
        <w:t xml:space="preserve"> 7 May 2020. The rule was reintroduced on 25 November 2020 </w:t>
      </w:r>
      <w:r>
        <w:rPr>
          <w:rFonts w:cstheme="minorHAnsi"/>
          <w:sz w:val="18"/>
          <w:szCs w:val="18"/>
        </w:rPr>
        <w:t xml:space="preserve">by Government Decree 521/2020 (XI.25.) </w:t>
      </w:r>
      <w:r w:rsidRPr="005264F8">
        <w:rPr>
          <w:rFonts w:cstheme="minorHAnsi"/>
          <w:sz w:val="18"/>
          <w:szCs w:val="18"/>
        </w:rPr>
        <w:t>and remains in force.</w:t>
      </w:r>
    </w:p>
  </w:footnote>
  <w:footnote w:id="21">
    <w:p w14:paraId="59AF592B" w14:textId="1A1770F1" w:rsidR="000710F0" w:rsidRPr="005264F8" w:rsidRDefault="000710F0" w:rsidP="0001401D">
      <w:pPr>
        <w:pStyle w:val="FootnoteText"/>
        <w:jc w:val="both"/>
        <w:rPr>
          <w:sz w:val="18"/>
          <w:szCs w:val="18"/>
        </w:rPr>
      </w:pPr>
      <w:r w:rsidRPr="005264F8">
        <w:rPr>
          <w:rStyle w:val="FootnoteReference"/>
          <w:sz w:val="18"/>
          <w:szCs w:val="18"/>
        </w:rPr>
        <w:footnoteRef/>
      </w:r>
      <w:r w:rsidRPr="005264F8">
        <w:rPr>
          <w:sz w:val="18"/>
          <w:szCs w:val="18"/>
        </w:rPr>
        <w:t xml:space="preserve"> </w:t>
      </w:r>
      <w:bookmarkStart w:id="2" w:name="_Hlk64290818"/>
      <w:r w:rsidRPr="005264F8">
        <w:rPr>
          <w:sz w:val="18"/>
          <w:szCs w:val="18"/>
        </w:rPr>
        <w:t xml:space="preserve">See also </w:t>
      </w:r>
      <w:hyperlink r:id="rId26" w:history="1">
        <w:r w:rsidRPr="005264F8">
          <w:rPr>
            <w:rStyle w:val="Hyperlink"/>
            <w:sz w:val="18"/>
            <w:szCs w:val="18"/>
          </w:rPr>
          <w:t>Opinion 3071/2020</w:t>
        </w:r>
      </w:hyperlink>
      <w:r w:rsidRPr="005264F8">
        <w:rPr>
          <w:sz w:val="18"/>
          <w:szCs w:val="18"/>
        </w:rPr>
        <w:t xml:space="preserve"> issued by </w:t>
      </w:r>
      <w:r>
        <w:rPr>
          <w:sz w:val="18"/>
          <w:szCs w:val="18"/>
        </w:rPr>
        <w:t xml:space="preserve">the </w:t>
      </w:r>
      <w:r w:rsidRPr="005264F8">
        <w:rPr>
          <w:sz w:val="18"/>
          <w:szCs w:val="18"/>
        </w:rPr>
        <w:t>Hungarian NAIH on the emergency legislation relat</w:t>
      </w:r>
      <w:r>
        <w:rPr>
          <w:sz w:val="18"/>
          <w:szCs w:val="18"/>
        </w:rPr>
        <w:t>ing</w:t>
      </w:r>
      <w:r w:rsidRPr="005264F8">
        <w:rPr>
          <w:sz w:val="18"/>
          <w:szCs w:val="18"/>
        </w:rPr>
        <w:t xml:space="preserve"> to</w:t>
      </w:r>
      <w:r w:rsidRPr="005264F8">
        <w:rPr>
          <w:sz w:val="18"/>
          <w:szCs w:val="18"/>
          <w:lang w:val="hu-HU"/>
        </w:rPr>
        <w:t xml:space="preserve"> both data protection and freedom of information aspects, 30 March 2020</w:t>
      </w:r>
      <w:bookmarkEnd w:id="2"/>
      <w:r w:rsidRPr="005264F8">
        <w:rPr>
          <w:sz w:val="18"/>
          <w:szCs w:val="18"/>
          <w:lang w:val="hu-HU"/>
        </w:rPr>
        <w:t xml:space="preserve">. </w:t>
      </w:r>
    </w:p>
  </w:footnote>
  <w:footnote w:id="22">
    <w:p w14:paraId="653A4419" w14:textId="133592E8" w:rsidR="000710F0" w:rsidRPr="005264F8" w:rsidRDefault="000710F0" w:rsidP="00730760">
      <w:pPr>
        <w:pStyle w:val="FootnoteText"/>
        <w:jc w:val="both"/>
        <w:rPr>
          <w:rFonts w:cstheme="minorHAnsi"/>
          <w:sz w:val="18"/>
          <w:szCs w:val="18"/>
        </w:rPr>
      </w:pPr>
      <w:r w:rsidRPr="005264F8">
        <w:rPr>
          <w:rStyle w:val="FootnoteReference"/>
          <w:rFonts w:cstheme="minorHAnsi"/>
          <w:sz w:val="18"/>
          <w:szCs w:val="18"/>
        </w:rPr>
        <w:footnoteRef/>
      </w:r>
      <w:r w:rsidRPr="005264F8">
        <w:rPr>
          <w:rFonts w:cstheme="minorHAnsi"/>
          <w:sz w:val="18"/>
          <w:szCs w:val="18"/>
        </w:rPr>
        <w:t xml:space="preserve"> Hungary </w:t>
      </w:r>
      <w:hyperlink r:id="rId27" w:history="1">
        <w:r w:rsidRPr="005264F8">
          <w:rPr>
            <w:rStyle w:val="Hyperlink"/>
            <w:rFonts w:cstheme="minorHAnsi"/>
            <w:sz w:val="18"/>
            <w:szCs w:val="18"/>
          </w:rPr>
          <w:t>ratified</w:t>
        </w:r>
      </w:hyperlink>
      <w:r w:rsidRPr="005264F8">
        <w:rPr>
          <w:rFonts w:cstheme="minorHAnsi"/>
          <w:sz w:val="18"/>
          <w:szCs w:val="18"/>
        </w:rPr>
        <w:t xml:space="preserve"> the</w:t>
      </w:r>
      <w:r w:rsidRPr="005264F8">
        <w:rPr>
          <w:rFonts w:eastAsiaTheme="minorHAnsi" w:cstheme="minorHAnsi"/>
          <w:sz w:val="18"/>
          <w:szCs w:val="18"/>
          <w:lang w:eastAsia="en-US"/>
        </w:rPr>
        <w:t xml:space="preserve"> </w:t>
      </w:r>
      <w:proofErr w:type="spellStart"/>
      <w:r w:rsidRPr="005264F8">
        <w:rPr>
          <w:rFonts w:cstheme="minorHAnsi"/>
          <w:sz w:val="18"/>
          <w:szCs w:val="18"/>
          <w:lang w:val="en-US"/>
        </w:rPr>
        <w:t>Tromsø</w:t>
      </w:r>
      <w:proofErr w:type="spellEnd"/>
      <w:r w:rsidRPr="005264F8">
        <w:rPr>
          <w:rFonts w:cstheme="minorHAnsi"/>
          <w:sz w:val="18"/>
          <w:szCs w:val="18"/>
          <w:lang w:val="en-US"/>
        </w:rPr>
        <w:t xml:space="preserve"> Convention on 5 January 2010</w:t>
      </w:r>
      <w:r>
        <w:rPr>
          <w:rFonts w:cstheme="minorHAnsi"/>
          <w:sz w:val="18"/>
          <w:szCs w:val="18"/>
          <w:lang w:val="en-US"/>
        </w:rPr>
        <w:t xml:space="preserve"> and</w:t>
      </w:r>
      <w:r w:rsidRPr="005264F8">
        <w:rPr>
          <w:rFonts w:cstheme="minorHAnsi"/>
          <w:sz w:val="18"/>
          <w:szCs w:val="18"/>
          <w:lang w:val="en-US"/>
        </w:rPr>
        <w:t xml:space="preserve"> it entered into force on 1 December 2020.</w:t>
      </w:r>
      <w:r w:rsidRPr="005264F8">
        <w:rPr>
          <w:rFonts w:cstheme="minorHAnsi"/>
          <w:sz w:val="18"/>
          <w:szCs w:val="18"/>
        </w:rPr>
        <w:t xml:space="preserve"> </w:t>
      </w:r>
    </w:p>
  </w:footnote>
  <w:footnote w:id="23">
    <w:p w14:paraId="07536E45" w14:textId="1093609D" w:rsidR="000710F0" w:rsidRPr="005264F8" w:rsidRDefault="000710F0" w:rsidP="00730760">
      <w:pPr>
        <w:pStyle w:val="FootnoteText"/>
        <w:jc w:val="both"/>
        <w:rPr>
          <w:sz w:val="18"/>
          <w:szCs w:val="18"/>
        </w:rPr>
      </w:pPr>
      <w:r w:rsidRPr="005264F8">
        <w:rPr>
          <w:rStyle w:val="FootnoteReference"/>
          <w:sz w:val="18"/>
          <w:szCs w:val="18"/>
        </w:rPr>
        <w:footnoteRef/>
      </w:r>
      <w:r w:rsidRPr="005264F8">
        <w:rPr>
          <w:sz w:val="18"/>
          <w:szCs w:val="18"/>
        </w:rPr>
        <w:t xml:space="preserve"> In addition to outlawing the use of drone recordings by journalists, </w:t>
      </w:r>
      <w:r w:rsidRPr="005264F8">
        <w:rPr>
          <w:sz w:val="18"/>
          <w:szCs w:val="18"/>
          <w:lang w:val="en-US"/>
        </w:rPr>
        <w:t xml:space="preserve">a </w:t>
      </w:r>
      <w:hyperlink r:id="rId28" w:history="1">
        <w:r w:rsidRPr="00FA644B">
          <w:rPr>
            <w:rStyle w:val="Hyperlink"/>
            <w:sz w:val="18"/>
            <w:szCs w:val="18"/>
            <w:lang w:val="en-US"/>
          </w:rPr>
          <w:t>constitutional amendment</w:t>
        </w:r>
      </w:hyperlink>
      <w:r w:rsidRPr="005264F8">
        <w:rPr>
          <w:sz w:val="18"/>
          <w:szCs w:val="18"/>
          <w:lang w:val="en-US"/>
        </w:rPr>
        <w:t xml:space="preserve"> was introduced in December 2020, restricting the notion of ‘public funds’. While the Commissioner was informed in February 2021 that the amendments served to clarify the definition and thus improve oversight, the Commissioner points to the established case-law of Hungarian courts wh</w:t>
      </w:r>
      <w:r>
        <w:rPr>
          <w:sz w:val="18"/>
          <w:szCs w:val="18"/>
          <w:lang w:val="en-US"/>
        </w:rPr>
        <w:t>ich</w:t>
      </w:r>
      <w:r w:rsidRPr="005264F8">
        <w:rPr>
          <w:sz w:val="18"/>
          <w:szCs w:val="18"/>
          <w:lang w:val="en-US"/>
        </w:rPr>
        <w:t xml:space="preserve"> have thus far upheld the public interest in the expenditure of funds, even if the government had argued that their ‘public nature’ had been lost. </w:t>
      </w:r>
    </w:p>
  </w:footnote>
  <w:footnote w:id="24">
    <w:p w14:paraId="5A4778AE" w14:textId="02AF31F3" w:rsidR="000710F0" w:rsidRPr="005264F8" w:rsidRDefault="000710F0" w:rsidP="00730760">
      <w:pPr>
        <w:pStyle w:val="FootnoteText"/>
        <w:jc w:val="both"/>
        <w:rPr>
          <w:rFonts w:cstheme="minorHAnsi"/>
          <w:sz w:val="18"/>
          <w:szCs w:val="18"/>
        </w:rPr>
      </w:pPr>
      <w:r w:rsidRPr="005264F8">
        <w:rPr>
          <w:rStyle w:val="FootnoteReference"/>
          <w:rFonts w:cstheme="minorHAnsi"/>
          <w:sz w:val="18"/>
          <w:szCs w:val="18"/>
        </w:rPr>
        <w:footnoteRef/>
      </w:r>
      <w:r w:rsidRPr="005264F8">
        <w:rPr>
          <w:rFonts w:cstheme="minorHAnsi"/>
          <w:sz w:val="18"/>
          <w:szCs w:val="18"/>
        </w:rPr>
        <w:t xml:space="preserve"> See Venice Commission Report ‘</w:t>
      </w:r>
      <w:hyperlink r:id="rId29" w:history="1">
        <w:r w:rsidRPr="005264F8">
          <w:rPr>
            <w:rStyle w:val="Hyperlink"/>
            <w:rFonts w:cstheme="minorHAnsi"/>
            <w:sz w:val="18"/>
            <w:szCs w:val="18"/>
          </w:rPr>
          <w:t>Respect for Democracy, Human Rights and the Rule of Law during States of Emergency</w:t>
        </w:r>
      </w:hyperlink>
      <w:r w:rsidRPr="005264F8">
        <w:rPr>
          <w:rFonts w:cstheme="minorHAnsi"/>
          <w:sz w:val="18"/>
          <w:szCs w:val="18"/>
        </w:rPr>
        <w:t xml:space="preserve">’ of 19 June 2020. </w:t>
      </w:r>
      <w:r>
        <w:rPr>
          <w:rFonts w:cstheme="minorHAnsi"/>
          <w:sz w:val="18"/>
          <w:szCs w:val="18"/>
        </w:rPr>
        <w:t xml:space="preserve">See also </w:t>
      </w:r>
      <w:hyperlink r:id="rId30" w:history="1">
        <w:r w:rsidRPr="00FA644B">
          <w:rPr>
            <w:rStyle w:val="Hyperlink"/>
            <w:rFonts w:cstheme="minorHAnsi"/>
            <w:sz w:val="18"/>
            <w:szCs w:val="18"/>
          </w:rPr>
          <w:t>Statement</w:t>
        </w:r>
      </w:hyperlink>
      <w:r>
        <w:rPr>
          <w:rFonts w:cstheme="minorHAnsi"/>
          <w:sz w:val="18"/>
          <w:szCs w:val="18"/>
        </w:rPr>
        <w:t xml:space="preserve"> of the Commissioner, 20 November 2020.</w:t>
      </w:r>
    </w:p>
  </w:footnote>
  <w:footnote w:id="25">
    <w:p w14:paraId="0747363F" w14:textId="1965DC53" w:rsidR="000710F0" w:rsidRPr="005264F8" w:rsidRDefault="000710F0" w:rsidP="0001401D">
      <w:pPr>
        <w:pStyle w:val="FootnoteText"/>
        <w:jc w:val="both"/>
        <w:rPr>
          <w:rFonts w:cstheme="minorHAnsi"/>
          <w:sz w:val="18"/>
          <w:szCs w:val="18"/>
          <w:lang w:val="en-US"/>
        </w:rPr>
      </w:pPr>
      <w:r w:rsidRPr="005264F8">
        <w:rPr>
          <w:rStyle w:val="FootnoteReference"/>
          <w:rFonts w:cstheme="minorHAnsi"/>
          <w:sz w:val="18"/>
          <w:szCs w:val="18"/>
        </w:rPr>
        <w:footnoteRef/>
      </w:r>
      <w:r w:rsidRPr="005264F8">
        <w:rPr>
          <w:rFonts w:cstheme="minorHAnsi"/>
          <w:sz w:val="18"/>
          <w:szCs w:val="18"/>
        </w:rPr>
        <w:t xml:space="preserve"> See </w:t>
      </w:r>
      <w:r w:rsidRPr="005264F8">
        <w:rPr>
          <w:rFonts w:cstheme="minorHAnsi"/>
          <w:sz w:val="18"/>
          <w:szCs w:val="18"/>
          <w:lang w:val="en-US"/>
        </w:rPr>
        <w:t xml:space="preserve">NAIH </w:t>
      </w:r>
      <w:hyperlink r:id="rId31" w:history="1">
        <w:r w:rsidRPr="005264F8">
          <w:rPr>
            <w:rStyle w:val="Hyperlink"/>
            <w:rFonts w:cstheme="minorHAnsi"/>
            <w:sz w:val="18"/>
            <w:szCs w:val="18"/>
            <w:lang w:val="en-US"/>
          </w:rPr>
          <w:t>Decision 4228/2020</w:t>
        </w:r>
      </w:hyperlink>
      <w:r w:rsidRPr="005264F8">
        <w:rPr>
          <w:rFonts w:cstheme="minorHAnsi"/>
          <w:sz w:val="18"/>
          <w:szCs w:val="18"/>
          <w:lang w:val="en-US"/>
        </w:rPr>
        <w:t xml:space="preserve"> of 10 June 2020. </w:t>
      </w:r>
    </w:p>
  </w:footnote>
  <w:footnote w:id="26">
    <w:p w14:paraId="052307A2" w14:textId="747106C6" w:rsidR="000710F0" w:rsidRPr="005264F8" w:rsidRDefault="000710F0" w:rsidP="0001401D">
      <w:pPr>
        <w:pStyle w:val="FootnoteText"/>
        <w:jc w:val="both"/>
        <w:rPr>
          <w:rFonts w:cstheme="minorHAnsi"/>
          <w:sz w:val="18"/>
          <w:szCs w:val="18"/>
        </w:rPr>
      </w:pPr>
      <w:r w:rsidRPr="005264F8">
        <w:rPr>
          <w:rStyle w:val="FootnoteReference"/>
          <w:rFonts w:cstheme="minorHAnsi"/>
          <w:sz w:val="18"/>
          <w:szCs w:val="18"/>
        </w:rPr>
        <w:footnoteRef/>
      </w:r>
      <w:r w:rsidRPr="005264F8">
        <w:rPr>
          <w:rFonts w:cstheme="minorHAnsi"/>
          <w:sz w:val="18"/>
          <w:szCs w:val="18"/>
        </w:rPr>
        <w:t xml:space="preserve"> See </w:t>
      </w:r>
      <w:hyperlink r:id="rId32" w:history="1">
        <w:r w:rsidRPr="005264F8">
          <w:rPr>
            <w:rStyle w:val="Hyperlink"/>
            <w:rFonts w:cstheme="minorHAnsi"/>
            <w:sz w:val="18"/>
            <w:szCs w:val="18"/>
          </w:rPr>
          <w:t>Letter of 17 November</w:t>
        </w:r>
      </w:hyperlink>
      <w:r w:rsidRPr="005264F8">
        <w:rPr>
          <w:rFonts w:cstheme="minorHAnsi"/>
          <w:sz w:val="18"/>
          <w:szCs w:val="18"/>
        </w:rPr>
        <w:t xml:space="preserve"> 2020</w:t>
      </w:r>
      <w:r w:rsidR="00027A13">
        <w:rPr>
          <w:rFonts w:cstheme="minorHAnsi"/>
          <w:sz w:val="18"/>
          <w:szCs w:val="18"/>
        </w:rPr>
        <w:t xml:space="preserve"> </w:t>
      </w:r>
      <w:r w:rsidRPr="005264F8">
        <w:rPr>
          <w:rFonts w:cstheme="minorHAnsi"/>
          <w:sz w:val="18"/>
          <w:szCs w:val="18"/>
        </w:rPr>
        <w:t xml:space="preserve">and </w:t>
      </w:r>
      <w:hyperlink r:id="rId33" w:history="1">
        <w:r w:rsidRPr="005264F8">
          <w:rPr>
            <w:rStyle w:val="Hyperlink"/>
            <w:rFonts w:cstheme="minorHAnsi"/>
            <w:sz w:val="18"/>
            <w:szCs w:val="18"/>
          </w:rPr>
          <w:t>Letter of 2 December</w:t>
        </w:r>
      </w:hyperlink>
      <w:r w:rsidRPr="005264F8">
        <w:rPr>
          <w:rFonts w:cstheme="minorHAnsi"/>
          <w:sz w:val="18"/>
          <w:szCs w:val="18"/>
        </w:rPr>
        <w:t xml:space="preserve"> 2020 from the NAIH to the relevant Parliamentary Committee.</w:t>
      </w:r>
      <w:r>
        <w:rPr>
          <w:rFonts w:cstheme="minorHAnsi"/>
          <w:sz w:val="18"/>
          <w:szCs w:val="18"/>
        </w:rPr>
        <w:t xml:space="preserve"> See also the </w:t>
      </w:r>
      <w:hyperlink r:id="rId34" w:history="1">
        <w:r w:rsidRPr="004C71A2">
          <w:rPr>
            <w:rStyle w:val="Hyperlink"/>
            <w:rFonts w:cstheme="minorHAnsi"/>
            <w:sz w:val="18"/>
            <w:szCs w:val="18"/>
          </w:rPr>
          <w:t>recommendations</w:t>
        </w:r>
      </w:hyperlink>
      <w:r>
        <w:rPr>
          <w:rFonts w:cstheme="minorHAnsi"/>
          <w:sz w:val="18"/>
          <w:szCs w:val="18"/>
        </w:rPr>
        <w:t xml:space="preserve"> on drone journalism issued by the OSCE </w:t>
      </w:r>
      <w:proofErr w:type="spellStart"/>
      <w:r>
        <w:rPr>
          <w:rFonts w:cstheme="minorHAnsi"/>
          <w:sz w:val="18"/>
          <w:szCs w:val="18"/>
        </w:rPr>
        <w:t>RFoM</w:t>
      </w:r>
      <w:proofErr w:type="spellEnd"/>
      <w:r>
        <w:rPr>
          <w:rFonts w:cstheme="minorHAnsi"/>
          <w:sz w:val="18"/>
          <w:szCs w:val="18"/>
        </w:rPr>
        <w:t>, March 2016.</w:t>
      </w:r>
    </w:p>
  </w:footnote>
  <w:footnote w:id="27">
    <w:p w14:paraId="23E4B25D" w14:textId="4FB31C56" w:rsidR="000710F0" w:rsidRPr="005264F8" w:rsidRDefault="000710F0" w:rsidP="0001401D">
      <w:pPr>
        <w:pStyle w:val="FootnoteText"/>
        <w:jc w:val="both"/>
        <w:rPr>
          <w:rFonts w:cstheme="minorHAnsi"/>
          <w:sz w:val="18"/>
          <w:szCs w:val="18"/>
        </w:rPr>
      </w:pPr>
      <w:r w:rsidRPr="005264F8">
        <w:rPr>
          <w:rStyle w:val="FootnoteReference"/>
          <w:rFonts w:cstheme="minorHAnsi"/>
          <w:sz w:val="18"/>
          <w:szCs w:val="18"/>
        </w:rPr>
        <w:footnoteRef/>
      </w:r>
      <w:r w:rsidRPr="005264F8">
        <w:rPr>
          <w:rFonts w:cstheme="minorHAnsi"/>
          <w:sz w:val="18"/>
          <w:szCs w:val="18"/>
        </w:rPr>
        <w:t xml:space="preserve"> </w:t>
      </w:r>
      <w:r w:rsidRPr="005264F8">
        <w:rPr>
          <w:rFonts w:cstheme="minorHAnsi"/>
          <w:sz w:val="18"/>
          <w:szCs w:val="18"/>
          <w:lang w:val="en-US"/>
        </w:rPr>
        <w:t xml:space="preserve">In 2020, pre-existing weaknesses </w:t>
      </w:r>
      <w:r>
        <w:rPr>
          <w:rFonts w:cstheme="minorHAnsi"/>
          <w:sz w:val="18"/>
          <w:szCs w:val="18"/>
          <w:lang w:val="en-US"/>
        </w:rPr>
        <w:t xml:space="preserve">in media sustainability </w:t>
      </w:r>
      <w:r w:rsidRPr="005264F8">
        <w:rPr>
          <w:rFonts w:cstheme="minorHAnsi"/>
          <w:sz w:val="18"/>
          <w:szCs w:val="18"/>
          <w:lang w:val="en-US"/>
        </w:rPr>
        <w:t xml:space="preserve">were exacerbated by the economic downturn caused by the pandemic, which led to dramatic falls in advertising and other income for media across the Council of Europe region. </w:t>
      </w:r>
      <w:r w:rsidRPr="005264F8">
        <w:rPr>
          <w:rFonts w:cstheme="minorHAnsi"/>
          <w:sz w:val="18"/>
          <w:szCs w:val="18"/>
        </w:rPr>
        <w:t>See ‘</w:t>
      </w:r>
      <w:hyperlink r:id="rId35" w:history="1">
        <w:r w:rsidRPr="005264F8">
          <w:rPr>
            <w:rStyle w:val="Hyperlink"/>
            <w:rFonts w:cstheme="minorHAnsi"/>
            <w:sz w:val="18"/>
            <w:szCs w:val="18"/>
          </w:rPr>
          <w:t>COVID and free speech</w:t>
        </w:r>
      </w:hyperlink>
      <w:r w:rsidRPr="005264F8">
        <w:rPr>
          <w:rFonts w:cstheme="minorHAnsi"/>
          <w:sz w:val="18"/>
          <w:szCs w:val="18"/>
        </w:rPr>
        <w:t>’, Council of Europe, 4 November 2020.</w:t>
      </w:r>
    </w:p>
  </w:footnote>
  <w:footnote w:id="28">
    <w:p w14:paraId="685091FE" w14:textId="169229FA" w:rsidR="000710F0" w:rsidRPr="005264F8" w:rsidRDefault="000710F0" w:rsidP="0001401D">
      <w:pPr>
        <w:pStyle w:val="FootnoteText"/>
        <w:jc w:val="both"/>
        <w:rPr>
          <w:rFonts w:cstheme="minorHAnsi"/>
          <w:sz w:val="18"/>
          <w:szCs w:val="18"/>
        </w:rPr>
      </w:pPr>
      <w:r w:rsidRPr="005264F8">
        <w:rPr>
          <w:rStyle w:val="FootnoteReference"/>
          <w:rFonts w:cstheme="minorHAnsi"/>
          <w:sz w:val="18"/>
          <w:szCs w:val="18"/>
        </w:rPr>
        <w:footnoteRef/>
      </w:r>
      <w:r w:rsidRPr="005264F8">
        <w:rPr>
          <w:rFonts w:cstheme="minorHAnsi"/>
          <w:sz w:val="18"/>
          <w:szCs w:val="18"/>
        </w:rPr>
        <w:t xml:space="preserve"> Transparency o</w:t>
      </w:r>
      <w:r>
        <w:rPr>
          <w:rFonts w:cstheme="minorHAnsi"/>
          <w:sz w:val="18"/>
          <w:szCs w:val="18"/>
        </w:rPr>
        <w:t>n</w:t>
      </w:r>
      <w:r w:rsidRPr="005264F8">
        <w:rPr>
          <w:rFonts w:cstheme="minorHAnsi"/>
          <w:sz w:val="18"/>
          <w:szCs w:val="18"/>
        </w:rPr>
        <w:t xml:space="preserve"> state spending has decreased overall. In </w:t>
      </w:r>
      <w:hyperlink r:id="rId36" w:history="1">
        <w:r w:rsidRPr="005264F8">
          <w:rPr>
            <w:rStyle w:val="Hyperlink"/>
            <w:rFonts w:cstheme="minorHAnsi"/>
            <w:sz w:val="18"/>
            <w:szCs w:val="18"/>
          </w:rPr>
          <w:t>March 2016</w:t>
        </w:r>
      </w:hyperlink>
      <w:r w:rsidRPr="005264F8">
        <w:rPr>
          <w:rFonts w:cstheme="minorHAnsi"/>
          <w:sz w:val="18"/>
          <w:szCs w:val="18"/>
        </w:rPr>
        <w:t xml:space="preserve">, the Hungarian Parliament </w:t>
      </w:r>
      <w:r>
        <w:rPr>
          <w:rFonts w:cstheme="minorHAnsi"/>
          <w:sz w:val="18"/>
          <w:szCs w:val="18"/>
        </w:rPr>
        <w:t>authorised</w:t>
      </w:r>
      <w:r w:rsidRPr="005264F8">
        <w:rPr>
          <w:rFonts w:cstheme="minorHAnsi"/>
          <w:sz w:val="18"/>
          <w:szCs w:val="18"/>
        </w:rPr>
        <w:t xml:space="preserve"> the </w:t>
      </w:r>
      <w:r>
        <w:rPr>
          <w:rFonts w:cstheme="minorHAnsi"/>
          <w:sz w:val="18"/>
          <w:szCs w:val="18"/>
        </w:rPr>
        <w:t>g</w:t>
      </w:r>
      <w:r w:rsidRPr="005264F8">
        <w:rPr>
          <w:rFonts w:cstheme="minorHAnsi"/>
          <w:sz w:val="18"/>
          <w:szCs w:val="18"/>
        </w:rPr>
        <w:t xml:space="preserve">overnment to make budget decisions by decree, without going through regular budget approval processes. In February 2021, the EU declared </w:t>
      </w:r>
      <w:r>
        <w:rPr>
          <w:rFonts w:cstheme="minorHAnsi"/>
          <w:sz w:val="18"/>
          <w:szCs w:val="18"/>
        </w:rPr>
        <w:t xml:space="preserve">competition </w:t>
      </w:r>
      <w:r w:rsidRPr="005264F8">
        <w:rPr>
          <w:rFonts w:cstheme="minorHAnsi"/>
          <w:sz w:val="18"/>
          <w:szCs w:val="18"/>
          <w:lang w:val="en-US"/>
        </w:rPr>
        <w:t>in public procurement to be insufficient in practice and cited “</w:t>
      </w:r>
      <w:hyperlink r:id="rId37" w:history="1">
        <w:r w:rsidRPr="005264F8">
          <w:rPr>
            <w:rStyle w:val="Hyperlink"/>
            <w:rFonts w:cstheme="minorHAnsi"/>
            <w:sz w:val="18"/>
            <w:szCs w:val="18"/>
            <w:lang w:val="en-US"/>
          </w:rPr>
          <w:t>systemic irregularities</w:t>
        </w:r>
      </w:hyperlink>
      <w:r w:rsidRPr="005264F8">
        <w:rPr>
          <w:rFonts w:cstheme="minorHAnsi"/>
          <w:sz w:val="18"/>
          <w:szCs w:val="18"/>
          <w:lang w:val="en-US"/>
        </w:rPr>
        <w:t>”</w:t>
      </w:r>
      <w:r>
        <w:rPr>
          <w:rFonts w:cstheme="minorHAnsi"/>
          <w:sz w:val="18"/>
          <w:szCs w:val="18"/>
          <w:lang w:val="en-US"/>
        </w:rPr>
        <w:t>,</w:t>
      </w:r>
      <w:r w:rsidRPr="005264F8">
        <w:rPr>
          <w:rFonts w:cstheme="minorHAnsi"/>
          <w:sz w:val="18"/>
          <w:szCs w:val="18"/>
          <w:lang w:val="en-US"/>
        </w:rPr>
        <w:t xml:space="preserve"> </w:t>
      </w:r>
      <w:r w:rsidRPr="009536C6">
        <w:rPr>
          <w:rFonts w:cstheme="minorHAnsi"/>
          <w:sz w:val="18"/>
          <w:szCs w:val="18"/>
          <w:lang w:val="en-US"/>
        </w:rPr>
        <w:t>call</w:t>
      </w:r>
      <w:r>
        <w:rPr>
          <w:rFonts w:cstheme="minorHAnsi"/>
          <w:sz w:val="18"/>
          <w:szCs w:val="18"/>
          <w:lang w:val="en-US"/>
        </w:rPr>
        <w:t>ing</w:t>
      </w:r>
      <w:r w:rsidRPr="009536C6">
        <w:rPr>
          <w:rFonts w:cstheme="minorHAnsi"/>
          <w:sz w:val="18"/>
          <w:szCs w:val="18"/>
          <w:lang w:val="en-US"/>
        </w:rPr>
        <w:t xml:space="preserve"> specifically for improved data transparency and accessibility</w:t>
      </w:r>
      <w:r w:rsidRPr="005264F8">
        <w:rPr>
          <w:rFonts w:cstheme="minorHAnsi"/>
          <w:sz w:val="18"/>
          <w:szCs w:val="18"/>
          <w:lang w:val="en-US"/>
        </w:rPr>
        <w:t>.</w:t>
      </w:r>
    </w:p>
  </w:footnote>
  <w:footnote w:id="29">
    <w:p w14:paraId="0826075B" w14:textId="2B9F0A62" w:rsidR="000710F0" w:rsidRPr="005264F8" w:rsidRDefault="000710F0" w:rsidP="00A8405B">
      <w:pPr>
        <w:pStyle w:val="FootnoteText"/>
        <w:jc w:val="both"/>
        <w:rPr>
          <w:rFonts w:cstheme="minorHAnsi"/>
          <w:sz w:val="18"/>
          <w:szCs w:val="18"/>
        </w:rPr>
      </w:pPr>
      <w:r w:rsidRPr="005264F8">
        <w:rPr>
          <w:rStyle w:val="FootnoteReference"/>
          <w:rFonts w:cstheme="minorHAnsi"/>
          <w:sz w:val="18"/>
          <w:szCs w:val="18"/>
        </w:rPr>
        <w:footnoteRef/>
      </w:r>
      <w:r w:rsidRPr="005264F8">
        <w:rPr>
          <w:rFonts w:cstheme="minorHAnsi"/>
          <w:sz w:val="18"/>
          <w:szCs w:val="18"/>
        </w:rPr>
        <w:t xml:space="preserve"> See also the European Commission </w:t>
      </w:r>
      <w:hyperlink r:id="rId38" w:history="1">
        <w:r w:rsidRPr="005264F8">
          <w:rPr>
            <w:rStyle w:val="Hyperlink"/>
            <w:rFonts w:cstheme="minorHAnsi"/>
            <w:sz w:val="18"/>
            <w:szCs w:val="18"/>
          </w:rPr>
          <w:t>Rule of Law Report 2020</w:t>
        </w:r>
      </w:hyperlink>
      <w:r w:rsidRPr="005264F8">
        <w:rPr>
          <w:rFonts w:cstheme="minorHAnsi"/>
          <w:sz w:val="18"/>
          <w:szCs w:val="18"/>
        </w:rPr>
        <w:t xml:space="preserve">. According to the </w:t>
      </w:r>
      <w:hyperlink r:id="rId39" w:history="1">
        <w:r w:rsidRPr="00A93D2F">
          <w:rPr>
            <w:rStyle w:val="Hyperlink"/>
            <w:rFonts w:cstheme="minorHAnsi"/>
            <w:sz w:val="18"/>
            <w:szCs w:val="18"/>
          </w:rPr>
          <w:t>Media Pluralism Monitor</w:t>
        </w:r>
      </w:hyperlink>
      <w:r w:rsidRPr="007B38CD">
        <w:rPr>
          <w:rFonts w:cstheme="minorHAnsi"/>
          <w:sz w:val="18"/>
          <w:szCs w:val="18"/>
        </w:rPr>
        <w:t xml:space="preserve"> 2020</w:t>
      </w:r>
      <w:r>
        <w:rPr>
          <w:rFonts w:cstheme="minorHAnsi"/>
          <w:sz w:val="18"/>
          <w:szCs w:val="18"/>
        </w:rPr>
        <w:t xml:space="preserve"> on Hungary</w:t>
      </w:r>
      <w:r w:rsidRPr="005264F8">
        <w:rPr>
          <w:rFonts w:cstheme="minorHAnsi"/>
          <w:sz w:val="18"/>
          <w:szCs w:val="18"/>
        </w:rPr>
        <w:t>,</w:t>
      </w:r>
      <w:r>
        <w:rPr>
          <w:rFonts w:cstheme="minorHAnsi"/>
          <w:sz w:val="18"/>
          <w:szCs w:val="18"/>
        </w:rPr>
        <w:t xml:space="preserve"> in 2019</w:t>
      </w:r>
      <w:r w:rsidRPr="005264F8">
        <w:rPr>
          <w:rFonts w:cstheme="minorHAnsi"/>
          <w:sz w:val="18"/>
          <w:szCs w:val="18"/>
        </w:rPr>
        <w:t xml:space="preserve"> the share of state advertising </w:t>
      </w:r>
      <w:r>
        <w:rPr>
          <w:rFonts w:cstheme="minorHAnsi"/>
          <w:sz w:val="18"/>
          <w:szCs w:val="18"/>
        </w:rPr>
        <w:t xml:space="preserve">awarded </w:t>
      </w:r>
      <w:r w:rsidRPr="005264F8">
        <w:rPr>
          <w:rFonts w:cstheme="minorHAnsi"/>
          <w:sz w:val="18"/>
          <w:szCs w:val="18"/>
        </w:rPr>
        <w:t xml:space="preserve">to pro-government outlets was 75% </w:t>
      </w:r>
      <w:r>
        <w:rPr>
          <w:rFonts w:cstheme="minorHAnsi"/>
          <w:sz w:val="18"/>
          <w:szCs w:val="18"/>
        </w:rPr>
        <w:t xml:space="preserve">for </w:t>
      </w:r>
      <w:r w:rsidRPr="005264F8">
        <w:rPr>
          <w:rFonts w:cstheme="minorHAnsi"/>
          <w:sz w:val="18"/>
          <w:szCs w:val="18"/>
        </w:rPr>
        <w:t>newspaper</w:t>
      </w:r>
      <w:r>
        <w:rPr>
          <w:rFonts w:cstheme="minorHAnsi"/>
          <w:sz w:val="18"/>
          <w:szCs w:val="18"/>
        </w:rPr>
        <w:t>s</w:t>
      </w:r>
      <w:r w:rsidRPr="005264F8">
        <w:rPr>
          <w:rFonts w:cstheme="minorHAnsi"/>
          <w:sz w:val="18"/>
          <w:szCs w:val="18"/>
        </w:rPr>
        <w:t xml:space="preserve">, 95% in the TV market, and 90% in the online and radio market. </w:t>
      </w:r>
      <w:hyperlink r:id="rId40" w:history="1">
        <w:proofErr w:type="spellStart"/>
        <w:r w:rsidRPr="005264F8">
          <w:rPr>
            <w:rStyle w:val="Hyperlink"/>
            <w:rFonts w:cstheme="minorHAnsi"/>
            <w:sz w:val="18"/>
            <w:szCs w:val="18"/>
            <w:lang w:val="en-US"/>
          </w:rPr>
          <w:t>Mérték</w:t>
        </w:r>
        <w:proofErr w:type="spellEnd"/>
        <w:r w:rsidRPr="005264F8">
          <w:rPr>
            <w:rStyle w:val="Hyperlink"/>
            <w:rFonts w:cstheme="minorHAnsi"/>
            <w:sz w:val="18"/>
            <w:szCs w:val="18"/>
            <w:lang w:val="en-US"/>
          </w:rPr>
          <w:t xml:space="preserve"> Media Monitor </w:t>
        </w:r>
      </w:hyperlink>
      <w:r w:rsidRPr="005264F8">
        <w:rPr>
          <w:rFonts w:cstheme="minorHAnsi"/>
          <w:sz w:val="18"/>
          <w:szCs w:val="18"/>
          <w:lang w:val="en-US"/>
        </w:rPr>
        <w:t xml:space="preserve">reported in 2019 that based on revenue, pro-government media controlled 77.8% of the news media. </w:t>
      </w:r>
      <w:r w:rsidRPr="005264F8">
        <w:rPr>
          <w:rFonts w:cstheme="minorHAnsi"/>
          <w:sz w:val="18"/>
          <w:szCs w:val="18"/>
        </w:rPr>
        <w:t xml:space="preserve"> </w:t>
      </w:r>
    </w:p>
  </w:footnote>
  <w:footnote w:id="30">
    <w:p w14:paraId="095EFE2F" w14:textId="33F39440" w:rsidR="000710F0" w:rsidRPr="005264F8" w:rsidRDefault="000710F0" w:rsidP="005264F8">
      <w:pPr>
        <w:pStyle w:val="FootnoteText"/>
        <w:jc w:val="both"/>
        <w:rPr>
          <w:rFonts w:cstheme="minorHAnsi"/>
          <w:sz w:val="18"/>
          <w:szCs w:val="18"/>
        </w:rPr>
      </w:pPr>
      <w:r w:rsidRPr="005264F8">
        <w:rPr>
          <w:rStyle w:val="FootnoteReference"/>
          <w:rFonts w:cstheme="minorHAnsi"/>
          <w:sz w:val="18"/>
          <w:szCs w:val="18"/>
        </w:rPr>
        <w:footnoteRef/>
      </w:r>
      <w:r w:rsidRPr="005264F8">
        <w:rPr>
          <w:rFonts w:cstheme="minorHAnsi"/>
          <w:sz w:val="18"/>
          <w:szCs w:val="18"/>
        </w:rPr>
        <w:t xml:space="preserve"> See ‘</w:t>
      </w:r>
      <w:hyperlink r:id="rId41" w:history="1">
        <w:r w:rsidRPr="005264F8">
          <w:rPr>
            <w:rStyle w:val="Hyperlink"/>
            <w:rFonts w:cstheme="minorHAnsi"/>
            <w:sz w:val="18"/>
            <w:szCs w:val="18"/>
          </w:rPr>
          <w:t>Hungary dismantles media freedom and pluralism</w:t>
        </w:r>
      </w:hyperlink>
      <w:r w:rsidRPr="005264F8">
        <w:rPr>
          <w:rFonts w:cstheme="minorHAnsi"/>
          <w:sz w:val="18"/>
          <w:szCs w:val="18"/>
        </w:rPr>
        <w:t xml:space="preserve">’, </w:t>
      </w:r>
      <w:r>
        <w:rPr>
          <w:sz w:val="18"/>
          <w:szCs w:val="18"/>
        </w:rPr>
        <w:t>r</w:t>
      </w:r>
      <w:r w:rsidRPr="005264F8">
        <w:rPr>
          <w:sz w:val="18"/>
          <w:szCs w:val="18"/>
        </w:rPr>
        <w:t>eport by a joint fact</w:t>
      </w:r>
      <w:r>
        <w:rPr>
          <w:sz w:val="18"/>
          <w:szCs w:val="18"/>
        </w:rPr>
        <w:t>-</w:t>
      </w:r>
      <w:r w:rsidRPr="005264F8">
        <w:rPr>
          <w:sz w:val="18"/>
          <w:szCs w:val="18"/>
        </w:rPr>
        <w:t>finding mission,</w:t>
      </w:r>
      <w:r>
        <w:rPr>
          <w:sz w:val="18"/>
          <w:szCs w:val="18"/>
        </w:rPr>
        <w:t xml:space="preserve"> </w:t>
      </w:r>
      <w:r w:rsidRPr="005264F8">
        <w:rPr>
          <w:rFonts w:cstheme="minorHAnsi"/>
          <w:sz w:val="18"/>
          <w:szCs w:val="18"/>
        </w:rPr>
        <w:t xml:space="preserve">3 December 2019. </w:t>
      </w:r>
    </w:p>
  </w:footnote>
  <w:footnote w:id="31">
    <w:p w14:paraId="6CD36017" w14:textId="79A631F4" w:rsidR="000710F0" w:rsidRPr="00B41858" w:rsidRDefault="000710F0" w:rsidP="005335F1">
      <w:pPr>
        <w:pStyle w:val="FootnoteText"/>
        <w:jc w:val="both"/>
        <w:rPr>
          <w:sz w:val="18"/>
          <w:szCs w:val="18"/>
        </w:rPr>
      </w:pPr>
      <w:r w:rsidRPr="005264F8">
        <w:rPr>
          <w:rStyle w:val="FootnoteReference"/>
          <w:sz w:val="18"/>
          <w:szCs w:val="18"/>
        </w:rPr>
        <w:footnoteRef/>
      </w:r>
      <w:r w:rsidRPr="005264F8">
        <w:rPr>
          <w:sz w:val="18"/>
          <w:szCs w:val="18"/>
        </w:rPr>
        <w:t xml:space="preserve"> </w:t>
      </w:r>
      <w:r>
        <w:rPr>
          <w:sz w:val="18"/>
          <w:szCs w:val="18"/>
        </w:rPr>
        <w:t xml:space="preserve">See </w:t>
      </w:r>
      <w:proofErr w:type="spellStart"/>
      <w:r>
        <w:rPr>
          <w:sz w:val="18"/>
          <w:szCs w:val="18"/>
        </w:rPr>
        <w:t>M</w:t>
      </w:r>
      <w:r>
        <w:rPr>
          <w:rFonts w:cs="Arial"/>
          <w:sz w:val="18"/>
          <w:szCs w:val="18"/>
        </w:rPr>
        <w:t>érték</w:t>
      </w:r>
      <w:proofErr w:type="spellEnd"/>
      <w:r>
        <w:rPr>
          <w:rFonts w:cs="Arial"/>
          <w:sz w:val="18"/>
          <w:szCs w:val="18"/>
        </w:rPr>
        <w:t xml:space="preserve"> Media Monitoring 2021 Update on state aid </w:t>
      </w:r>
      <w:hyperlink r:id="rId42" w:history="1">
        <w:r w:rsidRPr="004556D4">
          <w:rPr>
            <w:rStyle w:val="Hyperlink"/>
            <w:rFonts w:cs="Arial"/>
            <w:sz w:val="18"/>
            <w:szCs w:val="18"/>
          </w:rPr>
          <w:t>complaint</w:t>
        </w:r>
      </w:hyperlink>
      <w:r>
        <w:rPr>
          <w:rFonts w:cs="Arial"/>
          <w:sz w:val="18"/>
          <w:szCs w:val="18"/>
        </w:rPr>
        <w:t xml:space="preserve"> No. 53108 to the European Commission. See also state aid </w:t>
      </w:r>
      <w:hyperlink r:id="rId43" w:history="1">
        <w:r w:rsidRPr="00EF49C2">
          <w:rPr>
            <w:rStyle w:val="Hyperlink"/>
            <w:rFonts w:cs="Arial"/>
            <w:sz w:val="18"/>
            <w:szCs w:val="18"/>
          </w:rPr>
          <w:t>complaint</w:t>
        </w:r>
      </w:hyperlink>
      <w:r>
        <w:rPr>
          <w:rFonts w:cs="Arial"/>
          <w:sz w:val="18"/>
          <w:szCs w:val="18"/>
        </w:rPr>
        <w:t xml:space="preserve"> No. 45463 on the incompatibility of Hungarian state advertising practices with the European Commission </w:t>
      </w:r>
      <w:hyperlink r:id="rId44" w:history="1">
        <w:r w:rsidRPr="00EF49C2">
          <w:rPr>
            <w:rStyle w:val="Hyperlink"/>
            <w:rFonts w:cs="Arial"/>
            <w:sz w:val="18"/>
            <w:szCs w:val="18"/>
          </w:rPr>
          <w:t>Communication</w:t>
        </w:r>
      </w:hyperlink>
      <w:r>
        <w:rPr>
          <w:rFonts w:cs="Arial"/>
          <w:sz w:val="18"/>
          <w:szCs w:val="18"/>
        </w:rPr>
        <w:t xml:space="preserve"> </w:t>
      </w:r>
      <w:r w:rsidRPr="00B41858">
        <w:rPr>
          <w:rFonts w:cs="Arial"/>
          <w:sz w:val="18"/>
          <w:szCs w:val="18"/>
          <w:lang w:val="en-US"/>
        </w:rPr>
        <w:t>on the application of State aid rules to public service broadcasting</w:t>
      </w:r>
      <w:r>
        <w:rPr>
          <w:rFonts w:cs="Arial"/>
          <w:sz w:val="18"/>
          <w:szCs w:val="18"/>
          <w:lang w:val="en-US"/>
        </w:rPr>
        <w:t>.</w:t>
      </w:r>
      <w:r w:rsidRPr="00B41858">
        <w:rPr>
          <w:rFonts w:cs="Arial"/>
          <w:sz w:val="18"/>
          <w:szCs w:val="18"/>
        </w:rPr>
        <w:t xml:space="preserve"> </w:t>
      </w:r>
    </w:p>
  </w:footnote>
  <w:footnote w:id="32">
    <w:p w14:paraId="57A55ED4" w14:textId="2914D90F" w:rsidR="000710F0" w:rsidRPr="005264F8" w:rsidRDefault="000710F0" w:rsidP="005264F8">
      <w:pPr>
        <w:pStyle w:val="FootnoteText"/>
        <w:jc w:val="both"/>
        <w:rPr>
          <w:rFonts w:cstheme="minorHAnsi"/>
          <w:sz w:val="18"/>
          <w:szCs w:val="18"/>
        </w:rPr>
      </w:pPr>
      <w:r w:rsidRPr="005264F8">
        <w:rPr>
          <w:rStyle w:val="FootnoteReference"/>
          <w:rFonts w:cstheme="minorHAnsi"/>
          <w:sz w:val="18"/>
          <w:szCs w:val="18"/>
        </w:rPr>
        <w:footnoteRef/>
      </w:r>
      <w:r w:rsidRPr="005264F8">
        <w:rPr>
          <w:rFonts w:cstheme="minorHAnsi"/>
          <w:sz w:val="18"/>
          <w:szCs w:val="18"/>
        </w:rPr>
        <w:t xml:space="preserve"> This is </w:t>
      </w:r>
      <w:r>
        <w:rPr>
          <w:rFonts w:cstheme="minorHAnsi"/>
          <w:sz w:val="18"/>
          <w:szCs w:val="18"/>
        </w:rPr>
        <w:t xml:space="preserve">the case, </w:t>
      </w:r>
      <w:r w:rsidRPr="005264F8">
        <w:rPr>
          <w:rFonts w:cstheme="minorHAnsi"/>
          <w:sz w:val="18"/>
          <w:szCs w:val="18"/>
        </w:rPr>
        <w:t xml:space="preserve">for instance, </w:t>
      </w:r>
      <w:r>
        <w:rPr>
          <w:rFonts w:cstheme="minorHAnsi"/>
          <w:sz w:val="18"/>
          <w:szCs w:val="18"/>
        </w:rPr>
        <w:t>for</w:t>
      </w:r>
      <w:r w:rsidRPr="005264F8">
        <w:rPr>
          <w:rFonts w:cstheme="minorHAnsi"/>
          <w:sz w:val="18"/>
          <w:szCs w:val="18"/>
        </w:rPr>
        <w:t xml:space="preserve"> smaller news sites such as </w:t>
      </w:r>
      <w:r w:rsidRPr="003325F9">
        <w:rPr>
          <w:rFonts w:cstheme="minorHAnsi"/>
          <w:i/>
          <w:iCs/>
          <w:sz w:val="18"/>
          <w:szCs w:val="18"/>
        </w:rPr>
        <w:t>Direct36.hu</w:t>
      </w:r>
      <w:r w:rsidRPr="005264F8">
        <w:rPr>
          <w:rFonts w:cstheme="minorHAnsi"/>
          <w:sz w:val="18"/>
          <w:szCs w:val="18"/>
        </w:rPr>
        <w:t xml:space="preserve"> and </w:t>
      </w:r>
      <w:proofErr w:type="spellStart"/>
      <w:r w:rsidRPr="003325F9">
        <w:rPr>
          <w:rFonts w:cstheme="minorHAnsi"/>
          <w:i/>
          <w:iCs/>
          <w:sz w:val="18"/>
          <w:szCs w:val="18"/>
        </w:rPr>
        <w:t>Klubrádió</w:t>
      </w:r>
      <w:proofErr w:type="spellEnd"/>
      <w:r w:rsidRPr="005264F8">
        <w:rPr>
          <w:rFonts w:cstheme="minorHAnsi"/>
          <w:sz w:val="18"/>
          <w:szCs w:val="18"/>
        </w:rPr>
        <w:t>.</w:t>
      </w:r>
    </w:p>
  </w:footnote>
  <w:footnote w:id="33">
    <w:p w14:paraId="72A7FE84" w14:textId="4CFDEE3D" w:rsidR="000710F0" w:rsidRPr="005264F8" w:rsidRDefault="000710F0" w:rsidP="005264F8">
      <w:pPr>
        <w:pStyle w:val="FootnoteText"/>
        <w:jc w:val="both"/>
        <w:rPr>
          <w:rFonts w:cstheme="minorHAnsi"/>
          <w:sz w:val="18"/>
          <w:szCs w:val="18"/>
        </w:rPr>
      </w:pPr>
      <w:r w:rsidRPr="005264F8">
        <w:rPr>
          <w:rStyle w:val="FootnoteReference"/>
          <w:rFonts w:cstheme="minorHAnsi"/>
          <w:sz w:val="18"/>
          <w:szCs w:val="18"/>
        </w:rPr>
        <w:footnoteRef/>
      </w:r>
      <w:r w:rsidRPr="005264F8">
        <w:rPr>
          <w:rFonts w:cstheme="minorHAnsi"/>
          <w:sz w:val="18"/>
          <w:szCs w:val="18"/>
        </w:rPr>
        <w:t xml:space="preserve"> </w:t>
      </w:r>
      <w:r w:rsidRPr="005264F8">
        <w:rPr>
          <w:rFonts w:cstheme="minorHAnsi"/>
          <w:iCs/>
          <w:sz w:val="18"/>
          <w:szCs w:val="18"/>
        </w:rPr>
        <w:t xml:space="preserve">It is not fully clear whether this is due to direct pressure or to self-censorship for fear of economic or tax-related retaliation by the government. See </w:t>
      </w:r>
      <w:r w:rsidRPr="005264F8">
        <w:rPr>
          <w:rFonts w:cstheme="minorHAnsi"/>
          <w:sz w:val="18"/>
          <w:szCs w:val="18"/>
        </w:rPr>
        <w:t>‘</w:t>
      </w:r>
      <w:hyperlink r:id="rId45" w:history="1">
        <w:r w:rsidRPr="005264F8">
          <w:rPr>
            <w:rStyle w:val="Hyperlink"/>
            <w:rFonts w:cstheme="minorHAnsi"/>
            <w:sz w:val="18"/>
            <w:szCs w:val="18"/>
          </w:rPr>
          <w:t>Hungary dismantles media freedom and pluralism</w:t>
        </w:r>
      </w:hyperlink>
      <w:r w:rsidRPr="005264F8">
        <w:rPr>
          <w:rFonts w:cstheme="minorHAnsi"/>
          <w:sz w:val="18"/>
          <w:szCs w:val="18"/>
        </w:rPr>
        <w:t>’,</w:t>
      </w:r>
      <w:r w:rsidRPr="005264F8">
        <w:rPr>
          <w:sz w:val="18"/>
          <w:szCs w:val="18"/>
        </w:rPr>
        <w:t xml:space="preserve"> </w:t>
      </w:r>
      <w:r>
        <w:rPr>
          <w:sz w:val="18"/>
          <w:szCs w:val="18"/>
        </w:rPr>
        <w:t>r</w:t>
      </w:r>
      <w:r w:rsidRPr="005264F8">
        <w:rPr>
          <w:sz w:val="18"/>
          <w:szCs w:val="18"/>
        </w:rPr>
        <w:t>eport by a joint fact</w:t>
      </w:r>
      <w:r>
        <w:rPr>
          <w:sz w:val="18"/>
          <w:szCs w:val="18"/>
        </w:rPr>
        <w:t>-</w:t>
      </w:r>
      <w:r w:rsidRPr="005264F8">
        <w:rPr>
          <w:sz w:val="18"/>
          <w:szCs w:val="18"/>
        </w:rPr>
        <w:t>finding mission,</w:t>
      </w:r>
      <w:r w:rsidRPr="005264F8">
        <w:rPr>
          <w:rFonts w:cstheme="minorHAnsi"/>
          <w:sz w:val="18"/>
          <w:szCs w:val="18"/>
        </w:rPr>
        <w:t xml:space="preserve"> 3 December 2019.</w:t>
      </w:r>
    </w:p>
  </w:footnote>
  <w:footnote w:id="34">
    <w:p w14:paraId="064A036E" w14:textId="25CE6E2F" w:rsidR="000710F0" w:rsidRPr="005264F8" w:rsidRDefault="000710F0" w:rsidP="005264F8">
      <w:pPr>
        <w:pStyle w:val="FootnoteText"/>
        <w:jc w:val="both"/>
        <w:rPr>
          <w:rFonts w:cstheme="minorHAnsi"/>
          <w:sz w:val="18"/>
          <w:szCs w:val="18"/>
        </w:rPr>
      </w:pPr>
      <w:r w:rsidRPr="005264F8">
        <w:rPr>
          <w:rStyle w:val="FootnoteReference"/>
          <w:rFonts w:cstheme="minorHAnsi"/>
          <w:sz w:val="18"/>
          <w:szCs w:val="18"/>
        </w:rPr>
        <w:footnoteRef/>
      </w:r>
      <w:r w:rsidRPr="005264F8">
        <w:rPr>
          <w:rFonts w:cstheme="minorHAnsi"/>
          <w:sz w:val="18"/>
          <w:szCs w:val="18"/>
        </w:rPr>
        <w:t xml:space="preserve"> See </w:t>
      </w:r>
      <w:hyperlink r:id="rId46" w:history="1">
        <w:r w:rsidRPr="005264F8">
          <w:rPr>
            <w:rStyle w:val="Hyperlink"/>
            <w:rFonts w:cstheme="minorHAnsi"/>
            <w:sz w:val="18"/>
            <w:szCs w:val="18"/>
          </w:rPr>
          <w:t>Media Pluralism Monitor</w:t>
        </w:r>
      </w:hyperlink>
      <w:r w:rsidRPr="005264F8">
        <w:rPr>
          <w:rFonts w:cstheme="minorHAnsi"/>
          <w:sz w:val="18"/>
          <w:szCs w:val="18"/>
        </w:rPr>
        <w:t xml:space="preserve">, July 2019. The CEO of the Foundation is </w:t>
      </w:r>
      <w:r>
        <w:rPr>
          <w:rFonts w:cstheme="minorHAnsi"/>
          <w:sz w:val="18"/>
          <w:szCs w:val="18"/>
        </w:rPr>
        <w:t xml:space="preserve">considered to be </w:t>
      </w:r>
      <w:r w:rsidRPr="005264F8">
        <w:rPr>
          <w:rFonts w:cstheme="minorHAnsi"/>
          <w:sz w:val="18"/>
          <w:szCs w:val="18"/>
        </w:rPr>
        <w:t>politically close to the Hungarian Prime Minister</w:t>
      </w:r>
      <w:r>
        <w:rPr>
          <w:rFonts w:cstheme="minorHAnsi"/>
          <w:sz w:val="18"/>
          <w:szCs w:val="18"/>
        </w:rPr>
        <w:t xml:space="preserve"> and</w:t>
      </w:r>
      <w:r w:rsidRPr="005264F8">
        <w:rPr>
          <w:rFonts w:cstheme="minorHAnsi"/>
          <w:sz w:val="18"/>
          <w:szCs w:val="18"/>
        </w:rPr>
        <w:t xml:space="preserve"> its board is made up of former and current </w:t>
      </w:r>
      <w:proofErr w:type="spellStart"/>
      <w:r w:rsidRPr="005264F8">
        <w:rPr>
          <w:rFonts w:cstheme="minorHAnsi"/>
          <w:sz w:val="18"/>
          <w:szCs w:val="18"/>
        </w:rPr>
        <w:t>Fidesz</w:t>
      </w:r>
      <w:proofErr w:type="spellEnd"/>
      <w:r w:rsidRPr="005264F8">
        <w:rPr>
          <w:rFonts w:cstheme="minorHAnsi"/>
          <w:sz w:val="18"/>
          <w:szCs w:val="18"/>
        </w:rPr>
        <w:t xml:space="preserve"> members. </w:t>
      </w:r>
      <w:r>
        <w:rPr>
          <w:rFonts w:cstheme="minorHAnsi"/>
          <w:sz w:val="18"/>
          <w:szCs w:val="18"/>
        </w:rPr>
        <w:t>KESMA als</w:t>
      </w:r>
      <w:r w:rsidRPr="005335F1">
        <w:rPr>
          <w:rFonts w:cstheme="minorHAnsi"/>
          <w:sz w:val="18"/>
          <w:szCs w:val="18"/>
        </w:rPr>
        <w:t>o</w:t>
      </w:r>
      <w:r w:rsidRPr="005335F1">
        <w:rPr>
          <w:rFonts w:eastAsiaTheme="minorHAnsi" w:cstheme="minorHAnsi"/>
          <w:sz w:val="18"/>
          <w:szCs w:val="18"/>
          <w:lang w:eastAsia="en-US"/>
        </w:rPr>
        <w:t xml:space="preserve"> owns</w:t>
      </w:r>
      <w:r>
        <w:rPr>
          <w:rFonts w:eastAsiaTheme="minorHAnsi" w:cstheme="minorHAnsi"/>
          <w:lang w:eastAsia="en-US"/>
        </w:rPr>
        <w:t xml:space="preserve"> </w:t>
      </w:r>
      <w:r w:rsidRPr="005335F1">
        <w:rPr>
          <w:rFonts w:cstheme="minorHAnsi"/>
          <w:sz w:val="18"/>
          <w:szCs w:val="18"/>
          <w:lang w:val="en-US"/>
        </w:rPr>
        <w:t>outlets in other countries</w:t>
      </w:r>
      <w:r>
        <w:rPr>
          <w:rFonts w:cstheme="minorHAnsi"/>
          <w:sz w:val="18"/>
          <w:szCs w:val="18"/>
          <w:lang w:val="en-US"/>
        </w:rPr>
        <w:t>,</w:t>
      </w:r>
      <w:r w:rsidRPr="005335F1">
        <w:rPr>
          <w:rFonts w:cstheme="minorHAnsi"/>
          <w:sz w:val="18"/>
          <w:szCs w:val="18"/>
          <w:lang w:val="en-US"/>
        </w:rPr>
        <w:t xml:space="preserve"> including Poland, Slovenia, and Croatia</w:t>
      </w:r>
      <w:r>
        <w:rPr>
          <w:rFonts w:cstheme="minorHAnsi"/>
          <w:sz w:val="18"/>
          <w:szCs w:val="18"/>
          <w:lang w:val="en-US"/>
        </w:rPr>
        <w:t>.</w:t>
      </w:r>
      <w:r>
        <w:rPr>
          <w:rFonts w:cstheme="minorHAnsi"/>
          <w:sz w:val="18"/>
          <w:szCs w:val="18"/>
        </w:rPr>
        <w:t xml:space="preserve"> </w:t>
      </w:r>
      <w:r w:rsidRPr="005264F8">
        <w:rPr>
          <w:rFonts w:cstheme="minorHAnsi"/>
          <w:sz w:val="18"/>
          <w:szCs w:val="18"/>
        </w:rPr>
        <w:t>On 2</w:t>
      </w:r>
      <w:r>
        <w:rPr>
          <w:rFonts w:cstheme="minorHAnsi"/>
          <w:sz w:val="18"/>
          <w:szCs w:val="18"/>
        </w:rPr>
        <w:t>3</w:t>
      </w:r>
      <w:r w:rsidRPr="005264F8">
        <w:rPr>
          <w:rFonts w:cstheme="minorHAnsi"/>
          <w:sz w:val="18"/>
          <w:szCs w:val="18"/>
        </w:rPr>
        <w:t xml:space="preserve"> June 2020, the Constitutional Court </w:t>
      </w:r>
      <w:hyperlink r:id="rId47" w:history="1">
        <w:r w:rsidRPr="00E953AE">
          <w:rPr>
            <w:rStyle w:val="Hyperlink"/>
            <w:rFonts w:cstheme="minorHAnsi"/>
            <w:sz w:val="18"/>
            <w:szCs w:val="18"/>
          </w:rPr>
          <w:t>rejected</w:t>
        </w:r>
      </w:hyperlink>
      <w:r w:rsidRPr="005264F8">
        <w:rPr>
          <w:rFonts w:cstheme="minorHAnsi"/>
          <w:sz w:val="18"/>
          <w:szCs w:val="18"/>
        </w:rPr>
        <w:t xml:space="preserve"> an application by a quarter of </w:t>
      </w:r>
      <w:r>
        <w:rPr>
          <w:rFonts w:cstheme="minorHAnsi"/>
          <w:sz w:val="18"/>
          <w:szCs w:val="18"/>
        </w:rPr>
        <w:t>members of parliament</w:t>
      </w:r>
      <w:r w:rsidRPr="005264F8">
        <w:rPr>
          <w:rFonts w:cstheme="minorHAnsi"/>
          <w:sz w:val="18"/>
          <w:szCs w:val="18"/>
        </w:rPr>
        <w:t xml:space="preserve"> challenging the Government Decree, finding that it rests solely and exclusively within the </w:t>
      </w:r>
      <w:r>
        <w:rPr>
          <w:rFonts w:cstheme="minorHAnsi"/>
          <w:sz w:val="18"/>
          <w:szCs w:val="18"/>
        </w:rPr>
        <w:t xml:space="preserve">government’s </w:t>
      </w:r>
      <w:r w:rsidRPr="005264F8">
        <w:rPr>
          <w:rFonts w:cstheme="minorHAnsi"/>
          <w:sz w:val="18"/>
          <w:szCs w:val="18"/>
        </w:rPr>
        <w:t>prerogative to determine matters of ‘strategic national importance’ and that “nothing in the merger could be read as necessarily threatening media pluralism in the country”.</w:t>
      </w:r>
    </w:p>
  </w:footnote>
  <w:footnote w:id="35">
    <w:p w14:paraId="611B6F8C" w14:textId="0C4F0F50" w:rsidR="000710F0" w:rsidRPr="005264F8" w:rsidRDefault="000710F0" w:rsidP="005264F8">
      <w:pPr>
        <w:pStyle w:val="FootnoteText"/>
        <w:jc w:val="both"/>
        <w:rPr>
          <w:rFonts w:cstheme="minorHAnsi"/>
          <w:sz w:val="18"/>
          <w:szCs w:val="18"/>
        </w:rPr>
      </w:pPr>
      <w:r w:rsidRPr="005264F8">
        <w:rPr>
          <w:rStyle w:val="FootnoteReference"/>
          <w:rFonts w:cstheme="minorHAnsi"/>
          <w:sz w:val="18"/>
          <w:szCs w:val="18"/>
        </w:rPr>
        <w:footnoteRef/>
      </w:r>
      <w:r w:rsidRPr="005264F8">
        <w:rPr>
          <w:rFonts w:cstheme="minorHAnsi"/>
          <w:sz w:val="18"/>
          <w:szCs w:val="18"/>
        </w:rPr>
        <w:t xml:space="preserve"> See Government Decree 229/2018 (XII.5). The advice of the Media Authority should have been sought as the merger resulted in concentration concerning “enterprises with editorial responsibility, the primary objective of which is to distribute media content to the general public”. See </w:t>
      </w:r>
      <w:r>
        <w:rPr>
          <w:rFonts w:cstheme="minorHAnsi"/>
          <w:sz w:val="18"/>
          <w:szCs w:val="18"/>
        </w:rPr>
        <w:t>Section</w:t>
      </w:r>
      <w:r w:rsidRPr="005264F8">
        <w:rPr>
          <w:rFonts w:cstheme="minorHAnsi"/>
          <w:sz w:val="18"/>
          <w:szCs w:val="18"/>
        </w:rPr>
        <w:t xml:space="preserve"> 24 of Act LVII </w:t>
      </w:r>
      <w:r>
        <w:rPr>
          <w:rFonts w:cstheme="minorHAnsi"/>
          <w:sz w:val="18"/>
          <w:szCs w:val="18"/>
        </w:rPr>
        <w:t xml:space="preserve">of 1996 </w:t>
      </w:r>
      <w:r w:rsidRPr="005264F8">
        <w:rPr>
          <w:rFonts w:cstheme="minorHAnsi"/>
          <w:sz w:val="18"/>
          <w:szCs w:val="18"/>
        </w:rPr>
        <w:t xml:space="preserve">on the Prohibition of Unfair and Restrictive Market Practices. </w:t>
      </w:r>
    </w:p>
  </w:footnote>
  <w:footnote w:id="36">
    <w:p w14:paraId="719005EB" w14:textId="79A3D1D4" w:rsidR="000710F0" w:rsidRPr="005264F8" w:rsidRDefault="000710F0" w:rsidP="005264F8">
      <w:pPr>
        <w:pStyle w:val="FootnoteText"/>
        <w:jc w:val="both"/>
        <w:rPr>
          <w:rFonts w:cstheme="minorHAnsi"/>
          <w:sz w:val="18"/>
          <w:szCs w:val="18"/>
        </w:rPr>
      </w:pPr>
      <w:r w:rsidRPr="005264F8">
        <w:rPr>
          <w:rStyle w:val="FootnoteReference"/>
          <w:rFonts w:cstheme="minorHAnsi"/>
          <w:sz w:val="18"/>
          <w:szCs w:val="18"/>
        </w:rPr>
        <w:footnoteRef/>
      </w:r>
      <w:r w:rsidRPr="005264F8">
        <w:rPr>
          <w:rFonts w:cstheme="minorHAnsi"/>
          <w:sz w:val="18"/>
          <w:szCs w:val="18"/>
        </w:rPr>
        <w:t xml:space="preserve"> See the </w:t>
      </w:r>
      <w:hyperlink r:id="rId48" w:anchor="sectionGoals" w:history="1">
        <w:r w:rsidRPr="005264F8">
          <w:rPr>
            <w:rStyle w:val="Hyperlink"/>
            <w:rFonts w:cstheme="minorHAnsi"/>
            <w:sz w:val="18"/>
            <w:szCs w:val="18"/>
          </w:rPr>
          <w:t>goals</w:t>
        </w:r>
      </w:hyperlink>
      <w:r w:rsidRPr="005264F8">
        <w:rPr>
          <w:rFonts w:cstheme="minorHAnsi"/>
          <w:sz w:val="18"/>
          <w:szCs w:val="18"/>
        </w:rPr>
        <w:t xml:space="preserve"> of the KESMA Foundation. A further goal is “to contribute…towards shaping Hungarian public discourse and towards raising a next generation in our community with member</w:t>
      </w:r>
      <w:r>
        <w:rPr>
          <w:rFonts w:cstheme="minorHAnsi"/>
          <w:sz w:val="18"/>
          <w:szCs w:val="18"/>
        </w:rPr>
        <w:t>s</w:t>
      </w:r>
      <w:r w:rsidRPr="005264F8">
        <w:rPr>
          <w:rFonts w:cstheme="minorHAnsi"/>
          <w:sz w:val="18"/>
          <w:szCs w:val="18"/>
        </w:rPr>
        <w:t xml:space="preserve"> who will profess national values”.</w:t>
      </w:r>
    </w:p>
  </w:footnote>
  <w:footnote w:id="37">
    <w:p w14:paraId="392710EE" w14:textId="63B4EAD2" w:rsidR="000710F0" w:rsidRPr="005264F8" w:rsidRDefault="000710F0" w:rsidP="005264F8">
      <w:pPr>
        <w:pStyle w:val="FootnoteText"/>
        <w:jc w:val="both"/>
        <w:rPr>
          <w:sz w:val="18"/>
          <w:szCs w:val="18"/>
        </w:rPr>
      </w:pPr>
      <w:r w:rsidRPr="005264F8">
        <w:rPr>
          <w:rStyle w:val="FootnoteReference"/>
          <w:sz w:val="18"/>
          <w:szCs w:val="18"/>
        </w:rPr>
        <w:footnoteRef/>
      </w:r>
      <w:r w:rsidRPr="005264F8">
        <w:rPr>
          <w:sz w:val="18"/>
          <w:szCs w:val="18"/>
        </w:rPr>
        <w:t xml:space="preserve"> </w:t>
      </w:r>
      <w:r w:rsidRPr="005264F8">
        <w:rPr>
          <w:sz w:val="18"/>
          <w:szCs w:val="18"/>
          <w:lang w:val="en-US"/>
        </w:rPr>
        <w:t>The Media Pluralism Monitor (MPM) is a scientific tool designed to identify potential risks to media pluralism, including those stemming from digital developments, based on a set of indicators. It was developed through a European Commission-funded study, published in 2009</w:t>
      </w:r>
      <w:r>
        <w:rPr>
          <w:sz w:val="18"/>
          <w:szCs w:val="18"/>
          <w:lang w:val="en-US"/>
        </w:rPr>
        <w:t xml:space="preserve">. Since </w:t>
      </w:r>
      <w:r w:rsidRPr="005264F8">
        <w:rPr>
          <w:sz w:val="18"/>
          <w:szCs w:val="18"/>
          <w:lang w:val="en-US"/>
        </w:rPr>
        <w:t xml:space="preserve">2016 </w:t>
      </w:r>
      <w:r>
        <w:rPr>
          <w:sz w:val="18"/>
          <w:szCs w:val="18"/>
          <w:lang w:val="en-US"/>
        </w:rPr>
        <w:t xml:space="preserve">it has </w:t>
      </w:r>
      <w:r w:rsidRPr="005264F8">
        <w:rPr>
          <w:sz w:val="18"/>
          <w:szCs w:val="18"/>
          <w:lang w:val="en-US"/>
        </w:rPr>
        <w:t>been implemented in all EU Member States and select</w:t>
      </w:r>
      <w:r>
        <w:rPr>
          <w:sz w:val="18"/>
          <w:szCs w:val="18"/>
          <w:lang w:val="en-US"/>
        </w:rPr>
        <w:t>ed</w:t>
      </w:r>
      <w:r w:rsidRPr="005264F8">
        <w:rPr>
          <w:sz w:val="18"/>
          <w:szCs w:val="18"/>
          <w:lang w:val="en-US"/>
        </w:rPr>
        <w:t xml:space="preserve"> candidate countries. See ‘</w:t>
      </w:r>
      <w:hyperlink r:id="rId49" w:history="1">
        <w:r w:rsidRPr="005264F8">
          <w:rPr>
            <w:rStyle w:val="Hyperlink"/>
            <w:sz w:val="18"/>
            <w:szCs w:val="18"/>
            <w:lang w:val="en-US"/>
          </w:rPr>
          <w:t>Monitoring pluralism in the digital era</w:t>
        </w:r>
      </w:hyperlink>
      <w:r w:rsidRPr="005264F8">
        <w:rPr>
          <w:sz w:val="18"/>
          <w:szCs w:val="18"/>
          <w:lang w:val="en-US"/>
        </w:rPr>
        <w:t>, last update 25 January 2021.</w:t>
      </w:r>
    </w:p>
  </w:footnote>
  <w:footnote w:id="38">
    <w:p w14:paraId="7F428F52" w14:textId="3DA95616" w:rsidR="000710F0" w:rsidRPr="005264F8" w:rsidRDefault="000710F0" w:rsidP="005264F8">
      <w:pPr>
        <w:pStyle w:val="FootnoteText"/>
        <w:jc w:val="both"/>
        <w:rPr>
          <w:sz w:val="18"/>
          <w:szCs w:val="18"/>
        </w:rPr>
      </w:pPr>
      <w:r w:rsidRPr="005264F8">
        <w:rPr>
          <w:rStyle w:val="FootnoteReference"/>
          <w:sz w:val="18"/>
          <w:szCs w:val="18"/>
        </w:rPr>
        <w:footnoteRef/>
      </w:r>
      <w:r w:rsidRPr="005264F8">
        <w:rPr>
          <w:sz w:val="18"/>
          <w:szCs w:val="18"/>
        </w:rPr>
        <w:t xml:space="preserve"> See </w:t>
      </w:r>
      <w:hyperlink r:id="rId50" w:history="1">
        <w:r w:rsidRPr="00730760">
          <w:rPr>
            <w:rStyle w:val="Hyperlink"/>
            <w:sz w:val="18"/>
            <w:szCs w:val="18"/>
          </w:rPr>
          <w:t>overall results</w:t>
        </w:r>
      </w:hyperlink>
      <w:r w:rsidRPr="005264F8">
        <w:rPr>
          <w:sz w:val="18"/>
          <w:szCs w:val="18"/>
        </w:rPr>
        <w:t xml:space="preserve"> of the Media Pluralism Monitor</w:t>
      </w:r>
      <w:r>
        <w:rPr>
          <w:sz w:val="18"/>
          <w:szCs w:val="18"/>
        </w:rPr>
        <w:t xml:space="preserve"> 2020 </w:t>
      </w:r>
      <w:r w:rsidRPr="005264F8">
        <w:rPr>
          <w:sz w:val="18"/>
          <w:szCs w:val="18"/>
        </w:rPr>
        <w:t xml:space="preserve">and </w:t>
      </w:r>
      <w:r>
        <w:rPr>
          <w:sz w:val="18"/>
          <w:szCs w:val="18"/>
        </w:rPr>
        <w:t xml:space="preserve">those </w:t>
      </w:r>
      <w:r w:rsidRPr="005264F8">
        <w:rPr>
          <w:sz w:val="18"/>
          <w:szCs w:val="18"/>
        </w:rPr>
        <w:t xml:space="preserve">on </w:t>
      </w:r>
      <w:hyperlink r:id="rId51" w:history="1">
        <w:r w:rsidRPr="00A93D2F">
          <w:rPr>
            <w:rStyle w:val="Hyperlink"/>
            <w:sz w:val="18"/>
            <w:szCs w:val="18"/>
          </w:rPr>
          <w:t>Hungary</w:t>
        </w:r>
      </w:hyperlink>
      <w:r>
        <w:rPr>
          <w:sz w:val="18"/>
          <w:szCs w:val="18"/>
        </w:rPr>
        <w:t>:</w:t>
      </w:r>
      <w:r w:rsidRPr="005264F8">
        <w:rPr>
          <w:sz w:val="18"/>
          <w:szCs w:val="18"/>
        </w:rPr>
        <w:t xml:space="preserve"> Basic protection (43%</w:t>
      </w:r>
      <w:r>
        <w:rPr>
          <w:sz w:val="18"/>
          <w:szCs w:val="18"/>
        </w:rPr>
        <w:t xml:space="preserve"> </w:t>
      </w:r>
      <w:r w:rsidRPr="005264F8">
        <w:rPr>
          <w:sz w:val="18"/>
          <w:szCs w:val="18"/>
        </w:rPr>
        <w:t>-</w:t>
      </w:r>
      <w:r>
        <w:rPr>
          <w:sz w:val="18"/>
          <w:szCs w:val="18"/>
        </w:rPr>
        <w:t xml:space="preserve"> </w:t>
      </w:r>
      <w:r w:rsidRPr="005264F8">
        <w:rPr>
          <w:sz w:val="18"/>
          <w:szCs w:val="18"/>
        </w:rPr>
        <w:t>medium risk)</w:t>
      </w:r>
      <w:r>
        <w:rPr>
          <w:sz w:val="18"/>
          <w:szCs w:val="18"/>
        </w:rPr>
        <w:t>;</w:t>
      </w:r>
      <w:r w:rsidRPr="005264F8">
        <w:rPr>
          <w:sz w:val="18"/>
          <w:szCs w:val="18"/>
        </w:rPr>
        <w:t xml:space="preserve"> Market plurality (71% - high risk)</w:t>
      </w:r>
      <w:r>
        <w:rPr>
          <w:sz w:val="18"/>
          <w:szCs w:val="18"/>
        </w:rPr>
        <w:t>;</w:t>
      </w:r>
      <w:r w:rsidRPr="005264F8">
        <w:rPr>
          <w:sz w:val="18"/>
          <w:szCs w:val="18"/>
        </w:rPr>
        <w:t xml:space="preserve"> Political independence (82%-high risk)</w:t>
      </w:r>
      <w:r>
        <w:rPr>
          <w:sz w:val="18"/>
          <w:szCs w:val="18"/>
        </w:rPr>
        <w:t>;</w:t>
      </w:r>
      <w:r w:rsidRPr="005264F8">
        <w:rPr>
          <w:sz w:val="18"/>
          <w:szCs w:val="18"/>
        </w:rPr>
        <w:t xml:space="preserve"> Social inclusiveness (53%</w:t>
      </w:r>
      <w:r>
        <w:rPr>
          <w:sz w:val="18"/>
          <w:szCs w:val="18"/>
        </w:rPr>
        <w:t xml:space="preserve"> </w:t>
      </w:r>
      <w:r w:rsidRPr="005264F8">
        <w:rPr>
          <w:sz w:val="18"/>
          <w:szCs w:val="18"/>
        </w:rPr>
        <w:t>-</w:t>
      </w:r>
      <w:r>
        <w:rPr>
          <w:sz w:val="18"/>
          <w:szCs w:val="18"/>
        </w:rPr>
        <w:t xml:space="preserve"> </w:t>
      </w:r>
      <w:r w:rsidRPr="005264F8">
        <w:rPr>
          <w:sz w:val="18"/>
          <w:szCs w:val="18"/>
        </w:rPr>
        <w:t>medium risk).</w:t>
      </w:r>
    </w:p>
  </w:footnote>
  <w:footnote w:id="39">
    <w:p w14:paraId="5297135E" w14:textId="21CD8A03" w:rsidR="000710F0" w:rsidRPr="005264F8" w:rsidRDefault="000710F0" w:rsidP="005264F8">
      <w:pPr>
        <w:pStyle w:val="FootnoteText"/>
        <w:jc w:val="both"/>
        <w:rPr>
          <w:sz w:val="18"/>
          <w:szCs w:val="18"/>
        </w:rPr>
      </w:pPr>
      <w:r w:rsidRPr="005264F8">
        <w:rPr>
          <w:rStyle w:val="FootnoteReference"/>
          <w:sz w:val="18"/>
          <w:szCs w:val="18"/>
        </w:rPr>
        <w:footnoteRef/>
      </w:r>
      <w:r w:rsidRPr="005264F8">
        <w:rPr>
          <w:sz w:val="18"/>
          <w:szCs w:val="18"/>
        </w:rPr>
        <w:t xml:space="preserve"> See </w:t>
      </w:r>
      <w:r>
        <w:rPr>
          <w:sz w:val="18"/>
          <w:szCs w:val="18"/>
        </w:rPr>
        <w:t>Recommendation</w:t>
      </w:r>
      <w:r w:rsidRPr="005264F8">
        <w:rPr>
          <w:sz w:val="18"/>
          <w:szCs w:val="18"/>
        </w:rPr>
        <w:t xml:space="preserve"> </w:t>
      </w:r>
      <w:hyperlink r:id="rId52" w:history="1">
        <w:r w:rsidRPr="00E25833">
          <w:rPr>
            <w:rStyle w:val="Hyperlink"/>
            <w:sz w:val="18"/>
            <w:szCs w:val="18"/>
          </w:rPr>
          <w:t>CM/Rec(2018)1</w:t>
        </w:r>
      </w:hyperlink>
      <w:r w:rsidRPr="005264F8">
        <w:rPr>
          <w:sz w:val="18"/>
          <w:szCs w:val="18"/>
        </w:rPr>
        <w:t xml:space="preserve"> </w:t>
      </w:r>
      <w:r w:rsidRPr="005264F8">
        <w:rPr>
          <w:rFonts w:cstheme="minorHAnsi"/>
          <w:sz w:val="18"/>
          <w:szCs w:val="18"/>
        </w:rPr>
        <w:t xml:space="preserve">of the Committee of Ministers to member states </w:t>
      </w:r>
      <w:r w:rsidRPr="005264F8">
        <w:rPr>
          <w:sz w:val="18"/>
          <w:szCs w:val="18"/>
        </w:rPr>
        <w:t xml:space="preserve">on media pluralism and transparency of media ownership. The “national strategic interest” justification has been used by the Hungarian Government 23 times since 2014. In other EU member states, the clause has been used not to justify a media merger but </w:t>
      </w:r>
      <w:r>
        <w:rPr>
          <w:sz w:val="18"/>
          <w:szCs w:val="18"/>
        </w:rPr>
        <w:t>on</w:t>
      </w:r>
      <w:r w:rsidRPr="005264F8">
        <w:rPr>
          <w:sz w:val="18"/>
          <w:szCs w:val="18"/>
        </w:rPr>
        <w:t xml:space="preserve"> the contrary, to </w:t>
      </w:r>
      <w:r w:rsidRPr="005264F8">
        <w:rPr>
          <w:i/>
          <w:iCs/>
          <w:sz w:val="18"/>
          <w:szCs w:val="18"/>
        </w:rPr>
        <w:t xml:space="preserve">prevent </w:t>
      </w:r>
      <w:r w:rsidRPr="005264F8">
        <w:rPr>
          <w:sz w:val="18"/>
          <w:szCs w:val="18"/>
        </w:rPr>
        <w:t xml:space="preserve">the creation of too large a media concentration. See </w:t>
      </w:r>
      <w:hyperlink r:id="rId53" w:history="1">
        <w:r w:rsidRPr="007B38CD">
          <w:rPr>
            <w:rStyle w:val="Hyperlink"/>
            <w:sz w:val="18"/>
            <w:szCs w:val="18"/>
          </w:rPr>
          <w:t>Media Pluralism Monitor</w:t>
        </w:r>
      </w:hyperlink>
      <w:r w:rsidRPr="005264F8">
        <w:rPr>
          <w:sz w:val="18"/>
          <w:szCs w:val="18"/>
        </w:rPr>
        <w:t xml:space="preserve"> 2019</w:t>
      </w:r>
      <w:r>
        <w:rPr>
          <w:sz w:val="18"/>
          <w:szCs w:val="18"/>
        </w:rPr>
        <w:t>.</w:t>
      </w:r>
    </w:p>
  </w:footnote>
  <w:footnote w:id="40">
    <w:p w14:paraId="66922145" w14:textId="78B84433" w:rsidR="000710F0" w:rsidRPr="005264F8" w:rsidRDefault="000710F0" w:rsidP="005264F8">
      <w:pPr>
        <w:pStyle w:val="FootnoteText"/>
        <w:jc w:val="both"/>
        <w:rPr>
          <w:rFonts w:cstheme="minorHAnsi"/>
          <w:sz w:val="18"/>
          <w:szCs w:val="18"/>
        </w:rPr>
      </w:pPr>
      <w:r w:rsidRPr="005264F8">
        <w:rPr>
          <w:rStyle w:val="FootnoteReference"/>
          <w:rFonts w:cstheme="minorHAnsi"/>
          <w:sz w:val="18"/>
          <w:szCs w:val="18"/>
        </w:rPr>
        <w:footnoteRef/>
      </w:r>
      <w:r w:rsidRPr="005264F8">
        <w:rPr>
          <w:rFonts w:cstheme="minorHAnsi"/>
          <w:sz w:val="18"/>
          <w:szCs w:val="18"/>
        </w:rPr>
        <w:t xml:space="preserve"> The annual advertising budget was estimated at </w:t>
      </w:r>
      <w:r>
        <w:rPr>
          <w:rFonts w:cstheme="minorHAnsi"/>
          <w:sz w:val="18"/>
          <w:szCs w:val="18"/>
        </w:rPr>
        <w:t xml:space="preserve">USD </w:t>
      </w:r>
      <w:hyperlink r:id="rId54" w:history="1">
        <w:r w:rsidRPr="005264F8">
          <w:rPr>
            <w:rStyle w:val="Hyperlink"/>
            <w:rFonts w:cstheme="minorHAnsi"/>
            <w:sz w:val="18"/>
            <w:szCs w:val="18"/>
          </w:rPr>
          <w:t>90 million</w:t>
        </w:r>
      </w:hyperlink>
      <w:r w:rsidRPr="005264F8">
        <w:rPr>
          <w:rFonts w:cstheme="minorHAnsi"/>
          <w:sz w:val="18"/>
          <w:szCs w:val="18"/>
        </w:rPr>
        <w:t xml:space="preserve"> in 2015, growing to a </w:t>
      </w:r>
      <w:hyperlink r:id="rId55" w:history="1">
        <w:r w:rsidRPr="005264F8">
          <w:rPr>
            <w:rStyle w:val="Hyperlink"/>
            <w:rFonts w:cstheme="minorHAnsi"/>
            <w:sz w:val="18"/>
            <w:szCs w:val="18"/>
          </w:rPr>
          <w:t>reported</w:t>
        </w:r>
      </w:hyperlink>
      <w:r w:rsidRPr="005264F8">
        <w:rPr>
          <w:rFonts w:cstheme="minorHAnsi"/>
          <w:sz w:val="18"/>
          <w:szCs w:val="18"/>
        </w:rPr>
        <w:t xml:space="preserve"> </w:t>
      </w:r>
      <w:r>
        <w:rPr>
          <w:rFonts w:cstheme="minorHAnsi"/>
          <w:sz w:val="18"/>
          <w:szCs w:val="18"/>
        </w:rPr>
        <w:t xml:space="preserve">EUR </w:t>
      </w:r>
      <w:r w:rsidRPr="005264F8">
        <w:rPr>
          <w:rFonts w:cstheme="minorHAnsi"/>
          <w:iCs/>
          <w:sz w:val="18"/>
          <w:szCs w:val="18"/>
          <w:lang w:val="en-US"/>
        </w:rPr>
        <w:t xml:space="preserve">300 million in 2018 and </w:t>
      </w:r>
      <w:r>
        <w:rPr>
          <w:rFonts w:cstheme="minorHAnsi"/>
          <w:iCs/>
          <w:sz w:val="18"/>
          <w:szCs w:val="18"/>
          <w:lang w:val="en-US"/>
        </w:rPr>
        <w:t xml:space="preserve">EUR </w:t>
      </w:r>
      <w:r w:rsidRPr="005264F8">
        <w:rPr>
          <w:rFonts w:cstheme="minorHAnsi"/>
          <w:iCs/>
          <w:sz w:val="18"/>
          <w:szCs w:val="18"/>
          <w:lang w:val="en-US"/>
        </w:rPr>
        <w:t>450 million in 2019.</w:t>
      </w:r>
    </w:p>
  </w:footnote>
  <w:footnote w:id="41">
    <w:p w14:paraId="1526095F" w14:textId="117DFD7D" w:rsidR="000710F0" w:rsidRPr="005264F8" w:rsidRDefault="000710F0" w:rsidP="005264F8">
      <w:pPr>
        <w:pStyle w:val="FootnoteText"/>
        <w:jc w:val="both"/>
        <w:rPr>
          <w:sz w:val="18"/>
          <w:szCs w:val="18"/>
        </w:rPr>
      </w:pPr>
      <w:r w:rsidRPr="005264F8">
        <w:rPr>
          <w:rStyle w:val="FootnoteReference"/>
          <w:sz w:val="18"/>
          <w:szCs w:val="18"/>
        </w:rPr>
        <w:footnoteRef/>
      </w:r>
      <w:r w:rsidRPr="005264F8">
        <w:rPr>
          <w:sz w:val="18"/>
          <w:szCs w:val="18"/>
        </w:rPr>
        <w:t xml:space="preserve"> </w:t>
      </w:r>
      <w:r w:rsidRPr="005264F8">
        <w:rPr>
          <w:iCs/>
          <w:sz w:val="18"/>
          <w:szCs w:val="18"/>
        </w:rPr>
        <w:t>The Stop Soros campaign in 2017, for instance, contained statements such as “</w:t>
      </w:r>
      <w:r w:rsidRPr="005264F8">
        <w:rPr>
          <w:i/>
          <w:iCs/>
          <w:sz w:val="18"/>
          <w:szCs w:val="18"/>
        </w:rPr>
        <w:t xml:space="preserve">The goal of the Soros Plan is to push the languages and cultures of Europe into the background so that integration of illegal immigrants happens much more quickly” </w:t>
      </w:r>
      <w:r w:rsidRPr="005264F8">
        <w:rPr>
          <w:sz w:val="18"/>
          <w:szCs w:val="18"/>
        </w:rPr>
        <w:t>and “</w:t>
      </w:r>
      <w:r w:rsidRPr="005264F8">
        <w:rPr>
          <w:i/>
          <w:iCs/>
          <w:sz w:val="18"/>
          <w:szCs w:val="18"/>
          <w:lang w:val="en-US"/>
        </w:rPr>
        <w:t xml:space="preserve">It is also part of the Soros Plan to initiate political attacks against those countries which oppose immigration, and to severely punish them”. </w:t>
      </w:r>
      <w:r w:rsidRPr="005264F8">
        <w:rPr>
          <w:sz w:val="18"/>
          <w:szCs w:val="18"/>
          <w:lang w:val="en-US"/>
        </w:rPr>
        <w:t xml:space="preserve">See here for the </w:t>
      </w:r>
      <w:hyperlink r:id="rId56" w:history="1">
        <w:r w:rsidRPr="005264F8">
          <w:rPr>
            <w:rStyle w:val="Hyperlink"/>
            <w:sz w:val="18"/>
            <w:szCs w:val="18"/>
            <w:lang w:val="en-US"/>
          </w:rPr>
          <w:t>full list</w:t>
        </w:r>
      </w:hyperlink>
      <w:r w:rsidRPr="005264F8">
        <w:rPr>
          <w:sz w:val="18"/>
          <w:szCs w:val="18"/>
          <w:lang w:val="en-US"/>
        </w:rPr>
        <w:t xml:space="preserve"> of questions. Despite the clearly political </w:t>
      </w:r>
      <w:r>
        <w:rPr>
          <w:sz w:val="18"/>
          <w:szCs w:val="18"/>
          <w:lang w:val="en-US"/>
        </w:rPr>
        <w:t>nature</w:t>
      </w:r>
      <w:r w:rsidRPr="005264F8">
        <w:rPr>
          <w:sz w:val="18"/>
          <w:szCs w:val="18"/>
          <w:lang w:val="en-US"/>
        </w:rPr>
        <w:t xml:space="preserve"> of this and other campaigns, the Media Council has classified them as ‘public service advertisements’ allowing the media service providers to charge for such related broadcasting spots. See </w:t>
      </w:r>
      <w:proofErr w:type="spellStart"/>
      <w:r w:rsidRPr="005264F8">
        <w:rPr>
          <w:sz w:val="18"/>
          <w:szCs w:val="18"/>
          <w:lang w:val="en-US"/>
        </w:rPr>
        <w:t>M</w:t>
      </w:r>
      <w:r w:rsidRPr="005264F8">
        <w:rPr>
          <w:rFonts w:cstheme="minorHAnsi"/>
          <w:sz w:val="18"/>
          <w:szCs w:val="18"/>
          <w:lang w:val="en-US"/>
        </w:rPr>
        <w:t>érték</w:t>
      </w:r>
      <w:proofErr w:type="spellEnd"/>
      <w:r w:rsidRPr="005264F8">
        <w:rPr>
          <w:rFonts w:cstheme="minorHAnsi"/>
          <w:sz w:val="18"/>
          <w:szCs w:val="18"/>
          <w:lang w:val="en-US"/>
        </w:rPr>
        <w:t xml:space="preserve"> Media Monitoring ‘</w:t>
      </w:r>
      <w:proofErr w:type="spellStart"/>
      <w:r w:rsidR="00116590">
        <w:fldChar w:fldCharType="begin"/>
      </w:r>
      <w:r w:rsidR="00116590">
        <w:instrText xml:space="preserve"> HYPERLINK "https://mertek.eu/wp-content/uploads/2020/01/MertekFuzetek18.pdf" </w:instrText>
      </w:r>
      <w:r w:rsidR="00116590">
        <w:fldChar w:fldCharType="separate"/>
      </w:r>
      <w:r w:rsidRPr="005264F8">
        <w:rPr>
          <w:rStyle w:val="Hyperlink"/>
          <w:rFonts w:cstheme="minorHAnsi"/>
          <w:sz w:val="18"/>
          <w:szCs w:val="18"/>
          <w:lang w:val="en-US"/>
        </w:rPr>
        <w:t>Centralised</w:t>
      </w:r>
      <w:proofErr w:type="spellEnd"/>
      <w:r w:rsidRPr="005264F8">
        <w:rPr>
          <w:rStyle w:val="Hyperlink"/>
          <w:rFonts w:cstheme="minorHAnsi"/>
          <w:sz w:val="18"/>
          <w:szCs w:val="18"/>
          <w:lang w:val="en-US"/>
        </w:rPr>
        <w:t xml:space="preserve"> Media System - Soft Censorship 2018</w:t>
      </w:r>
      <w:r w:rsidR="00116590">
        <w:rPr>
          <w:rStyle w:val="Hyperlink"/>
          <w:rFonts w:cstheme="minorHAnsi"/>
          <w:sz w:val="18"/>
          <w:szCs w:val="18"/>
          <w:lang w:val="en-US"/>
        </w:rPr>
        <w:fldChar w:fldCharType="end"/>
      </w:r>
      <w:r w:rsidRPr="005264F8">
        <w:rPr>
          <w:rFonts w:cstheme="minorHAnsi"/>
          <w:sz w:val="18"/>
          <w:szCs w:val="18"/>
          <w:lang w:val="en-US"/>
        </w:rPr>
        <w:t>, December 2019.</w:t>
      </w:r>
      <w:r w:rsidRPr="005264F8">
        <w:rPr>
          <w:sz w:val="18"/>
          <w:szCs w:val="18"/>
          <w:lang w:val="en-US"/>
        </w:rPr>
        <w:t xml:space="preserve"> </w:t>
      </w:r>
    </w:p>
  </w:footnote>
  <w:footnote w:id="42">
    <w:p w14:paraId="21223BA4" w14:textId="0D725A79" w:rsidR="000710F0" w:rsidRPr="005264F8" w:rsidRDefault="000710F0" w:rsidP="005264F8">
      <w:pPr>
        <w:pStyle w:val="FootnoteText"/>
        <w:jc w:val="both"/>
        <w:rPr>
          <w:sz w:val="18"/>
          <w:szCs w:val="18"/>
        </w:rPr>
      </w:pPr>
      <w:r w:rsidRPr="005264F8">
        <w:rPr>
          <w:rStyle w:val="FootnoteReference"/>
          <w:sz w:val="18"/>
          <w:szCs w:val="18"/>
        </w:rPr>
        <w:footnoteRef/>
      </w:r>
      <w:r w:rsidRPr="005264F8">
        <w:rPr>
          <w:sz w:val="18"/>
          <w:szCs w:val="18"/>
        </w:rPr>
        <w:t xml:space="preserve"> See ‘</w:t>
      </w:r>
      <w:hyperlink r:id="rId57" w:history="1">
        <w:r w:rsidRPr="005264F8">
          <w:rPr>
            <w:rStyle w:val="Hyperlink"/>
            <w:sz w:val="18"/>
            <w:szCs w:val="18"/>
          </w:rPr>
          <w:t>National consultation campaigns in Hungary</w:t>
        </w:r>
      </w:hyperlink>
      <w:r w:rsidRPr="005264F8">
        <w:rPr>
          <w:sz w:val="18"/>
          <w:szCs w:val="18"/>
        </w:rPr>
        <w:t>’, F</w:t>
      </w:r>
      <w:r>
        <w:rPr>
          <w:sz w:val="18"/>
          <w:szCs w:val="18"/>
        </w:rPr>
        <w:t xml:space="preserve">riedrich </w:t>
      </w:r>
      <w:r w:rsidRPr="005264F8">
        <w:rPr>
          <w:sz w:val="18"/>
          <w:szCs w:val="18"/>
        </w:rPr>
        <w:t>N</w:t>
      </w:r>
      <w:r>
        <w:rPr>
          <w:sz w:val="18"/>
          <w:szCs w:val="18"/>
        </w:rPr>
        <w:t xml:space="preserve">aumann </w:t>
      </w:r>
      <w:r w:rsidRPr="005264F8">
        <w:rPr>
          <w:sz w:val="18"/>
          <w:szCs w:val="18"/>
        </w:rPr>
        <w:t>F</w:t>
      </w:r>
      <w:r>
        <w:rPr>
          <w:sz w:val="18"/>
          <w:szCs w:val="18"/>
        </w:rPr>
        <w:t xml:space="preserve">oundation </w:t>
      </w:r>
      <w:r w:rsidRPr="005264F8">
        <w:rPr>
          <w:sz w:val="18"/>
          <w:szCs w:val="18"/>
        </w:rPr>
        <w:t xml:space="preserve">Europe, 23 November 2017. </w:t>
      </w:r>
    </w:p>
  </w:footnote>
  <w:footnote w:id="43">
    <w:p w14:paraId="3E229499" w14:textId="33450C16" w:rsidR="000710F0" w:rsidRPr="005264F8" w:rsidRDefault="000710F0" w:rsidP="005264F8">
      <w:pPr>
        <w:pStyle w:val="FootnoteText"/>
        <w:jc w:val="both"/>
        <w:rPr>
          <w:sz w:val="18"/>
          <w:szCs w:val="18"/>
        </w:rPr>
      </w:pPr>
      <w:r w:rsidRPr="005264F8">
        <w:rPr>
          <w:rStyle w:val="FootnoteReference"/>
          <w:sz w:val="18"/>
          <w:szCs w:val="18"/>
        </w:rPr>
        <w:footnoteRef/>
      </w:r>
      <w:r w:rsidRPr="005264F8">
        <w:rPr>
          <w:sz w:val="18"/>
          <w:szCs w:val="18"/>
        </w:rPr>
        <w:t xml:space="preserve"> See OSCE Office for Democratic Institutions and Human Rights </w:t>
      </w:r>
      <w:hyperlink r:id="rId58" w:history="1">
        <w:r w:rsidRPr="005264F8">
          <w:rPr>
            <w:rStyle w:val="Hyperlink"/>
            <w:sz w:val="18"/>
            <w:szCs w:val="18"/>
          </w:rPr>
          <w:t>final report</w:t>
        </w:r>
      </w:hyperlink>
      <w:r w:rsidRPr="005264F8">
        <w:rPr>
          <w:sz w:val="18"/>
          <w:szCs w:val="18"/>
        </w:rPr>
        <w:t xml:space="preserve"> on Hungary’s parliamentary elections, 27 June 2018. On 10 </w:t>
      </w:r>
      <w:r w:rsidRPr="005264F8">
        <w:rPr>
          <w:iCs/>
          <w:sz w:val="18"/>
          <w:szCs w:val="18"/>
          <w:lang w:val="en-US"/>
        </w:rPr>
        <w:t>April 2018,</w:t>
      </w:r>
      <w:r w:rsidRPr="005264F8">
        <w:rPr>
          <w:b/>
          <w:bCs/>
          <w:sz w:val="18"/>
          <w:szCs w:val="18"/>
          <w:lang w:val="en-US"/>
        </w:rPr>
        <w:t xml:space="preserve"> </w:t>
      </w:r>
      <w:r w:rsidRPr="005264F8">
        <w:rPr>
          <w:iCs/>
          <w:sz w:val="18"/>
          <w:szCs w:val="18"/>
          <w:lang w:val="en-US"/>
        </w:rPr>
        <w:t xml:space="preserve">Hungary’s Prime Minister </w:t>
      </w:r>
      <w:hyperlink r:id="rId59" w:history="1">
        <w:r w:rsidRPr="005264F8">
          <w:rPr>
            <w:rStyle w:val="Hyperlink"/>
            <w:iCs/>
            <w:sz w:val="18"/>
            <w:szCs w:val="18"/>
            <w:lang w:val="en-US"/>
          </w:rPr>
          <w:t>explained</w:t>
        </w:r>
      </w:hyperlink>
      <w:r w:rsidRPr="005264F8">
        <w:rPr>
          <w:iCs/>
          <w:sz w:val="18"/>
          <w:szCs w:val="18"/>
          <w:lang w:val="en-US"/>
        </w:rPr>
        <w:t xml:space="preserve"> his resounding election win </w:t>
      </w:r>
      <w:r>
        <w:rPr>
          <w:iCs/>
          <w:sz w:val="18"/>
          <w:szCs w:val="18"/>
          <w:lang w:val="en-US"/>
        </w:rPr>
        <w:t>by</w:t>
      </w:r>
      <w:r w:rsidRPr="005264F8">
        <w:rPr>
          <w:iCs/>
          <w:sz w:val="18"/>
          <w:szCs w:val="18"/>
          <w:lang w:val="en-US"/>
        </w:rPr>
        <w:t xml:space="preserve"> the fact that voters wanted to stop US billionaire philanthropist George Soros </w:t>
      </w:r>
      <w:r>
        <w:rPr>
          <w:iCs/>
          <w:sz w:val="18"/>
          <w:szCs w:val="18"/>
          <w:lang w:val="en-US"/>
        </w:rPr>
        <w:t xml:space="preserve">from </w:t>
      </w:r>
      <w:r w:rsidRPr="005264F8">
        <w:rPr>
          <w:iCs/>
          <w:sz w:val="18"/>
          <w:szCs w:val="18"/>
          <w:lang w:val="en-US"/>
        </w:rPr>
        <w:t xml:space="preserve">interfering in the country. </w:t>
      </w:r>
    </w:p>
  </w:footnote>
  <w:footnote w:id="44">
    <w:p w14:paraId="1959D08E" w14:textId="7473A680" w:rsidR="000710F0" w:rsidRPr="005264F8" w:rsidRDefault="000710F0" w:rsidP="00661CCA">
      <w:pPr>
        <w:pStyle w:val="FootnoteText"/>
        <w:jc w:val="both"/>
        <w:rPr>
          <w:sz w:val="18"/>
          <w:szCs w:val="18"/>
        </w:rPr>
      </w:pPr>
      <w:r w:rsidRPr="005264F8">
        <w:rPr>
          <w:rStyle w:val="FootnoteReference"/>
          <w:sz w:val="18"/>
          <w:szCs w:val="18"/>
        </w:rPr>
        <w:footnoteRef/>
      </w:r>
      <w:r w:rsidRPr="005264F8">
        <w:rPr>
          <w:sz w:val="18"/>
          <w:szCs w:val="18"/>
        </w:rPr>
        <w:t xml:space="preserve"> See </w:t>
      </w:r>
      <w:r>
        <w:rPr>
          <w:sz w:val="18"/>
          <w:szCs w:val="18"/>
        </w:rPr>
        <w:t xml:space="preserve">among others </w:t>
      </w:r>
      <w:r w:rsidRPr="005264F8">
        <w:rPr>
          <w:i/>
          <w:iCs/>
          <w:sz w:val="18"/>
          <w:szCs w:val="18"/>
        </w:rPr>
        <w:t>Bowman v. the United Kingdom</w:t>
      </w:r>
      <w:r w:rsidRPr="005264F8">
        <w:rPr>
          <w:sz w:val="18"/>
          <w:szCs w:val="18"/>
        </w:rPr>
        <w:t xml:space="preserve"> </w:t>
      </w:r>
      <w:r>
        <w:rPr>
          <w:sz w:val="18"/>
          <w:szCs w:val="18"/>
        </w:rPr>
        <w:t xml:space="preserve">(appl. no. </w:t>
      </w:r>
      <w:hyperlink r:id="rId60" w:anchor="{%22itemid%22:[%22001-58134%22]}" w:history="1">
        <w:r w:rsidRPr="00906C2D">
          <w:rPr>
            <w:rStyle w:val="Hyperlink"/>
            <w:sz w:val="18"/>
            <w:szCs w:val="18"/>
            <w:lang w:val="en-US"/>
          </w:rPr>
          <w:t>141/1996/760/961</w:t>
        </w:r>
      </w:hyperlink>
      <w:r>
        <w:rPr>
          <w:sz w:val="18"/>
          <w:szCs w:val="18"/>
          <w:lang w:val="en-US"/>
        </w:rPr>
        <w:t>, judgment of 19 February</w:t>
      </w:r>
      <w:r w:rsidRPr="00906C2D">
        <w:rPr>
          <w:sz w:val="18"/>
          <w:szCs w:val="18"/>
          <w:lang w:val="en-US"/>
        </w:rPr>
        <w:t xml:space="preserve"> </w:t>
      </w:r>
      <w:r w:rsidRPr="005264F8">
        <w:rPr>
          <w:sz w:val="18"/>
          <w:szCs w:val="18"/>
        </w:rPr>
        <w:t>1998</w:t>
      </w:r>
      <w:r>
        <w:rPr>
          <w:sz w:val="18"/>
          <w:szCs w:val="18"/>
        </w:rPr>
        <w:t>).</w:t>
      </w:r>
    </w:p>
  </w:footnote>
  <w:footnote w:id="45">
    <w:p w14:paraId="64C14E30" w14:textId="74FB2B6B" w:rsidR="000710F0" w:rsidRPr="005264F8" w:rsidRDefault="000710F0" w:rsidP="00661CCA">
      <w:pPr>
        <w:pStyle w:val="FootnoteText"/>
        <w:jc w:val="both"/>
        <w:rPr>
          <w:sz w:val="18"/>
          <w:szCs w:val="18"/>
        </w:rPr>
      </w:pPr>
      <w:r w:rsidRPr="005264F8">
        <w:rPr>
          <w:rStyle w:val="FootnoteReference"/>
          <w:sz w:val="18"/>
          <w:szCs w:val="18"/>
        </w:rPr>
        <w:footnoteRef/>
      </w:r>
      <w:r w:rsidRPr="005264F8">
        <w:rPr>
          <w:sz w:val="18"/>
          <w:szCs w:val="18"/>
        </w:rPr>
        <w:t xml:space="preserve"> See</w:t>
      </w:r>
      <w:r>
        <w:rPr>
          <w:sz w:val="18"/>
          <w:szCs w:val="18"/>
        </w:rPr>
        <w:t xml:space="preserve"> also</w:t>
      </w:r>
      <w:r w:rsidRPr="005264F8">
        <w:rPr>
          <w:sz w:val="18"/>
          <w:szCs w:val="18"/>
        </w:rPr>
        <w:t> </w:t>
      </w:r>
      <w:proofErr w:type="spellStart"/>
      <w:r w:rsidRPr="005264F8">
        <w:rPr>
          <w:i/>
          <w:iCs/>
          <w:sz w:val="18"/>
          <w:szCs w:val="18"/>
        </w:rPr>
        <w:t>Kudeshkina</w:t>
      </w:r>
      <w:proofErr w:type="spellEnd"/>
      <w:r w:rsidRPr="005264F8">
        <w:rPr>
          <w:i/>
          <w:iCs/>
          <w:sz w:val="18"/>
          <w:szCs w:val="18"/>
        </w:rPr>
        <w:t> v. Russia</w:t>
      </w:r>
      <w:r w:rsidRPr="005264F8">
        <w:rPr>
          <w:sz w:val="18"/>
          <w:szCs w:val="18"/>
        </w:rPr>
        <w:t xml:space="preserve"> (</w:t>
      </w:r>
      <w:r>
        <w:rPr>
          <w:sz w:val="18"/>
          <w:szCs w:val="18"/>
        </w:rPr>
        <w:t xml:space="preserve">appl. no. </w:t>
      </w:r>
      <w:hyperlink r:id="rId61" w:anchor="{&quot;itemid&quot;:[&quot;001-91501&quot;]}" w:tgtFrame="_blank" w:history="1">
        <w:r w:rsidRPr="005264F8">
          <w:rPr>
            <w:rStyle w:val="Hyperlink"/>
            <w:sz w:val="18"/>
            <w:szCs w:val="18"/>
          </w:rPr>
          <w:t>29492/05</w:t>
        </w:r>
      </w:hyperlink>
      <w:r>
        <w:rPr>
          <w:sz w:val="18"/>
          <w:szCs w:val="18"/>
        </w:rPr>
        <w:t xml:space="preserve">, judgment </w:t>
      </w:r>
      <w:r w:rsidRPr="005264F8">
        <w:rPr>
          <w:sz w:val="18"/>
          <w:szCs w:val="18"/>
        </w:rPr>
        <w:t>of 26 February 2009</w:t>
      </w:r>
      <w:r>
        <w:rPr>
          <w:sz w:val="18"/>
          <w:szCs w:val="18"/>
        </w:rPr>
        <w:t>)</w:t>
      </w:r>
      <w:r w:rsidRPr="005264F8">
        <w:rPr>
          <w:sz w:val="18"/>
          <w:szCs w:val="18"/>
        </w:rPr>
        <w:t xml:space="preserve"> and </w:t>
      </w:r>
      <w:proofErr w:type="spellStart"/>
      <w:r w:rsidRPr="005264F8">
        <w:rPr>
          <w:rFonts w:cstheme="minorHAnsi"/>
          <w:i/>
          <w:iCs/>
          <w:sz w:val="18"/>
          <w:szCs w:val="18"/>
        </w:rPr>
        <w:t>Erdoğan</w:t>
      </w:r>
      <w:proofErr w:type="spellEnd"/>
      <w:r w:rsidRPr="005264F8">
        <w:rPr>
          <w:rFonts w:cstheme="minorHAnsi"/>
          <w:i/>
          <w:iCs/>
          <w:sz w:val="18"/>
          <w:szCs w:val="18"/>
        </w:rPr>
        <w:t> </w:t>
      </w:r>
      <w:proofErr w:type="spellStart"/>
      <w:r w:rsidRPr="005264F8">
        <w:rPr>
          <w:rFonts w:cstheme="minorHAnsi"/>
          <w:i/>
          <w:iCs/>
          <w:sz w:val="18"/>
          <w:szCs w:val="18"/>
        </w:rPr>
        <w:t>Gökçe</w:t>
      </w:r>
      <w:proofErr w:type="spellEnd"/>
      <w:r w:rsidRPr="005264F8">
        <w:rPr>
          <w:rFonts w:cstheme="minorHAnsi"/>
          <w:iCs/>
          <w:sz w:val="18"/>
          <w:szCs w:val="18"/>
        </w:rPr>
        <w:t> </w:t>
      </w:r>
      <w:r w:rsidRPr="005264F8">
        <w:rPr>
          <w:rFonts w:cstheme="minorHAnsi"/>
          <w:i/>
          <w:iCs/>
          <w:sz w:val="18"/>
          <w:szCs w:val="18"/>
        </w:rPr>
        <w:t>v. Turkey</w:t>
      </w:r>
      <w:r w:rsidRPr="005264F8">
        <w:rPr>
          <w:rFonts w:cstheme="minorHAnsi"/>
          <w:iCs/>
          <w:sz w:val="18"/>
          <w:szCs w:val="18"/>
        </w:rPr>
        <w:t xml:space="preserve"> (</w:t>
      </w:r>
      <w:r>
        <w:rPr>
          <w:rFonts w:cstheme="minorHAnsi"/>
          <w:iCs/>
          <w:sz w:val="18"/>
          <w:szCs w:val="18"/>
        </w:rPr>
        <w:t xml:space="preserve">appl. no. </w:t>
      </w:r>
      <w:hyperlink r:id="rId62" w:anchor="{&quot;itemid&quot;:[&quot;001-147008&quot;]}" w:tgtFrame="_blank" w:history="1">
        <w:r w:rsidRPr="005264F8">
          <w:rPr>
            <w:rStyle w:val="Hyperlink"/>
            <w:rFonts w:cstheme="minorHAnsi"/>
            <w:iCs/>
            <w:sz w:val="18"/>
            <w:szCs w:val="18"/>
          </w:rPr>
          <w:t>31736/04</w:t>
        </w:r>
      </w:hyperlink>
      <w:r>
        <w:rPr>
          <w:rFonts w:cstheme="minorHAnsi"/>
          <w:iCs/>
          <w:sz w:val="18"/>
          <w:szCs w:val="18"/>
        </w:rPr>
        <w:t xml:space="preserve">, judgment </w:t>
      </w:r>
      <w:r w:rsidRPr="005264F8">
        <w:rPr>
          <w:rFonts w:cstheme="minorHAnsi"/>
          <w:iCs/>
          <w:sz w:val="18"/>
          <w:szCs w:val="18"/>
        </w:rPr>
        <w:t>of 14 October 2014</w:t>
      </w:r>
      <w:r>
        <w:rPr>
          <w:rFonts w:cstheme="minorHAnsi"/>
          <w:iCs/>
          <w:sz w:val="18"/>
          <w:szCs w:val="18"/>
        </w:rPr>
        <w:t>)</w:t>
      </w:r>
      <w:r w:rsidRPr="005264F8">
        <w:rPr>
          <w:rFonts w:cstheme="minorHAnsi"/>
          <w:iCs/>
          <w:sz w:val="18"/>
          <w:szCs w:val="18"/>
        </w:rPr>
        <w:t>.</w:t>
      </w:r>
    </w:p>
  </w:footnote>
  <w:footnote w:id="46">
    <w:p w14:paraId="70D14AAD" w14:textId="502C0CF5" w:rsidR="000710F0" w:rsidRPr="00F46E27" w:rsidRDefault="000710F0" w:rsidP="00661CCA">
      <w:pPr>
        <w:pStyle w:val="FootnoteText"/>
        <w:jc w:val="both"/>
        <w:rPr>
          <w:sz w:val="18"/>
          <w:szCs w:val="18"/>
        </w:rPr>
      </w:pPr>
      <w:r w:rsidRPr="00F46E27">
        <w:rPr>
          <w:rStyle w:val="FootnoteReference"/>
          <w:sz w:val="18"/>
          <w:szCs w:val="18"/>
        </w:rPr>
        <w:footnoteRef/>
      </w:r>
      <w:r w:rsidRPr="00F46E27">
        <w:rPr>
          <w:sz w:val="18"/>
          <w:szCs w:val="18"/>
        </w:rPr>
        <w:t xml:space="preserve"> </w:t>
      </w:r>
      <w:r>
        <w:rPr>
          <w:sz w:val="18"/>
          <w:szCs w:val="18"/>
        </w:rPr>
        <w:t xml:space="preserve">On 6 October 2020, the Court of Justice of the European Union found in its judgment </w:t>
      </w:r>
      <w:hyperlink r:id="rId63" w:history="1">
        <w:r w:rsidRPr="00661CCA">
          <w:rPr>
            <w:rStyle w:val="Hyperlink"/>
            <w:sz w:val="18"/>
            <w:szCs w:val="18"/>
          </w:rPr>
          <w:t>C-66/18</w:t>
        </w:r>
      </w:hyperlink>
      <w:r>
        <w:rPr>
          <w:sz w:val="18"/>
          <w:szCs w:val="18"/>
        </w:rPr>
        <w:t xml:space="preserve"> that the targeting of the Central European University by the Hungarian Government was in breach of EU law, among others, as it was contrary to fundamental protections relating to academic freedom. Since then, t</w:t>
      </w:r>
      <w:r w:rsidRPr="00F46E27">
        <w:rPr>
          <w:sz w:val="18"/>
          <w:szCs w:val="18"/>
          <w:lang w:val="en-US"/>
        </w:rPr>
        <w:t>he research network of the Hungarian Academy of Sciences</w:t>
      </w:r>
      <w:r>
        <w:rPr>
          <w:sz w:val="18"/>
          <w:szCs w:val="18"/>
          <w:lang w:val="en-US"/>
        </w:rPr>
        <w:t xml:space="preserve"> </w:t>
      </w:r>
      <w:r w:rsidRPr="00F46E27">
        <w:rPr>
          <w:sz w:val="18"/>
          <w:szCs w:val="18"/>
          <w:lang w:val="en-US"/>
        </w:rPr>
        <w:t>a</w:t>
      </w:r>
      <w:r>
        <w:rPr>
          <w:sz w:val="18"/>
          <w:szCs w:val="18"/>
          <w:lang w:val="en-US"/>
        </w:rPr>
        <w:t>nd</w:t>
      </w:r>
      <w:r w:rsidRPr="00F46E27">
        <w:rPr>
          <w:sz w:val="18"/>
          <w:szCs w:val="18"/>
          <w:lang w:val="en-US"/>
        </w:rPr>
        <w:t xml:space="preserve"> several other formerly autonomous scholarly research institutions</w:t>
      </w:r>
      <w:r>
        <w:rPr>
          <w:sz w:val="18"/>
          <w:szCs w:val="18"/>
          <w:lang w:val="en-US"/>
        </w:rPr>
        <w:t>, including also t</w:t>
      </w:r>
      <w:r w:rsidRPr="00F46E27">
        <w:rPr>
          <w:sz w:val="18"/>
          <w:szCs w:val="18"/>
          <w:lang w:val="en-US"/>
        </w:rPr>
        <w:t xml:space="preserve">he </w:t>
      </w:r>
      <w:hyperlink r:id="rId64" w:history="1">
        <w:r w:rsidRPr="00A66709">
          <w:rPr>
            <w:rStyle w:val="Hyperlink"/>
            <w:sz w:val="18"/>
            <w:szCs w:val="18"/>
            <w:lang w:val="en-US"/>
          </w:rPr>
          <w:t>Institute of Political History</w:t>
        </w:r>
      </w:hyperlink>
      <w:r>
        <w:rPr>
          <w:sz w:val="18"/>
          <w:szCs w:val="18"/>
          <w:lang w:val="en-US"/>
        </w:rPr>
        <w:t>,</w:t>
      </w:r>
      <w:r w:rsidRPr="00F46E27">
        <w:rPr>
          <w:sz w:val="18"/>
          <w:szCs w:val="18"/>
          <w:lang w:val="en-US"/>
        </w:rPr>
        <w:t xml:space="preserve"> </w:t>
      </w:r>
      <w:r>
        <w:rPr>
          <w:sz w:val="18"/>
          <w:szCs w:val="18"/>
          <w:lang w:val="en-US"/>
        </w:rPr>
        <w:t xml:space="preserve">have been subject to </w:t>
      </w:r>
      <w:r w:rsidRPr="00F46E27">
        <w:rPr>
          <w:sz w:val="18"/>
          <w:szCs w:val="18"/>
          <w:lang w:val="en-US"/>
        </w:rPr>
        <w:t>government</w:t>
      </w:r>
      <w:r>
        <w:rPr>
          <w:sz w:val="18"/>
          <w:szCs w:val="18"/>
          <w:lang w:val="en-US"/>
        </w:rPr>
        <w:t xml:space="preserve"> efforts </w:t>
      </w:r>
      <w:r w:rsidRPr="00F46E27">
        <w:rPr>
          <w:sz w:val="18"/>
          <w:szCs w:val="18"/>
          <w:lang w:val="en-US"/>
        </w:rPr>
        <w:t>to dismantle</w:t>
      </w:r>
      <w:r>
        <w:rPr>
          <w:sz w:val="18"/>
          <w:szCs w:val="18"/>
          <w:lang w:val="en-US"/>
        </w:rPr>
        <w:t xml:space="preserve"> their independent functioning. With respect to culture, see the recent </w:t>
      </w:r>
      <w:hyperlink r:id="rId65" w:history="1">
        <w:r w:rsidRPr="007A0878">
          <w:rPr>
            <w:rStyle w:val="Hyperlink"/>
            <w:sz w:val="18"/>
            <w:szCs w:val="18"/>
            <w:lang w:val="en-US"/>
          </w:rPr>
          <w:t>discussion</w:t>
        </w:r>
      </w:hyperlink>
      <w:r>
        <w:rPr>
          <w:sz w:val="18"/>
          <w:szCs w:val="18"/>
          <w:lang w:val="en-US"/>
        </w:rPr>
        <w:t xml:space="preserve"> on gender roles prompted by a statement by poet </w:t>
      </w:r>
      <w:r w:rsidRPr="007A0878">
        <w:rPr>
          <w:sz w:val="18"/>
          <w:szCs w:val="18"/>
          <w:lang w:val="en-US"/>
        </w:rPr>
        <w:t>Krisztina Tóth</w:t>
      </w:r>
      <w:r>
        <w:rPr>
          <w:sz w:val="18"/>
          <w:szCs w:val="18"/>
          <w:lang w:val="en-US"/>
        </w:rPr>
        <w:t xml:space="preserve">.  </w:t>
      </w:r>
      <w:r w:rsidRPr="00F46E27">
        <w:rPr>
          <w:sz w:val="18"/>
          <w:szCs w:val="18"/>
          <w:lang w:val="en-US"/>
        </w:rPr>
        <w:t xml:space="preserve"> </w:t>
      </w:r>
    </w:p>
  </w:footnote>
  <w:footnote w:id="47">
    <w:p w14:paraId="2F183384" w14:textId="7F442A10" w:rsidR="000710F0" w:rsidRPr="005264F8" w:rsidRDefault="000710F0" w:rsidP="00661CCA">
      <w:pPr>
        <w:pStyle w:val="FootnoteText"/>
        <w:jc w:val="both"/>
        <w:rPr>
          <w:sz w:val="18"/>
          <w:szCs w:val="18"/>
        </w:rPr>
      </w:pPr>
      <w:r w:rsidRPr="005264F8">
        <w:rPr>
          <w:rStyle w:val="FootnoteReference"/>
          <w:sz w:val="18"/>
          <w:szCs w:val="18"/>
        </w:rPr>
        <w:footnoteRef/>
      </w:r>
      <w:r w:rsidRPr="005264F8">
        <w:rPr>
          <w:sz w:val="18"/>
          <w:szCs w:val="18"/>
        </w:rPr>
        <w:t xml:space="preserve"> See </w:t>
      </w:r>
      <w:hyperlink r:id="rId66" w:history="1">
        <w:r w:rsidRPr="00323F1B">
          <w:rPr>
            <w:rStyle w:val="Hyperlink"/>
            <w:sz w:val="18"/>
            <w:szCs w:val="18"/>
          </w:rPr>
          <w:t>Media Pluralism Monitor</w:t>
        </w:r>
      </w:hyperlink>
      <w:r w:rsidRPr="005264F8">
        <w:rPr>
          <w:sz w:val="18"/>
          <w:szCs w:val="18"/>
        </w:rPr>
        <w:t xml:space="preserve"> 20</w:t>
      </w:r>
      <w:r>
        <w:rPr>
          <w:sz w:val="18"/>
          <w:szCs w:val="18"/>
        </w:rPr>
        <w:t>19</w:t>
      </w:r>
      <w:r w:rsidRPr="005264F8">
        <w:rPr>
          <w:sz w:val="18"/>
          <w:szCs w:val="18"/>
        </w:rPr>
        <w:t>.</w:t>
      </w:r>
    </w:p>
  </w:footnote>
  <w:footnote w:id="48">
    <w:p w14:paraId="3F5E435D" w14:textId="444A2C09" w:rsidR="000710F0" w:rsidRPr="005264F8" w:rsidRDefault="000710F0" w:rsidP="00C01ADE">
      <w:pPr>
        <w:pStyle w:val="FootnoteText"/>
        <w:jc w:val="both"/>
        <w:rPr>
          <w:sz w:val="18"/>
          <w:szCs w:val="18"/>
        </w:rPr>
      </w:pPr>
      <w:r w:rsidRPr="005264F8">
        <w:rPr>
          <w:rStyle w:val="FootnoteReference"/>
          <w:sz w:val="18"/>
          <w:szCs w:val="18"/>
        </w:rPr>
        <w:footnoteRef/>
      </w:r>
      <w:r w:rsidRPr="005264F8">
        <w:rPr>
          <w:sz w:val="18"/>
          <w:szCs w:val="18"/>
        </w:rPr>
        <w:t xml:space="preserve"> According to Section 14 of the Press Act, media service providers should respect human dignity in the media content they disseminate and should not </w:t>
      </w:r>
      <w:r>
        <w:rPr>
          <w:sz w:val="18"/>
          <w:szCs w:val="18"/>
        </w:rPr>
        <w:t>portray</w:t>
      </w:r>
      <w:r w:rsidRPr="005264F8">
        <w:rPr>
          <w:sz w:val="18"/>
          <w:szCs w:val="18"/>
        </w:rPr>
        <w:t xml:space="preserve"> “vulnerable people” in a degrading way.</w:t>
      </w:r>
      <w:r>
        <w:rPr>
          <w:sz w:val="18"/>
          <w:szCs w:val="18"/>
        </w:rPr>
        <w:t xml:space="preserve"> </w:t>
      </w:r>
    </w:p>
  </w:footnote>
  <w:footnote w:id="49">
    <w:p w14:paraId="22DC1647" w14:textId="6C7A0D04" w:rsidR="000710F0" w:rsidRPr="005264F8" w:rsidRDefault="000710F0" w:rsidP="00D51DC1">
      <w:pPr>
        <w:pStyle w:val="FootnoteText"/>
        <w:jc w:val="both"/>
        <w:rPr>
          <w:sz w:val="18"/>
          <w:szCs w:val="18"/>
        </w:rPr>
      </w:pPr>
      <w:r w:rsidRPr="005264F8">
        <w:rPr>
          <w:rStyle w:val="FootnoteReference"/>
          <w:sz w:val="18"/>
          <w:szCs w:val="18"/>
        </w:rPr>
        <w:footnoteRef/>
      </w:r>
      <w:r w:rsidRPr="005264F8">
        <w:rPr>
          <w:sz w:val="18"/>
          <w:szCs w:val="18"/>
        </w:rPr>
        <w:t xml:space="preserve"> In November 2019, a smear campaign against two journalists defamed not only the</w:t>
      </w:r>
      <w:r>
        <w:rPr>
          <w:sz w:val="18"/>
          <w:szCs w:val="18"/>
        </w:rPr>
        <w:t xml:space="preserve"> individuals</w:t>
      </w:r>
      <w:r w:rsidRPr="005264F8">
        <w:rPr>
          <w:sz w:val="18"/>
          <w:szCs w:val="18"/>
        </w:rPr>
        <w:t xml:space="preserve"> but also propagated blatantly anti-Semitic messages in pro-</w:t>
      </w:r>
      <w:r>
        <w:rPr>
          <w:sz w:val="18"/>
          <w:szCs w:val="18"/>
        </w:rPr>
        <w:t>g</w:t>
      </w:r>
      <w:r w:rsidRPr="005264F8">
        <w:rPr>
          <w:sz w:val="18"/>
          <w:szCs w:val="18"/>
        </w:rPr>
        <w:t xml:space="preserve">overnment and far-right media. See </w:t>
      </w:r>
      <w:r w:rsidRPr="00CE01F9">
        <w:rPr>
          <w:sz w:val="18"/>
          <w:szCs w:val="18"/>
          <w:lang w:val="en-US"/>
        </w:rPr>
        <w:t xml:space="preserve">Council of Europe Platform to promote the protection of journalism and safety of journalists (Platform) </w:t>
      </w:r>
      <w:hyperlink r:id="rId67" w:history="1">
        <w:r w:rsidRPr="005264F8">
          <w:rPr>
            <w:rStyle w:val="Hyperlink"/>
            <w:sz w:val="18"/>
            <w:szCs w:val="18"/>
          </w:rPr>
          <w:t>Alert 139/2019</w:t>
        </w:r>
      </w:hyperlink>
      <w:r w:rsidRPr="005264F8">
        <w:rPr>
          <w:sz w:val="18"/>
          <w:szCs w:val="18"/>
        </w:rPr>
        <w:t xml:space="preserve">, no State reply. See also a </w:t>
      </w:r>
      <w:hyperlink r:id="rId68" w:history="1">
        <w:r w:rsidRPr="005264F8">
          <w:rPr>
            <w:rStyle w:val="Hyperlink"/>
            <w:sz w:val="18"/>
            <w:szCs w:val="18"/>
          </w:rPr>
          <w:t>collection</w:t>
        </w:r>
      </w:hyperlink>
      <w:r w:rsidRPr="005264F8">
        <w:rPr>
          <w:sz w:val="18"/>
          <w:szCs w:val="18"/>
        </w:rPr>
        <w:t xml:space="preserve"> of articles with rather explicit vilification of persons belonging to</w:t>
      </w:r>
      <w:r>
        <w:rPr>
          <w:sz w:val="18"/>
          <w:szCs w:val="18"/>
        </w:rPr>
        <w:t xml:space="preserve"> the</w:t>
      </w:r>
      <w:r w:rsidRPr="005264F8">
        <w:rPr>
          <w:sz w:val="18"/>
          <w:szCs w:val="18"/>
        </w:rPr>
        <w:t xml:space="preserve"> Roma and Jewish communities. In a 2018, Freedom House </w:t>
      </w:r>
      <w:hyperlink r:id="rId69" w:history="1">
        <w:r w:rsidRPr="005264F8">
          <w:rPr>
            <w:rStyle w:val="Hyperlink"/>
            <w:sz w:val="18"/>
            <w:szCs w:val="18"/>
          </w:rPr>
          <w:t>reported</w:t>
        </w:r>
      </w:hyperlink>
      <w:r w:rsidRPr="005264F8">
        <w:rPr>
          <w:sz w:val="18"/>
          <w:szCs w:val="18"/>
        </w:rPr>
        <w:t xml:space="preserve"> that “the pro-government news site </w:t>
      </w:r>
      <w:r w:rsidRPr="003325F9">
        <w:rPr>
          <w:i/>
          <w:iCs/>
          <w:sz w:val="18"/>
          <w:szCs w:val="18"/>
        </w:rPr>
        <w:t>Origo.hu</w:t>
      </w:r>
      <w:r w:rsidRPr="005264F8">
        <w:rPr>
          <w:sz w:val="18"/>
          <w:szCs w:val="18"/>
        </w:rPr>
        <w:t xml:space="preserve"> ran a Facebook advertisement with a video of two dark skinned men attacking a white skinned woman in a church, with the tagline 'Western Europe, 2017. Do you want this?” It was later found out that the video was of a 2015 robbery in Nebraska and that "the sound of the video was tampered with to contain shouts praising Allah.” </w:t>
      </w:r>
      <w:r>
        <w:rPr>
          <w:sz w:val="18"/>
          <w:szCs w:val="18"/>
        </w:rPr>
        <w:t xml:space="preserve">In April 2019, a lesbian couple was likened to “dog shit” in a programme on pro-government </w:t>
      </w:r>
      <w:proofErr w:type="spellStart"/>
      <w:r>
        <w:rPr>
          <w:sz w:val="18"/>
          <w:szCs w:val="18"/>
        </w:rPr>
        <w:t>H</w:t>
      </w:r>
      <w:r>
        <w:rPr>
          <w:rFonts w:cs="Arial"/>
          <w:sz w:val="18"/>
          <w:szCs w:val="18"/>
        </w:rPr>
        <w:t>í</w:t>
      </w:r>
      <w:r>
        <w:rPr>
          <w:sz w:val="18"/>
          <w:szCs w:val="18"/>
        </w:rPr>
        <w:t>rTV</w:t>
      </w:r>
      <w:proofErr w:type="spellEnd"/>
      <w:r>
        <w:rPr>
          <w:sz w:val="18"/>
          <w:szCs w:val="18"/>
        </w:rPr>
        <w:t xml:space="preserve">. The Media Council found that the </w:t>
      </w:r>
      <w:r w:rsidRPr="00D51DC1">
        <w:rPr>
          <w:sz w:val="18"/>
          <w:szCs w:val="18"/>
        </w:rPr>
        <w:t>equal</w:t>
      </w:r>
      <w:r>
        <w:rPr>
          <w:sz w:val="18"/>
          <w:szCs w:val="18"/>
        </w:rPr>
        <w:t xml:space="preserve"> </w:t>
      </w:r>
      <w:r w:rsidRPr="00D51DC1">
        <w:rPr>
          <w:sz w:val="18"/>
          <w:szCs w:val="18"/>
        </w:rPr>
        <w:t>human dignity of homosexual</w:t>
      </w:r>
      <w:r>
        <w:rPr>
          <w:sz w:val="18"/>
          <w:szCs w:val="18"/>
        </w:rPr>
        <w:t xml:space="preserve">s was </w:t>
      </w:r>
      <w:hyperlink r:id="rId70" w:history="1">
        <w:r w:rsidRPr="00EF2CB8">
          <w:rPr>
            <w:rStyle w:val="Hyperlink"/>
            <w:sz w:val="18"/>
            <w:szCs w:val="18"/>
          </w:rPr>
          <w:t>not questioned</w:t>
        </w:r>
      </w:hyperlink>
      <w:r>
        <w:rPr>
          <w:sz w:val="18"/>
          <w:szCs w:val="18"/>
        </w:rPr>
        <w:t xml:space="preserve">. In January 2020, the likening on the opposition ATV channel of white, Christian men to a “fearful bunch” as they do not allow innovation, was considered an </w:t>
      </w:r>
      <w:hyperlink r:id="rId71" w:history="1">
        <w:r w:rsidRPr="00EF2CB8">
          <w:rPr>
            <w:rStyle w:val="Hyperlink"/>
            <w:sz w:val="18"/>
            <w:szCs w:val="18"/>
          </w:rPr>
          <w:t>‘exclusion’</w:t>
        </w:r>
      </w:hyperlink>
      <w:r>
        <w:rPr>
          <w:sz w:val="18"/>
          <w:szCs w:val="18"/>
        </w:rPr>
        <w:t xml:space="preserve"> by the Media Council and resulted in a fine. </w:t>
      </w:r>
    </w:p>
  </w:footnote>
  <w:footnote w:id="50">
    <w:p w14:paraId="04A82DAA" w14:textId="77777777" w:rsidR="000710F0" w:rsidRPr="005264F8" w:rsidRDefault="000710F0" w:rsidP="00323F1B">
      <w:pPr>
        <w:pStyle w:val="FootnoteText"/>
        <w:jc w:val="both"/>
        <w:rPr>
          <w:sz w:val="18"/>
          <w:szCs w:val="18"/>
        </w:rPr>
      </w:pPr>
      <w:r w:rsidRPr="005264F8">
        <w:rPr>
          <w:rStyle w:val="FootnoteReference"/>
          <w:sz w:val="18"/>
          <w:szCs w:val="18"/>
        </w:rPr>
        <w:footnoteRef/>
      </w:r>
      <w:r w:rsidRPr="005264F8">
        <w:rPr>
          <w:sz w:val="18"/>
          <w:szCs w:val="18"/>
        </w:rPr>
        <w:t xml:space="preserve"> </w:t>
      </w:r>
      <w:r w:rsidRPr="005264F8">
        <w:rPr>
          <w:sz w:val="18"/>
          <w:szCs w:val="18"/>
          <w:lang w:val="en-US"/>
        </w:rPr>
        <w:t xml:space="preserve">In 2018 alone, Hungarian courts ordered </w:t>
      </w:r>
      <w:r w:rsidRPr="003325F9">
        <w:rPr>
          <w:i/>
          <w:iCs/>
          <w:sz w:val="18"/>
          <w:szCs w:val="18"/>
          <w:lang w:val="en-US"/>
        </w:rPr>
        <w:t>Origo.hu</w:t>
      </w:r>
      <w:r w:rsidRPr="005264F8">
        <w:rPr>
          <w:sz w:val="18"/>
          <w:szCs w:val="18"/>
          <w:lang w:val="en-US"/>
        </w:rPr>
        <w:t xml:space="preserve"> to issue corrections in </w:t>
      </w:r>
      <w:r>
        <w:rPr>
          <w:sz w:val="18"/>
          <w:szCs w:val="18"/>
          <w:lang w:val="en-US"/>
        </w:rPr>
        <w:t xml:space="preserve">at least </w:t>
      </w:r>
      <w:r w:rsidRPr="005264F8">
        <w:rPr>
          <w:sz w:val="18"/>
          <w:szCs w:val="18"/>
          <w:lang w:val="en-US"/>
        </w:rPr>
        <w:t xml:space="preserve">34 cases. See </w:t>
      </w:r>
      <w:hyperlink r:id="rId72" w:history="1">
        <w:r w:rsidRPr="005264F8">
          <w:rPr>
            <w:rStyle w:val="Hyperlink"/>
            <w:sz w:val="18"/>
            <w:szCs w:val="18"/>
            <w:lang w:val="en-US"/>
          </w:rPr>
          <w:t>Politico</w:t>
        </w:r>
      </w:hyperlink>
      <w:r w:rsidRPr="005264F8">
        <w:rPr>
          <w:sz w:val="18"/>
          <w:szCs w:val="18"/>
          <w:lang w:val="en-US"/>
        </w:rPr>
        <w:t xml:space="preserve">, 3 April 2019. </w:t>
      </w:r>
    </w:p>
  </w:footnote>
  <w:footnote w:id="51">
    <w:p w14:paraId="1518FFAF" w14:textId="52E53726" w:rsidR="000710F0" w:rsidRPr="005264F8" w:rsidRDefault="000710F0" w:rsidP="005264F8">
      <w:pPr>
        <w:pStyle w:val="FootnoteText"/>
        <w:jc w:val="both"/>
        <w:rPr>
          <w:sz w:val="18"/>
          <w:szCs w:val="18"/>
        </w:rPr>
      </w:pPr>
      <w:r w:rsidRPr="005264F8">
        <w:rPr>
          <w:rStyle w:val="FootnoteReference"/>
          <w:sz w:val="18"/>
          <w:szCs w:val="18"/>
        </w:rPr>
        <w:footnoteRef/>
      </w:r>
      <w:r w:rsidRPr="005264F8">
        <w:rPr>
          <w:sz w:val="18"/>
          <w:szCs w:val="18"/>
        </w:rPr>
        <w:t xml:space="preserve"> See </w:t>
      </w:r>
      <w:hyperlink r:id="rId73" w:history="1">
        <w:r w:rsidRPr="007B38CD">
          <w:rPr>
            <w:rStyle w:val="Hyperlink"/>
            <w:sz w:val="18"/>
            <w:szCs w:val="18"/>
          </w:rPr>
          <w:t>Media Pluralism Monitor</w:t>
        </w:r>
      </w:hyperlink>
      <w:r w:rsidRPr="005264F8">
        <w:rPr>
          <w:sz w:val="18"/>
          <w:szCs w:val="18"/>
        </w:rPr>
        <w:t xml:space="preserve"> 2019.</w:t>
      </w:r>
    </w:p>
  </w:footnote>
  <w:footnote w:id="52">
    <w:p w14:paraId="1101EE8C" w14:textId="6A1CB8DF" w:rsidR="000710F0" w:rsidRPr="005264F8" w:rsidRDefault="000710F0" w:rsidP="005264F8">
      <w:pPr>
        <w:pStyle w:val="FootnoteText"/>
        <w:jc w:val="both"/>
        <w:rPr>
          <w:sz w:val="18"/>
          <w:szCs w:val="18"/>
        </w:rPr>
      </w:pPr>
      <w:r w:rsidRPr="005264F8">
        <w:rPr>
          <w:rStyle w:val="FootnoteReference"/>
          <w:sz w:val="18"/>
          <w:szCs w:val="18"/>
        </w:rPr>
        <w:footnoteRef/>
      </w:r>
      <w:r w:rsidRPr="005264F8">
        <w:rPr>
          <w:sz w:val="18"/>
          <w:szCs w:val="18"/>
        </w:rPr>
        <w:t xml:space="preserve"> See Platform </w:t>
      </w:r>
      <w:hyperlink r:id="rId74" w:history="1">
        <w:r w:rsidRPr="005264F8">
          <w:rPr>
            <w:rStyle w:val="Hyperlink"/>
            <w:sz w:val="18"/>
            <w:szCs w:val="18"/>
          </w:rPr>
          <w:t>Alert 26/2020</w:t>
        </w:r>
      </w:hyperlink>
      <w:r w:rsidRPr="005264F8">
        <w:rPr>
          <w:sz w:val="18"/>
          <w:szCs w:val="18"/>
        </w:rPr>
        <w:t>, no State reply.</w:t>
      </w:r>
    </w:p>
  </w:footnote>
  <w:footnote w:id="53">
    <w:p w14:paraId="5AA0931F" w14:textId="345206E7" w:rsidR="000710F0" w:rsidRPr="005264F8" w:rsidRDefault="000710F0" w:rsidP="005264F8">
      <w:pPr>
        <w:pStyle w:val="FootnoteText"/>
        <w:jc w:val="both"/>
        <w:rPr>
          <w:sz w:val="18"/>
          <w:szCs w:val="18"/>
        </w:rPr>
      </w:pPr>
      <w:r w:rsidRPr="005264F8">
        <w:rPr>
          <w:rStyle w:val="FootnoteReference"/>
          <w:sz w:val="18"/>
          <w:szCs w:val="18"/>
        </w:rPr>
        <w:footnoteRef/>
      </w:r>
      <w:r w:rsidRPr="005264F8">
        <w:rPr>
          <w:sz w:val="18"/>
          <w:szCs w:val="18"/>
        </w:rPr>
        <w:t xml:space="preserve"> See Recommendation </w:t>
      </w:r>
      <w:hyperlink r:id="rId75" w:history="1">
        <w:r w:rsidRPr="005264F8">
          <w:rPr>
            <w:rStyle w:val="Hyperlink"/>
            <w:sz w:val="18"/>
            <w:szCs w:val="18"/>
          </w:rPr>
          <w:t>CM/Rec(2012)1</w:t>
        </w:r>
      </w:hyperlink>
      <w:r w:rsidRPr="005264F8">
        <w:rPr>
          <w:sz w:val="18"/>
          <w:szCs w:val="18"/>
        </w:rPr>
        <w:t xml:space="preserve"> of the Committee of Ministers to member states on public service media governance.</w:t>
      </w:r>
    </w:p>
  </w:footnote>
  <w:footnote w:id="54">
    <w:p w14:paraId="1DCC6058" w14:textId="04360D20" w:rsidR="000710F0" w:rsidRPr="005264F8" w:rsidRDefault="000710F0" w:rsidP="005264F8">
      <w:pPr>
        <w:pStyle w:val="FootnoteText"/>
        <w:jc w:val="both"/>
        <w:rPr>
          <w:sz w:val="18"/>
          <w:szCs w:val="18"/>
        </w:rPr>
      </w:pPr>
      <w:r w:rsidRPr="005264F8">
        <w:rPr>
          <w:rStyle w:val="FootnoteReference"/>
          <w:sz w:val="18"/>
          <w:szCs w:val="18"/>
        </w:rPr>
        <w:footnoteRef/>
      </w:r>
      <w:r w:rsidRPr="005264F8">
        <w:rPr>
          <w:sz w:val="18"/>
          <w:szCs w:val="18"/>
        </w:rPr>
        <w:t xml:space="preserve"> See </w:t>
      </w:r>
      <w:proofErr w:type="spellStart"/>
      <w:r w:rsidRPr="005264F8">
        <w:rPr>
          <w:sz w:val="18"/>
          <w:szCs w:val="18"/>
        </w:rPr>
        <w:t>M</w:t>
      </w:r>
      <w:r w:rsidRPr="005264F8">
        <w:rPr>
          <w:rFonts w:cstheme="minorHAnsi"/>
          <w:sz w:val="18"/>
          <w:szCs w:val="18"/>
        </w:rPr>
        <w:t>érték</w:t>
      </w:r>
      <w:proofErr w:type="spellEnd"/>
      <w:r w:rsidRPr="005264F8">
        <w:rPr>
          <w:rFonts w:cstheme="minorHAnsi"/>
          <w:sz w:val="18"/>
          <w:szCs w:val="18"/>
        </w:rPr>
        <w:t xml:space="preserve"> Media Monitoring ‘</w:t>
      </w:r>
      <w:hyperlink r:id="rId76" w:history="1">
        <w:r w:rsidRPr="005264F8">
          <w:rPr>
            <w:rStyle w:val="Hyperlink"/>
            <w:rFonts w:cstheme="minorHAnsi"/>
            <w:sz w:val="18"/>
            <w:szCs w:val="18"/>
          </w:rPr>
          <w:t>An infected media system</w:t>
        </w:r>
      </w:hyperlink>
      <w:r w:rsidRPr="005264F8">
        <w:rPr>
          <w:rFonts w:cstheme="minorHAnsi"/>
          <w:sz w:val="18"/>
          <w:szCs w:val="18"/>
        </w:rPr>
        <w:t xml:space="preserve">’, 1 December 2020. </w:t>
      </w:r>
      <w:hyperlink r:id="rId77" w:history="1">
        <w:r w:rsidRPr="005264F8">
          <w:rPr>
            <w:rStyle w:val="Hyperlink"/>
            <w:sz w:val="18"/>
            <w:szCs w:val="18"/>
          </w:rPr>
          <w:t>Reuters Digital News Report 2019</w:t>
        </w:r>
      </w:hyperlink>
      <w:r w:rsidRPr="005264F8">
        <w:rPr>
          <w:sz w:val="18"/>
          <w:szCs w:val="18"/>
        </w:rPr>
        <w:t xml:space="preserve">, comparing trust in media in a world-wide survey, revealed a low average of 28% </w:t>
      </w:r>
      <w:r>
        <w:rPr>
          <w:sz w:val="18"/>
          <w:szCs w:val="18"/>
        </w:rPr>
        <w:t xml:space="preserve">among those surveyed expressing </w:t>
      </w:r>
      <w:r w:rsidRPr="005264F8">
        <w:rPr>
          <w:sz w:val="18"/>
          <w:szCs w:val="18"/>
        </w:rPr>
        <w:t xml:space="preserve">trust in </w:t>
      </w:r>
      <w:r>
        <w:rPr>
          <w:sz w:val="18"/>
          <w:szCs w:val="18"/>
        </w:rPr>
        <w:t xml:space="preserve">the </w:t>
      </w:r>
      <w:r w:rsidRPr="005264F8">
        <w:rPr>
          <w:sz w:val="18"/>
          <w:szCs w:val="18"/>
        </w:rPr>
        <w:t>Hungarian media</w:t>
      </w:r>
      <w:r>
        <w:rPr>
          <w:sz w:val="18"/>
          <w:szCs w:val="18"/>
        </w:rPr>
        <w:t>; in 2019,</w:t>
      </w:r>
      <w:r w:rsidRPr="005264F8">
        <w:rPr>
          <w:sz w:val="18"/>
          <w:szCs w:val="18"/>
        </w:rPr>
        <w:t xml:space="preserve"> t</w:t>
      </w:r>
      <w:r w:rsidRPr="005264F8">
        <w:rPr>
          <w:rFonts w:cstheme="minorHAnsi"/>
          <w:sz w:val="18"/>
          <w:szCs w:val="18"/>
        </w:rPr>
        <w:t xml:space="preserve">he independent RTL Klub TV channel </w:t>
      </w:r>
      <w:r>
        <w:rPr>
          <w:rFonts w:cstheme="minorHAnsi"/>
          <w:sz w:val="18"/>
          <w:szCs w:val="18"/>
        </w:rPr>
        <w:t>was</w:t>
      </w:r>
      <w:r w:rsidRPr="005264F8">
        <w:rPr>
          <w:rFonts w:cstheme="minorHAnsi"/>
          <w:sz w:val="18"/>
          <w:szCs w:val="18"/>
        </w:rPr>
        <w:t xml:space="preserve"> the most trusted and the private pro-</w:t>
      </w:r>
      <w:r>
        <w:rPr>
          <w:rFonts w:cstheme="minorHAnsi"/>
          <w:sz w:val="18"/>
          <w:szCs w:val="18"/>
        </w:rPr>
        <w:t>g</w:t>
      </w:r>
      <w:r w:rsidRPr="005264F8">
        <w:rPr>
          <w:rFonts w:cstheme="minorHAnsi"/>
          <w:sz w:val="18"/>
          <w:szCs w:val="18"/>
        </w:rPr>
        <w:t>overnment TV2 channel the least.</w:t>
      </w:r>
      <w:r w:rsidRPr="005264F8">
        <w:rPr>
          <w:sz w:val="18"/>
          <w:szCs w:val="18"/>
        </w:rPr>
        <w:t xml:space="preserve"> </w:t>
      </w:r>
    </w:p>
  </w:footnote>
  <w:footnote w:id="55">
    <w:p w14:paraId="0F799609" w14:textId="03D7945B" w:rsidR="000710F0" w:rsidRPr="005264F8" w:rsidRDefault="000710F0" w:rsidP="005264F8">
      <w:pPr>
        <w:pStyle w:val="FootnoteText"/>
        <w:jc w:val="both"/>
        <w:rPr>
          <w:sz w:val="18"/>
          <w:szCs w:val="18"/>
        </w:rPr>
      </w:pPr>
      <w:r w:rsidRPr="005264F8">
        <w:rPr>
          <w:rStyle w:val="FootnoteReference"/>
          <w:sz w:val="18"/>
          <w:szCs w:val="18"/>
        </w:rPr>
        <w:footnoteRef/>
      </w:r>
      <w:r w:rsidRPr="005264F8">
        <w:rPr>
          <w:sz w:val="18"/>
          <w:szCs w:val="18"/>
        </w:rPr>
        <w:t xml:space="preserve"> </w:t>
      </w:r>
      <w:r w:rsidRPr="005264F8">
        <w:rPr>
          <w:sz w:val="18"/>
          <w:szCs w:val="18"/>
          <w:lang w:val="en-US"/>
        </w:rPr>
        <w:t xml:space="preserve">According to a </w:t>
      </w:r>
      <w:hyperlink r:id="rId78" w:history="1">
        <w:r w:rsidRPr="005264F8">
          <w:rPr>
            <w:rStyle w:val="Hyperlink"/>
            <w:sz w:val="18"/>
            <w:szCs w:val="18"/>
            <w:lang w:val="en-US"/>
          </w:rPr>
          <w:t>statement</w:t>
        </w:r>
      </w:hyperlink>
      <w:r w:rsidRPr="005264F8">
        <w:rPr>
          <w:sz w:val="18"/>
          <w:szCs w:val="18"/>
          <w:lang w:val="en-US"/>
        </w:rPr>
        <w:t xml:space="preserve"> made by the President of the Media Council in February 2021, “the Hungarian media market is free, diverse and varied: 393 television stations, 156 terrestrial radio stations, 78 internet radio stations, 6731 printed and 3540 electronic press outlets offer information to the Hungarian people”. These figures, however, include small local stations that broadcast only teletext as well as countless free advertis</w:t>
      </w:r>
      <w:r>
        <w:rPr>
          <w:sz w:val="18"/>
          <w:szCs w:val="18"/>
          <w:lang w:val="en-US"/>
        </w:rPr>
        <w:t>ing</w:t>
      </w:r>
      <w:r w:rsidRPr="005264F8">
        <w:rPr>
          <w:sz w:val="18"/>
          <w:szCs w:val="18"/>
          <w:lang w:val="en-US"/>
        </w:rPr>
        <w:t xml:space="preserve"> papers. Observers consider only two TV stations, one radio station limited to Budapest (</w:t>
      </w:r>
      <w:proofErr w:type="spellStart"/>
      <w:r w:rsidRPr="003325F9">
        <w:rPr>
          <w:i/>
          <w:iCs/>
          <w:sz w:val="18"/>
          <w:szCs w:val="18"/>
          <w:lang w:val="en-US"/>
        </w:rPr>
        <w:t>Klubr</w:t>
      </w:r>
      <w:r w:rsidRPr="003325F9">
        <w:rPr>
          <w:rFonts w:cstheme="minorHAnsi"/>
          <w:i/>
          <w:iCs/>
          <w:sz w:val="18"/>
          <w:szCs w:val="18"/>
          <w:lang w:val="en-US"/>
        </w:rPr>
        <w:t>ádió</w:t>
      </w:r>
      <w:proofErr w:type="spellEnd"/>
      <w:r w:rsidRPr="005264F8">
        <w:rPr>
          <w:sz w:val="18"/>
          <w:szCs w:val="18"/>
          <w:lang w:val="en-US"/>
        </w:rPr>
        <w:t xml:space="preserve">) and some online news portals </w:t>
      </w:r>
      <w:r>
        <w:rPr>
          <w:sz w:val="18"/>
          <w:szCs w:val="18"/>
          <w:lang w:val="en-US"/>
        </w:rPr>
        <w:t>to be</w:t>
      </w:r>
      <w:r w:rsidRPr="005264F8">
        <w:rPr>
          <w:sz w:val="18"/>
          <w:szCs w:val="18"/>
          <w:lang w:val="en-US"/>
        </w:rPr>
        <w:t xml:space="preserve"> independent from government influence. The others either define themselves as pro-</w:t>
      </w:r>
      <w:r>
        <w:rPr>
          <w:sz w:val="18"/>
          <w:szCs w:val="18"/>
          <w:lang w:val="en-US"/>
        </w:rPr>
        <w:t>g</w:t>
      </w:r>
      <w:r w:rsidRPr="005264F8">
        <w:rPr>
          <w:sz w:val="18"/>
          <w:szCs w:val="18"/>
          <w:lang w:val="en-US"/>
        </w:rPr>
        <w:t xml:space="preserve">overnment or their ownership structures </w:t>
      </w:r>
      <w:r>
        <w:rPr>
          <w:sz w:val="18"/>
          <w:szCs w:val="18"/>
          <w:lang w:val="en-US"/>
        </w:rPr>
        <w:t>show</w:t>
      </w:r>
      <w:r w:rsidRPr="005264F8">
        <w:rPr>
          <w:sz w:val="18"/>
          <w:szCs w:val="18"/>
          <w:lang w:val="en-US"/>
        </w:rPr>
        <w:t xml:space="preserve"> close affiliation with the ruling party. </w:t>
      </w:r>
    </w:p>
  </w:footnote>
  <w:footnote w:id="56">
    <w:p w14:paraId="467D86B3" w14:textId="7B1C570A" w:rsidR="000710F0" w:rsidRPr="005264F8" w:rsidRDefault="000710F0" w:rsidP="005264F8">
      <w:pPr>
        <w:pStyle w:val="FootnoteText"/>
        <w:jc w:val="both"/>
        <w:rPr>
          <w:sz w:val="18"/>
          <w:szCs w:val="18"/>
        </w:rPr>
      </w:pPr>
      <w:r w:rsidRPr="005264F8">
        <w:rPr>
          <w:rStyle w:val="FootnoteReference"/>
          <w:sz w:val="18"/>
          <w:szCs w:val="18"/>
        </w:rPr>
        <w:footnoteRef/>
      </w:r>
      <w:r w:rsidRPr="005264F8">
        <w:rPr>
          <w:sz w:val="18"/>
          <w:szCs w:val="18"/>
        </w:rPr>
        <w:t xml:space="preserve"> See ‘</w:t>
      </w:r>
      <w:hyperlink r:id="rId79" w:history="1">
        <w:r w:rsidRPr="005264F8">
          <w:rPr>
            <w:rStyle w:val="Hyperlink"/>
            <w:sz w:val="18"/>
            <w:szCs w:val="18"/>
          </w:rPr>
          <w:t>Hungary dismantles media pluralism</w:t>
        </w:r>
      </w:hyperlink>
      <w:r w:rsidRPr="005264F8">
        <w:rPr>
          <w:sz w:val="18"/>
          <w:szCs w:val="18"/>
        </w:rPr>
        <w:t xml:space="preserve">’, </w:t>
      </w:r>
      <w:r>
        <w:rPr>
          <w:sz w:val="18"/>
          <w:szCs w:val="18"/>
        </w:rPr>
        <w:t>R</w:t>
      </w:r>
      <w:r w:rsidRPr="005264F8">
        <w:rPr>
          <w:sz w:val="18"/>
          <w:szCs w:val="18"/>
        </w:rPr>
        <w:t>eport by a joint fact</w:t>
      </w:r>
      <w:r>
        <w:rPr>
          <w:sz w:val="18"/>
          <w:szCs w:val="18"/>
        </w:rPr>
        <w:t>-</w:t>
      </w:r>
      <w:r w:rsidRPr="005264F8">
        <w:rPr>
          <w:sz w:val="18"/>
          <w:szCs w:val="18"/>
        </w:rPr>
        <w:t>finding mission, 3 December 2019.</w:t>
      </w:r>
    </w:p>
  </w:footnote>
  <w:footnote w:id="57">
    <w:p w14:paraId="3C8D03A5" w14:textId="6F652D82" w:rsidR="000710F0" w:rsidRPr="005264F8" w:rsidRDefault="000710F0" w:rsidP="005264F8">
      <w:pPr>
        <w:pStyle w:val="FootnoteText"/>
        <w:jc w:val="both"/>
        <w:rPr>
          <w:sz w:val="18"/>
          <w:szCs w:val="18"/>
        </w:rPr>
      </w:pPr>
      <w:r w:rsidRPr="005264F8">
        <w:rPr>
          <w:rStyle w:val="FootnoteReference"/>
          <w:sz w:val="18"/>
          <w:szCs w:val="18"/>
        </w:rPr>
        <w:footnoteRef/>
      </w:r>
      <w:r w:rsidRPr="005264F8">
        <w:rPr>
          <w:sz w:val="18"/>
          <w:szCs w:val="18"/>
        </w:rPr>
        <w:t xml:space="preserve"> The independent Hungarian news website </w:t>
      </w:r>
      <w:r w:rsidRPr="003325F9">
        <w:rPr>
          <w:i/>
          <w:iCs/>
          <w:sz w:val="18"/>
          <w:szCs w:val="18"/>
        </w:rPr>
        <w:t>origo.hu</w:t>
      </w:r>
      <w:r w:rsidRPr="005264F8">
        <w:rPr>
          <w:sz w:val="18"/>
          <w:szCs w:val="18"/>
        </w:rPr>
        <w:t xml:space="preserve">, for instance, was sold after </w:t>
      </w:r>
      <w:r>
        <w:rPr>
          <w:sz w:val="18"/>
          <w:szCs w:val="18"/>
        </w:rPr>
        <w:t xml:space="preserve">it </w:t>
      </w:r>
      <w:r w:rsidRPr="005264F8">
        <w:rPr>
          <w:sz w:val="18"/>
          <w:szCs w:val="18"/>
        </w:rPr>
        <w:t>unveil</w:t>
      </w:r>
      <w:r>
        <w:rPr>
          <w:sz w:val="18"/>
          <w:szCs w:val="18"/>
        </w:rPr>
        <w:t>ed</w:t>
      </w:r>
      <w:r w:rsidRPr="005264F8">
        <w:rPr>
          <w:sz w:val="18"/>
          <w:szCs w:val="18"/>
        </w:rPr>
        <w:t xml:space="preserve"> a corruption scandal involving a senior official close to the Prime Minister in 2014. See for background ‘</w:t>
      </w:r>
      <w:hyperlink r:id="rId80" w:history="1">
        <w:r w:rsidRPr="005264F8">
          <w:rPr>
            <w:rStyle w:val="Hyperlink"/>
            <w:sz w:val="18"/>
            <w:szCs w:val="18"/>
          </w:rPr>
          <w:t>The Website That Shows How a Free Press Can Die</w:t>
        </w:r>
      </w:hyperlink>
      <w:r w:rsidRPr="005264F8">
        <w:rPr>
          <w:sz w:val="18"/>
          <w:szCs w:val="18"/>
        </w:rPr>
        <w:t xml:space="preserve">’, NYT, 24 November 2018. Many of its journalists and the editor </w:t>
      </w:r>
      <w:hyperlink r:id="rId81" w:history="1">
        <w:r w:rsidRPr="005264F8">
          <w:rPr>
            <w:rStyle w:val="Hyperlink"/>
            <w:sz w:val="18"/>
            <w:szCs w:val="18"/>
          </w:rPr>
          <w:t>walked out</w:t>
        </w:r>
      </w:hyperlink>
      <w:r w:rsidRPr="005264F8">
        <w:rPr>
          <w:sz w:val="18"/>
          <w:szCs w:val="18"/>
        </w:rPr>
        <w:t xml:space="preserve"> in the aftermath. Since 2018, it</w:t>
      </w:r>
      <w:r>
        <w:rPr>
          <w:sz w:val="18"/>
          <w:szCs w:val="18"/>
        </w:rPr>
        <w:t xml:space="preserve"> has</w:t>
      </w:r>
      <w:r w:rsidRPr="005264F8">
        <w:rPr>
          <w:sz w:val="18"/>
          <w:szCs w:val="18"/>
        </w:rPr>
        <w:t xml:space="preserve"> form</w:t>
      </w:r>
      <w:r>
        <w:rPr>
          <w:sz w:val="18"/>
          <w:szCs w:val="18"/>
        </w:rPr>
        <w:t>ed</w:t>
      </w:r>
      <w:r w:rsidRPr="005264F8">
        <w:rPr>
          <w:sz w:val="18"/>
          <w:szCs w:val="18"/>
        </w:rPr>
        <w:t xml:space="preserve"> part of KESMA and is</w:t>
      </w:r>
      <w:r>
        <w:rPr>
          <w:sz w:val="18"/>
          <w:szCs w:val="18"/>
        </w:rPr>
        <w:t xml:space="preserve"> now</w:t>
      </w:r>
      <w:r w:rsidRPr="005264F8">
        <w:rPr>
          <w:sz w:val="18"/>
          <w:szCs w:val="18"/>
        </w:rPr>
        <w:t xml:space="preserve"> </w:t>
      </w:r>
      <w:r>
        <w:rPr>
          <w:sz w:val="18"/>
          <w:szCs w:val="18"/>
        </w:rPr>
        <w:t xml:space="preserve">considered </w:t>
      </w:r>
      <w:r w:rsidRPr="005264F8">
        <w:rPr>
          <w:sz w:val="18"/>
          <w:szCs w:val="18"/>
        </w:rPr>
        <w:t xml:space="preserve">one of the government’s strongest supporters. </w:t>
      </w:r>
    </w:p>
  </w:footnote>
  <w:footnote w:id="58">
    <w:p w14:paraId="31CFEAE0" w14:textId="17C28031" w:rsidR="000710F0" w:rsidRPr="005264F8" w:rsidRDefault="000710F0" w:rsidP="005264F8">
      <w:pPr>
        <w:pStyle w:val="FootnoteText"/>
        <w:jc w:val="both"/>
        <w:rPr>
          <w:sz w:val="18"/>
          <w:szCs w:val="18"/>
        </w:rPr>
      </w:pPr>
      <w:r w:rsidRPr="005264F8">
        <w:rPr>
          <w:rStyle w:val="FootnoteReference"/>
          <w:sz w:val="18"/>
          <w:szCs w:val="18"/>
        </w:rPr>
        <w:footnoteRef/>
      </w:r>
      <w:r w:rsidRPr="005264F8">
        <w:rPr>
          <w:sz w:val="18"/>
          <w:szCs w:val="18"/>
        </w:rPr>
        <w:t xml:space="preserve"> See Platform </w:t>
      </w:r>
      <w:hyperlink r:id="rId82" w:history="1">
        <w:r w:rsidRPr="005264F8">
          <w:rPr>
            <w:rStyle w:val="Hyperlink"/>
            <w:sz w:val="18"/>
            <w:szCs w:val="18"/>
          </w:rPr>
          <w:t>Alert 110/2016</w:t>
        </w:r>
      </w:hyperlink>
      <w:r w:rsidRPr="005264F8">
        <w:rPr>
          <w:sz w:val="18"/>
          <w:szCs w:val="18"/>
        </w:rPr>
        <w:t xml:space="preserve">, see also the </w:t>
      </w:r>
      <w:hyperlink r:id="rId83" w:history="1">
        <w:r w:rsidRPr="005264F8">
          <w:rPr>
            <w:rStyle w:val="Hyperlink"/>
            <w:sz w:val="18"/>
            <w:szCs w:val="18"/>
          </w:rPr>
          <w:t>State reply</w:t>
        </w:r>
      </w:hyperlink>
      <w:r w:rsidRPr="005264F8">
        <w:rPr>
          <w:sz w:val="18"/>
          <w:szCs w:val="18"/>
        </w:rPr>
        <w:t xml:space="preserve"> of 31 January 2019. The sudden closure was later declared</w:t>
      </w:r>
      <w:r>
        <w:rPr>
          <w:sz w:val="18"/>
          <w:szCs w:val="18"/>
        </w:rPr>
        <w:t xml:space="preserve"> to be</w:t>
      </w:r>
      <w:r w:rsidRPr="005264F8">
        <w:rPr>
          <w:sz w:val="18"/>
          <w:szCs w:val="18"/>
        </w:rPr>
        <w:t xml:space="preserve"> in </w:t>
      </w:r>
      <w:r>
        <w:rPr>
          <w:sz w:val="18"/>
          <w:szCs w:val="18"/>
        </w:rPr>
        <w:t xml:space="preserve">breach </w:t>
      </w:r>
      <w:r w:rsidRPr="005264F8">
        <w:rPr>
          <w:sz w:val="18"/>
          <w:szCs w:val="18"/>
        </w:rPr>
        <w:t>of the Labour Code by a Budapest Court.</w:t>
      </w:r>
    </w:p>
  </w:footnote>
  <w:footnote w:id="59">
    <w:p w14:paraId="547DB98D" w14:textId="67D074D3" w:rsidR="000710F0" w:rsidRPr="005264F8" w:rsidRDefault="000710F0" w:rsidP="005264F8">
      <w:pPr>
        <w:pStyle w:val="FootnoteText"/>
        <w:jc w:val="both"/>
        <w:rPr>
          <w:sz w:val="18"/>
          <w:szCs w:val="18"/>
        </w:rPr>
      </w:pPr>
      <w:r w:rsidRPr="005264F8">
        <w:rPr>
          <w:rStyle w:val="FootnoteReference"/>
          <w:sz w:val="18"/>
          <w:szCs w:val="18"/>
        </w:rPr>
        <w:footnoteRef/>
      </w:r>
      <w:r w:rsidRPr="005264F8">
        <w:rPr>
          <w:sz w:val="18"/>
          <w:szCs w:val="18"/>
        </w:rPr>
        <w:t xml:space="preserve"> </w:t>
      </w:r>
      <w:r>
        <w:rPr>
          <w:sz w:val="18"/>
          <w:szCs w:val="18"/>
        </w:rPr>
        <w:t xml:space="preserve">See </w:t>
      </w:r>
      <w:hyperlink r:id="rId84" w:history="1">
        <w:r w:rsidRPr="005264F8">
          <w:rPr>
            <w:rStyle w:val="Hyperlink"/>
            <w:sz w:val="18"/>
            <w:szCs w:val="18"/>
          </w:rPr>
          <w:t>Euro News</w:t>
        </w:r>
      </w:hyperlink>
      <w:r>
        <w:rPr>
          <w:rStyle w:val="Hyperlink"/>
          <w:sz w:val="18"/>
          <w:szCs w:val="18"/>
        </w:rPr>
        <w:t>,</w:t>
      </w:r>
      <w:r w:rsidRPr="005264F8">
        <w:rPr>
          <w:sz w:val="18"/>
          <w:szCs w:val="18"/>
        </w:rPr>
        <w:t xml:space="preserve"> 23 July 2020</w:t>
      </w:r>
      <w:r>
        <w:rPr>
          <w:sz w:val="18"/>
          <w:szCs w:val="18"/>
        </w:rPr>
        <w:t xml:space="preserve">, and </w:t>
      </w:r>
      <w:hyperlink r:id="rId85" w:history="1">
        <w:r w:rsidRPr="005264F8">
          <w:rPr>
            <w:rStyle w:val="Hyperlink"/>
            <w:sz w:val="18"/>
            <w:szCs w:val="18"/>
          </w:rPr>
          <w:t>BBC</w:t>
        </w:r>
      </w:hyperlink>
      <w:r w:rsidRPr="005264F8">
        <w:rPr>
          <w:sz w:val="18"/>
          <w:szCs w:val="18"/>
        </w:rPr>
        <w:t>, 24 July 2020.</w:t>
      </w:r>
    </w:p>
  </w:footnote>
  <w:footnote w:id="60">
    <w:p w14:paraId="55F6C880" w14:textId="3378AEBA" w:rsidR="000710F0" w:rsidRPr="005264F8" w:rsidRDefault="000710F0" w:rsidP="005264F8">
      <w:pPr>
        <w:pStyle w:val="FootnoteText"/>
        <w:jc w:val="both"/>
        <w:rPr>
          <w:sz w:val="18"/>
          <w:szCs w:val="18"/>
        </w:rPr>
      </w:pPr>
      <w:r w:rsidRPr="005264F8">
        <w:rPr>
          <w:rStyle w:val="FootnoteReference"/>
          <w:sz w:val="18"/>
          <w:szCs w:val="18"/>
        </w:rPr>
        <w:footnoteRef/>
      </w:r>
      <w:r w:rsidRPr="005264F8">
        <w:rPr>
          <w:sz w:val="18"/>
          <w:szCs w:val="18"/>
        </w:rPr>
        <w:t xml:space="preserve"> See ‘</w:t>
      </w:r>
      <w:hyperlink r:id="rId86" w:history="1">
        <w:r w:rsidRPr="00007A82">
          <w:rPr>
            <w:rStyle w:val="Hyperlink"/>
            <w:sz w:val="18"/>
            <w:szCs w:val="18"/>
          </w:rPr>
          <w:t>Hungary: Illiberal highlights of 2020</w:t>
        </w:r>
      </w:hyperlink>
      <w:r w:rsidRPr="005264F8">
        <w:rPr>
          <w:sz w:val="18"/>
          <w:szCs w:val="18"/>
        </w:rPr>
        <w:t>’, Hungarian Helsinki Committee, 1 December 2020.</w:t>
      </w:r>
    </w:p>
  </w:footnote>
  <w:footnote w:id="61">
    <w:p w14:paraId="2F3E9851" w14:textId="6D1033B6" w:rsidR="000710F0" w:rsidRPr="005264F8" w:rsidRDefault="000710F0" w:rsidP="005264F8">
      <w:pPr>
        <w:pStyle w:val="FootnoteText"/>
        <w:jc w:val="both"/>
        <w:rPr>
          <w:sz w:val="18"/>
          <w:szCs w:val="18"/>
        </w:rPr>
      </w:pPr>
      <w:r w:rsidRPr="005264F8">
        <w:rPr>
          <w:rStyle w:val="FootnoteReference"/>
          <w:sz w:val="18"/>
          <w:szCs w:val="18"/>
        </w:rPr>
        <w:footnoteRef/>
      </w:r>
      <w:r w:rsidRPr="005264F8">
        <w:rPr>
          <w:sz w:val="18"/>
          <w:szCs w:val="18"/>
        </w:rPr>
        <w:t xml:space="preserve"> See Platform </w:t>
      </w:r>
      <w:hyperlink r:id="rId87" w:history="1">
        <w:r w:rsidRPr="005264F8">
          <w:rPr>
            <w:rStyle w:val="Hyperlink"/>
            <w:sz w:val="18"/>
            <w:szCs w:val="18"/>
          </w:rPr>
          <w:t>Alert 13/2018</w:t>
        </w:r>
      </w:hyperlink>
      <w:r w:rsidRPr="005264F8">
        <w:rPr>
          <w:sz w:val="18"/>
          <w:szCs w:val="18"/>
        </w:rPr>
        <w:t xml:space="preserve"> and </w:t>
      </w:r>
      <w:hyperlink r:id="rId88" w:history="1">
        <w:r w:rsidRPr="005264F8">
          <w:rPr>
            <w:rStyle w:val="Hyperlink"/>
            <w:sz w:val="18"/>
            <w:szCs w:val="18"/>
          </w:rPr>
          <w:t>State reply</w:t>
        </w:r>
      </w:hyperlink>
      <w:r>
        <w:rPr>
          <w:sz w:val="18"/>
          <w:szCs w:val="18"/>
        </w:rPr>
        <w:t xml:space="preserve"> of 31 January 2019.</w:t>
      </w:r>
    </w:p>
  </w:footnote>
  <w:footnote w:id="62">
    <w:p w14:paraId="2768BC13" w14:textId="6938D5DF" w:rsidR="000710F0" w:rsidRPr="005264F8" w:rsidRDefault="000710F0" w:rsidP="005264F8">
      <w:pPr>
        <w:pStyle w:val="FootnoteText"/>
        <w:jc w:val="both"/>
        <w:rPr>
          <w:rFonts w:cstheme="minorHAnsi"/>
          <w:sz w:val="18"/>
          <w:szCs w:val="18"/>
        </w:rPr>
      </w:pPr>
      <w:r w:rsidRPr="005264F8">
        <w:rPr>
          <w:rStyle w:val="FootnoteReference"/>
          <w:rFonts w:cstheme="minorHAnsi"/>
          <w:sz w:val="18"/>
          <w:szCs w:val="18"/>
        </w:rPr>
        <w:footnoteRef/>
      </w:r>
      <w:r w:rsidRPr="005264F8">
        <w:rPr>
          <w:rFonts w:cstheme="minorHAnsi"/>
          <w:sz w:val="18"/>
          <w:szCs w:val="18"/>
        </w:rPr>
        <w:t xml:space="preserve"> See also the</w:t>
      </w:r>
      <w:r>
        <w:rPr>
          <w:rFonts w:cstheme="minorHAnsi"/>
          <w:sz w:val="18"/>
          <w:szCs w:val="18"/>
        </w:rPr>
        <w:t xml:space="preserve"> Commissioner’s</w:t>
      </w:r>
      <w:r w:rsidRPr="005264F8">
        <w:rPr>
          <w:rFonts w:cstheme="minorHAnsi"/>
          <w:sz w:val="18"/>
          <w:szCs w:val="18"/>
        </w:rPr>
        <w:t xml:space="preserve"> </w:t>
      </w:r>
      <w:hyperlink r:id="rId89" w:history="1">
        <w:r>
          <w:rPr>
            <w:rStyle w:val="Hyperlink"/>
            <w:rFonts w:cstheme="minorHAnsi"/>
            <w:sz w:val="18"/>
            <w:szCs w:val="18"/>
          </w:rPr>
          <w:t>R</w:t>
        </w:r>
        <w:r w:rsidRPr="001A2834">
          <w:rPr>
            <w:rStyle w:val="Hyperlink"/>
            <w:rFonts w:cstheme="minorHAnsi"/>
            <w:sz w:val="18"/>
            <w:szCs w:val="18"/>
          </w:rPr>
          <w:t>eport</w:t>
        </w:r>
      </w:hyperlink>
      <w:r>
        <w:rPr>
          <w:rFonts w:cstheme="minorHAnsi"/>
          <w:sz w:val="18"/>
          <w:szCs w:val="18"/>
        </w:rPr>
        <w:t xml:space="preserve"> of July 2014.</w:t>
      </w:r>
      <w:r w:rsidRPr="005264F8">
        <w:rPr>
          <w:rFonts w:cstheme="minorHAnsi"/>
          <w:sz w:val="18"/>
          <w:szCs w:val="18"/>
        </w:rPr>
        <w:t xml:space="preserve"> </w:t>
      </w:r>
      <w:proofErr w:type="spellStart"/>
      <w:r w:rsidRPr="003325F9">
        <w:rPr>
          <w:rFonts w:cstheme="minorHAnsi"/>
          <w:i/>
          <w:iCs/>
          <w:sz w:val="18"/>
          <w:szCs w:val="18"/>
        </w:rPr>
        <w:t>Klubrádió</w:t>
      </w:r>
      <w:proofErr w:type="spellEnd"/>
      <w:r w:rsidRPr="005264F8">
        <w:rPr>
          <w:rFonts w:cstheme="minorHAnsi"/>
          <w:sz w:val="18"/>
          <w:szCs w:val="18"/>
        </w:rPr>
        <w:t xml:space="preserve"> was </w:t>
      </w:r>
      <w:r>
        <w:rPr>
          <w:rFonts w:cstheme="minorHAnsi"/>
          <w:sz w:val="18"/>
          <w:szCs w:val="18"/>
        </w:rPr>
        <w:t xml:space="preserve">already </w:t>
      </w:r>
      <w:r w:rsidRPr="005264F8">
        <w:rPr>
          <w:rFonts w:cstheme="minorHAnsi"/>
          <w:sz w:val="18"/>
          <w:szCs w:val="18"/>
        </w:rPr>
        <w:t xml:space="preserve">cited as </w:t>
      </w:r>
      <w:r>
        <w:rPr>
          <w:rFonts w:cstheme="minorHAnsi"/>
          <w:sz w:val="18"/>
          <w:szCs w:val="18"/>
        </w:rPr>
        <w:t xml:space="preserve">an </w:t>
      </w:r>
      <w:r w:rsidRPr="005264F8">
        <w:rPr>
          <w:rFonts w:cstheme="minorHAnsi"/>
          <w:sz w:val="18"/>
          <w:szCs w:val="18"/>
        </w:rPr>
        <w:t xml:space="preserve">example </w:t>
      </w:r>
      <w:r>
        <w:rPr>
          <w:rFonts w:cstheme="minorHAnsi"/>
          <w:sz w:val="18"/>
          <w:szCs w:val="18"/>
        </w:rPr>
        <w:t xml:space="preserve">at this point as it had been </w:t>
      </w:r>
      <w:r w:rsidRPr="005264F8">
        <w:rPr>
          <w:rFonts w:cstheme="minorHAnsi"/>
          <w:sz w:val="18"/>
          <w:szCs w:val="18"/>
        </w:rPr>
        <w:t xml:space="preserve">granted a </w:t>
      </w:r>
      <w:r>
        <w:rPr>
          <w:rFonts w:cstheme="minorHAnsi"/>
          <w:sz w:val="18"/>
          <w:szCs w:val="18"/>
        </w:rPr>
        <w:t xml:space="preserve">broadcasting </w:t>
      </w:r>
      <w:r w:rsidRPr="005264F8">
        <w:rPr>
          <w:rFonts w:cstheme="minorHAnsi"/>
          <w:sz w:val="18"/>
          <w:szCs w:val="18"/>
        </w:rPr>
        <w:t>licen</w:t>
      </w:r>
      <w:r>
        <w:rPr>
          <w:rFonts w:cstheme="minorHAnsi"/>
          <w:sz w:val="18"/>
          <w:szCs w:val="18"/>
        </w:rPr>
        <w:t>c</w:t>
      </w:r>
      <w:r w:rsidRPr="005264F8">
        <w:rPr>
          <w:rFonts w:cstheme="minorHAnsi"/>
          <w:sz w:val="18"/>
          <w:szCs w:val="18"/>
        </w:rPr>
        <w:t xml:space="preserve">e </w:t>
      </w:r>
      <w:r>
        <w:rPr>
          <w:rFonts w:cstheme="minorHAnsi"/>
          <w:sz w:val="18"/>
          <w:szCs w:val="18"/>
        </w:rPr>
        <w:t xml:space="preserve">for Budapest </w:t>
      </w:r>
      <w:r w:rsidRPr="005264F8">
        <w:rPr>
          <w:rFonts w:cstheme="minorHAnsi"/>
          <w:sz w:val="18"/>
          <w:szCs w:val="18"/>
        </w:rPr>
        <w:t xml:space="preserve">by the Media Council only after </w:t>
      </w:r>
      <w:r>
        <w:rPr>
          <w:rFonts w:cstheme="minorHAnsi"/>
          <w:sz w:val="18"/>
          <w:szCs w:val="18"/>
        </w:rPr>
        <w:t xml:space="preserve">a </w:t>
      </w:r>
      <w:r w:rsidRPr="005264F8">
        <w:rPr>
          <w:rFonts w:cstheme="minorHAnsi"/>
          <w:sz w:val="18"/>
          <w:szCs w:val="18"/>
        </w:rPr>
        <w:t>prolonged legal battle</w:t>
      </w:r>
      <w:r>
        <w:rPr>
          <w:rFonts w:cstheme="minorHAnsi"/>
          <w:sz w:val="18"/>
          <w:szCs w:val="18"/>
        </w:rPr>
        <w:t xml:space="preserve"> during which it lost its frequencies for the countryside.</w:t>
      </w:r>
      <w:r w:rsidRPr="005264F8">
        <w:rPr>
          <w:rFonts w:cstheme="minorHAnsi"/>
          <w:sz w:val="18"/>
          <w:szCs w:val="18"/>
        </w:rPr>
        <w:t xml:space="preserve"> </w:t>
      </w:r>
    </w:p>
  </w:footnote>
  <w:footnote w:id="63">
    <w:p w14:paraId="7803E45D" w14:textId="5FC2D808" w:rsidR="000710F0" w:rsidRPr="005264F8" w:rsidRDefault="000710F0" w:rsidP="005264F8">
      <w:pPr>
        <w:pStyle w:val="FootnoteText"/>
        <w:jc w:val="both"/>
        <w:rPr>
          <w:rFonts w:cstheme="minorHAnsi"/>
          <w:sz w:val="18"/>
          <w:szCs w:val="18"/>
        </w:rPr>
      </w:pPr>
      <w:r w:rsidRPr="005264F8">
        <w:rPr>
          <w:rStyle w:val="FootnoteReference"/>
          <w:rFonts w:cstheme="minorHAnsi"/>
          <w:sz w:val="18"/>
          <w:szCs w:val="18"/>
        </w:rPr>
        <w:footnoteRef/>
      </w:r>
      <w:r w:rsidRPr="005264F8">
        <w:rPr>
          <w:rFonts w:cstheme="minorHAnsi"/>
          <w:sz w:val="18"/>
          <w:szCs w:val="18"/>
        </w:rPr>
        <w:t xml:space="preserve"> </w:t>
      </w:r>
      <w:r w:rsidRPr="00007A82">
        <w:rPr>
          <w:rFonts w:cstheme="minorHAnsi"/>
          <w:sz w:val="18"/>
          <w:szCs w:val="18"/>
          <w:lang w:val="en-US"/>
        </w:rPr>
        <w:t xml:space="preserve">According to </w:t>
      </w:r>
      <w:r>
        <w:rPr>
          <w:rFonts w:cstheme="minorHAnsi"/>
          <w:sz w:val="18"/>
          <w:szCs w:val="18"/>
          <w:lang w:val="en-US"/>
        </w:rPr>
        <w:t>Section</w:t>
      </w:r>
      <w:r w:rsidRPr="00007A82">
        <w:rPr>
          <w:rFonts w:cstheme="minorHAnsi"/>
          <w:sz w:val="18"/>
          <w:szCs w:val="18"/>
          <w:lang w:val="en-US"/>
        </w:rPr>
        <w:t xml:space="preserve"> 187(4</w:t>
      </w:r>
      <w:r>
        <w:rPr>
          <w:rFonts w:cstheme="minorHAnsi"/>
          <w:sz w:val="18"/>
          <w:szCs w:val="18"/>
          <w:lang w:val="en-US"/>
        </w:rPr>
        <w:t>) of the Media Act, v</w:t>
      </w:r>
      <w:r w:rsidRPr="005264F8">
        <w:rPr>
          <w:rFonts w:cstheme="minorHAnsi"/>
          <w:sz w:val="18"/>
          <w:szCs w:val="18"/>
          <w:lang w:val="hu"/>
        </w:rPr>
        <w:t>iolations are considered</w:t>
      </w:r>
      <w:r>
        <w:rPr>
          <w:rFonts w:cstheme="minorHAnsi"/>
          <w:sz w:val="18"/>
          <w:szCs w:val="18"/>
          <w:lang w:val="hu"/>
        </w:rPr>
        <w:t xml:space="preserve"> to be</w:t>
      </w:r>
      <w:r w:rsidRPr="005264F8">
        <w:rPr>
          <w:rFonts w:cstheme="minorHAnsi"/>
          <w:sz w:val="18"/>
          <w:szCs w:val="18"/>
          <w:lang w:val="hu"/>
        </w:rPr>
        <w:t xml:space="preserve"> ’repeated’ when occurring more than once within 365 days</w:t>
      </w:r>
      <w:r>
        <w:rPr>
          <w:rFonts w:cstheme="minorHAnsi"/>
          <w:sz w:val="18"/>
          <w:szCs w:val="18"/>
          <w:lang w:val="hu"/>
        </w:rPr>
        <w:t>, not including minor offences</w:t>
      </w:r>
      <w:r w:rsidRPr="005264F8">
        <w:rPr>
          <w:rFonts w:cstheme="minorHAnsi"/>
          <w:sz w:val="18"/>
          <w:szCs w:val="18"/>
          <w:lang w:val="hu"/>
        </w:rPr>
        <w:t xml:space="preserve">. The radio must therefore commit two </w:t>
      </w:r>
      <w:r>
        <w:rPr>
          <w:rFonts w:cstheme="minorHAnsi"/>
          <w:sz w:val="18"/>
          <w:szCs w:val="18"/>
          <w:lang w:val="hu"/>
        </w:rPr>
        <w:t>significant</w:t>
      </w:r>
      <w:r w:rsidRPr="005264F8">
        <w:rPr>
          <w:rFonts w:cstheme="minorHAnsi"/>
          <w:sz w:val="18"/>
          <w:szCs w:val="18"/>
          <w:lang w:val="hu"/>
        </w:rPr>
        <w:t xml:space="preserve"> offences within one year for the Media Council to have </w:t>
      </w:r>
      <w:r>
        <w:rPr>
          <w:rFonts w:cstheme="minorHAnsi"/>
          <w:sz w:val="18"/>
          <w:szCs w:val="18"/>
          <w:lang w:val="hu"/>
        </w:rPr>
        <w:t>grounds under</w:t>
      </w:r>
      <w:r w:rsidRPr="005264F8">
        <w:rPr>
          <w:rFonts w:cstheme="minorHAnsi"/>
          <w:sz w:val="18"/>
          <w:szCs w:val="18"/>
          <w:lang w:val="hu"/>
        </w:rPr>
        <w:t xml:space="preserve"> </w:t>
      </w:r>
      <w:r>
        <w:rPr>
          <w:rFonts w:cstheme="minorHAnsi"/>
          <w:sz w:val="18"/>
          <w:szCs w:val="18"/>
          <w:lang w:val="hu"/>
        </w:rPr>
        <w:t>Section</w:t>
      </w:r>
      <w:r w:rsidRPr="005264F8">
        <w:rPr>
          <w:rFonts w:cstheme="minorHAnsi"/>
          <w:sz w:val="18"/>
          <w:szCs w:val="18"/>
          <w:lang w:val="hu"/>
        </w:rPr>
        <w:t xml:space="preserve"> 48(7)a not to renew a </w:t>
      </w:r>
      <w:r>
        <w:rPr>
          <w:rFonts w:cstheme="minorHAnsi"/>
          <w:sz w:val="18"/>
          <w:szCs w:val="18"/>
          <w:lang w:val="hu"/>
        </w:rPr>
        <w:t>broadcasting</w:t>
      </w:r>
      <w:r w:rsidRPr="005264F8">
        <w:rPr>
          <w:rFonts w:cstheme="minorHAnsi"/>
          <w:sz w:val="18"/>
          <w:szCs w:val="18"/>
          <w:lang w:val="hu"/>
        </w:rPr>
        <w:t xml:space="preserve"> licen</w:t>
      </w:r>
      <w:r>
        <w:rPr>
          <w:rFonts w:cstheme="minorHAnsi"/>
          <w:sz w:val="18"/>
          <w:szCs w:val="18"/>
          <w:lang w:val="hu"/>
        </w:rPr>
        <w:t>c</w:t>
      </w:r>
      <w:r w:rsidRPr="005264F8">
        <w:rPr>
          <w:rFonts w:cstheme="minorHAnsi"/>
          <w:sz w:val="18"/>
          <w:szCs w:val="18"/>
          <w:lang w:val="hu"/>
        </w:rPr>
        <w:t xml:space="preserve">e. This contradicts the </w:t>
      </w:r>
      <w:hyperlink r:id="rId90" w:history="1">
        <w:r w:rsidRPr="005264F8">
          <w:rPr>
            <w:rStyle w:val="Hyperlink"/>
            <w:rFonts w:cstheme="minorHAnsi"/>
            <w:sz w:val="18"/>
            <w:szCs w:val="18"/>
            <w:lang w:val="hu"/>
          </w:rPr>
          <w:t>statement</w:t>
        </w:r>
      </w:hyperlink>
      <w:r w:rsidRPr="005264F8">
        <w:rPr>
          <w:rFonts w:cstheme="minorHAnsi"/>
          <w:sz w:val="18"/>
          <w:szCs w:val="18"/>
          <w:lang w:val="hu"/>
        </w:rPr>
        <w:t xml:space="preserve"> of the State Secretary for International Communication and Relations on 10 February 2021.</w:t>
      </w:r>
    </w:p>
  </w:footnote>
  <w:footnote w:id="64">
    <w:p w14:paraId="485CBE38" w14:textId="3D993372" w:rsidR="000710F0" w:rsidRPr="005264F8" w:rsidRDefault="000710F0" w:rsidP="005264F8">
      <w:pPr>
        <w:pStyle w:val="FootnoteText"/>
        <w:jc w:val="both"/>
        <w:rPr>
          <w:rFonts w:cstheme="minorHAnsi"/>
          <w:sz w:val="18"/>
          <w:szCs w:val="18"/>
        </w:rPr>
      </w:pPr>
      <w:r w:rsidRPr="005264F8">
        <w:rPr>
          <w:rStyle w:val="FootnoteReference"/>
          <w:rFonts w:cstheme="minorHAnsi"/>
          <w:sz w:val="18"/>
          <w:szCs w:val="18"/>
        </w:rPr>
        <w:footnoteRef/>
      </w:r>
      <w:r w:rsidRPr="005264F8">
        <w:rPr>
          <w:rFonts w:cstheme="minorHAnsi"/>
          <w:sz w:val="18"/>
          <w:szCs w:val="18"/>
        </w:rPr>
        <w:t xml:space="preserve"> See, </w:t>
      </w:r>
      <w:r w:rsidRPr="005264F8">
        <w:rPr>
          <w:sz w:val="18"/>
          <w:szCs w:val="18"/>
        </w:rPr>
        <w:t xml:space="preserve">for instance, </w:t>
      </w:r>
      <w:r>
        <w:rPr>
          <w:sz w:val="18"/>
          <w:szCs w:val="18"/>
        </w:rPr>
        <w:t>Media Council</w:t>
      </w:r>
      <w:r w:rsidRPr="005264F8">
        <w:rPr>
          <w:sz w:val="18"/>
          <w:szCs w:val="18"/>
        </w:rPr>
        <w:t xml:space="preserve"> d</w:t>
      </w:r>
      <w:r w:rsidRPr="005264F8">
        <w:rPr>
          <w:sz w:val="18"/>
          <w:szCs w:val="18"/>
          <w:lang w:val="hu-HU"/>
        </w:rPr>
        <w:t>ecision</w:t>
      </w:r>
      <w:r>
        <w:rPr>
          <w:sz w:val="18"/>
          <w:szCs w:val="18"/>
          <w:lang w:val="hu-HU"/>
        </w:rPr>
        <w:t>s</w:t>
      </w:r>
      <w:r w:rsidRPr="005264F8">
        <w:rPr>
          <w:sz w:val="18"/>
          <w:szCs w:val="18"/>
          <w:lang w:val="hu-HU"/>
        </w:rPr>
        <w:t xml:space="preserve"> no</w:t>
      </w:r>
      <w:r>
        <w:rPr>
          <w:sz w:val="18"/>
          <w:szCs w:val="18"/>
          <w:lang w:val="hu-HU"/>
        </w:rPr>
        <w:t>s</w:t>
      </w:r>
      <w:r w:rsidRPr="005264F8">
        <w:rPr>
          <w:sz w:val="18"/>
          <w:szCs w:val="18"/>
          <w:lang w:val="hu-HU"/>
        </w:rPr>
        <w:t xml:space="preserve">. </w:t>
      </w:r>
      <w:hyperlink r:id="rId91" w:history="1">
        <w:r w:rsidRPr="005264F8">
          <w:rPr>
            <w:rStyle w:val="Hyperlink"/>
            <w:sz w:val="18"/>
            <w:szCs w:val="18"/>
            <w:lang w:val="hu-HU"/>
          </w:rPr>
          <w:t>1700/2013 (XII. 3.)</w:t>
        </w:r>
      </w:hyperlink>
      <w:r w:rsidRPr="005264F8">
        <w:rPr>
          <w:sz w:val="18"/>
          <w:szCs w:val="18"/>
          <w:lang w:val="hu-HU"/>
        </w:rPr>
        <w:t xml:space="preserve"> and </w:t>
      </w:r>
      <w:hyperlink r:id="rId92" w:history="1">
        <w:r w:rsidRPr="005264F8">
          <w:rPr>
            <w:rStyle w:val="Hyperlink"/>
            <w:sz w:val="18"/>
            <w:szCs w:val="18"/>
            <w:lang w:val="hu-HU"/>
          </w:rPr>
          <w:t>835/2014. (IX. 9.)</w:t>
        </w:r>
      </w:hyperlink>
      <w:r w:rsidRPr="005264F8">
        <w:rPr>
          <w:sz w:val="18"/>
          <w:szCs w:val="18"/>
          <w:lang w:val="hu-HU"/>
        </w:rPr>
        <w:t>.</w:t>
      </w:r>
    </w:p>
  </w:footnote>
  <w:footnote w:id="65">
    <w:p w14:paraId="28FA3CB1" w14:textId="0C47B039" w:rsidR="000710F0" w:rsidRPr="005264F8" w:rsidRDefault="000710F0" w:rsidP="005264F8">
      <w:pPr>
        <w:pStyle w:val="FootnoteText"/>
        <w:jc w:val="both"/>
        <w:rPr>
          <w:rFonts w:cstheme="minorHAnsi"/>
          <w:sz w:val="18"/>
          <w:szCs w:val="18"/>
        </w:rPr>
      </w:pPr>
      <w:r w:rsidRPr="005264F8">
        <w:rPr>
          <w:rStyle w:val="FootnoteReference"/>
          <w:rFonts w:cstheme="minorHAnsi"/>
          <w:sz w:val="18"/>
          <w:szCs w:val="18"/>
        </w:rPr>
        <w:footnoteRef/>
      </w:r>
      <w:r w:rsidRPr="005264F8">
        <w:rPr>
          <w:rFonts w:cstheme="minorHAnsi"/>
          <w:sz w:val="18"/>
          <w:szCs w:val="18"/>
        </w:rPr>
        <w:t xml:space="preserve"> </w:t>
      </w:r>
      <w:r w:rsidRPr="005264F8">
        <w:rPr>
          <w:sz w:val="18"/>
          <w:szCs w:val="18"/>
        </w:rPr>
        <w:t xml:space="preserve">See, for instance, </w:t>
      </w:r>
      <w:r>
        <w:rPr>
          <w:sz w:val="18"/>
          <w:szCs w:val="18"/>
        </w:rPr>
        <w:t xml:space="preserve">Media Council </w:t>
      </w:r>
      <w:r w:rsidRPr="005264F8">
        <w:rPr>
          <w:sz w:val="18"/>
          <w:szCs w:val="18"/>
        </w:rPr>
        <w:t>d</w:t>
      </w:r>
      <w:r w:rsidRPr="005264F8">
        <w:rPr>
          <w:sz w:val="18"/>
          <w:szCs w:val="18"/>
          <w:lang w:val="hu-HU"/>
        </w:rPr>
        <w:t xml:space="preserve">ecision no. </w:t>
      </w:r>
      <w:hyperlink r:id="rId93" w:history="1">
        <w:r w:rsidRPr="005264F8">
          <w:rPr>
            <w:rStyle w:val="Hyperlink"/>
            <w:sz w:val="18"/>
            <w:szCs w:val="18"/>
            <w:lang w:val="hu-HU"/>
          </w:rPr>
          <w:t>464/2016. (IV. 19.)</w:t>
        </w:r>
      </w:hyperlink>
      <w:r w:rsidRPr="005264F8">
        <w:rPr>
          <w:sz w:val="18"/>
          <w:szCs w:val="18"/>
          <w:lang w:val="hu-HU"/>
        </w:rPr>
        <w:t xml:space="preserve">, establishing a repeated violation, while decision no. </w:t>
      </w:r>
      <w:hyperlink r:id="rId94" w:history="1">
        <w:r w:rsidRPr="005264F8">
          <w:rPr>
            <w:rStyle w:val="Hyperlink"/>
            <w:sz w:val="18"/>
            <w:szCs w:val="18"/>
            <w:lang w:val="hu-HU"/>
          </w:rPr>
          <w:t>1118/2019. (IX. 10.)</w:t>
        </w:r>
      </w:hyperlink>
      <w:r w:rsidRPr="005264F8">
        <w:rPr>
          <w:sz w:val="18"/>
          <w:szCs w:val="18"/>
          <w:lang w:val="hu-HU"/>
        </w:rPr>
        <w:t xml:space="preserve"> renews the licen</w:t>
      </w:r>
      <w:r>
        <w:rPr>
          <w:sz w:val="18"/>
          <w:szCs w:val="18"/>
          <w:lang w:val="hu-HU"/>
        </w:rPr>
        <w:t>c</w:t>
      </w:r>
      <w:r w:rsidRPr="005264F8">
        <w:rPr>
          <w:sz w:val="18"/>
          <w:szCs w:val="18"/>
          <w:lang w:val="hu-HU"/>
        </w:rPr>
        <w:t>e of the radio in question. The same sequence (establishment of repeated violations followed by licen</w:t>
      </w:r>
      <w:r>
        <w:rPr>
          <w:sz w:val="18"/>
          <w:szCs w:val="18"/>
          <w:lang w:val="hu-HU"/>
        </w:rPr>
        <w:t>c</w:t>
      </w:r>
      <w:r w:rsidRPr="005264F8">
        <w:rPr>
          <w:sz w:val="18"/>
          <w:szCs w:val="18"/>
          <w:lang w:val="hu-HU"/>
        </w:rPr>
        <w:t>e renewal) is found in decisions no</w:t>
      </w:r>
      <w:r>
        <w:rPr>
          <w:sz w:val="18"/>
          <w:szCs w:val="18"/>
          <w:lang w:val="hu-HU"/>
        </w:rPr>
        <w:t>s</w:t>
      </w:r>
      <w:r w:rsidRPr="005264F8">
        <w:rPr>
          <w:sz w:val="18"/>
          <w:szCs w:val="18"/>
          <w:lang w:val="hu-HU"/>
        </w:rPr>
        <w:t xml:space="preserve">. </w:t>
      </w:r>
      <w:hyperlink r:id="rId95" w:history="1">
        <w:r w:rsidRPr="005264F8">
          <w:rPr>
            <w:rStyle w:val="Hyperlink"/>
            <w:sz w:val="18"/>
            <w:szCs w:val="18"/>
            <w:lang w:val="hu-HU"/>
          </w:rPr>
          <w:t> 812/2015. (VI. 30.)</w:t>
        </w:r>
      </w:hyperlink>
      <w:r w:rsidRPr="005264F8">
        <w:rPr>
          <w:sz w:val="18"/>
          <w:szCs w:val="18"/>
          <w:lang w:val="hu-HU"/>
        </w:rPr>
        <w:t xml:space="preserve"> and </w:t>
      </w:r>
      <w:hyperlink r:id="rId96" w:history="1">
        <w:r w:rsidRPr="005264F8">
          <w:rPr>
            <w:rStyle w:val="Hyperlink"/>
            <w:sz w:val="18"/>
            <w:szCs w:val="18"/>
            <w:lang w:val="hu-HU"/>
          </w:rPr>
          <w:t>1117/2019. (IX. 10.)</w:t>
        </w:r>
      </w:hyperlink>
      <w:r w:rsidRPr="005264F8">
        <w:rPr>
          <w:sz w:val="18"/>
          <w:szCs w:val="18"/>
          <w:lang w:val="hu-HU"/>
        </w:rPr>
        <w:t xml:space="preserve"> and in decisions no</w:t>
      </w:r>
      <w:r>
        <w:rPr>
          <w:sz w:val="18"/>
          <w:szCs w:val="18"/>
          <w:lang w:val="hu-HU"/>
        </w:rPr>
        <w:t>s</w:t>
      </w:r>
      <w:r w:rsidRPr="005264F8">
        <w:rPr>
          <w:sz w:val="18"/>
          <w:szCs w:val="18"/>
          <w:lang w:val="hu-HU"/>
        </w:rPr>
        <w:t xml:space="preserve">. </w:t>
      </w:r>
      <w:hyperlink r:id="rId97" w:history="1">
        <w:r w:rsidRPr="005264F8">
          <w:rPr>
            <w:rStyle w:val="Hyperlink"/>
            <w:sz w:val="18"/>
            <w:szCs w:val="18"/>
            <w:lang w:val="hu-HU"/>
          </w:rPr>
          <w:t>174/2014. (II. 18.)</w:t>
        </w:r>
      </w:hyperlink>
      <w:r w:rsidRPr="005264F8">
        <w:rPr>
          <w:sz w:val="18"/>
          <w:szCs w:val="18"/>
          <w:lang w:val="hu-HU"/>
        </w:rPr>
        <w:t xml:space="preserve"> and </w:t>
      </w:r>
      <w:hyperlink r:id="rId98" w:history="1">
        <w:r w:rsidRPr="005264F8">
          <w:rPr>
            <w:rStyle w:val="Hyperlink"/>
            <w:sz w:val="18"/>
            <w:szCs w:val="18"/>
            <w:lang w:val="hu-HU"/>
          </w:rPr>
          <w:t>1241/2014. (XII. 16.)</w:t>
        </w:r>
      </w:hyperlink>
      <w:r w:rsidRPr="005264F8">
        <w:rPr>
          <w:sz w:val="18"/>
          <w:szCs w:val="18"/>
          <w:lang w:val="hu-HU"/>
        </w:rPr>
        <w:t>.</w:t>
      </w:r>
    </w:p>
  </w:footnote>
  <w:footnote w:id="66">
    <w:p w14:paraId="7D3A6BB5" w14:textId="44B2ED0E" w:rsidR="000710F0" w:rsidRPr="005264F8" w:rsidRDefault="000710F0" w:rsidP="005264F8">
      <w:pPr>
        <w:pStyle w:val="FootnoteText"/>
        <w:jc w:val="both"/>
        <w:rPr>
          <w:rFonts w:cstheme="minorHAnsi"/>
          <w:sz w:val="18"/>
          <w:szCs w:val="18"/>
        </w:rPr>
      </w:pPr>
      <w:r w:rsidRPr="005264F8">
        <w:rPr>
          <w:rStyle w:val="FootnoteReference"/>
          <w:rFonts w:cstheme="minorHAnsi"/>
          <w:sz w:val="18"/>
          <w:szCs w:val="18"/>
        </w:rPr>
        <w:footnoteRef/>
      </w:r>
      <w:r w:rsidRPr="005264F8">
        <w:rPr>
          <w:rFonts w:cstheme="minorHAnsi"/>
          <w:sz w:val="18"/>
          <w:szCs w:val="18"/>
        </w:rPr>
        <w:t xml:space="preserve"> </w:t>
      </w:r>
      <w:r>
        <w:rPr>
          <w:rFonts w:cstheme="minorHAnsi"/>
          <w:sz w:val="18"/>
          <w:szCs w:val="18"/>
        </w:rPr>
        <w:t xml:space="preserve">See her tweet of </w:t>
      </w:r>
      <w:hyperlink r:id="rId99" w:history="1">
        <w:r w:rsidRPr="00FC61FF">
          <w:rPr>
            <w:rStyle w:val="Hyperlink"/>
            <w:rFonts w:cstheme="minorHAnsi"/>
            <w:sz w:val="18"/>
            <w:szCs w:val="18"/>
            <w:lang w:val="en-US"/>
          </w:rPr>
          <w:t>9 February 2021</w:t>
        </w:r>
      </w:hyperlink>
      <w:r>
        <w:rPr>
          <w:rFonts w:cstheme="minorHAnsi"/>
          <w:sz w:val="18"/>
          <w:szCs w:val="18"/>
        </w:rPr>
        <w:t>.</w:t>
      </w:r>
      <w:r w:rsidRPr="005264F8">
        <w:rPr>
          <w:rFonts w:cstheme="minorHAnsi"/>
          <w:sz w:val="18"/>
          <w:szCs w:val="18"/>
          <w:lang w:val="en-US"/>
        </w:rPr>
        <w:t xml:space="preserve"> </w:t>
      </w:r>
      <w:r>
        <w:rPr>
          <w:rFonts w:cstheme="minorHAnsi"/>
          <w:sz w:val="18"/>
          <w:szCs w:val="18"/>
          <w:lang w:val="en-US"/>
        </w:rPr>
        <w:t xml:space="preserve">A new </w:t>
      </w:r>
      <w:hyperlink r:id="rId100" w:history="1">
        <w:r w:rsidRPr="000576D2">
          <w:rPr>
            <w:rStyle w:val="Hyperlink"/>
            <w:rFonts w:cstheme="minorHAnsi"/>
            <w:sz w:val="18"/>
            <w:szCs w:val="18"/>
            <w:lang w:val="en-US"/>
          </w:rPr>
          <w:t>call for tender</w:t>
        </w:r>
      </w:hyperlink>
      <w:r>
        <w:rPr>
          <w:rFonts w:cstheme="minorHAnsi"/>
          <w:sz w:val="18"/>
          <w:szCs w:val="18"/>
          <w:lang w:val="en-US"/>
        </w:rPr>
        <w:t xml:space="preserve"> for the frequency in question was issued on 4 November 2020 and decided on 10 March 2021. The Media Council </w:t>
      </w:r>
      <w:hyperlink r:id="rId101" w:history="1">
        <w:r w:rsidRPr="00A42A2C">
          <w:rPr>
            <w:rStyle w:val="Hyperlink"/>
            <w:rFonts w:cstheme="minorHAnsi"/>
            <w:sz w:val="18"/>
            <w:szCs w:val="18"/>
            <w:lang w:val="en-US"/>
          </w:rPr>
          <w:t>rejected</w:t>
        </w:r>
      </w:hyperlink>
      <w:r>
        <w:rPr>
          <w:rFonts w:cstheme="minorHAnsi"/>
          <w:sz w:val="18"/>
          <w:szCs w:val="18"/>
          <w:lang w:val="en-US"/>
        </w:rPr>
        <w:t xml:space="preserve"> </w:t>
      </w:r>
      <w:proofErr w:type="spellStart"/>
      <w:r w:rsidRPr="003325F9">
        <w:rPr>
          <w:rFonts w:cstheme="minorHAnsi"/>
          <w:i/>
          <w:iCs/>
          <w:sz w:val="18"/>
          <w:szCs w:val="18"/>
          <w:lang w:val="en-US"/>
        </w:rPr>
        <w:t>Klubr</w:t>
      </w:r>
      <w:r w:rsidRPr="003325F9">
        <w:rPr>
          <w:rFonts w:cs="Arial"/>
          <w:i/>
          <w:iCs/>
          <w:sz w:val="18"/>
          <w:szCs w:val="18"/>
          <w:lang w:val="en-US"/>
        </w:rPr>
        <w:t>á</w:t>
      </w:r>
      <w:r w:rsidRPr="003325F9">
        <w:rPr>
          <w:rFonts w:cstheme="minorHAnsi"/>
          <w:i/>
          <w:iCs/>
          <w:sz w:val="18"/>
          <w:szCs w:val="18"/>
          <w:lang w:val="en-US"/>
        </w:rPr>
        <w:t>di</w:t>
      </w:r>
      <w:r w:rsidRPr="003325F9">
        <w:rPr>
          <w:rFonts w:cs="Arial"/>
          <w:i/>
          <w:iCs/>
          <w:sz w:val="18"/>
          <w:szCs w:val="18"/>
          <w:lang w:val="en-US"/>
        </w:rPr>
        <w:t>ó</w:t>
      </w:r>
      <w:proofErr w:type="spellEnd"/>
      <w:r>
        <w:rPr>
          <w:rFonts w:cs="Arial"/>
          <w:sz w:val="18"/>
          <w:szCs w:val="18"/>
          <w:lang w:val="en-US"/>
        </w:rPr>
        <w:t xml:space="preserve">, the only eligible contender, on the ground that </w:t>
      </w:r>
      <w:r w:rsidRPr="00E13A9D">
        <w:rPr>
          <w:rFonts w:cs="Arial"/>
          <w:sz w:val="18"/>
          <w:szCs w:val="18"/>
          <w:lang w:val="en-US"/>
        </w:rPr>
        <w:t xml:space="preserve">its programming plan </w:t>
      </w:r>
      <w:r w:rsidR="00A42A2C">
        <w:rPr>
          <w:rFonts w:cs="Arial"/>
          <w:sz w:val="18"/>
          <w:szCs w:val="18"/>
          <w:lang w:val="en-US"/>
        </w:rPr>
        <w:t xml:space="preserve">contained errors and </w:t>
      </w:r>
      <w:r w:rsidRPr="00E13A9D">
        <w:rPr>
          <w:rFonts w:cs="Arial"/>
          <w:sz w:val="18"/>
          <w:szCs w:val="18"/>
          <w:lang w:val="en-US"/>
        </w:rPr>
        <w:t xml:space="preserve">"did not meet the basic requirements </w:t>
      </w:r>
      <w:r w:rsidR="00A42A2C">
        <w:rPr>
          <w:rFonts w:cs="Arial"/>
          <w:sz w:val="18"/>
          <w:szCs w:val="18"/>
          <w:lang w:val="en-US"/>
        </w:rPr>
        <w:t>for</w:t>
      </w:r>
      <w:r w:rsidRPr="00E13A9D">
        <w:rPr>
          <w:rFonts w:cs="Arial"/>
          <w:sz w:val="18"/>
          <w:szCs w:val="18"/>
          <w:lang w:val="en-US"/>
        </w:rPr>
        <w:t xml:space="preserve"> radio broadcasting."</w:t>
      </w:r>
      <w:r>
        <w:rPr>
          <w:rFonts w:cstheme="minorHAnsi"/>
          <w:sz w:val="18"/>
          <w:szCs w:val="18"/>
          <w:lang w:val="en-US"/>
        </w:rPr>
        <w:t xml:space="preserve"> </w:t>
      </w:r>
      <w:r w:rsidRPr="005264F8">
        <w:rPr>
          <w:rFonts w:cstheme="minorHAnsi"/>
          <w:sz w:val="18"/>
          <w:szCs w:val="18"/>
          <w:lang w:val="en-US"/>
        </w:rPr>
        <w:t xml:space="preserve">According to </w:t>
      </w:r>
      <w:hyperlink r:id="rId102" w:history="1">
        <w:proofErr w:type="spellStart"/>
        <w:r w:rsidRPr="00943091">
          <w:rPr>
            <w:rStyle w:val="Hyperlink"/>
            <w:rFonts w:cstheme="minorHAnsi"/>
            <w:i/>
            <w:iCs/>
            <w:sz w:val="18"/>
            <w:szCs w:val="18"/>
            <w:lang w:val="en-US"/>
          </w:rPr>
          <w:t>Szabad</w:t>
        </w:r>
        <w:proofErr w:type="spellEnd"/>
        <w:r w:rsidRPr="00943091">
          <w:rPr>
            <w:rStyle w:val="Hyperlink"/>
            <w:rFonts w:cstheme="minorHAnsi"/>
            <w:i/>
            <w:iCs/>
            <w:sz w:val="18"/>
            <w:szCs w:val="18"/>
            <w:lang w:val="en-US"/>
          </w:rPr>
          <w:t xml:space="preserve"> </w:t>
        </w:r>
        <w:proofErr w:type="spellStart"/>
        <w:r w:rsidRPr="00943091">
          <w:rPr>
            <w:rStyle w:val="Hyperlink"/>
            <w:rFonts w:cstheme="minorHAnsi"/>
            <w:i/>
            <w:iCs/>
            <w:sz w:val="18"/>
            <w:szCs w:val="18"/>
            <w:lang w:val="en-US"/>
          </w:rPr>
          <w:t>Európa</w:t>
        </w:r>
        <w:proofErr w:type="spellEnd"/>
      </w:hyperlink>
      <w:r w:rsidRPr="005264F8">
        <w:rPr>
          <w:rFonts w:cstheme="minorHAnsi"/>
          <w:sz w:val="18"/>
          <w:szCs w:val="18"/>
          <w:lang w:val="en-US"/>
        </w:rPr>
        <w:t xml:space="preserve">, </w:t>
      </w:r>
      <w:proofErr w:type="spellStart"/>
      <w:r w:rsidRPr="003325F9">
        <w:rPr>
          <w:rFonts w:cstheme="minorHAnsi"/>
          <w:i/>
          <w:iCs/>
          <w:sz w:val="18"/>
          <w:szCs w:val="18"/>
          <w:lang w:val="en-US"/>
        </w:rPr>
        <w:t>Klubr</w:t>
      </w:r>
      <w:r w:rsidRPr="003325F9">
        <w:rPr>
          <w:rFonts w:cs="Arial"/>
          <w:i/>
          <w:iCs/>
          <w:sz w:val="18"/>
          <w:szCs w:val="18"/>
          <w:lang w:val="en-US"/>
        </w:rPr>
        <w:t>á</w:t>
      </w:r>
      <w:r w:rsidRPr="003325F9">
        <w:rPr>
          <w:rFonts w:cstheme="minorHAnsi"/>
          <w:i/>
          <w:iCs/>
          <w:sz w:val="18"/>
          <w:szCs w:val="18"/>
          <w:lang w:val="en-US"/>
        </w:rPr>
        <w:t>di</w:t>
      </w:r>
      <w:r w:rsidRPr="003325F9">
        <w:rPr>
          <w:rFonts w:cs="Arial"/>
          <w:i/>
          <w:iCs/>
          <w:sz w:val="18"/>
          <w:szCs w:val="18"/>
          <w:lang w:val="en-US"/>
        </w:rPr>
        <w:t>ó</w:t>
      </w:r>
      <w:proofErr w:type="spellEnd"/>
      <w:r>
        <w:rPr>
          <w:rFonts w:cstheme="minorHAnsi"/>
          <w:sz w:val="18"/>
          <w:szCs w:val="18"/>
          <w:lang w:val="en-US"/>
        </w:rPr>
        <w:t xml:space="preserve"> used to attract </w:t>
      </w:r>
      <w:r w:rsidRPr="005264F8">
        <w:rPr>
          <w:rFonts w:cstheme="minorHAnsi"/>
          <w:sz w:val="18"/>
          <w:szCs w:val="18"/>
          <w:lang w:val="en-US"/>
        </w:rPr>
        <w:t xml:space="preserve">about half a million </w:t>
      </w:r>
      <w:r>
        <w:rPr>
          <w:rFonts w:cstheme="minorHAnsi"/>
          <w:sz w:val="18"/>
          <w:szCs w:val="18"/>
          <w:lang w:val="en-US"/>
        </w:rPr>
        <w:t xml:space="preserve">single </w:t>
      </w:r>
      <w:r w:rsidRPr="005264F8">
        <w:rPr>
          <w:rFonts w:cstheme="minorHAnsi"/>
          <w:sz w:val="18"/>
          <w:szCs w:val="18"/>
          <w:lang w:val="en-US"/>
        </w:rPr>
        <w:t xml:space="preserve">listeners </w:t>
      </w:r>
      <w:r>
        <w:rPr>
          <w:rFonts w:cstheme="minorHAnsi"/>
          <w:sz w:val="18"/>
          <w:szCs w:val="18"/>
          <w:lang w:val="en-US"/>
        </w:rPr>
        <w:t xml:space="preserve">per </w:t>
      </w:r>
      <w:r w:rsidRPr="005264F8">
        <w:rPr>
          <w:rFonts w:cstheme="minorHAnsi"/>
          <w:sz w:val="18"/>
          <w:szCs w:val="18"/>
          <w:lang w:val="en-US"/>
        </w:rPr>
        <w:t xml:space="preserve">week, which is roughly 15% of </w:t>
      </w:r>
      <w:r>
        <w:rPr>
          <w:rFonts w:cstheme="minorHAnsi"/>
          <w:sz w:val="18"/>
          <w:szCs w:val="18"/>
          <w:lang w:val="en-US"/>
        </w:rPr>
        <w:t xml:space="preserve">Budapest’s </w:t>
      </w:r>
      <w:r w:rsidRPr="005264F8">
        <w:rPr>
          <w:rFonts w:cstheme="minorHAnsi"/>
          <w:sz w:val="18"/>
          <w:szCs w:val="18"/>
          <w:lang w:val="en-US"/>
        </w:rPr>
        <w:t>population</w:t>
      </w:r>
      <w:r>
        <w:rPr>
          <w:rFonts w:cstheme="minorHAnsi"/>
          <w:sz w:val="18"/>
          <w:szCs w:val="18"/>
          <w:lang w:val="en-US"/>
        </w:rPr>
        <w:t>.</w:t>
      </w:r>
      <w:r w:rsidRPr="005264F8">
        <w:rPr>
          <w:rFonts w:cstheme="minorHAnsi"/>
          <w:sz w:val="18"/>
          <w:szCs w:val="18"/>
          <w:lang w:val="en-US"/>
        </w:rPr>
        <w:t xml:space="preserve"> </w:t>
      </w:r>
      <w:r>
        <w:rPr>
          <w:rFonts w:cstheme="minorHAnsi"/>
          <w:sz w:val="18"/>
          <w:szCs w:val="18"/>
          <w:lang w:val="en-US"/>
        </w:rPr>
        <w:t>Only a small percentage have continued to follow the outlet via the internet.</w:t>
      </w:r>
    </w:p>
  </w:footnote>
  <w:footnote w:id="67">
    <w:p w14:paraId="026684AA" w14:textId="77777777" w:rsidR="000710F0" w:rsidRPr="005264F8" w:rsidRDefault="000710F0" w:rsidP="00CB62D1">
      <w:pPr>
        <w:pStyle w:val="FootnoteText"/>
        <w:jc w:val="both"/>
        <w:rPr>
          <w:sz w:val="18"/>
          <w:szCs w:val="18"/>
        </w:rPr>
      </w:pPr>
      <w:r w:rsidRPr="005264F8">
        <w:rPr>
          <w:rStyle w:val="FootnoteReference"/>
          <w:sz w:val="18"/>
          <w:szCs w:val="18"/>
        </w:rPr>
        <w:footnoteRef/>
      </w:r>
      <w:r w:rsidRPr="005264F8">
        <w:rPr>
          <w:sz w:val="18"/>
          <w:szCs w:val="18"/>
        </w:rPr>
        <w:t xml:space="preserve"> See ‘</w:t>
      </w:r>
      <w:hyperlink r:id="rId103" w:history="1">
        <w:r w:rsidRPr="00055578">
          <w:rPr>
            <w:rStyle w:val="Hyperlink"/>
            <w:sz w:val="18"/>
            <w:szCs w:val="18"/>
          </w:rPr>
          <w:t>Research on the obstruction of the work of journalists during the coronavirus pandemic in Hungary</w:t>
        </w:r>
      </w:hyperlink>
      <w:r w:rsidRPr="005264F8">
        <w:rPr>
          <w:sz w:val="18"/>
          <w:szCs w:val="18"/>
        </w:rPr>
        <w:t>, Hungarian Civil Liberties Union, 15 April 2020.</w:t>
      </w:r>
    </w:p>
  </w:footnote>
  <w:footnote w:id="68">
    <w:p w14:paraId="6886C322" w14:textId="3B0F3CDB" w:rsidR="000710F0" w:rsidRPr="005264F8" w:rsidRDefault="000710F0" w:rsidP="005264F8">
      <w:pPr>
        <w:pStyle w:val="FootnoteText"/>
        <w:jc w:val="both"/>
        <w:rPr>
          <w:sz w:val="18"/>
          <w:szCs w:val="18"/>
        </w:rPr>
      </w:pPr>
      <w:r w:rsidRPr="005264F8">
        <w:rPr>
          <w:rStyle w:val="FootnoteReference"/>
          <w:sz w:val="18"/>
          <w:szCs w:val="18"/>
        </w:rPr>
        <w:footnoteRef/>
      </w:r>
      <w:r w:rsidRPr="005264F8">
        <w:rPr>
          <w:sz w:val="18"/>
          <w:szCs w:val="18"/>
        </w:rPr>
        <w:t xml:space="preserve"> See </w:t>
      </w:r>
      <w:proofErr w:type="spellStart"/>
      <w:r w:rsidRPr="005264F8">
        <w:rPr>
          <w:bCs/>
          <w:i/>
          <w:iCs/>
          <w:sz w:val="18"/>
          <w:szCs w:val="18"/>
          <w:lang w:val="en-US"/>
        </w:rPr>
        <w:t>Mándli</w:t>
      </w:r>
      <w:proofErr w:type="spellEnd"/>
      <w:r w:rsidRPr="005264F8">
        <w:rPr>
          <w:bCs/>
          <w:i/>
          <w:iCs/>
          <w:sz w:val="18"/>
          <w:szCs w:val="18"/>
          <w:lang w:val="en-US"/>
        </w:rPr>
        <w:t xml:space="preserve"> and others v. Hungary</w:t>
      </w:r>
      <w:r w:rsidRPr="005264F8">
        <w:rPr>
          <w:bCs/>
          <w:sz w:val="18"/>
          <w:szCs w:val="18"/>
          <w:lang w:val="en-US"/>
        </w:rPr>
        <w:t xml:space="preserve"> (</w:t>
      </w:r>
      <w:r>
        <w:rPr>
          <w:bCs/>
          <w:sz w:val="18"/>
          <w:szCs w:val="18"/>
          <w:lang w:val="en-US"/>
        </w:rPr>
        <w:t xml:space="preserve">appl. no. </w:t>
      </w:r>
      <w:hyperlink r:id="rId104" w:anchor="{&quot;itemid&quot;:[&quot;001-202540&quot;]}" w:history="1">
        <w:r w:rsidRPr="00055578">
          <w:rPr>
            <w:rStyle w:val="Hyperlink"/>
            <w:bCs/>
            <w:sz w:val="18"/>
            <w:szCs w:val="18"/>
            <w:lang w:val="en-US"/>
          </w:rPr>
          <w:t>63164/16</w:t>
        </w:r>
      </w:hyperlink>
      <w:r>
        <w:rPr>
          <w:bCs/>
          <w:sz w:val="18"/>
          <w:szCs w:val="18"/>
          <w:lang w:val="en-US"/>
        </w:rPr>
        <w:t xml:space="preserve">, judgment </w:t>
      </w:r>
      <w:r w:rsidRPr="005264F8">
        <w:rPr>
          <w:bCs/>
          <w:sz w:val="18"/>
          <w:szCs w:val="18"/>
          <w:lang w:val="en-US"/>
        </w:rPr>
        <w:t xml:space="preserve">of </w:t>
      </w:r>
      <w:r>
        <w:rPr>
          <w:bCs/>
          <w:sz w:val="18"/>
          <w:szCs w:val="18"/>
          <w:lang w:val="en-US"/>
        </w:rPr>
        <w:t xml:space="preserve">26 </w:t>
      </w:r>
      <w:r w:rsidRPr="005264F8">
        <w:rPr>
          <w:bCs/>
          <w:sz w:val="18"/>
          <w:szCs w:val="18"/>
          <w:lang w:val="en-US"/>
        </w:rPr>
        <w:t xml:space="preserve">May 2020) and </w:t>
      </w:r>
      <w:proofErr w:type="spellStart"/>
      <w:r w:rsidRPr="0058761D">
        <w:rPr>
          <w:bCs/>
          <w:i/>
          <w:iCs/>
          <w:sz w:val="18"/>
          <w:szCs w:val="18"/>
          <w:lang w:val="en-US"/>
        </w:rPr>
        <w:t>Szurovecz</w:t>
      </w:r>
      <w:proofErr w:type="spellEnd"/>
      <w:r w:rsidRPr="0058761D">
        <w:rPr>
          <w:bCs/>
          <w:i/>
          <w:iCs/>
          <w:sz w:val="18"/>
          <w:szCs w:val="18"/>
          <w:lang w:val="en-US"/>
        </w:rPr>
        <w:t xml:space="preserve"> v. Hungary</w:t>
      </w:r>
      <w:r w:rsidRPr="005264F8">
        <w:rPr>
          <w:bCs/>
          <w:sz w:val="18"/>
          <w:szCs w:val="18"/>
          <w:lang w:val="en-US"/>
        </w:rPr>
        <w:t xml:space="preserve"> (</w:t>
      </w:r>
      <w:r>
        <w:rPr>
          <w:bCs/>
          <w:sz w:val="18"/>
          <w:szCs w:val="18"/>
          <w:lang w:val="en-US"/>
        </w:rPr>
        <w:t>appl. no.</w:t>
      </w:r>
      <w:hyperlink r:id="rId105" w:anchor="{&quot;itemid&quot;:[&quot;001-196418&quot;]}" w:history="1">
        <w:r w:rsidRPr="0058761D">
          <w:rPr>
            <w:rStyle w:val="Hyperlink"/>
            <w:bCs/>
            <w:sz w:val="18"/>
            <w:szCs w:val="18"/>
            <w:lang w:val="en-US"/>
          </w:rPr>
          <w:t>15428/16</w:t>
        </w:r>
      </w:hyperlink>
      <w:r>
        <w:rPr>
          <w:bCs/>
          <w:sz w:val="18"/>
          <w:szCs w:val="18"/>
          <w:lang w:val="en-US"/>
        </w:rPr>
        <w:t xml:space="preserve">,judgment </w:t>
      </w:r>
      <w:r w:rsidRPr="005264F8">
        <w:rPr>
          <w:bCs/>
          <w:sz w:val="18"/>
          <w:szCs w:val="18"/>
          <w:lang w:val="en-US"/>
        </w:rPr>
        <w:t xml:space="preserve">of </w:t>
      </w:r>
      <w:r>
        <w:rPr>
          <w:bCs/>
          <w:sz w:val="18"/>
          <w:szCs w:val="18"/>
          <w:lang w:val="en-US"/>
        </w:rPr>
        <w:t xml:space="preserve">8 </w:t>
      </w:r>
      <w:r w:rsidRPr="005264F8">
        <w:rPr>
          <w:bCs/>
          <w:sz w:val="18"/>
          <w:szCs w:val="18"/>
          <w:lang w:val="en-US"/>
        </w:rPr>
        <w:t>October</w:t>
      </w:r>
      <w:r>
        <w:rPr>
          <w:bCs/>
          <w:sz w:val="18"/>
          <w:szCs w:val="18"/>
          <w:lang w:val="en-US"/>
        </w:rPr>
        <w:t xml:space="preserve"> 2016)</w:t>
      </w:r>
      <w:r w:rsidRPr="005264F8">
        <w:rPr>
          <w:bCs/>
          <w:sz w:val="18"/>
          <w:szCs w:val="18"/>
          <w:lang w:val="en-US"/>
        </w:rPr>
        <w:t xml:space="preserve">. </w:t>
      </w:r>
    </w:p>
  </w:footnote>
  <w:footnote w:id="69">
    <w:p w14:paraId="7948A49F" w14:textId="37FB406A" w:rsidR="000710F0" w:rsidRPr="005264F8" w:rsidRDefault="000710F0" w:rsidP="005264F8">
      <w:pPr>
        <w:pStyle w:val="FootnoteText"/>
        <w:jc w:val="both"/>
        <w:rPr>
          <w:sz w:val="18"/>
          <w:szCs w:val="18"/>
        </w:rPr>
      </w:pPr>
      <w:r w:rsidRPr="005264F8">
        <w:rPr>
          <w:rStyle w:val="FootnoteReference"/>
          <w:sz w:val="18"/>
          <w:szCs w:val="18"/>
        </w:rPr>
        <w:footnoteRef/>
      </w:r>
      <w:r w:rsidRPr="005264F8">
        <w:rPr>
          <w:sz w:val="18"/>
          <w:szCs w:val="18"/>
        </w:rPr>
        <w:t xml:space="preserve"> See</w:t>
      </w:r>
      <w:r>
        <w:rPr>
          <w:sz w:val="18"/>
          <w:szCs w:val="18"/>
        </w:rPr>
        <w:t xml:space="preserve"> Platform</w:t>
      </w:r>
      <w:r w:rsidRPr="005264F8">
        <w:rPr>
          <w:sz w:val="18"/>
          <w:szCs w:val="18"/>
        </w:rPr>
        <w:t xml:space="preserve"> </w:t>
      </w:r>
      <w:hyperlink r:id="rId106" w:history="1">
        <w:r w:rsidRPr="005264F8">
          <w:rPr>
            <w:rStyle w:val="Hyperlink"/>
            <w:sz w:val="18"/>
            <w:szCs w:val="18"/>
          </w:rPr>
          <w:t>Alert 129/2020</w:t>
        </w:r>
      </w:hyperlink>
      <w:r w:rsidRPr="005264F8">
        <w:rPr>
          <w:sz w:val="18"/>
          <w:szCs w:val="18"/>
        </w:rPr>
        <w:t>, no State reply.</w:t>
      </w:r>
    </w:p>
  </w:footnote>
  <w:footnote w:id="70">
    <w:p w14:paraId="69649196" w14:textId="73D4F4FA" w:rsidR="000710F0" w:rsidRPr="005264F8" w:rsidRDefault="000710F0" w:rsidP="005264F8">
      <w:pPr>
        <w:pStyle w:val="FootnoteText"/>
        <w:jc w:val="both"/>
        <w:rPr>
          <w:sz w:val="18"/>
          <w:szCs w:val="18"/>
        </w:rPr>
      </w:pPr>
      <w:r w:rsidRPr="005264F8">
        <w:rPr>
          <w:rStyle w:val="FootnoteReference"/>
          <w:sz w:val="18"/>
          <w:szCs w:val="18"/>
        </w:rPr>
        <w:footnoteRef/>
      </w:r>
      <w:r w:rsidRPr="005264F8">
        <w:rPr>
          <w:sz w:val="18"/>
          <w:szCs w:val="18"/>
        </w:rPr>
        <w:t xml:space="preserve"> As consistently held by the </w:t>
      </w:r>
      <w:r>
        <w:rPr>
          <w:sz w:val="18"/>
          <w:szCs w:val="18"/>
        </w:rPr>
        <w:t>C</w:t>
      </w:r>
      <w:r w:rsidRPr="005264F8">
        <w:rPr>
          <w:sz w:val="18"/>
          <w:szCs w:val="18"/>
        </w:rPr>
        <w:t>ourt</w:t>
      </w:r>
      <w:r>
        <w:rPr>
          <w:sz w:val="18"/>
          <w:szCs w:val="18"/>
        </w:rPr>
        <w:t>; see for instance</w:t>
      </w:r>
      <w:r w:rsidRPr="005264F8">
        <w:rPr>
          <w:sz w:val="18"/>
          <w:szCs w:val="18"/>
        </w:rPr>
        <w:t xml:space="preserve"> </w:t>
      </w:r>
      <w:r w:rsidRPr="005264F8">
        <w:rPr>
          <w:i/>
          <w:iCs/>
          <w:sz w:val="18"/>
          <w:szCs w:val="18"/>
          <w:lang w:val="en-US"/>
        </w:rPr>
        <w:t>Animal Defenders International v. the United Kingdom </w:t>
      </w:r>
      <w:r>
        <w:rPr>
          <w:i/>
          <w:iCs/>
          <w:sz w:val="18"/>
          <w:szCs w:val="18"/>
          <w:lang w:val="en-US"/>
        </w:rPr>
        <w:t>(</w:t>
      </w:r>
      <w:r>
        <w:rPr>
          <w:sz w:val="18"/>
          <w:szCs w:val="18"/>
          <w:lang w:val="en-US"/>
        </w:rPr>
        <w:t xml:space="preserve">appl. no. </w:t>
      </w:r>
      <w:hyperlink r:id="rId107" w:anchor="{&quot;itemid&quot;:[&quot;001-119244&quot;]}" w:tgtFrame="_blank" w:history="1">
        <w:r w:rsidRPr="005264F8">
          <w:rPr>
            <w:rStyle w:val="Hyperlink"/>
            <w:sz w:val="18"/>
            <w:szCs w:val="18"/>
            <w:lang w:val="en-US"/>
          </w:rPr>
          <w:t>48876/08</w:t>
        </w:r>
      </w:hyperlink>
      <w:r>
        <w:rPr>
          <w:sz w:val="18"/>
          <w:szCs w:val="18"/>
        </w:rPr>
        <w:t>, Grand Chamber judgment of 22 April 2013).</w:t>
      </w:r>
    </w:p>
  </w:footnote>
  <w:footnote w:id="71">
    <w:p w14:paraId="6F44CC4B" w14:textId="242ABAFA" w:rsidR="000710F0" w:rsidRPr="005264F8" w:rsidRDefault="000710F0" w:rsidP="005264F8">
      <w:pPr>
        <w:pStyle w:val="FootnoteText"/>
        <w:jc w:val="both"/>
        <w:rPr>
          <w:sz w:val="18"/>
          <w:szCs w:val="18"/>
        </w:rPr>
      </w:pPr>
      <w:r w:rsidRPr="005264F8">
        <w:rPr>
          <w:rStyle w:val="FootnoteReference"/>
          <w:sz w:val="18"/>
          <w:szCs w:val="18"/>
        </w:rPr>
        <w:footnoteRef/>
      </w:r>
      <w:r w:rsidRPr="005264F8">
        <w:rPr>
          <w:sz w:val="18"/>
          <w:szCs w:val="18"/>
        </w:rPr>
        <w:t xml:space="preserve"> On 1</w:t>
      </w:r>
      <w:r>
        <w:rPr>
          <w:sz w:val="18"/>
          <w:szCs w:val="18"/>
        </w:rPr>
        <w:t>1 April</w:t>
      </w:r>
      <w:r w:rsidRPr="005264F8">
        <w:rPr>
          <w:sz w:val="18"/>
          <w:szCs w:val="18"/>
        </w:rPr>
        <w:t xml:space="preserve"> 2018, a list of 200 individuals was published in the </w:t>
      </w:r>
      <w:proofErr w:type="spellStart"/>
      <w:r w:rsidRPr="001E2B82">
        <w:rPr>
          <w:i/>
          <w:iCs/>
          <w:sz w:val="18"/>
          <w:szCs w:val="18"/>
          <w:lang w:val="en-US"/>
        </w:rPr>
        <w:t>Figyelő</w:t>
      </w:r>
      <w:proofErr w:type="spellEnd"/>
      <w:r w:rsidRPr="005264F8">
        <w:rPr>
          <w:i/>
          <w:iCs/>
          <w:sz w:val="18"/>
          <w:szCs w:val="18"/>
          <w:lang w:val="en-US"/>
        </w:rPr>
        <w:t xml:space="preserve"> </w:t>
      </w:r>
      <w:r w:rsidRPr="005264F8">
        <w:rPr>
          <w:sz w:val="18"/>
          <w:szCs w:val="18"/>
          <w:lang w:val="en-US"/>
        </w:rPr>
        <w:t xml:space="preserve">magazine, including numerous independent journalists, </w:t>
      </w:r>
      <w:r>
        <w:rPr>
          <w:sz w:val="18"/>
          <w:szCs w:val="18"/>
          <w:lang w:val="en-US"/>
        </w:rPr>
        <w:t xml:space="preserve">labelling </w:t>
      </w:r>
      <w:r w:rsidRPr="005264F8">
        <w:rPr>
          <w:sz w:val="18"/>
          <w:szCs w:val="18"/>
          <w:lang w:val="en-US"/>
        </w:rPr>
        <w:t xml:space="preserve">them “Soros mercenaries”. </w:t>
      </w:r>
      <w:r w:rsidRPr="000556EA">
        <w:rPr>
          <w:sz w:val="18"/>
          <w:szCs w:val="18"/>
          <w:lang w:val="en-US"/>
        </w:rPr>
        <w:t xml:space="preserve">See </w:t>
      </w:r>
      <w:hyperlink r:id="rId108" w:history="1">
        <w:r w:rsidRPr="000556EA">
          <w:rPr>
            <w:rStyle w:val="Hyperlink"/>
            <w:sz w:val="18"/>
            <w:szCs w:val="18"/>
            <w:lang w:val="en-US"/>
          </w:rPr>
          <w:t xml:space="preserve">OSCE media freedom representative </w:t>
        </w:r>
        <w:proofErr w:type="spellStart"/>
        <w:r w:rsidRPr="000556EA">
          <w:rPr>
            <w:rStyle w:val="Hyperlink"/>
            <w:sz w:val="18"/>
            <w:szCs w:val="18"/>
            <w:lang w:val="en-US"/>
          </w:rPr>
          <w:t>Désir</w:t>
        </w:r>
        <w:proofErr w:type="spellEnd"/>
        <w:r w:rsidRPr="000556EA">
          <w:rPr>
            <w:rStyle w:val="Hyperlink"/>
            <w:sz w:val="18"/>
            <w:szCs w:val="18"/>
            <w:lang w:val="en-US"/>
          </w:rPr>
          <w:t xml:space="preserve"> condemns blacklisting of journalists in Hungary</w:t>
        </w:r>
      </w:hyperlink>
      <w:r w:rsidRPr="000556EA">
        <w:rPr>
          <w:sz w:val="18"/>
          <w:szCs w:val="18"/>
          <w:lang w:val="en-US"/>
        </w:rPr>
        <w:t>, 13 April 2018</w:t>
      </w:r>
      <w:r w:rsidRPr="005264F8">
        <w:rPr>
          <w:sz w:val="18"/>
          <w:szCs w:val="18"/>
          <w:lang w:val="en-US"/>
        </w:rPr>
        <w:t xml:space="preserve">. The Hungarian State Secretary for International Communications and Relations has repeatedly and publicly vilified journalists. See </w:t>
      </w:r>
      <w:r>
        <w:rPr>
          <w:sz w:val="18"/>
          <w:szCs w:val="18"/>
          <w:lang w:val="en-US"/>
        </w:rPr>
        <w:t xml:space="preserve">also </w:t>
      </w:r>
      <w:r w:rsidRPr="005264F8">
        <w:rPr>
          <w:sz w:val="18"/>
          <w:szCs w:val="18"/>
          <w:lang w:val="en-US"/>
        </w:rPr>
        <w:t xml:space="preserve">Platform </w:t>
      </w:r>
      <w:hyperlink r:id="rId109" w:history="1">
        <w:r w:rsidRPr="005264F8">
          <w:rPr>
            <w:rStyle w:val="Hyperlink"/>
            <w:sz w:val="18"/>
            <w:szCs w:val="18"/>
            <w:lang w:val="en-US"/>
          </w:rPr>
          <w:t>Alert 111/2017</w:t>
        </w:r>
      </w:hyperlink>
      <w:r w:rsidRPr="005264F8">
        <w:rPr>
          <w:sz w:val="18"/>
          <w:szCs w:val="18"/>
          <w:lang w:val="en-US"/>
        </w:rPr>
        <w:t>, updated in December 2018</w:t>
      </w:r>
      <w:r>
        <w:rPr>
          <w:sz w:val="18"/>
          <w:szCs w:val="18"/>
          <w:lang w:val="en-US"/>
        </w:rPr>
        <w:t>,</w:t>
      </w:r>
      <w:r w:rsidRPr="005264F8">
        <w:rPr>
          <w:sz w:val="18"/>
          <w:szCs w:val="18"/>
          <w:lang w:val="en-US"/>
        </w:rPr>
        <w:t xml:space="preserve"> and </w:t>
      </w:r>
      <w:hyperlink r:id="rId110" w:history="1">
        <w:r w:rsidRPr="005264F8">
          <w:rPr>
            <w:rStyle w:val="Hyperlink"/>
            <w:sz w:val="18"/>
            <w:szCs w:val="18"/>
            <w:lang w:val="en-US"/>
          </w:rPr>
          <w:t>State Reply</w:t>
        </w:r>
      </w:hyperlink>
      <w:r>
        <w:rPr>
          <w:sz w:val="18"/>
          <w:szCs w:val="18"/>
          <w:lang w:val="en-US"/>
        </w:rPr>
        <w:t xml:space="preserve"> of 31 January 2019.</w:t>
      </w:r>
      <w:r w:rsidRPr="005264F8">
        <w:rPr>
          <w:sz w:val="18"/>
          <w:szCs w:val="18"/>
          <w:lang w:val="en-US"/>
        </w:rPr>
        <w:t xml:space="preserve"> </w:t>
      </w:r>
    </w:p>
  </w:footnote>
  <w:footnote w:id="72">
    <w:p w14:paraId="2AFDD25F" w14:textId="12CAF80E" w:rsidR="000710F0" w:rsidRPr="005264F8" w:rsidRDefault="000710F0" w:rsidP="005264F8">
      <w:pPr>
        <w:pStyle w:val="FootnoteText"/>
        <w:jc w:val="both"/>
        <w:rPr>
          <w:sz w:val="18"/>
          <w:szCs w:val="18"/>
        </w:rPr>
      </w:pPr>
      <w:r w:rsidRPr="005264F8">
        <w:rPr>
          <w:rStyle w:val="FootnoteReference"/>
          <w:sz w:val="18"/>
          <w:szCs w:val="18"/>
        </w:rPr>
        <w:footnoteRef/>
      </w:r>
      <w:r w:rsidRPr="005264F8">
        <w:rPr>
          <w:sz w:val="18"/>
          <w:szCs w:val="18"/>
        </w:rPr>
        <w:t xml:space="preserve"> See Committee to Protect Journalists ‘</w:t>
      </w:r>
      <w:hyperlink r:id="rId111" w:history="1">
        <w:r w:rsidRPr="005264F8">
          <w:rPr>
            <w:rStyle w:val="Hyperlink"/>
            <w:sz w:val="18"/>
            <w:szCs w:val="18"/>
          </w:rPr>
          <w:t xml:space="preserve">Hungarian journalist Csaba </w:t>
        </w:r>
        <w:proofErr w:type="spellStart"/>
        <w:r w:rsidRPr="005264F8">
          <w:rPr>
            <w:rStyle w:val="Hyperlink"/>
            <w:sz w:val="18"/>
            <w:szCs w:val="18"/>
          </w:rPr>
          <w:t>Lukács</w:t>
        </w:r>
        <w:proofErr w:type="spellEnd"/>
        <w:r w:rsidRPr="005264F8">
          <w:rPr>
            <w:rStyle w:val="Hyperlink"/>
            <w:sz w:val="18"/>
            <w:szCs w:val="18"/>
          </w:rPr>
          <w:t xml:space="preserve"> on covering COVID-19 amid attacks on independent media</w:t>
        </w:r>
      </w:hyperlink>
      <w:r w:rsidRPr="005264F8">
        <w:rPr>
          <w:sz w:val="18"/>
          <w:szCs w:val="18"/>
        </w:rPr>
        <w:t xml:space="preserve">, 22 April 2020. </w:t>
      </w:r>
      <w:r>
        <w:rPr>
          <w:sz w:val="18"/>
          <w:szCs w:val="18"/>
        </w:rPr>
        <w:t xml:space="preserve">See also Platform </w:t>
      </w:r>
      <w:hyperlink r:id="rId112" w:history="1">
        <w:r w:rsidRPr="00EF04DF">
          <w:rPr>
            <w:rStyle w:val="Hyperlink"/>
            <w:sz w:val="18"/>
            <w:szCs w:val="18"/>
          </w:rPr>
          <w:t>Alert 180/2020</w:t>
        </w:r>
      </w:hyperlink>
      <w:r>
        <w:rPr>
          <w:sz w:val="18"/>
          <w:szCs w:val="18"/>
        </w:rPr>
        <w:t xml:space="preserve"> and </w:t>
      </w:r>
      <w:hyperlink r:id="rId113" w:history="1">
        <w:r w:rsidRPr="00EF04DF">
          <w:rPr>
            <w:rStyle w:val="Hyperlink"/>
            <w:sz w:val="18"/>
            <w:szCs w:val="18"/>
          </w:rPr>
          <w:t>State reply</w:t>
        </w:r>
      </w:hyperlink>
      <w:r>
        <w:rPr>
          <w:sz w:val="18"/>
          <w:szCs w:val="18"/>
        </w:rPr>
        <w:t xml:space="preserve"> of 25 June 2020.</w:t>
      </w:r>
    </w:p>
  </w:footnote>
  <w:footnote w:id="73">
    <w:p w14:paraId="2195F8AD" w14:textId="29276AE6" w:rsidR="000710F0" w:rsidRPr="005264F8" w:rsidRDefault="000710F0" w:rsidP="001A2834">
      <w:pPr>
        <w:pStyle w:val="FootnoteText"/>
        <w:jc w:val="both"/>
        <w:rPr>
          <w:sz w:val="18"/>
          <w:szCs w:val="18"/>
        </w:rPr>
      </w:pPr>
      <w:r w:rsidRPr="005264F8">
        <w:rPr>
          <w:rStyle w:val="FootnoteReference"/>
          <w:sz w:val="18"/>
          <w:szCs w:val="18"/>
        </w:rPr>
        <w:footnoteRef/>
      </w:r>
      <w:r w:rsidRPr="005264F8">
        <w:rPr>
          <w:sz w:val="18"/>
          <w:szCs w:val="18"/>
        </w:rPr>
        <w:t xml:space="preserve"> See </w:t>
      </w:r>
      <w:r w:rsidRPr="005264F8">
        <w:rPr>
          <w:i/>
          <w:iCs/>
          <w:sz w:val="18"/>
          <w:szCs w:val="18"/>
        </w:rPr>
        <w:t xml:space="preserve">Baka v. Hungary </w:t>
      </w:r>
      <w:r w:rsidRPr="005264F8">
        <w:rPr>
          <w:sz w:val="18"/>
          <w:szCs w:val="18"/>
        </w:rPr>
        <w:t>(</w:t>
      </w:r>
      <w:r>
        <w:rPr>
          <w:sz w:val="18"/>
          <w:szCs w:val="18"/>
        </w:rPr>
        <w:t xml:space="preserve">appl. no. </w:t>
      </w:r>
      <w:hyperlink r:id="rId114" w:anchor="{&quot;itemid&quot;:[&quot;001-163113&quot;]}" w:history="1">
        <w:r w:rsidRPr="0058761D">
          <w:rPr>
            <w:rStyle w:val="Hyperlink"/>
            <w:rFonts w:cstheme="minorHAnsi"/>
            <w:sz w:val="18"/>
            <w:szCs w:val="18"/>
          </w:rPr>
          <w:t>20261/12</w:t>
        </w:r>
      </w:hyperlink>
      <w:r>
        <w:rPr>
          <w:sz w:val="18"/>
          <w:szCs w:val="18"/>
        </w:rPr>
        <w:t xml:space="preserve">,Grand Chamber judgment </w:t>
      </w:r>
      <w:r w:rsidRPr="005264F8">
        <w:rPr>
          <w:sz w:val="18"/>
          <w:szCs w:val="18"/>
        </w:rPr>
        <w:t>of 23 June 2016</w:t>
      </w:r>
      <w:r>
        <w:rPr>
          <w:sz w:val="18"/>
          <w:szCs w:val="18"/>
        </w:rPr>
        <w:t>)</w:t>
      </w:r>
      <w:r w:rsidRPr="005264F8">
        <w:rPr>
          <w:sz w:val="18"/>
          <w:szCs w:val="18"/>
        </w:rPr>
        <w:t>.</w:t>
      </w:r>
    </w:p>
  </w:footnote>
  <w:footnote w:id="74">
    <w:p w14:paraId="20B1EBAA" w14:textId="78611C31" w:rsidR="000710F0" w:rsidRPr="005264F8" w:rsidRDefault="000710F0" w:rsidP="005264F8">
      <w:pPr>
        <w:pStyle w:val="FootnoteText"/>
        <w:jc w:val="both"/>
        <w:rPr>
          <w:sz w:val="18"/>
          <w:szCs w:val="18"/>
        </w:rPr>
      </w:pPr>
      <w:r w:rsidRPr="005264F8">
        <w:rPr>
          <w:rStyle w:val="FootnoteReference"/>
          <w:sz w:val="18"/>
          <w:szCs w:val="18"/>
        </w:rPr>
        <w:footnoteRef/>
      </w:r>
      <w:r w:rsidRPr="005264F8">
        <w:rPr>
          <w:sz w:val="18"/>
          <w:szCs w:val="18"/>
        </w:rPr>
        <w:t xml:space="preserve"> See Decision of the Committee of Ministers </w:t>
      </w:r>
      <w:hyperlink r:id="rId115" w:anchor="{&quot;EXECIdentifier&quot;:[&quot;CM/Del/Dec(2019)1355/H46-11E&quot;]}" w:history="1">
        <w:r w:rsidRPr="005264F8">
          <w:rPr>
            <w:rStyle w:val="Hyperlink"/>
            <w:sz w:val="18"/>
            <w:szCs w:val="18"/>
            <w:lang w:val="en-US"/>
          </w:rPr>
          <w:t>CM/Del/Dec(2019)1355/H46-11</w:t>
        </w:r>
      </w:hyperlink>
      <w:r w:rsidRPr="005264F8">
        <w:rPr>
          <w:sz w:val="18"/>
          <w:szCs w:val="18"/>
          <w:lang w:val="en-US"/>
        </w:rPr>
        <w:t xml:space="preserve"> of 25 September 2019.</w:t>
      </w:r>
    </w:p>
  </w:footnote>
  <w:footnote w:id="75">
    <w:p w14:paraId="309CDCBA" w14:textId="6EC29285" w:rsidR="000710F0" w:rsidRPr="005264F8" w:rsidRDefault="000710F0" w:rsidP="005264F8">
      <w:pPr>
        <w:pStyle w:val="FootnoteText"/>
        <w:jc w:val="both"/>
        <w:rPr>
          <w:sz w:val="18"/>
          <w:szCs w:val="18"/>
        </w:rPr>
      </w:pPr>
      <w:r w:rsidRPr="005264F8">
        <w:rPr>
          <w:rStyle w:val="FootnoteReference"/>
          <w:sz w:val="18"/>
          <w:szCs w:val="18"/>
        </w:rPr>
        <w:footnoteRef/>
      </w:r>
      <w:r w:rsidRPr="005264F8">
        <w:rPr>
          <w:sz w:val="18"/>
          <w:szCs w:val="18"/>
        </w:rPr>
        <w:t xml:space="preserve"> </w:t>
      </w:r>
      <w:r w:rsidRPr="005264F8">
        <w:rPr>
          <w:rFonts w:cstheme="minorHAnsi"/>
          <w:sz w:val="18"/>
          <w:szCs w:val="18"/>
        </w:rPr>
        <w:t>In its</w:t>
      </w:r>
      <w:r w:rsidRPr="005264F8">
        <w:rPr>
          <w:rFonts w:cstheme="minorHAnsi"/>
          <w:bCs/>
          <w:sz w:val="18"/>
          <w:szCs w:val="18"/>
        </w:rPr>
        <w:t xml:space="preserve"> last exam</w:t>
      </w:r>
      <w:r>
        <w:rPr>
          <w:rFonts w:cstheme="minorHAnsi"/>
          <w:bCs/>
          <w:sz w:val="18"/>
          <w:szCs w:val="18"/>
        </w:rPr>
        <w:t>ination</w:t>
      </w:r>
      <w:r w:rsidRPr="005264F8">
        <w:rPr>
          <w:rFonts w:cstheme="minorHAnsi"/>
          <w:bCs/>
          <w:sz w:val="18"/>
          <w:szCs w:val="18"/>
        </w:rPr>
        <w:t xml:space="preserve"> of the execution of the judgment in </w:t>
      </w:r>
      <w:hyperlink r:id="rId116" w:anchor="{%22EXECIdentifier%22:[%22CM/Del/Dec(2020)1383/H46-8E%22]}" w:history="1">
        <w:r w:rsidRPr="000556EA">
          <w:rPr>
            <w:rStyle w:val="Hyperlink"/>
            <w:rFonts w:cstheme="minorHAnsi"/>
            <w:bCs/>
            <w:sz w:val="18"/>
            <w:szCs w:val="18"/>
          </w:rPr>
          <w:t>October 2020</w:t>
        </w:r>
      </w:hyperlink>
      <w:r w:rsidRPr="005264F8">
        <w:rPr>
          <w:rFonts w:cstheme="minorHAnsi"/>
          <w:bCs/>
          <w:sz w:val="18"/>
          <w:szCs w:val="18"/>
        </w:rPr>
        <w:t xml:space="preserve">, the Committee of Ministers decided not to close the supervision of the case but to seek a clear and unequivocal formal undertaking from the Hungarian authorities that they will refrain from similar interferences with judicial mandates in the future and that </w:t>
      </w:r>
      <w:r>
        <w:rPr>
          <w:rFonts w:cstheme="minorHAnsi"/>
          <w:bCs/>
          <w:sz w:val="18"/>
          <w:szCs w:val="18"/>
        </w:rPr>
        <w:t>tangible</w:t>
      </w:r>
      <w:r w:rsidRPr="005264F8">
        <w:rPr>
          <w:rFonts w:cstheme="minorHAnsi"/>
          <w:bCs/>
          <w:sz w:val="18"/>
          <w:szCs w:val="18"/>
        </w:rPr>
        <w:t xml:space="preserve"> measures be taken to correct the chilling effect on judges.</w:t>
      </w:r>
    </w:p>
  </w:footnote>
  <w:footnote w:id="76">
    <w:p w14:paraId="13AD7277" w14:textId="4C1DE046" w:rsidR="000710F0" w:rsidRPr="00435B61" w:rsidRDefault="000710F0" w:rsidP="00435B61">
      <w:pPr>
        <w:pStyle w:val="FootnoteText"/>
        <w:jc w:val="both"/>
        <w:rPr>
          <w:sz w:val="18"/>
          <w:szCs w:val="18"/>
        </w:rPr>
      </w:pPr>
      <w:r w:rsidRPr="005264F8">
        <w:rPr>
          <w:rStyle w:val="FootnoteReference"/>
          <w:sz w:val="18"/>
          <w:szCs w:val="18"/>
        </w:rPr>
        <w:footnoteRef/>
      </w:r>
      <w:r w:rsidRPr="005264F8">
        <w:rPr>
          <w:sz w:val="18"/>
          <w:szCs w:val="18"/>
        </w:rPr>
        <w:t xml:space="preserve"> The second instance decision of the Debrecen Appeals Court in September 2019, granting non</w:t>
      </w:r>
      <w:r>
        <w:rPr>
          <w:sz w:val="18"/>
          <w:szCs w:val="18"/>
        </w:rPr>
        <w:t>-</w:t>
      </w:r>
      <w:r w:rsidRPr="005264F8">
        <w:rPr>
          <w:sz w:val="18"/>
          <w:szCs w:val="18"/>
        </w:rPr>
        <w:t xml:space="preserve">pecuniary damages to over 60 Roma victims of educational segregation in the elementary school of </w:t>
      </w:r>
      <w:proofErr w:type="spellStart"/>
      <w:r w:rsidRPr="005264F8">
        <w:rPr>
          <w:sz w:val="18"/>
          <w:szCs w:val="18"/>
        </w:rPr>
        <w:t>Gyöngyöspata</w:t>
      </w:r>
      <w:proofErr w:type="spellEnd"/>
      <w:r w:rsidRPr="005264F8">
        <w:rPr>
          <w:sz w:val="18"/>
          <w:szCs w:val="18"/>
        </w:rPr>
        <w:t xml:space="preserve">, for instance, was publicly denounced by the Prime Minister as ‘unjust’ while a review by the </w:t>
      </w:r>
      <w:proofErr w:type="spellStart"/>
      <w:r w:rsidRPr="005264F8">
        <w:rPr>
          <w:sz w:val="18"/>
          <w:szCs w:val="18"/>
        </w:rPr>
        <w:t>K</w:t>
      </w:r>
      <w:r w:rsidRPr="005264F8">
        <w:rPr>
          <w:rFonts w:cstheme="minorHAnsi"/>
          <w:sz w:val="18"/>
          <w:szCs w:val="18"/>
        </w:rPr>
        <w:t>ú</w:t>
      </w:r>
      <w:r w:rsidRPr="005264F8">
        <w:rPr>
          <w:sz w:val="18"/>
          <w:szCs w:val="18"/>
        </w:rPr>
        <w:t>ria</w:t>
      </w:r>
      <w:proofErr w:type="spellEnd"/>
      <w:r w:rsidRPr="005264F8">
        <w:rPr>
          <w:sz w:val="18"/>
          <w:szCs w:val="18"/>
        </w:rPr>
        <w:t xml:space="preserve"> was ongoing. The decision was upheld but legislative changes were introduced shortly afterwards to make the payment of damages in segregation cases impossible in the future. See </w:t>
      </w:r>
      <w:hyperlink r:id="rId117" w:history="1">
        <w:r w:rsidRPr="005264F8">
          <w:rPr>
            <w:rStyle w:val="Hyperlink"/>
            <w:sz w:val="18"/>
            <w:szCs w:val="18"/>
          </w:rPr>
          <w:t>Flash Report</w:t>
        </w:r>
      </w:hyperlink>
      <w:r w:rsidRPr="005264F8">
        <w:rPr>
          <w:sz w:val="18"/>
          <w:szCs w:val="18"/>
        </w:rPr>
        <w:t xml:space="preserve"> by the European network of legal experts in gender equality and non-discrimination, 15 August 2020.</w:t>
      </w:r>
    </w:p>
  </w:footnote>
  <w:footnote w:id="77">
    <w:p w14:paraId="4968F40F" w14:textId="1ADBFD1E" w:rsidR="000710F0" w:rsidRDefault="000710F0">
      <w:pPr>
        <w:pStyle w:val="FootnoteText"/>
      </w:pPr>
      <w:r w:rsidRPr="00435B61">
        <w:rPr>
          <w:rStyle w:val="FootnoteReference"/>
          <w:sz w:val="18"/>
          <w:szCs w:val="18"/>
        </w:rPr>
        <w:footnoteRef/>
      </w:r>
      <w:r w:rsidRPr="00435B61">
        <w:rPr>
          <w:sz w:val="18"/>
          <w:szCs w:val="18"/>
        </w:rPr>
        <w:t xml:space="preserve"> See </w:t>
      </w:r>
      <w:r>
        <w:rPr>
          <w:sz w:val="18"/>
          <w:szCs w:val="18"/>
        </w:rPr>
        <w:t>‘</w:t>
      </w:r>
      <w:hyperlink r:id="rId118" w:history="1">
        <w:r w:rsidRPr="00435B61">
          <w:rPr>
            <w:rStyle w:val="Hyperlink"/>
            <w:sz w:val="18"/>
            <w:szCs w:val="18"/>
          </w:rPr>
          <w:t>Status of the Hungarian Judiciary</w:t>
        </w:r>
      </w:hyperlink>
      <w:r>
        <w:rPr>
          <w:sz w:val="18"/>
          <w:szCs w:val="18"/>
        </w:rPr>
        <w:t>’, Amnesty International, February 2021.</w:t>
      </w:r>
    </w:p>
  </w:footnote>
  <w:footnote w:id="78">
    <w:p w14:paraId="0671B853" w14:textId="32326B24" w:rsidR="000710F0" w:rsidRPr="005264F8" w:rsidRDefault="000710F0" w:rsidP="00556E91">
      <w:pPr>
        <w:pStyle w:val="FootnoteText"/>
        <w:jc w:val="both"/>
        <w:rPr>
          <w:sz w:val="18"/>
          <w:szCs w:val="18"/>
        </w:rPr>
      </w:pPr>
      <w:r w:rsidRPr="005264F8">
        <w:rPr>
          <w:rStyle w:val="FootnoteReference"/>
          <w:sz w:val="18"/>
          <w:szCs w:val="18"/>
        </w:rPr>
        <w:footnoteRef/>
      </w:r>
      <w:r w:rsidRPr="005264F8">
        <w:rPr>
          <w:sz w:val="18"/>
          <w:szCs w:val="18"/>
        </w:rPr>
        <w:t xml:space="preserve"> See Political Capital ‘</w:t>
      </w:r>
      <w:hyperlink r:id="rId119" w:history="1">
        <w:r w:rsidRPr="005264F8">
          <w:rPr>
            <w:rStyle w:val="Hyperlink"/>
            <w:sz w:val="18"/>
            <w:szCs w:val="18"/>
            <w:lang w:val="en-US"/>
          </w:rPr>
          <w:t>Political Capital fights back against brutal disinformation attack from Hungarian government-controlled media</w:t>
        </w:r>
      </w:hyperlink>
      <w:r w:rsidRPr="005264F8">
        <w:rPr>
          <w:sz w:val="18"/>
          <w:szCs w:val="18"/>
          <w:lang w:val="en-US"/>
        </w:rPr>
        <w:t>’, 5 January 2021.</w:t>
      </w:r>
      <w:r>
        <w:rPr>
          <w:sz w:val="18"/>
          <w:szCs w:val="18"/>
          <w:lang w:val="en-US"/>
        </w:rPr>
        <w:t xml:space="preserve"> After the interview which appeared in </w:t>
      </w:r>
      <w:hyperlink r:id="rId120" w:history="1">
        <w:r w:rsidRPr="00435B61">
          <w:rPr>
            <w:rStyle w:val="Hyperlink"/>
            <w:sz w:val="18"/>
            <w:szCs w:val="18"/>
            <w:lang w:val="en-US"/>
          </w:rPr>
          <w:t>Politico</w:t>
        </w:r>
      </w:hyperlink>
      <w:r>
        <w:rPr>
          <w:sz w:val="18"/>
          <w:szCs w:val="18"/>
          <w:lang w:val="en-US"/>
        </w:rPr>
        <w:t xml:space="preserve"> on 26 December 2020, the allegations were first published in </w:t>
      </w:r>
      <w:r w:rsidRPr="00536670">
        <w:rPr>
          <w:i/>
          <w:iCs/>
          <w:sz w:val="18"/>
          <w:szCs w:val="18"/>
          <w:lang w:val="en-US"/>
        </w:rPr>
        <w:t xml:space="preserve">Magyar </w:t>
      </w:r>
      <w:proofErr w:type="spellStart"/>
      <w:r w:rsidRPr="00536670">
        <w:rPr>
          <w:i/>
          <w:iCs/>
          <w:sz w:val="18"/>
          <w:szCs w:val="18"/>
          <w:lang w:val="en-US"/>
        </w:rPr>
        <w:t>Nemzet</w:t>
      </w:r>
      <w:proofErr w:type="spellEnd"/>
      <w:r>
        <w:rPr>
          <w:sz w:val="18"/>
          <w:szCs w:val="18"/>
          <w:lang w:val="en-US"/>
        </w:rPr>
        <w:t xml:space="preserve"> on 29 December 2020. Within the next 10 days some 150 identical articles were published in central and regional pro-government media outlets. </w:t>
      </w:r>
      <w:bookmarkStart w:id="7" w:name="_Hlk66288200"/>
      <w:r>
        <w:rPr>
          <w:sz w:val="18"/>
          <w:szCs w:val="18"/>
          <w:lang w:val="en-US"/>
        </w:rPr>
        <w:t xml:space="preserve">On 17 February 2021, the </w:t>
      </w:r>
      <w:hyperlink r:id="rId121" w:history="1">
        <w:r w:rsidRPr="007F4D88">
          <w:rPr>
            <w:rStyle w:val="Hyperlink"/>
            <w:sz w:val="18"/>
            <w:szCs w:val="18"/>
            <w:lang w:val="en-US"/>
          </w:rPr>
          <w:t>Budapest Civil Court</w:t>
        </w:r>
      </w:hyperlink>
      <w:r>
        <w:rPr>
          <w:sz w:val="18"/>
          <w:szCs w:val="18"/>
          <w:lang w:val="en-US"/>
        </w:rPr>
        <w:t xml:space="preserve"> gave a first instance ruling, calling on </w:t>
      </w:r>
      <w:r w:rsidRPr="00536670">
        <w:rPr>
          <w:i/>
          <w:iCs/>
          <w:sz w:val="18"/>
          <w:szCs w:val="18"/>
          <w:lang w:val="en-US"/>
        </w:rPr>
        <w:t xml:space="preserve">Magyar </w:t>
      </w:r>
      <w:proofErr w:type="spellStart"/>
      <w:r w:rsidRPr="00536670">
        <w:rPr>
          <w:i/>
          <w:iCs/>
          <w:sz w:val="18"/>
          <w:szCs w:val="18"/>
          <w:lang w:val="en-US"/>
        </w:rPr>
        <w:t>Nemzet</w:t>
      </w:r>
      <w:proofErr w:type="spellEnd"/>
      <w:r>
        <w:rPr>
          <w:sz w:val="18"/>
          <w:szCs w:val="18"/>
          <w:lang w:val="en-US"/>
        </w:rPr>
        <w:t xml:space="preserve"> to publish a correction. Seven separate litigations for press correction and for non-pecuniary damages suffered by the individual, his family and the workplace are ongoing.  </w:t>
      </w:r>
      <w:bookmarkEnd w:id="7"/>
    </w:p>
  </w:footnote>
  <w:footnote w:id="79">
    <w:p w14:paraId="7F823E81" w14:textId="34927EF1" w:rsidR="000710F0" w:rsidRPr="005264F8" w:rsidRDefault="000710F0" w:rsidP="005264F8">
      <w:pPr>
        <w:pStyle w:val="FootnoteText"/>
        <w:jc w:val="both"/>
        <w:rPr>
          <w:sz w:val="18"/>
          <w:szCs w:val="18"/>
        </w:rPr>
      </w:pPr>
      <w:r w:rsidRPr="005264F8">
        <w:rPr>
          <w:rStyle w:val="FootnoteReference"/>
          <w:sz w:val="18"/>
          <w:szCs w:val="18"/>
        </w:rPr>
        <w:footnoteRef/>
      </w:r>
      <w:r w:rsidRPr="005264F8">
        <w:rPr>
          <w:sz w:val="18"/>
          <w:szCs w:val="18"/>
        </w:rPr>
        <w:t xml:space="preserve"> See Political Capital ‘</w:t>
      </w:r>
      <w:hyperlink r:id="rId122" w:history="1">
        <w:r w:rsidRPr="005264F8">
          <w:rPr>
            <w:rStyle w:val="Hyperlink"/>
            <w:sz w:val="18"/>
            <w:szCs w:val="18"/>
            <w:lang w:val="en-US"/>
          </w:rPr>
          <w:t xml:space="preserve">Legally binding ruling: Péter Krekó won a lawsuit against </w:t>
        </w:r>
        <w:proofErr w:type="spellStart"/>
        <w:r w:rsidRPr="005264F8">
          <w:rPr>
            <w:rStyle w:val="Hyperlink"/>
            <w:sz w:val="18"/>
            <w:szCs w:val="18"/>
            <w:lang w:val="en-US"/>
          </w:rPr>
          <w:t>Figyelő</w:t>
        </w:r>
        <w:proofErr w:type="spellEnd"/>
        <w:r w:rsidRPr="005264F8">
          <w:rPr>
            <w:rStyle w:val="Hyperlink"/>
            <w:sz w:val="18"/>
            <w:szCs w:val="18"/>
            <w:lang w:val="en-US"/>
          </w:rPr>
          <w:t xml:space="preserve">, </w:t>
        </w:r>
        <w:proofErr w:type="spellStart"/>
        <w:r w:rsidRPr="005264F8">
          <w:rPr>
            <w:rStyle w:val="Hyperlink"/>
            <w:sz w:val="18"/>
            <w:szCs w:val="18"/>
            <w:lang w:val="en-US"/>
          </w:rPr>
          <w:t>Origo</w:t>
        </w:r>
        <w:proofErr w:type="spellEnd"/>
        <w:r w:rsidRPr="005264F8">
          <w:rPr>
            <w:rStyle w:val="Hyperlink"/>
            <w:sz w:val="18"/>
            <w:szCs w:val="18"/>
            <w:lang w:val="en-US"/>
          </w:rPr>
          <w:t xml:space="preserve"> and 888 for spreading false information</w:t>
        </w:r>
      </w:hyperlink>
      <w:r w:rsidRPr="005264F8">
        <w:rPr>
          <w:sz w:val="18"/>
          <w:szCs w:val="18"/>
          <w:lang w:val="en-US"/>
        </w:rPr>
        <w:t>’, 18 December 2020.</w:t>
      </w:r>
    </w:p>
  </w:footnote>
  <w:footnote w:id="80">
    <w:p w14:paraId="5A9E6FC9" w14:textId="4E93243B" w:rsidR="000710F0" w:rsidRPr="00025919" w:rsidRDefault="000710F0">
      <w:pPr>
        <w:pStyle w:val="FootnoteText"/>
        <w:rPr>
          <w:sz w:val="18"/>
          <w:szCs w:val="18"/>
        </w:rPr>
      </w:pPr>
      <w:r w:rsidRPr="00025919">
        <w:rPr>
          <w:rStyle w:val="FootnoteReference"/>
          <w:sz w:val="18"/>
          <w:szCs w:val="18"/>
        </w:rPr>
        <w:footnoteRef/>
      </w:r>
      <w:r w:rsidRPr="00025919">
        <w:rPr>
          <w:sz w:val="18"/>
          <w:szCs w:val="18"/>
        </w:rPr>
        <w:t xml:space="preserve"> See </w:t>
      </w:r>
      <w:r>
        <w:rPr>
          <w:sz w:val="18"/>
          <w:szCs w:val="18"/>
        </w:rPr>
        <w:t xml:space="preserve">also </w:t>
      </w:r>
      <w:hyperlink r:id="rId123" w:history="1">
        <w:r w:rsidRPr="00025919">
          <w:rPr>
            <w:rStyle w:val="Hyperlink"/>
            <w:sz w:val="18"/>
            <w:szCs w:val="18"/>
            <w:lang w:val="en-US"/>
          </w:rPr>
          <w:t>statement</w:t>
        </w:r>
      </w:hyperlink>
      <w:r w:rsidRPr="00025919">
        <w:rPr>
          <w:sz w:val="18"/>
          <w:szCs w:val="18"/>
          <w:lang w:val="en-US"/>
        </w:rPr>
        <w:t xml:space="preserve"> </w:t>
      </w:r>
      <w:r>
        <w:rPr>
          <w:sz w:val="18"/>
          <w:szCs w:val="18"/>
          <w:lang w:val="en-US"/>
        </w:rPr>
        <w:t xml:space="preserve">of the Commissioner </w:t>
      </w:r>
      <w:r w:rsidRPr="00025919">
        <w:rPr>
          <w:sz w:val="18"/>
          <w:szCs w:val="18"/>
          <w:lang w:val="en-US"/>
        </w:rPr>
        <w:t>on 15 February 2018</w:t>
      </w:r>
      <w:r>
        <w:rPr>
          <w:sz w:val="18"/>
          <w:szCs w:val="18"/>
          <w:lang w:val="en-US"/>
        </w:rPr>
        <w:t>.</w:t>
      </w:r>
    </w:p>
  </w:footnote>
  <w:footnote w:id="81">
    <w:p w14:paraId="731E2007" w14:textId="19D0BAF2" w:rsidR="000710F0" w:rsidRPr="005264F8" w:rsidRDefault="000710F0" w:rsidP="00142B56">
      <w:pPr>
        <w:pStyle w:val="FootnoteText"/>
        <w:jc w:val="both"/>
        <w:rPr>
          <w:sz w:val="18"/>
          <w:szCs w:val="18"/>
        </w:rPr>
      </w:pPr>
      <w:r w:rsidRPr="005264F8">
        <w:rPr>
          <w:rStyle w:val="FootnoteReference"/>
          <w:sz w:val="18"/>
          <w:szCs w:val="18"/>
        </w:rPr>
        <w:footnoteRef/>
      </w:r>
      <w:r w:rsidRPr="005264F8">
        <w:rPr>
          <w:sz w:val="18"/>
          <w:szCs w:val="18"/>
        </w:rPr>
        <w:t xml:space="preserve"> See </w:t>
      </w:r>
      <w:r>
        <w:rPr>
          <w:sz w:val="18"/>
          <w:szCs w:val="18"/>
        </w:rPr>
        <w:t xml:space="preserve">Judgment of the Court (Grand Chamber) </w:t>
      </w:r>
      <w:hyperlink r:id="rId124" w:history="1">
        <w:r w:rsidRPr="003F16EC">
          <w:rPr>
            <w:rStyle w:val="Hyperlink"/>
            <w:sz w:val="18"/>
            <w:szCs w:val="18"/>
          </w:rPr>
          <w:t>C-78/18</w:t>
        </w:r>
      </w:hyperlink>
      <w:r>
        <w:rPr>
          <w:sz w:val="18"/>
          <w:szCs w:val="18"/>
        </w:rPr>
        <w:t xml:space="preserve"> of 18 June 2020, </w:t>
      </w:r>
      <w:r w:rsidRPr="003F16EC">
        <w:rPr>
          <w:i/>
          <w:iCs/>
          <w:sz w:val="18"/>
          <w:szCs w:val="18"/>
        </w:rPr>
        <w:t>Commission vs Hungary</w:t>
      </w:r>
      <w:r>
        <w:rPr>
          <w:sz w:val="18"/>
          <w:szCs w:val="18"/>
        </w:rPr>
        <w:t xml:space="preserve"> (Transparency of associations). </w:t>
      </w:r>
      <w:r w:rsidRPr="003469C8">
        <w:rPr>
          <w:sz w:val="18"/>
          <w:szCs w:val="18"/>
          <w:lang w:val="en-US"/>
        </w:rPr>
        <w:t>Hungary</w:t>
      </w:r>
      <w:r>
        <w:rPr>
          <w:sz w:val="18"/>
          <w:szCs w:val="18"/>
          <w:lang w:val="en-US"/>
        </w:rPr>
        <w:t xml:space="preserve"> did not </w:t>
      </w:r>
      <w:r w:rsidRPr="003469C8">
        <w:rPr>
          <w:sz w:val="18"/>
          <w:szCs w:val="18"/>
          <w:lang w:val="en-US"/>
        </w:rPr>
        <w:t>repeal the Act</w:t>
      </w:r>
      <w:r>
        <w:rPr>
          <w:sz w:val="18"/>
          <w:szCs w:val="18"/>
          <w:lang w:val="en-US"/>
        </w:rPr>
        <w:t xml:space="preserve"> but continued to implement it</w:t>
      </w:r>
      <w:r w:rsidRPr="003469C8">
        <w:rPr>
          <w:sz w:val="18"/>
          <w:szCs w:val="18"/>
          <w:lang w:val="en-US"/>
        </w:rPr>
        <w:t xml:space="preserve">. </w:t>
      </w:r>
      <w:hyperlink r:id="rId125" w:history="1">
        <w:r w:rsidRPr="0063125A">
          <w:rPr>
            <w:rStyle w:val="Hyperlink"/>
            <w:sz w:val="18"/>
            <w:szCs w:val="18"/>
            <w:lang w:val="en-US"/>
          </w:rPr>
          <w:t>In February 2021</w:t>
        </w:r>
      </w:hyperlink>
      <w:r>
        <w:rPr>
          <w:sz w:val="18"/>
          <w:szCs w:val="18"/>
          <w:lang w:val="en-US"/>
        </w:rPr>
        <w:t>, the</w:t>
      </w:r>
      <w:r w:rsidRPr="003469C8">
        <w:rPr>
          <w:sz w:val="18"/>
          <w:szCs w:val="18"/>
          <w:lang w:val="en-US"/>
        </w:rPr>
        <w:t xml:space="preserve"> </w:t>
      </w:r>
      <w:r>
        <w:rPr>
          <w:sz w:val="18"/>
          <w:szCs w:val="18"/>
          <w:lang w:val="en-US"/>
        </w:rPr>
        <w:t xml:space="preserve">European </w:t>
      </w:r>
      <w:r w:rsidRPr="003469C8">
        <w:rPr>
          <w:sz w:val="18"/>
          <w:szCs w:val="18"/>
          <w:lang w:val="en-US"/>
        </w:rPr>
        <w:t xml:space="preserve">Commission </w:t>
      </w:r>
      <w:r>
        <w:rPr>
          <w:sz w:val="18"/>
          <w:szCs w:val="18"/>
          <w:lang w:val="en-US"/>
        </w:rPr>
        <w:t xml:space="preserve">sent a letter of formal notice to Hungary requesting it </w:t>
      </w:r>
      <w:r w:rsidRPr="003469C8">
        <w:rPr>
          <w:sz w:val="18"/>
          <w:szCs w:val="18"/>
          <w:lang w:val="en-US"/>
        </w:rPr>
        <w:t xml:space="preserve">to take and implement all </w:t>
      </w:r>
      <w:r>
        <w:rPr>
          <w:sz w:val="18"/>
          <w:szCs w:val="18"/>
          <w:lang w:val="en-US"/>
        </w:rPr>
        <w:t xml:space="preserve">the </w:t>
      </w:r>
      <w:r w:rsidRPr="003469C8">
        <w:rPr>
          <w:sz w:val="18"/>
          <w:szCs w:val="18"/>
          <w:lang w:val="en-US"/>
        </w:rPr>
        <w:t xml:space="preserve">measures </w:t>
      </w:r>
      <w:r>
        <w:rPr>
          <w:sz w:val="18"/>
          <w:szCs w:val="18"/>
          <w:lang w:val="en-US"/>
        </w:rPr>
        <w:t xml:space="preserve">required </w:t>
      </w:r>
      <w:r w:rsidRPr="003469C8">
        <w:rPr>
          <w:sz w:val="18"/>
          <w:szCs w:val="18"/>
          <w:lang w:val="en-US"/>
        </w:rPr>
        <w:t xml:space="preserve">to remedy the situation. </w:t>
      </w:r>
    </w:p>
  </w:footnote>
  <w:footnote w:id="82">
    <w:p w14:paraId="092301B5" w14:textId="5285C5FF" w:rsidR="000710F0" w:rsidRPr="005264F8" w:rsidRDefault="000710F0" w:rsidP="005264F8">
      <w:pPr>
        <w:pStyle w:val="FootnoteText"/>
        <w:jc w:val="both"/>
        <w:rPr>
          <w:sz w:val="18"/>
          <w:szCs w:val="18"/>
        </w:rPr>
      </w:pPr>
      <w:r w:rsidRPr="005264F8">
        <w:rPr>
          <w:rStyle w:val="FootnoteReference"/>
          <w:sz w:val="18"/>
          <w:szCs w:val="18"/>
        </w:rPr>
        <w:footnoteRef/>
      </w:r>
      <w:r w:rsidRPr="005264F8">
        <w:rPr>
          <w:sz w:val="18"/>
          <w:szCs w:val="18"/>
        </w:rPr>
        <w:t xml:space="preserve"> </w:t>
      </w:r>
      <w:r>
        <w:rPr>
          <w:sz w:val="18"/>
          <w:szCs w:val="18"/>
        </w:rPr>
        <w:t>From an int</w:t>
      </w:r>
      <w:r w:rsidRPr="005264F8">
        <w:rPr>
          <w:sz w:val="18"/>
          <w:szCs w:val="18"/>
        </w:rPr>
        <w:t xml:space="preserve">erview on </w:t>
      </w:r>
      <w:hyperlink r:id="rId126" w:history="1">
        <w:proofErr w:type="spellStart"/>
        <w:r w:rsidRPr="005264F8">
          <w:rPr>
            <w:rStyle w:val="Hyperlink"/>
            <w:sz w:val="18"/>
            <w:szCs w:val="18"/>
          </w:rPr>
          <w:t>Kossuth</w:t>
        </w:r>
        <w:proofErr w:type="spellEnd"/>
        <w:r w:rsidRPr="005264F8">
          <w:rPr>
            <w:rStyle w:val="Hyperlink"/>
            <w:sz w:val="18"/>
            <w:szCs w:val="18"/>
          </w:rPr>
          <w:t xml:space="preserve"> </w:t>
        </w:r>
        <w:r>
          <w:rPr>
            <w:rStyle w:val="Hyperlink"/>
            <w:sz w:val="18"/>
            <w:szCs w:val="18"/>
          </w:rPr>
          <w:t>R</w:t>
        </w:r>
        <w:r w:rsidRPr="005264F8">
          <w:rPr>
            <w:rStyle w:val="Hyperlink"/>
            <w:sz w:val="18"/>
            <w:szCs w:val="18"/>
          </w:rPr>
          <w:t>adio</w:t>
        </w:r>
      </w:hyperlink>
      <w:r w:rsidRPr="005264F8">
        <w:rPr>
          <w:sz w:val="18"/>
          <w:szCs w:val="18"/>
        </w:rPr>
        <w:t>, 19 June 2020.</w:t>
      </w:r>
    </w:p>
  </w:footnote>
  <w:footnote w:id="83">
    <w:p w14:paraId="08AE00C4" w14:textId="4F80F2FC" w:rsidR="000710F0" w:rsidRPr="00D01A08" w:rsidRDefault="000710F0">
      <w:pPr>
        <w:pStyle w:val="FootnoteText"/>
        <w:rPr>
          <w:sz w:val="18"/>
          <w:szCs w:val="18"/>
        </w:rPr>
      </w:pPr>
      <w:r w:rsidRPr="00D01A08">
        <w:rPr>
          <w:rStyle w:val="FootnoteReference"/>
          <w:sz w:val="18"/>
          <w:szCs w:val="18"/>
        </w:rPr>
        <w:footnoteRef/>
      </w:r>
      <w:r w:rsidRPr="00D01A08">
        <w:rPr>
          <w:sz w:val="18"/>
          <w:szCs w:val="18"/>
        </w:rPr>
        <w:t xml:space="preserve"> See </w:t>
      </w:r>
      <w:proofErr w:type="spellStart"/>
      <w:r w:rsidRPr="00D01A08">
        <w:rPr>
          <w:i/>
          <w:iCs/>
          <w:sz w:val="18"/>
          <w:szCs w:val="18"/>
        </w:rPr>
        <w:t>Gorzelik</w:t>
      </w:r>
      <w:proofErr w:type="spellEnd"/>
      <w:r w:rsidRPr="00D01A08">
        <w:rPr>
          <w:i/>
          <w:iCs/>
          <w:sz w:val="18"/>
          <w:szCs w:val="18"/>
        </w:rPr>
        <w:t xml:space="preserve"> and others v. Poland</w:t>
      </w:r>
      <w:r w:rsidRPr="00D01A08">
        <w:rPr>
          <w:sz w:val="18"/>
          <w:szCs w:val="18"/>
        </w:rPr>
        <w:t xml:space="preserve"> (</w:t>
      </w:r>
      <w:r>
        <w:rPr>
          <w:sz w:val="18"/>
          <w:szCs w:val="18"/>
        </w:rPr>
        <w:t xml:space="preserve">appl. no. </w:t>
      </w:r>
      <w:hyperlink r:id="rId127" w:anchor="{%22itemid%22:[%22001-61637%22]}" w:history="1">
        <w:r w:rsidRPr="00D01A08">
          <w:rPr>
            <w:rStyle w:val="Hyperlink"/>
            <w:sz w:val="18"/>
            <w:szCs w:val="18"/>
          </w:rPr>
          <w:t>44158/98</w:t>
        </w:r>
      </w:hyperlink>
      <w:r>
        <w:rPr>
          <w:sz w:val="18"/>
          <w:szCs w:val="18"/>
        </w:rPr>
        <w:t xml:space="preserve">, judgment </w:t>
      </w:r>
      <w:r w:rsidRPr="00D01A08">
        <w:rPr>
          <w:sz w:val="18"/>
          <w:szCs w:val="18"/>
        </w:rPr>
        <w:t>of 17 February 2004</w:t>
      </w:r>
      <w:r>
        <w:rPr>
          <w:sz w:val="18"/>
          <w:szCs w:val="18"/>
        </w:rPr>
        <w:t>)</w:t>
      </w:r>
      <w:r w:rsidRPr="00D01A08">
        <w:rPr>
          <w:sz w:val="18"/>
          <w:szCs w:val="18"/>
        </w:rPr>
        <w:t>.</w:t>
      </w:r>
    </w:p>
  </w:footnote>
  <w:footnote w:id="84">
    <w:p w14:paraId="3116D50A" w14:textId="61D4266F" w:rsidR="000710F0" w:rsidRPr="00681A56" w:rsidRDefault="000710F0" w:rsidP="00681A56">
      <w:pPr>
        <w:pStyle w:val="FootnoteText"/>
        <w:jc w:val="both"/>
        <w:rPr>
          <w:sz w:val="18"/>
          <w:szCs w:val="18"/>
        </w:rPr>
      </w:pPr>
      <w:r w:rsidRPr="00681A56">
        <w:rPr>
          <w:rStyle w:val="FootnoteReference"/>
          <w:sz w:val="18"/>
          <w:szCs w:val="18"/>
        </w:rPr>
        <w:footnoteRef/>
      </w:r>
      <w:r w:rsidRPr="00681A56">
        <w:rPr>
          <w:sz w:val="18"/>
          <w:szCs w:val="18"/>
        </w:rPr>
        <w:t xml:space="preserve"> </w:t>
      </w:r>
      <w:r>
        <w:rPr>
          <w:sz w:val="18"/>
          <w:szCs w:val="18"/>
        </w:rPr>
        <w:t xml:space="preserve">See </w:t>
      </w:r>
      <w:hyperlink r:id="rId128" w:history="1">
        <w:r w:rsidRPr="00D01A08">
          <w:rPr>
            <w:rStyle w:val="Hyperlink"/>
            <w:sz w:val="18"/>
            <w:szCs w:val="18"/>
          </w:rPr>
          <w:t>Statement</w:t>
        </w:r>
      </w:hyperlink>
      <w:r>
        <w:rPr>
          <w:sz w:val="18"/>
          <w:szCs w:val="18"/>
        </w:rPr>
        <w:t xml:space="preserve"> by the Commissioner for Human Rights, 1 June 2018. </w:t>
      </w:r>
      <w:r w:rsidRPr="00681A56">
        <w:rPr>
          <w:sz w:val="18"/>
          <w:szCs w:val="18"/>
        </w:rPr>
        <w:t xml:space="preserve">See also Joint Opinions of the Venice Commission and ODIHR </w:t>
      </w:r>
      <w:hyperlink r:id="rId129" w:history="1">
        <w:r w:rsidRPr="00FA33E4">
          <w:rPr>
            <w:rStyle w:val="Hyperlink"/>
            <w:sz w:val="18"/>
            <w:szCs w:val="18"/>
          </w:rPr>
          <w:t>CDL-AD(2018)013</w:t>
        </w:r>
      </w:hyperlink>
      <w:r w:rsidRPr="00681A56">
        <w:rPr>
          <w:sz w:val="18"/>
          <w:szCs w:val="18"/>
        </w:rPr>
        <w:t xml:space="preserve"> </w:t>
      </w:r>
      <w:r>
        <w:rPr>
          <w:sz w:val="18"/>
          <w:szCs w:val="18"/>
        </w:rPr>
        <w:t xml:space="preserve">of 25 June 2018 </w:t>
      </w:r>
      <w:r w:rsidRPr="00681A56">
        <w:rPr>
          <w:sz w:val="18"/>
          <w:szCs w:val="18"/>
        </w:rPr>
        <w:t xml:space="preserve">and </w:t>
      </w:r>
      <w:hyperlink r:id="rId130" w:history="1">
        <w:r w:rsidRPr="00681A56">
          <w:rPr>
            <w:rStyle w:val="Hyperlink"/>
            <w:sz w:val="18"/>
            <w:szCs w:val="18"/>
          </w:rPr>
          <w:t>CDL-AD(2018)035</w:t>
        </w:r>
      </w:hyperlink>
      <w:r>
        <w:rPr>
          <w:sz w:val="18"/>
          <w:szCs w:val="18"/>
        </w:rPr>
        <w:t xml:space="preserve"> of 17 December 2018.</w:t>
      </w:r>
    </w:p>
  </w:footnote>
  <w:footnote w:id="85">
    <w:p w14:paraId="32DD842E" w14:textId="5C118E44" w:rsidR="000710F0" w:rsidRPr="00681A56" w:rsidRDefault="000710F0" w:rsidP="004B261F">
      <w:pPr>
        <w:pStyle w:val="FootnoteText"/>
        <w:jc w:val="both"/>
        <w:rPr>
          <w:sz w:val="18"/>
          <w:szCs w:val="18"/>
        </w:rPr>
      </w:pPr>
      <w:r w:rsidRPr="00681A56">
        <w:rPr>
          <w:rStyle w:val="FootnoteReference"/>
          <w:sz w:val="18"/>
          <w:szCs w:val="18"/>
        </w:rPr>
        <w:footnoteRef/>
      </w:r>
      <w:r w:rsidRPr="00681A56">
        <w:rPr>
          <w:sz w:val="18"/>
          <w:szCs w:val="18"/>
        </w:rPr>
        <w:t xml:space="preserve"> </w:t>
      </w:r>
      <w:r>
        <w:rPr>
          <w:sz w:val="18"/>
          <w:szCs w:val="18"/>
        </w:rPr>
        <w:t>From an in</w:t>
      </w:r>
      <w:r w:rsidRPr="00681A56">
        <w:rPr>
          <w:sz w:val="18"/>
          <w:szCs w:val="18"/>
        </w:rPr>
        <w:t xml:space="preserve">terview on </w:t>
      </w:r>
      <w:hyperlink r:id="rId131" w:history="1">
        <w:proofErr w:type="spellStart"/>
        <w:r w:rsidRPr="00681A56">
          <w:rPr>
            <w:rStyle w:val="Hyperlink"/>
            <w:sz w:val="18"/>
            <w:szCs w:val="18"/>
          </w:rPr>
          <w:t>Kossuth</w:t>
        </w:r>
        <w:proofErr w:type="spellEnd"/>
        <w:r w:rsidRPr="00681A56">
          <w:rPr>
            <w:rStyle w:val="Hyperlink"/>
            <w:sz w:val="18"/>
            <w:szCs w:val="18"/>
          </w:rPr>
          <w:t xml:space="preserve"> Radio</w:t>
        </w:r>
      </w:hyperlink>
      <w:r w:rsidRPr="00681A56">
        <w:rPr>
          <w:sz w:val="18"/>
          <w:szCs w:val="18"/>
        </w:rPr>
        <w:t>, 4 October 2020</w:t>
      </w:r>
      <w:r>
        <w:rPr>
          <w:sz w:val="18"/>
          <w:szCs w:val="18"/>
        </w:rPr>
        <w:t xml:space="preserve">, equating LGBTI persons with a threat to Hungarian children. </w:t>
      </w:r>
    </w:p>
  </w:footnote>
  <w:footnote w:id="86">
    <w:p w14:paraId="6611A1AB" w14:textId="60D59B59" w:rsidR="000710F0" w:rsidRPr="00B863D8" w:rsidRDefault="000710F0" w:rsidP="004B261F">
      <w:pPr>
        <w:pStyle w:val="FootnoteText"/>
        <w:jc w:val="both"/>
        <w:rPr>
          <w:sz w:val="18"/>
          <w:szCs w:val="18"/>
        </w:rPr>
      </w:pPr>
      <w:r w:rsidRPr="005264F8">
        <w:rPr>
          <w:rStyle w:val="FootnoteReference"/>
          <w:sz w:val="18"/>
          <w:szCs w:val="18"/>
        </w:rPr>
        <w:footnoteRef/>
      </w:r>
      <w:r w:rsidRPr="005264F8">
        <w:rPr>
          <w:sz w:val="18"/>
          <w:szCs w:val="18"/>
        </w:rPr>
        <w:t xml:space="preserve"> </w:t>
      </w:r>
      <w:r w:rsidRPr="005264F8">
        <w:rPr>
          <w:sz w:val="18"/>
          <w:szCs w:val="18"/>
          <w:lang w:val="en-US"/>
        </w:rPr>
        <w:t xml:space="preserve">In May 2020, the Hungarian Parliament prohibited legal </w:t>
      </w:r>
      <w:r w:rsidRPr="00B863D8">
        <w:rPr>
          <w:sz w:val="18"/>
          <w:szCs w:val="18"/>
          <w:lang w:val="en-US"/>
        </w:rPr>
        <w:t>gender recognition</w:t>
      </w:r>
      <w:r>
        <w:rPr>
          <w:sz w:val="18"/>
          <w:szCs w:val="18"/>
          <w:lang w:val="en-US"/>
        </w:rPr>
        <w:t xml:space="preserve"> in clear breach of international human rights norms and amid widespread </w:t>
      </w:r>
      <w:hyperlink r:id="rId132" w:history="1">
        <w:r w:rsidRPr="0096257B">
          <w:rPr>
            <w:rStyle w:val="Hyperlink"/>
            <w:sz w:val="18"/>
            <w:szCs w:val="18"/>
            <w:lang w:val="en-US"/>
          </w:rPr>
          <w:t>condemnation</w:t>
        </w:r>
      </w:hyperlink>
      <w:r>
        <w:rPr>
          <w:sz w:val="18"/>
          <w:szCs w:val="18"/>
          <w:lang w:val="en-US"/>
        </w:rPr>
        <w:t>. Multiple court cases have been brought against this ban and some Regional Courts have announced their intention to submit it for constitutional review. Constitutional amendments adopted in December 2020 introduced an obligation for children to be brought up in accordance “with the values based on our homeland’s constitutional identity and Christian culture”.</w:t>
      </w:r>
      <w:r w:rsidRPr="00B863D8">
        <w:rPr>
          <w:sz w:val="18"/>
          <w:szCs w:val="18"/>
          <w:lang w:val="en-US"/>
        </w:rPr>
        <w:t xml:space="preserve"> </w:t>
      </w:r>
    </w:p>
  </w:footnote>
  <w:footnote w:id="87">
    <w:p w14:paraId="39899C9A" w14:textId="4ABD0518" w:rsidR="000710F0" w:rsidRPr="00B34669" w:rsidRDefault="000710F0" w:rsidP="004B261F">
      <w:pPr>
        <w:pStyle w:val="FootnoteText"/>
        <w:jc w:val="both"/>
        <w:rPr>
          <w:sz w:val="18"/>
          <w:szCs w:val="18"/>
        </w:rPr>
      </w:pPr>
      <w:r w:rsidRPr="00B34669">
        <w:rPr>
          <w:rStyle w:val="FootnoteReference"/>
          <w:sz w:val="18"/>
          <w:szCs w:val="18"/>
        </w:rPr>
        <w:footnoteRef/>
      </w:r>
      <w:r w:rsidRPr="00B34669">
        <w:rPr>
          <w:sz w:val="18"/>
          <w:szCs w:val="18"/>
        </w:rPr>
        <w:t xml:space="preserve"> </w:t>
      </w:r>
      <w:r>
        <w:rPr>
          <w:sz w:val="18"/>
          <w:szCs w:val="18"/>
        </w:rPr>
        <w:t xml:space="preserve">See </w:t>
      </w:r>
      <w:hyperlink r:id="rId133" w:history="1">
        <w:r w:rsidRPr="004B261F">
          <w:rPr>
            <w:rStyle w:val="Hyperlink"/>
            <w:sz w:val="18"/>
            <w:szCs w:val="18"/>
          </w:rPr>
          <w:t>Shadow Report</w:t>
        </w:r>
      </w:hyperlink>
      <w:r>
        <w:rPr>
          <w:sz w:val="18"/>
          <w:szCs w:val="18"/>
        </w:rPr>
        <w:t xml:space="preserve"> to the GANHRI Sub-Committee on Accreditation, 18 February 2021. After t</w:t>
      </w:r>
      <w:r w:rsidRPr="00B34669">
        <w:rPr>
          <w:sz w:val="18"/>
          <w:szCs w:val="18"/>
        </w:rPr>
        <w:t xml:space="preserve">he </w:t>
      </w:r>
      <w:r>
        <w:rPr>
          <w:sz w:val="18"/>
          <w:szCs w:val="18"/>
        </w:rPr>
        <w:t xml:space="preserve">Minister of the Prime Minister’s Office insinuated that educational facilities using the book may face criminal charges, it was banned in several educational districts – a measure which was subsequently found illegal in at least one case. </w:t>
      </w:r>
    </w:p>
  </w:footnote>
  <w:footnote w:id="88">
    <w:p w14:paraId="2B95BA63" w14:textId="56629472" w:rsidR="000710F0" w:rsidRPr="000130EA" w:rsidRDefault="000710F0" w:rsidP="004B261F">
      <w:pPr>
        <w:pStyle w:val="FootnoteText"/>
        <w:jc w:val="both"/>
        <w:rPr>
          <w:sz w:val="18"/>
          <w:szCs w:val="18"/>
        </w:rPr>
      </w:pPr>
      <w:r w:rsidRPr="000130EA">
        <w:rPr>
          <w:rStyle w:val="FootnoteReference"/>
          <w:sz w:val="18"/>
          <w:szCs w:val="18"/>
        </w:rPr>
        <w:footnoteRef/>
      </w:r>
      <w:r w:rsidRPr="000130EA">
        <w:rPr>
          <w:sz w:val="18"/>
          <w:szCs w:val="18"/>
        </w:rPr>
        <w:t xml:space="preserve"> A </w:t>
      </w:r>
      <w:r>
        <w:rPr>
          <w:sz w:val="18"/>
          <w:szCs w:val="18"/>
        </w:rPr>
        <w:t xml:space="preserve">legal complaint against the decision has been lodged. In a separate decision, </w:t>
      </w:r>
      <w:hyperlink r:id="rId134" w:history="1">
        <w:r w:rsidRPr="00E93CD9">
          <w:rPr>
            <w:rStyle w:val="Hyperlink"/>
            <w:sz w:val="18"/>
            <w:szCs w:val="18"/>
          </w:rPr>
          <w:t>Coca Cola</w:t>
        </w:r>
      </w:hyperlink>
      <w:r>
        <w:rPr>
          <w:sz w:val="18"/>
          <w:szCs w:val="18"/>
        </w:rPr>
        <w:t xml:space="preserve"> was fined 500,000 Forints for its advertisement featuring same sex couples on the ground that this was detrimental to children’s development.</w:t>
      </w:r>
    </w:p>
  </w:footnote>
  <w:footnote w:id="89">
    <w:p w14:paraId="57F74682" w14:textId="21B5DAD8" w:rsidR="000710F0" w:rsidRPr="002B2559" w:rsidRDefault="000710F0" w:rsidP="00E97D0A">
      <w:pPr>
        <w:pStyle w:val="FootnoteText"/>
        <w:jc w:val="both"/>
        <w:rPr>
          <w:sz w:val="18"/>
          <w:szCs w:val="18"/>
        </w:rPr>
      </w:pPr>
      <w:r w:rsidRPr="002B2559">
        <w:rPr>
          <w:rStyle w:val="FootnoteReference"/>
          <w:sz w:val="18"/>
          <w:szCs w:val="18"/>
        </w:rPr>
        <w:footnoteRef/>
      </w:r>
      <w:r w:rsidRPr="002B2559">
        <w:rPr>
          <w:sz w:val="18"/>
          <w:szCs w:val="18"/>
        </w:rPr>
        <w:t xml:space="preserve"> </w:t>
      </w:r>
      <w:r>
        <w:rPr>
          <w:sz w:val="18"/>
          <w:szCs w:val="18"/>
        </w:rPr>
        <w:t xml:space="preserve">Consecutive </w:t>
      </w:r>
      <w:hyperlink r:id="rId135" w:history="1">
        <w:r w:rsidRPr="00661CCA">
          <w:rPr>
            <w:rStyle w:val="Hyperlink"/>
            <w:sz w:val="18"/>
            <w:szCs w:val="18"/>
          </w:rPr>
          <w:t>annual reports</w:t>
        </w:r>
      </w:hyperlink>
      <w:r>
        <w:rPr>
          <w:sz w:val="18"/>
          <w:szCs w:val="18"/>
        </w:rPr>
        <w:t xml:space="preserve"> by the Media Council between 2014 and 2018 highlight the fact that </w:t>
      </w:r>
      <w:r w:rsidRPr="00E97D0A">
        <w:rPr>
          <w:sz w:val="18"/>
          <w:szCs w:val="18"/>
        </w:rPr>
        <w:t>LGBT</w:t>
      </w:r>
      <w:r>
        <w:rPr>
          <w:sz w:val="18"/>
          <w:szCs w:val="18"/>
        </w:rPr>
        <w:t>I</w:t>
      </w:r>
      <w:r w:rsidRPr="00E97D0A">
        <w:rPr>
          <w:sz w:val="18"/>
          <w:szCs w:val="18"/>
        </w:rPr>
        <w:t xml:space="preserve"> organi</w:t>
      </w:r>
      <w:r>
        <w:rPr>
          <w:sz w:val="18"/>
          <w:szCs w:val="18"/>
        </w:rPr>
        <w:t>s</w:t>
      </w:r>
      <w:r w:rsidRPr="00E97D0A">
        <w:rPr>
          <w:sz w:val="18"/>
          <w:szCs w:val="18"/>
        </w:rPr>
        <w:t xml:space="preserve">ations </w:t>
      </w:r>
      <w:r>
        <w:rPr>
          <w:sz w:val="18"/>
          <w:szCs w:val="18"/>
        </w:rPr>
        <w:t>are represented in only 0.1-0.8% of the civil society segment – which itself is very under-represented. Since 2018, a</w:t>
      </w:r>
      <w:r w:rsidRPr="002B2559">
        <w:rPr>
          <w:sz w:val="18"/>
          <w:szCs w:val="18"/>
        </w:rPr>
        <w:t xml:space="preserve">ccess to the media </w:t>
      </w:r>
      <w:r>
        <w:rPr>
          <w:sz w:val="18"/>
          <w:szCs w:val="18"/>
        </w:rPr>
        <w:t>i</w:t>
      </w:r>
      <w:r w:rsidRPr="002B2559">
        <w:rPr>
          <w:sz w:val="18"/>
          <w:szCs w:val="18"/>
        </w:rPr>
        <w:t xml:space="preserve">s </w:t>
      </w:r>
      <w:r>
        <w:rPr>
          <w:sz w:val="18"/>
          <w:szCs w:val="18"/>
        </w:rPr>
        <w:t xml:space="preserve">reported to have </w:t>
      </w:r>
      <w:r w:rsidRPr="002B2559">
        <w:rPr>
          <w:sz w:val="18"/>
          <w:szCs w:val="18"/>
        </w:rPr>
        <w:t xml:space="preserve">been </w:t>
      </w:r>
      <w:r>
        <w:rPr>
          <w:sz w:val="18"/>
          <w:szCs w:val="18"/>
        </w:rPr>
        <w:t xml:space="preserve">further </w:t>
      </w:r>
      <w:r w:rsidRPr="002B2559">
        <w:rPr>
          <w:sz w:val="18"/>
          <w:szCs w:val="18"/>
        </w:rPr>
        <w:t>curtailed</w:t>
      </w:r>
      <w:r>
        <w:rPr>
          <w:sz w:val="18"/>
          <w:szCs w:val="18"/>
        </w:rPr>
        <w:t xml:space="preserve">, even to the point where </w:t>
      </w:r>
      <w:r w:rsidRPr="002B2559">
        <w:rPr>
          <w:sz w:val="18"/>
          <w:szCs w:val="18"/>
          <w:lang w:val="en-US"/>
        </w:rPr>
        <w:t xml:space="preserve">invitations </w:t>
      </w:r>
      <w:r>
        <w:rPr>
          <w:sz w:val="18"/>
          <w:szCs w:val="18"/>
        </w:rPr>
        <w:t xml:space="preserve">already issued </w:t>
      </w:r>
      <w:r w:rsidRPr="002B2559">
        <w:rPr>
          <w:sz w:val="18"/>
          <w:szCs w:val="18"/>
          <w:lang w:val="en-US"/>
        </w:rPr>
        <w:t xml:space="preserve">by public broadcasters </w:t>
      </w:r>
      <w:r>
        <w:rPr>
          <w:sz w:val="18"/>
          <w:szCs w:val="18"/>
          <w:lang w:val="en-US"/>
        </w:rPr>
        <w:t>to LGBTI persons have been</w:t>
      </w:r>
      <w:r w:rsidRPr="002B2559">
        <w:rPr>
          <w:sz w:val="18"/>
          <w:szCs w:val="18"/>
          <w:lang w:val="en-US"/>
        </w:rPr>
        <w:t xml:space="preserve"> rescinded </w:t>
      </w:r>
      <w:r>
        <w:rPr>
          <w:sz w:val="18"/>
          <w:szCs w:val="18"/>
          <w:lang w:val="en-US"/>
        </w:rPr>
        <w:t>because or orders received from above.</w:t>
      </w:r>
      <w:r w:rsidRPr="002B2559">
        <w:rPr>
          <w:sz w:val="18"/>
          <w:szCs w:val="18"/>
          <w:lang w:val="en-US"/>
        </w:rPr>
        <w:t xml:space="preserve"> </w:t>
      </w:r>
    </w:p>
  </w:footnote>
  <w:footnote w:id="90">
    <w:p w14:paraId="3DCEA4C0" w14:textId="77777777" w:rsidR="000710F0" w:rsidRPr="005264F8" w:rsidRDefault="000710F0" w:rsidP="004B261F">
      <w:pPr>
        <w:pStyle w:val="FootnoteText"/>
        <w:jc w:val="both"/>
        <w:rPr>
          <w:sz w:val="18"/>
          <w:szCs w:val="18"/>
        </w:rPr>
      </w:pPr>
      <w:r w:rsidRPr="005264F8">
        <w:rPr>
          <w:rStyle w:val="FootnoteReference"/>
          <w:sz w:val="18"/>
          <w:szCs w:val="18"/>
        </w:rPr>
        <w:footnoteRef/>
      </w:r>
      <w:r w:rsidRPr="005264F8">
        <w:rPr>
          <w:sz w:val="18"/>
          <w:szCs w:val="18"/>
        </w:rPr>
        <w:t xml:space="preserve"> See </w:t>
      </w:r>
      <w:proofErr w:type="spellStart"/>
      <w:r w:rsidRPr="005264F8">
        <w:rPr>
          <w:sz w:val="18"/>
          <w:szCs w:val="18"/>
        </w:rPr>
        <w:t>M</w:t>
      </w:r>
      <w:r w:rsidRPr="005264F8">
        <w:rPr>
          <w:rFonts w:cstheme="minorHAnsi"/>
          <w:sz w:val="18"/>
          <w:szCs w:val="18"/>
        </w:rPr>
        <w:t>érték</w:t>
      </w:r>
      <w:proofErr w:type="spellEnd"/>
      <w:r w:rsidRPr="005264F8">
        <w:rPr>
          <w:rFonts w:cstheme="minorHAnsi"/>
          <w:sz w:val="18"/>
          <w:szCs w:val="18"/>
        </w:rPr>
        <w:t xml:space="preserve"> Media Monitoring ‘</w:t>
      </w:r>
      <w:hyperlink r:id="rId136" w:history="1">
        <w:r w:rsidRPr="005264F8">
          <w:rPr>
            <w:rStyle w:val="Hyperlink"/>
            <w:rFonts w:cstheme="minorHAnsi"/>
            <w:sz w:val="18"/>
            <w:szCs w:val="18"/>
          </w:rPr>
          <w:t>An infected media system</w:t>
        </w:r>
      </w:hyperlink>
      <w:r w:rsidRPr="005264F8">
        <w:rPr>
          <w:rFonts w:cstheme="minorHAnsi"/>
          <w:sz w:val="18"/>
          <w:szCs w:val="18"/>
        </w:rPr>
        <w:t>’, 1 December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C7385" w14:textId="5DEF02B1" w:rsidR="000710F0" w:rsidRDefault="000710F0">
    <w:pPr>
      <w:pStyle w:val="Header"/>
      <w:jc w:val="right"/>
    </w:pPr>
  </w:p>
  <w:p w14:paraId="143E5567" w14:textId="77777777" w:rsidR="000710F0" w:rsidRDefault="00071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4C466" w14:textId="355703E3" w:rsidR="00EC4851" w:rsidRDefault="00EC4851">
    <w:pPr>
      <w:pStyle w:val="Header"/>
    </w:pPr>
    <w:r>
      <w:rPr>
        <w:noProof/>
      </w:rPr>
      <w:drawing>
        <wp:anchor distT="0" distB="0" distL="114300" distR="114300" simplePos="0" relativeHeight="251658240" behindDoc="1" locked="0" layoutInCell="1" allowOverlap="1" wp14:anchorId="7FAC81F2" wp14:editId="1EC6CA8F">
          <wp:simplePos x="0" y="0"/>
          <wp:positionH relativeFrom="margin">
            <wp:align>center</wp:align>
          </wp:positionH>
          <wp:positionV relativeFrom="paragraph">
            <wp:posOffset>-349673</wp:posOffset>
          </wp:positionV>
          <wp:extent cx="6469380" cy="1140460"/>
          <wp:effectExtent l="0" t="0" r="7620" b="2540"/>
          <wp:wrapTight wrapText="bothSides">
            <wp:wrapPolygon edited="0">
              <wp:start x="0" y="0"/>
              <wp:lineTo x="0" y="21287"/>
              <wp:lineTo x="21562" y="21287"/>
              <wp:lineTo x="21562"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69380" cy="1140460"/>
                  </a:xfrm>
                  <a:prstGeom prst="rect">
                    <a:avLst/>
                  </a:prstGeom>
                </pic:spPr>
              </pic:pic>
            </a:graphicData>
          </a:graphic>
          <wp14:sizeRelH relativeFrom="page">
            <wp14:pctWidth>0</wp14:pctWidth>
          </wp14:sizeRelH>
          <wp14:sizeRelV relativeFrom="page">
            <wp14:pctHeight>0</wp14:pctHeight>
          </wp14:sizeRelV>
        </wp:anchor>
      </w:drawing>
    </w:r>
  </w:p>
  <w:p w14:paraId="4930F670" w14:textId="1B9EC778" w:rsidR="000710F0" w:rsidRDefault="00071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164C"/>
    <w:multiLevelType w:val="multilevel"/>
    <w:tmpl w:val="11182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87A09"/>
    <w:multiLevelType w:val="hybridMultilevel"/>
    <w:tmpl w:val="B9D83DA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237910E4"/>
    <w:multiLevelType w:val="hybridMultilevel"/>
    <w:tmpl w:val="C3540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5E0318"/>
    <w:multiLevelType w:val="hybridMultilevel"/>
    <w:tmpl w:val="4078A448"/>
    <w:lvl w:ilvl="0" w:tplc="A72243D2">
      <w:start w:val="1"/>
      <w:numFmt w:val="lowerLetter"/>
      <w:lvlText w:val="%1)"/>
      <w:lvlJc w:val="left"/>
      <w:pPr>
        <w:ind w:left="1071" w:hanging="360"/>
      </w:pPr>
      <w:rPr>
        <w:rFonts w:hint="default"/>
      </w:rPr>
    </w:lvl>
    <w:lvl w:ilvl="1" w:tplc="040C0019" w:tentative="1">
      <w:start w:val="1"/>
      <w:numFmt w:val="lowerLetter"/>
      <w:lvlText w:val="%2."/>
      <w:lvlJc w:val="left"/>
      <w:pPr>
        <w:ind w:left="1791" w:hanging="360"/>
      </w:pPr>
    </w:lvl>
    <w:lvl w:ilvl="2" w:tplc="040C001B" w:tentative="1">
      <w:start w:val="1"/>
      <w:numFmt w:val="lowerRoman"/>
      <w:lvlText w:val="%3."/>
      <w:lvlJc w:val="right"/>
      <w:pPr>
        <w:ind w:left="2511" w:hanging="180"/>
      </w:pPr>
    </w:lvl>
    <w:lvl w:ilvl="3" w:tplc="040C000F" w:tentative="1">
      <w:start w:val="1"/>
      <w:numFmt w:val="decimal"/>
      <w:lvlText w:val="%4."/>
      <w:lvlJc w:val="left"/>
      <w:pPr>
        <w:ind w:left="3231" w:hanging="360"/>
      </w:pPr>
    </w:lvl>
    <w:lvl w:ilvl="4" w:tplc="040C0019" w:tentative="1">
      <w:start w:val="1"/>
      <w:numFmt w:val="lowerLetter"/>
      <w:lvlText w:val="%5."/>
      <w:lvlJc w:val="left"/>
      <w:pPr>
        <w:ind w:left="3951" w:hanging="360"/>
      </w:pPr>
    </w:lvl>
    <w:lvl w:ilvl="5" w:tplc="040C001B" w:tentative="1">
      <w:start w:val="1"/>
      <w:numFmt w:val="lowerRoman"/>
      <w:lvlText w:val="%6."/>
      <w:lvlJc w:val="right"/>
      <w:pPr>
        <w:ind w:left="4671" w:hanging="180"/>
      </w:pPr>
    </w:lvl>
    <w:lvl w:ilvl="6" w:tplc="040C000F" w:tentative="1">
      <w:start w:val="1"/>
      <w:numFmt w:val="decimal"/>
      <w:lvlText w:val="%7."/>
      <w:lvlJc w:val="left"/>
      <w:pPr>
        <w:ind w:left="5391" w:hanging="360"/>
      </w:pPr>
    </w:lvl>
    <w:lvl w:ilvl="7" w:tplc="040C0019" w:tentative="1">
      <w:start w:val="1"/>
      <w:numFmt w:val="lowerLetter"/>
      <w:lvlText w:val="%8."/>
      <w:lvlJc w:val="left"/>
      <w:pPr>
        <w:ind w:left="6111" w:hanging="360"/>
      </w:pPr>
    </w:lvl>
    <w:lvl w:ilvl="8" w:tplc="040C001B" w:tentative="1">
      <w:start w:val="1"/>
      <w:numFmt w:val="lowerRoman"/>
      <w:lvlText w:val="%9."/>
      <w:lvlJc w:val="right"/>
      <w:pPr>
        <w:ind w:left="6831" w:hanging="180"/>
      </w:pPr>
    </w:lvl>
  </w:abstractNum>
  <w:abstractNum w:abstractNumId="4" w15:restartNumberingAfterBreak="0">
    <w:nsid w:val="2AB50E07"/>
    <w:multiLevelType w:val="hybridMultilevel"/>
    <w:tmpl w:val="A6626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4F4344"/>
    <w:multiLevelType w:val="hybridMultilevel"/>
    <w:tmpl w:val="DB500EAA"/>
    <w:lvl w:ilvl="0" w:tplc="259C249C">
      <w:start w:val="1"/>
      <w:numFmt w:val="lowerLetter"/>
      <w:lvlText w:val="%1)"/>
      <w:lvlJc w:val="left"/>
      <w:pPr>
        <w:ind w:left="1071" w:hanging="360"/>
      </w:pPr>
      <w:rPr>
        <w:rFonts w:hint="default"/>
      </w:rPr>
    </w:lvl>
    <w:lvl w:ilvl="1" w:tplc="040C0019" w:tentative="1">
      <w:start w:val="1"/>
      <w:numFmt w:val="lowerLetter"/>
      <w:lvlText w:val="%2."/>
      <w:lvlJc w:val="left"/>
      <w:pPr>
        <w:ind w:left="1791" w:hanging="360"/>
      </w:pPr>
    </w:lvl>
    <w:lvl w:ilvl="2" w:tplc="040C001B" w:tentative="1">
      <w:start w:val="1"/>
      <w:numFmt w:val="lowerRoman"/>
      <w:lvlText w:val="%3."/>
      <w:lvlJc w:val="right"/>
      <w:pPr>
        <w:ind w:left="2511" w:hanging="180"/>
      </w:pPr>
    </w:lvl>
    <w:lvl w:ilvl="3" w:tplc="040C000F" w:tentative="1">
      <w:start w:val="1"/>
      <w:numFmt w:val="decimal"/>
      <w:lvlText w:val="%4."/>
      <w:lvlJc w:val="left"/>
      <w:pPr>
        <w:ind w:left="3231" w:hanging="360"/>
      </w:pPr>
    </w:lvl>
    <w:lvl w:ilvl="4" w:tplc="040C0019" w:tentative="1">
      <w:start w:val="1"/>
      <w:numFmt w:val="lowerLetter"/>
      <w:lvlText w:val="%5."/>
      <w:lvlJc w:val="left"/>
      <w:pPr>
        <w:ind w:left="3951" w:hanging="360"/>
      </w:pPr>
    </w:lvl>
    <w:lvl w:ilvl="5" w:tplc="040C001B" w:tentative="1">
      <w:start w:val="1"/>
      <w:numFmt w:val="lowerRoman"/>
      <w:lvlText w:val="%6."/>
      <w:lvlJc w:val="right"/>
      <w:pPr>
        <w:ind w:left="4671" w:hanging="180"/>
      </w:pPr>
    </w:lvl>
    <w:lvl w:ilvl="6" w:tplc="040C000F" w:tentative="1">
      <w:start w:val="1"/>
      <w:numFmt w:val="decimal"/>
      <w:lvlText w:val="%7."/>
      <w:lvlJc w:val="left"/>
      <w:pPr>
        <w:ind w:left="5391" w:hanging="360"/>
      </w:pPr>
    </w:lvl>
    <w:lvl w:ilvl="7" w:tplc="040C0019" w:tentative="1">
      <w:start w:val="1"/>
      <w:numFmt w:val="lowerLetter"/>
      <w:lvlText w:val="%8."/>
      <w:lvlJc w:val="left"/>
      <w:pPr>
        <w:ind w:left="6111" w:hanging="360"/>
      </w:pPr>
    </w:lvl>
    <w:lvl w:ilvl="8" w:tplc="040C001B" w:tentative="1">
      <w:start w:val="1"/>
      <w:numFmt w:val="lowerRoman"/>
      <w:lvlText w:val="%9."/>
      <w:lvlJc w:val="right"/>
      <w:pPr>
        <w:ind w:left="6831" w:hanging="180"/>
      </w:pPr>
    </w:lvl>
  </w:abstractNum>
  <w:abstractNum w:abstractNumId="6" w15:restartNumberingAfterBreak="0">
    <w:nsid w:val="35E95989"/>
    <w:multiLevelType w:val="hybridMultilevel"/>
    <w:tmpl w:val="DDBAB494"/>
    <w:lvl w:ilvl="0" w:tplc="000E834E">
      <w:start w:val="1"/>
      <w:numFmt w:val="decimal"/>
      <w:lvlText w:val="%1."/>
      <w:lvlJc w:val="left"/>
      <w:pPr>
        <w:ind w:left="502"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B628B8"/>
    <w:multiLevelType w:val="multilevel"/>
    <w:tmpl w:val="8788F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054180"/>
    <w:multiLevelType w:val="hybridMultilevel"/>
    <w:tmpl w:val="0908F740"/>
    <w:lvl w:ilvl="0" w:tplc="040C0001">
      <w:start w:val="1"/>
      <w:numFmt w:val="bullet"/>
      <w:lvlText w:val=""/>
      <w:lvlJc w:val="left"/>
      <w:pPr>
        <w:ind w:left="1431" w:hanging="360"/>
      </w:pPr>
      <w:rPr>
        <w:rFonts w:ascii="Symbol" w:hAnsi="Symbol" w:hint="default"/>
      </w:rPr>
    </w:lvl>
    <w:lvl w:ilvl="1" w:tplc="040C0019" w:tentative="1">
      <w:start w:val="1"/>
      <w:numFmt w:val="lowerLetter"/>
      <w:lvlText w:val="%2."/>
      <w:lvlJc w:val="left"/>
      <w:pPr>
        <w:ind w:left="2151" w:hanging="360"/>
      </w:pPr>
    </w:lvl>
    <w:lvl w:ilvl="2" w:tplc="040C001B" w:tentative="1">
      <w:start w:val="1"/>
      <w:numFmt w:val="lowerRoman"/>
      <w:lvlText w:val="%3."/>
      <w:lvlJc w:val="right"/>
      <w:pPr>
        <w:ind w:left="2871" w:hanging="180"/>
      </w:pPr>
    </w:lvl>
    <w:lvl w:ilvl="3" w:tplc="040C000F" w:tentative="1">
      <w:start w:val="1"/>
      <w:numFmt w:val="decimal"/>
      <w:lvlText w:val="%4."/>
      <w:lvlJc w:val="left"/>
      <w:pPr>
        <w:ind w:left="3591" w:hanging="360"/>
      </w:pPr>
    </w:lvl>
    <w:lvl w:ilvl="4" w:tplc="040C0019" w:tentative="1">
      <w:start w:val="1"/>
      <w:numFmt w:val="lowerLetter"/>
      <w:lvlText w:val="%5."/>
      <w:lvlJc w:val="left"/>
      <w:pPr>
        <w:ind w:left="4311" w:hanging="360"/>
      </w:pPr>
    </w:lvl>
    <w:lvl w:ilvl="5" w:tplc="040C001B" w:tentative="1">
      <w:start w:val="1"/>
      <w:numFmt w:val="lowerRoman"/>
      <w:lvlText w:val="%6."/>
      <w:lvlJc w:val="right"/>
      <w:pPr>
        <w:ind w:left="5031" w:hanging="180"/>
      </w:pPr>
    </w:lvl>
    <w:lvl w:ilvl="6" w:tplc="040C000F" w:tentative="1">
      <w:start w:val="1"/>
      <w:numFmt w:val="decimal"/>
      <w:lvlText w:val="%7."/>
      <w:lvlJc w:val="left"/>
      <w:pPr>
        <w:ind w:left="5751" w:hanging="360"/>
      </w:pPr>
    </w:lvl>
    <w:lvl w:ilvl="7" w:tplc="040C0019" w:tentative="1">
      <w:start w:val="1"/>
      <w:numFmt w:val="lowerLetter"/>
      <w:lvlText w:val="%8."/>
      <w:lvlJc w:val="left"/>
      <w:pPr>
        <w:ind w:left="6471" w:hanging="360"/>
      </w:pPr>
    </w:lvl>
    <w:lvl w:ilvl="8" w:tplc="040C001B" w:tentative="1">
      <w:start w:val="1"/>
      <w:numFmt w:val="lowerRoman"/>
      <w:lvlText w:val="%9."/>
      <w:lvlJc w:val="right"/>
      <w:pPr>
        <w:ind w:left="7191" w:hanging="180"/>
      </w:pPr>
    </w:lvl>
  </w:abstractNum>
  <w:abstractNum w:abstractNumId="9" w15:restartNumberingAfterBreak="0">
    <w:nsid w:val="3D66367C"/>
    <w:multiLevelType w:val="hybridMultilevel"/>
    <w:tmpl w:val="E0E2EEE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0" w15:restartNumberingAfterBreak="0">
    <w:nsid w:val="428D5BD4"/>
    <w:multiLevelType w:val="hybridMultilevel"/>
    <w:tmpl w:val="4EE072E4"/>
    <w:lvl w:ilvl="0" w:tplc="0409000D">
      <w:start w:val="1"/>
      <w:numFmt w:val="bullet"/>
      <w:lvlText w:val=""/>
      <w:lvlJc w:val="left"/>
      <w:pPr>
        <w:ind w:left="644" w:hanging="360"/>
      </w:pPr>
      <w:rPr>
        <w:rFonts w:ascii="Wingdings" w:hAnsi="Wingdings"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48245A99"/>
    <w:multiLevelType w:val="hybridMultilevel"/>
    <w:tmpl w:val="9E222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8A274F"/>
    <w:multiLevelType w:val="hybridMultilevel"/>
    <w:tmpl w:val="9DAEBABA"/>
    <w:lvl w:ilvl="0" w:tplc="040C0001">
      <w:start w:val="1"/>
      <w:numFmt w:val="bullet"/>
      <w:lvlText w:val=""/>
      <w:lvlJc w:val="left"/>
      <w:pPr>
        <w:ind w:left="1431" w:hanging="360"/>
      </w:pPr>
      <w:rPr>
        <w:rFonts w:ascii="Symbol" w:hAnsi="Symbol" w:hint="default"/>
      </w:rPr>
    </w:lvl>
    <w:lvl w:ilvl="1" w:tplc="040C0019" w:tentative="1">
      <w:start w:val="1"/>
      <w:numFmt w:val="lowerLetter"/>
      <w:lvlText w:val="%2."/>
      <w:lvlJc w:val="left"/>
      <w:pPr>
        <w:ind w:left="2151" w:hanging="360"/>
      </w:pPr>
    </w:lvl>
    <w:lvl w:ilvl="2" w:tplc="040C001B" w:tentative="1">
      <w:start w:val="1"/>
      <w:numFmt w:val="lowerRoman"/>
      <w:lvlText w:val="%3."/>
      <w:lvlJc w:val="right"/>
      <w:pPr>
        <w:ind w:left="2871" w:hanging="180"/>
      </w:pPr>
    </w:lvl>
    <w:lvl w:ilvl="3" w:tplc="040C000F" w:tentative="1">
      <w:start w:val="1"/>
      <w:numFmt w:val="decimal"/>
      <w:lvlText w:val="%4."/>
      <w:lvlJc w:val="left"/>
      <w:pPr>
        <w:ind w:left="3591" w:hanging="360"/>
      </w:pPr>
    </w:lvl>
    <w:lvl w:ilvl="4" w:tplc="040C0019" w:tentative="1">
      <w:start w:val="1"/>
      <w:numFmt w:val="lowerLetter"/>
      <w:lvlText w:val="%5."/>
      <w:lvlJc w:val="left"/>
      <w:pPr>
        <w:ind w:left="4311" w:hanging="360"/>
      </w:pPr>
    </w:lvl>
    <w:lvl w:ilvl="5" w:tplc="040C001B" w:tentative="1">
      <w:start w:val="1"/>
      <w:numFmt w:val="lowerRoman"/>
      <w:lvlText w:val="%6."/>
      <w:lvlJc w:val="right"/>
      <w:pPr>
        <w:ind w:left="5031" w:hanging="180"/>
      </w:pPr>
    </w:lvl>
    <w:lvl w:ilvl="6" w:tplc="040C000F" w:tentative="1">
      <w:start w:val="1"/>
      <w:numFmt w:val="decimal"/>
      <w:lvlText w:val="%7."/>
      <w:lvlJc w:val="left"/>
      <w:pPr>
        <w:ind w:left="5751" w:hanging="360"/>
      </w:pPr>
    </w:lvl>
    <w:lvl w:ilvl="7" w:tplc="040C0019" w:tentative="1">
      <w:start w:val="1"/>
      <w:numFmt w:val="lowerLetter"/>
      <w:lvlText w:val="%8."/>
      <w:lvlJc w:val="left"/>
      <w:pPr>
        <w:ind w:left="6471" w:hanging="360"/>
      </w:pPr>
    </w:lvl>
    <w:lvl w:ilvl="8" w:tplc="040C001B" w:tentative="1">
      <w:start w:val="1"/>
      <w:numFmt w:val="lowerRoman"/>
      <w:lvlText w:val="%9."/>
      <w:lvlJc w:val="right"/>
      <w:pPr>
        <w:ind w:left="7191" w:hanging="180"/>
      </w:pPr>
    </w:lvl>
  </w:abstractNum>
  <w:abstractNum w:abstractNumId="13" w15:restartNumberingAfterBreak="0">
    <w:nsid w:val="4D7663EC"/>
    <w:multiLevelType w:val="hybridMultilevel"/>
    <w:tmpl w:val="268ACB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40E70A4"/>
    <w:multiLevelType w:val="hybridMultilevel"/>
    <w:tmpl w:val="5A5AB208"/>
    <w:lvl w:ilvl="0" w:tplc="D020E096">
      <w:start w:val="1"/>
      <w:numFmt w:val="lowerLetter"/>
      <w:lvlText w:val="%1)"/>
      <w:lvlJc w:val="left"/>
      <w:pPr>
        <w:ind w:left="1071" w:hanging="360"/>
      </w:pPr>
      <w:rPr>
        <w:rFonts w:hint="default"/>
      </w:rPr>
    </w:lvl>
    <w:lvl w:ilvl="1" w:tplc="040C0019" w:tentative="1">
      <w:start w:val="1"/>
      <w:numFmt w:val="lowerLetter"/>
      <w:lvlText w:val="%2."/>
      <w:lvlJc w:val="left"/>
      <w:pPr>
        <w:ind w:left="1791" w:hanging="360"/>
      </w:pPr>
    </w:lvl>
    <w:lvl w:ilvl="2" w:tplc="040C001B" w:tentative="1">
      <w:start w:val="1"/>
      <w:numFmt w:val="lowerRoman"/>
      <w:lvlText w:val="%3."/>
      <w:lvlJc w:val="right"/>
      <w:pPr>
        <w:ind w:left="2511" w:hanging="180"/>
      </w:pPr>
    </w:lvl>
    <w:lvl w:ilvl="3" w:tplc="040C000F" w:tentative="1">
      <w:start w:val="1"/>
      <w:numFmt w:val="decimal"/>
      <w:lvlText w:val="%4."/>
      <w:lvlJc w:val="left"/>
      <w:pPr>
        <w:ind w:left="3231" w:hanging="360"/>
      </w:pPr>
    </w:lvl>
    <w:lvl w:ilvl="4" w:tplc="040C0019" w:tentative="1">
      <w:start w:val="1"/>
      <w:numFmt w:val="lowerLetter"/>
      <w:lvlText w:val="%5."/>
      <w:lvlJc w:val="left"/>
      <w:pPr>
        <w:ind w:left="3951" w:hanging="360"/>
      </w:pPr>
    </w:lvl>
    <w:lvl w:ilvl="5" w:tplc="040C001B" w:tentative="1">
      <w:start w:val="1"/>
      <w:numFmt w:val="lowerRoman"/>
      <w:lvlText w:val="%6."/>
      <w:lvlJc w:val="right"/>
      <w:pPr>
        <w:ind w:left="4671" w:hanging="180"/>
      </w:pPr>
    </w:lvl>
    <w:lvl w:ilvl="6" w:tplc="040C000F" w:tentative="1">
      <w:start w:val="1"/>
      <w:numFmt w:val="decimal"/>
      <w:lvlText w:val="%7."/>
      <w:lvlJc w:val="left"/>
      <w:pPr>
        <w:ind w:left="5391" w:hanging="360"/>
      </w:pPr>
    </w:lvl>
    <w:lvl w:ilvl="7" w:tplc="040C0019" w:tentative="1">
      <w:start w:val="1"/>
      <w:numFmt w:val="lowerLetter"/>
      <w:lvlText w:val="%8."/>
      <w:lvlJc w:val="left"/>
      <w:pPr>
        <w:ind w:left="6111" w:hanging="360"/>
      </w:pPr>
    </w:lvl>
    <w:lvl w:ilvl="8" w:tplc="040C001B" w:tentative="1">
      <w:start w:val="1"/>
      <w:numFmt w:val="lowerRoman"/>
      <w:lvlText w:val="%9."/>
      <w:lvlJc w:val="right"/>
      <w:pPr>
        <w:ind w:left="6831" w:hanging="180"/>
      </w:pPr>
    </w:lvl>
  </w:abstractNum>
  <w:abstractNum w:abstractNumId="15" w15:restartNumberingAfterBreak="0">
    <w:nsid w:val="624958F2"/>
    <w:multiLevelType w:val="hybridMultilevel"/>
    <w:tmpl w:val="177C7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EF75E2"/>
    <w:multiLevelType w:val="hybridMultilevel"/>
    <w:tmpl w:val="B9D83DA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69680997"/>
    <w:multiLevelType w:val="hybridMultilevel"/>
    <w:tmpl w:val="A9E40642"/>
    <w:lvl w:ilvl="0" w:tplc="9D2AF788">
      <w:start w:val="1"/>
      <w:numFmt w:val="lowerLetter"/>
      <w:lvlText w:val="%1)"/>
      <w:lvlJc w:val="left"/>
      <w:pPr>
        <w:ind w:left="1071" w:hanging="360"/>
      </w:pPr>
      <w:rPr>
        <w:rFonts w:hint="default"/>
      </w:rPr>
    </w:lvl>
    <w:lvl w:ilvl="1" w:tplc="040C0019" w:tentative="1">
      <w:start w:val="1"/>
      <w:numFmt w:val="lowerLetter"/>
      <w:lvlText w:val="%2."/>
      <w:lvlJc w:val="left"/>
      <w:pPr>
        <w:ind w:left="1791" w:hanging="360"/>
      </w:pPr>
    </w:lvl>
    <w:lvl w:ilvl="2" w:tplc="040C001B" w:tentative="1">
      <w:start w:val="1"/>
      <w:numFmt w:val="lowerRoman"/>
      <w:lvlText w:val="%3."/>
      <w:lvlJc w:val="right"/>
      <w:pPr>
        <w:ind w:left="2511" w:hanging="180"/>
      </w:pPr>
    </w:lvl>
    <w:lvl w:ilvl="3" w:tplc="040C000F" w:tentative="1">
      <w:start w:val="1"/>
      <w:numFmt w:val="decimal"/>
      <w:lvlText w:val="%4."/>
      <w:lvlJc w:val="left"/>
      <w:pPr>
        <w:ind w:left="3231" w:hanging="360"/>
      </w:pPr>
    </w:lvl>
    <w:lvl w:ilvl="4" w:tplc="040C0019" w:tentative="1">
      <w:start w:val="1"/>
      <w:numFmt w:val="lowerLetter"/>
      <w:lvlText w:val="%5."/>
      <w:lvlJc w:val="left"/>
      <w:pPr>
        <w:ind w:left="3951" w:hanging="360"/>
      </w:pPr>
    </w:lvl>
    <w:lvl w:ilvl="5" w:tplc="040C001B" w:tentative="1">
      <w:start w:val="1"/>
      <w:numFmt w:val="lowerRoman"/>
      <w:lvlText w:val="%6."/>
      <w:lvlJc w:val="right"/>
      <w:pPr>
        <w:ind w:left="4671" w:hanging="180"/>
      </w:pPr>
    </w:lvl>
    <w:lvl w:ilvl="6" w:tplc="040C000F" w:tentative="1">
      <w:start w:val="1"/>
      <w:numFmt w:val="decimal"/>
      <w:lvlText w:val="%7."/>
      <w:lvlJc w:val="left"/>
      <w:pPr>
        <w:ind w:left="5391" w:hanging="360"/>
      </w:pPr>
    </w:lvl>
    <w:lvl w:ilvl="7" w:tplc="040C0019" w:tentative="1">
      <w:start w:val="1"/>
      <w:numFmt w:val="lowerLetter"/>
      <w:lvlText w:val="%8."/>
      <w:lvlJc w:val="left"/>
      <w:pPr>
        <w:ind w:left="6111" w:hanging="360"/>
      </w:pPr>
    </w:lvl>
    <w:lvl w:ilvl="8" w:tplc="040C001B" w:tentative="1">
      <w:start w:val="1"/>
      <w:numFmt w:val="lowerRoman"/>
      <w:lvlText w:val="%9."/>
      <w:lvlJc w:val="right"/>
      <w:pPr>
        <w:ind w:left="6831" w:hanging="180"/>
      </w:pPr>
    </w:lvl>
  </w:abstractNum>
  <w:abstractNum w:abstractNumId="18" w15:restartNumberingAfterBreak="0">
    <w:nsid w:val="6D343389"/>
    <w:multiLevelType w:val="hybridMultilevel"/>
    <w:tmpl w:val="B9D83DA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15:restartNumberingAfterBreak="0">
    <w:nsid w:val="70996BD1"/>
    <w:multiLevelType w:val="hybridMultilevel"/>
    <w:tmpl w:val="3E720E60"/>
    <w:lvl w:ilvl="0" w:tplc="1D489C3C">
      <w:start w:val="1"/>
      <w:numFmt w:val="decimal"/>
      <w:lvlText w:val="%1."/>
      <w:lvlJc w:val="left"/>
      <w:pPr>
        <w:ind w:left="711" w:hanging="360"/>
      </w:pPr>
      <w:rPr>
        <w:rFonts w:hint="default"/>
      </w:rPr>
    </w:lvl>
    <w:lvl w:ilvl="1" w:tplc="040C0019">
      <w:start w:val="1"/>
      <w:numFmt w:val="lowerLetter"/>
      <w:lvlText w:val="%2."/>
      <w:lvlJc w:val="left"/>
      <w:pPr>
        <w:ind w:left="1431" w:hanging="360"/>
      </w:pPr>
    </w:lvl>
    <w:lvl w:ilvl="2" w:tplc="040C001B" w:tentative="1">
      <w:start w:val="1"/>
      <w:numFmt w:val="lowerRoman"/>
      <w:lvlText w:val="%3."/>
      <w:lvlJc w:val="right"/>
      <w:pPr>
        <w:ind w:left="2151" w:hanging="180"/>
      </w:pPr>
    </w:lvl>
    <w:lvl w:ilvl="3" w:tplc="040C000F" w:tentative="1">
      <w:start w:val="1"/>
      <w:numFmt w:val="decimal"/>
      <w:lvlText w:val="%4."/>
      <w:lvlJc w:val="left"/>
      <w:pPr>
        <w:ind w:left="2871" w:hanging="360"/>
      </w:pPr>
    </w:lvl>
    <w:lvl w:ilvl="4" w:tplc="040C0019" w:tentative="1">
      <w:start w:val="1"/>
      <w:numFmt w:val="lowerLetter"/>
      <w:lvlText w:val="%5."/>
      <w:lvlJc w:val="left"/>
      <w:pPr>
        <w:ind w:left="3591" w:hanging="360"/>
      </w:pPr>
    </w:lvl>
    <w:lvl w:ilvl="5" w:tplc="040C001B" w:tentative="1">
      <w:start w:val="1"/>
      <w:numFmt w:val="lowerRoman"/>
      <w:lvlText w:val="%6."/>
      <w:lvlJc w:val="right"/>
      <w:pPr>
        <w:ind w:left="4311" w:hanging="180"/>
      </w:pPr>
    </w:lvl>
    <w:lvl w:ilvl="6" w:tplc="040C000F" w:tentative="1">
      <w:start w:val="1"/>
      <w:numFmt w:val="decimal"/>
      <w:lvlText w:val="%7."/>
      <w:lvlJc w:val="left"/>
      <w:pPr>
        <w:ind w:left="5031" w:hanging="360"/>
      </w:pPr>
    </w:lvl>
    <w:lvl w:ilvl="7" w:tplc="040C0019" w:tentative="1">
      <w:start w:val="1"/>
      <w:numFmt w:val="lowerLetter"/>
      <w:lvlText w:val="%8."/>
      <w:lvlJc w:val="left"/>
      <w:pPr>
        <w:ind w:left="5751" w:hanging="360"/>
      </w:pPr>
    </w:lvl>
    <w:lvl w:ilvl="8" w:tplc="040C001B" w:tentative="1">
      <w:start w:val="1"/>
      <w:numFmt w:val="lowerRoman"/>
      <w:lvlText w:val="%9."/>
      <w:lvlJc w:val="right"/>
      <w:pPr>
        <w:ind w:left="6471" w:hanging="180"/>
      </w:pPr>
    </w:lvl>
  </w:abstractNum>
  <w:abstractNum w:abstractNumId="20" w15:restartNumberingAfterBreak="0">
    <w:nsid w:val="71F22C40"/>
    <w:multiLevelType w:val="hybridMultilevel"/>
    <w:tmpl w:val="E0B4D4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8C031CF"/>
    <w:multiLevelType w:val="multilevel"/>
    <w:tmpl w:val="39909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9AB679B"/>
    <w:multiLevelType w:val="hybridMultilevel"/>
    <w:tmpl w:val="BFD87B7C"/>
    <w:lvl w:ilvl="0" w:tplc="E2A69684">
      <w:start w:val="1"/>
      <w:numFmt w:val="upperRoman"/>
      <w:lvlText w:val="%1."/>
      <w:lvlJc w:val="left"/>
      <w:pPr>
        <w:ind w:left="363" w:hanging="720"/>
      </w:pPr>
      <w:rPr>
        <w:rFonts w:hint="default"/>
        <w:b/>
        <w:bCs/>
      </w:rPr>
    </w:lvl>
    <w:lvl w:ilvl="1" w:tplc="040C0019" w:tentative="1">
      <w:start w:val="1"/>
      <w:numFmt w:val="lowerLetter"/>
      <w:lvlText w:val="%2."/>
      <w:lvlJc w:val="left"/>
      <w:pPr>
        <w:ind w:left="723" w:hanging="360"/>
      </w:pPr>
    </w:lvl>
    <w:lvl w:ilvl="2" w:tplc="040C001B" w:tentative="1">
      <w:start w:val="1"/>
      <w:numFmt w:val="lowerRoman"/>
      <w:lvlText w:val="%3."/>
      <w:lvlJc w:val="right"/>
      <w:pPr>
        <w:ind w:left="1443" w:hanging="180"/>
      </w:pPr>
    </w:lvl>
    <w:lvl w:ilvl="3" w:tplc="040C000F" w:tentative="1">
      <w:start w:val="1"/>
      <w:numFmt w:val="decimal"/>
      <w:lvlText w:val="%4."/>
      <w:lvlJc w:val="left"/>
      <w:pPr>
        <w:ind w:left="2163" w:hanging="360"/>
      </w:pPr>
    </w:lvl>
    <w:lvl w:ilvl="4" w:tplc="040C0019" w:tentative="1">
      <w:start w:val="1"/>
      <w:numFmt w:val="lowerLetter"/>
      <w:lvlText w:val="%5."/>
      <w:lvlJc w:val="left"/>
      <w:pPr>
        <w:ind w:left="2883" w:hanging="360"/>
      </w:pPr>
    </w:lvl>
    <w:lvl w:ilvl="5" w:tplc="040C001B" w:tentative="1">
      <w:start w:val="1"/>
      <w:numFmt w:val="lowerRoman"/>
      <w:lvlText w:val="%6."/>
      <w:lvlJc w:val="right"/>
      <w:pPr>
        <w:ind w:left="3603" w:hanging="180"/>
      </w:pPr>
    </w:lvl>
    <w:lvl w:ilvl="6" w:tplc="040C000F" w:tentative="1">
      <w:start w:val="1"/>
      <w:numFmt w:val="decimal"/>
      <w:lvlText w:val="%7."/>
      <w:lvlJc w:val="left"/>
      <w:pPr>
        <w:ind w:left="4323" w:hanging="360"/>
      </w:pPr>
    </w:lvl>
    <w:lvl w:ilvl="7" w:tplc="040C0019" w:tentative="1">
      <w:start w:val="1"/>
      <w:numFmt w:val="lowerLetter"/>
      <w:lvlText w:val="%8."/>
      <w:lvlJc w:val="left"/>
      <w:pPr>
        <w:ind w:left="5043" w:hanging="360"/>
      </w:pPr>
    </w:lvl>
    <w:lvl w:ilvl="8" w:tplc="040C001B" w:tentative="1">
      <w:start w:val="1"/>
      <w:numFmt w:val="lowerRoman"/>
      <w:lvlText w:val="%9."/>
      <w:lvlJc w:val="right"/>
      <w:pPr>
        <w:ind w:left="5763" w:hanging="180"/>
      </w:pPr>
    </w:lvl>
  </w:abstractNum>
  <w:abstractNum w:abstractNumId="23" w15:restartNumberingAfterBreak="0">
    <w:nsid w:val="7EFC6675"/>
    <w:multiLevelType w:val="hybridMultilevel"/>
    <w:tmpl w:val="4078A448"/>
    <w:lvl w:ilvl="0" w:tplc="A72243D2">
      <w:start w:val="1"/>
      <w:numFmt w:val="lowerLetter"/>
      <w:lvlText w:val="%1)"/>
      <w:lvlJc w:val="left"/>
      <w:pPr>
        <w:ind w:left="1071" w:hanging="360"/>
      </w:pPr>
      <w:rPr>
        <w:rFonts w:hint="default"/>
      </w:rPr>
    </w:lvl>
    <w:lvl w:ilvl="1" w:tplc="040C0019">
      <w:start w:val="1"/>
      <w:numFmt w:val="lowerLetter"/>
      <w:lvlText w:val="%2."/>
      <w:lvlJc w:val="left"/>
      <w:pPr>
        <w:ind w:left="1791" w:hanging="360"/>
      </w:pPr>
    </w:lvl>
    <w:lvl w:ilvl="2" w:tplc="040C001B" w:tentative="1">
      <w:start w:val="1"/>
      <w:numFmt w:val="lowerRoman"/>
      <w:lvlText w:val="%3."/>
      <w:lvlJc w:val="right"/>
      <w:pPr>
        <w:ind w:left="2511" w:hanging="180"/>
      </w:pPr>
    </w:lvl>
    <w:lvl w:ilvl="3" w:tplc="040C000F" w:tentative="1">
      <w:start w:val="1"/>
      <w:numFmt w:val="decimal"/>
      <w:lvlText w:val="%4."/>
      <w:lvlJc w:val="left"/>
      <w:pPr>
        <w:ind w:left="3231" w:hanging="360"/>
      </w:pPr>
    </w:lvl>
    <w:lvl w:ilvl="4" w:tplc="040C0019" w:tentative="1">
      <w:start w:val="1"/>
      <w:numFmt w:val="lowerLetter"/>
      <w:lvlText w:val="%5."/>
      <w:lvlJc w:val="left"/>
      <w:pPr>
        <w:ind w:left="3951" w:hanging="360"/>
      </w:pPr>
    </w:lvl>
    <w:lvl w:ilvl="5" w:tplc="040C001B" w:tentative="1">
      <w:start w:val="1"/>
      <w:numFmt w:val="lowerRoman"/>
      <w:lvlText w:val="%6."/>
      <w:lvlJc w:val="right"/>
      <w:pPr>
        <w:ind w:left="4671" w:hanging="180"/>
      </w:pPr>
    </w:lvl>
    <w:lvl w:ilvl="6" w:tplc="040C000F" w:tentative="1">
      <w:start w:val="1"/>
      <w:numFmt w:val="decimal"/>
      <w:lvlText w:val="%7."/>
      <w:lvlJc w:val="left"/>
      <w:pPr>
        <w:ind w:left="5391" w:hanging="360"/>
      </w:pPr>
    </w:lvl>
    <w:lvl w:ilvl="7" w:tplc="040C0019" w:tentative="1">
      <w:start w:val="1"/>
      <w:numFmt w:val="lowerLetter"/>
      <w:lvlText w:val="%8."/>
      <w:lvlJc w:val="left"/>
      <w:pPr>
        <w:ind w:left="6111" w:hanging="360"/>
      </w:pPr>
    </w:lvl>
    <w:lvl w:ilvl="8" w:tplc="040C001B" w:tentative="1">
      <w:start w:val="1"/>
      <w:numFmt w:val="lowerRoman"/>
      <w:lvlText w:val="%9."/>
      <w:lvlJc w:val="right"/>
      <w:pPr>
        <w:ind w:left="6831" w:hanging="180"/>
      </w:pPr>
    </w:lvl>
  </w:abstractNum>
  <w:num w:numId="1">
    <w:abstractNumId w:val="20"/>
  </w:num>
  <w:num w:numId="2">
    <w:abstractNumId w:val="6"/>
  </w:num>
  <w:num w:numId="3">
    <w:abstractNumId w:val="19"/>
  </w:num>
  <w:num w:numId="4">
    <w:abstractNumId w:val="5"/>
  </w:num>
  <w:num w:numId="5">
    <w:abstractNumId w:val="17"/>
  </w:num>
  <w:num w:numId="6">
    <w:abstractNumId w:val="14"/>
  </w:num>
  <w:num w:numId="7">
    <w:abstractNumId w:val="8"/>
  </w:num>
  <w:num w:numId="8">
    <w:abstractNumId w:val="12"/>
  </w:num>
  <w:num w:numId="9">
    <w:abstractNumId w:val="15"/>
  </w:num>
  <w:num w:numId="10">
    <w:abstractNumId w:val="21"/>
  </w:num>
  <w:num w:numId="11">
    <w:abstractNumId w:val="7"/>
  </w:num>
  <w:num w:numId="12">
    <w:abstractNumId w:val="23"/>
  </w:num>
  <w:num w:numId="13">
    <w:abstractNumId w:val="9"/>
  </w:num>
  <w:num w:numId="14">
    <w:abstractNumId w:val="11"/>
  </w:num>
  <w:num w:numId="15">
    <w:abstractNumId w:val="4"/>
  </w:num>
  <w:num w:numId="16">
    <w:abstractNumId w:val="2"/>
  </w:num>
  <w:num w:numId="17">
    <w:abstractNumId w:val="13"/>
  </w:num>
  <w:num w:numId="18">
    <w:abstractNumId w:val="10"/>
  </w:num>
  <w:num w:numId="19">
    <w:abstractNumId w:val="22"/>
  </w:num>
  <w:num w:numId="20">
    <w:abstractNumId w:val="18"/>
  </w:num>
  <w:num w:numId="21">
    <w:abstractNumId w:val="1"/>
  </w:num>
  <w:num w:numId="22">
    <w:abstractNumId w:val="16"/>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05"/>
    <w:rsid w:val="00007A82"/>
    <w:rsid w:val="000105A0"/>
    <w:rsid w:val="00010946"/>
    <w:rsid w:val="00011832"/>
    <w:rsid w:val="000130EA"/>
    <w:rsid w:val="0001401D"/>
    <w:rsid w:val="00014D8F"/>
    <w:rsid w:val="000232A7"/>
    <w:rsid w:val="00024A36"/>
    <w:rsid w:val="00025919"/>
    <w:rsid w:val="00027A13"/>
    <w:rsid w:val="00030188"/>
    <w:rsid w:val="0003055A"/>
    <w:rsid w:val="00037FD3"/>
    <w:rsid w:val="00053F77"/>
    <w:rsid w:val="00055578"/>
    <w:rsid w:val="000556EA"/>
    <w:rsid w:val="000576D2"/>
    <w:rsid w:val="00062919"/>
    <w:rsid w:val="000710F0"/>
    <w:rsid w:val="00091BC7"/>
    <w:rsid w:val="00094428"/>
    <w:rsid w:val="000967A3"/>
    <w:rsid w:val="000A6EA4"/>
    <w:rsid w:val="000B05CC"/>
    <w:rsid w:val="000B421D"/>
    <w:rsid w:val="000B57A0"/>
    <w:rsid w:val="000B60D3"/>
    <w:rsid w:val="000B6464"/>
    <w:rsid w:val="000B691B"/>
    <w:rsid w:val="000C3B22"/>
    <w:rsid w:val="000C5C93"/>
    <w:rsid w:val="000C785F"/>
    <w:rsid w:val="000C7912"/>
    <w:rsid w:val="000D2203"/>
    <w:rsid w:val="000D56F0"/>
    <w:rsid w:val="000F1C79"/>
    <w:rsid w:val="000F64BE"/>
    <w:rsid w:val="00106EE9"/>
    <w:rsid w:val="00110703"/>
    <w:rsid w:val="00110EEF"/>
    <w:rsid w:val="00116590"/>
    <w:rsid w:val="0011717C"/>
    <w:rsid w:val="00130C33"/>
    <w:rsid w:val="00134832"/>
    <w:rsid w:val="00135823"/>
    <w:rsid w:val="001414C9"/>
    <w:rsid w:val="00142B56"/>
    <w:rsid w:val="00142CAA"/>
    <w:rsid w:val="00154E12"/>
    <w:rsid w:val="001578DC"/>
    <w:rsid w:val="00157B02"/>
    <w:rsid w:val="00157C23"/>
    <w:rsid w:val="00160067"/>
    <w:rsid w:val="00174905"/>
    <w:rsid w:val="00175D10"/>
    <w:rsid w:val="00180E23"/>
    <w:rsid w:val="00180F51"/>
    <w:rsid w:val="00196A91"/>
    <w:rsid w:val="001A2834"/>
    <w:rsid w:val="001A4020"/>
    <w:rsid w:val="001A480E"/>
    <w:rsid w:val="001A7208"/>
    <w:rsid w:val="001B38BC"/>
    <w:rsid w:val="001B5073"/>
    <w:rsid w:val="001B7711"/>
    <w:rsid w:val="001E192E"/>
    <w:rsid w:val="001E2B82"/>
    <w:rsid w:val="001F2C95"/>
    <w:rsid w:val="00205384"/>
    <w:rsid w:val="0021215A"/>
    <w:rsid w:val="00214C7E"/>
    <w:rsid w:val="00217C66"/>
    <w:rsid w:val="00217DC6"/>
    <w:rsid w:val="002227B3"/>
    <w:rsid w:val="0022644C"/>
    <w:rsid w:val="00227E97"/>
    <w:rsid w:val="00230FCA"/>
    <w:rsid w:val="0023495D"/>
    <w:rsid w:val="002401FA"/>
    <w:rsid w:val="0024664C"/>
    <w:rsid w:val="00247093"/>
    <w:rsid w:val="00253B67"/>
    <w:rsid w:val="00255F8A"/>
    <w:rsid w:val="002565FD"/>
    <w:rsid w:val="00257DB1"/>
    <w:rsid w:val="00260168"/>
    <w:rsid w:val="00260831"/>
    <w:rsid w:val="0026145D"/>
    <w:rsid w:val="00267355"/>
    <w:rsid w:val="00267A6D"/>
    <w:rsid w:val="00282492"/>
    <w:rsid w:val="0028658D"/>
    <w:rsid w:val="002A6B27"/>
    <w:rsid w:val="002B2559"/>
    <w:rsid w:val="002B2B80"/>
    <w:rsid w:val="002B4205"/>
    <w:rsid w:val="002B76D9"/>
    <w:rsid w:val="002C2227"/>
    <w:rsid w:val="002C42F4"/>
    <w:rsid w:val="002D557B"/>
    <w:rsid w:val="002E1977"/>
    <w:rsid w:val="002F01EB"/>
    <w:rsid w:val="00300440"/>
    <w:rsid w:val="0030162F"/>
    <w:rsid w:val="00304E55"/>
    <w:rsid w:val="00305315"/>
    <w:rsid w:val="003207EC"/>
    <w:rsid w:val="00323F1B"/>
    <w:rsid w:val="00324B15"/>
    <w:rsid w:val="00331DE1"/>
    <w:rsid w:val="003325F9"/>
    <w:rsid w:val="0034056E"/>
    <w:rsid w:val="00340B37"/>
    <w:rsid w:val="00342E38"/>
    <w:rsid w:val="003458BA"/>
    <w:rsid w:val="003469C8"/>
    <w:rsid w:val="00346D35"/>
    <w:rsid w:val="00352DB9"/>
    <w:rsid w:val="00353129"/>
    <w:rsid w:val="00353173"/>
    <w:rsid w:val="00361A3D"/>
    <w:rsid w:val="00363113"/>
    <w:rsid w:val="00365E6C"/>
    <w:rsid w:val="00374D8B"/>
    <w:rsid w:val="00382D9D"/>
    <w:rsid w:val="00392D6D"/>
    <w:rsid w:val="003A5259"/>
    <w:rsid w:val="003A57EF"/>
    <w:rsid w:val="003A69C2"/>
    <w:rsid w:val="003B145A"/>
    <w:rsid w:val="003B1E53"/>
    <w:rsid w:val="003B79E0"/>
    <w:rsid w:val="003C3643"/>
    <w:rsid w:val="003D5885"/>
    <w:rsid w:val="003F16EC"/>
    <w:rsid w:val="00400014"/>
    <w:rsid w:val="00402B7B"/>
    <w:rsid w:val="0040666D"/>
    <w:rsid w:val="004071D3"/>
    <w:rsid w:val="004164B6"/>
    <w:rsid w:val="00421C02"/>
    <w:rsid w:val="00424D1A"/>
    <w:rsid w:val="0042634A"/>
    <w:rsid w:val="00435B61"/>
    <w:rsid w:val="00436B6A"/>
    <w:rsid w:val="00436BAC"/>
    <w:rsid w:val="00437433"/>
    <w:rsid w:val="00441CDD"/>
    <w:rsid w:val="004475B8"/>
    <w:rsid w:val="004535EE"/>
    <w:rsid w:val="004556D4"/>
    <w:rsid w:val="00461967"/>
    <w:rsid w:val="00466C5E"/>
    <w:rsid w:val="00471F9D"/>
    <w:rsid w:val="004737E2"/>
    <w:rsid w:val="00491567"/>
    <w:rsid w:val="004B1E4D"/>
    <w:rsid w:val="004B261F"/>
    <w:rsid w:val="004B5D2F"/>
    <w:rsid w:val="004C1C27"/>
    <w:rsid w:val="004C2D45"/>
    <w:rsid w:val="004C371C"/>
    <w:rsid w:val="004C4A99"/>
    <w:rsid w:val="004C71A2"/>
    <w:rsid w:val="004D10E4"/>
    <w:rsid w:val="004F0701"/>
    <w:rsid w:val="00501A2D"/>
    <w:rsid w:val="005064E5"/>
    <w:rsid w:val="00507C85"/>
    <w:rsid w:val="0052159D"/>
    <w:rsid w:val="00524949"/>
    <w:rsid w:val="005264F8"/>
    <w:rsid w:val="00531093"/>
    <w:rsid w:val="005310DA"/>
    <w:rsid w:val="0053195E"/>
    <w:rsid w:val="005335F1"/>
    <w:rsid w:val="00534C83"/>
    <w:rsid w:val="00536670"/>
    <w:rsid w:val="00541C19"/>
    <w:rsid w:val="00542577"/>
    <w:rsid w:val="00544C9F"/>
    <w:rsid w:val="00547070"/>
    <w:rsid w:val="00556E91"/>
    <w:rsid w:val="00566AB8"/>
    <w:rsid w:val="0057326E"/>
    <w:rsid w:val="00577A65"/>
    <w:rsid w:val="005823B9"/>
    <w:rsid w:val="005825C9"/>
    <w:rsid w:val="00582706"/>
    <w:rsid w:val="0058761D"/>
    <w:rsid w:val="00587744"/>
    <w:rsid w:val="0059573B"/>
    <w:rsid w:val="00597F7C"/>
    <w:rsid w:val="005B3EE2"/>
    <w:rsid w:val="005C3C0E"/>
    <w:rsid w:val="005C60D4"/>
    <w:rsid w:val="005D27F5"/>
    <w:rsid w:val="005F3DD9"/>
    <w:rsid w:val="005F47BF"/>
    <w:rsid w:val="005F774A"/>
    <w:rsid w:val="00601D7D"/>
    <w:rsid w:val="00602645"/>
    <w:rsid w:val="00602F63"/>
    <w:rsid w:val="00607D1E"/>
    <w:rsid w:val="00611C07"/>
    <w:rsid w:val="006120E2"/>
    <w:rsid w:val="0062263E"/>
    <w:rsid w:val="00624232"/>
    <w:rsid w:val="0063125A"/>
    <w:rsid w:val="0064069C"/>
    <w:rsid w:val="006413A9"/>
    <w:rsid w:val="0064259A"/>
    <w:rsid w:val="00645EDD"/>
    <w:rsid w:val="00646CF8"/>
    <w:rsid w:val="00661CCA"/>
    <w:rsid w:val="00663E17"/>
    <w:rsid w:val="00664CBF"/>
    <w:rsid w:val="00667ECC"/>
    <w:rsid w:val="006739B8"/>
    <w:rsid w:val="0068037D"/>
    <w:rsid w:val="00681A56"/>
    <w:rsid w:val="00685BC1"/>
    <w:rsid w:val="00685C1A"/>
    <w:rsid w:val="00690AD2"/>
    <w:rsid w:val="006926C9"/>
    <w:rsid w:val="006A5178"/>
    <w:rsid w:val="006A71FF"/>
    <w:rsid w:val="006B03A3"/>
    <w:rsid w:val="006C3315"/>
    <w:rsid w:val="006C74AB"/>
    <w:rsid w:val="006D616B"/>
    <w:rsid w:val="006E09BE"/>
    <w:rsid w:val="006E6D76"/>
    <w:rsid w:val="006F0FC1"/>
    <w:rsid w:val="006F3AFA"/>
    <w:rsid w:val="006F3BD1"/>
    <w:rsid w:val="007035C0"/>
    <w:rsid w:val="00707954"/>
    <w:rsid w:val="00710AD8"/>
    <w:rsid w:val="00712460"/>
    <w:rsid w:val="00714272"/>
    <w:rsid w:val="00715D0B"/>
    <w:rsid w:val="00721DD5"/>
    <w:rsid w:val="00724C66"/>
    <w:rsid w:val="00730760"/>
    <w:rsid w:val="0073397D"/>
    <w:rsid w:val="00740ADF"/>
    <w:rsid w:val="00744DEE"/>
    <w:rsid w:val="0074753A"/>
    <w:rsid w:val="007651CB"/>
    <w:rsid w:val="00765EAA"/>
    <w:rsid w:val="00766D04"/>
    <w:rsid w:val="00770022"/>
    <w:rsid w:val="00770E54"/>
    <w:rsid w:val="00777137"/>
    <w:rsid w:val="007773A4"/>
    <w:rsid w:val="0078756F"/>
    <w:rsid w:val="00795B65"/>
    <w:rsid w:val="007A0878"/>
    <w:rsid w:val="007A3DA3"/>
    <w:rsid w:val="007A62F1"/>
    <w:rsid w:val="007B0DFE"/>
    <w:rsid w:val="007B1D68"/>
    <w:rsid w:val="007B38CD"/>
    <w:rsid w:val="007C280E"/>
    <w:rsid w:val="007C445D"/>
    <w:rsid w:val="007D180D"/>
    <w:rsid w:val="007D7295"/>
    <w:rsid w:val="007E0A96"/>
    <w:rsid w:val="007E46E4"/>
    <w:rsid w:val="007F090F"/>
    <w:rsid w:val="007F1788"/>
    <w:rsid w:val="007F34F5"/>
    <w:rsid w:val="007F4D88"/>
    <w:rsid w:val="007F6B93"/>
    <w:rsid w:val="00811DB4"/>
    <w:rsid w:val="0081329A"/>
    <w:rsid w:val="00817316"/>
    <w:rsid w:val="0082082C"/>
    <w:rsid w:val="008318F2"/>
    <w:rsid w:val="008446E5"/>
    <w:rsid w:val="00847B38"/>
    <w:rsid w:val="00852EF0"/>
    <w:rsid w:val="00855859"/>
    <w:rsid w:val="008562BD"/>
    <w:rsid w:val="00860DFF"/>
    <w:rsid w:val="00866CF4"/>
    <w:rsid w:val="008938F6"/>
    <w:rsid w:val="0089633E"/>
    <w:rsid w:val="008A40CC"/>
    <w:rsid w:val="008A53EF"/>
    <w:rsid w:val="008A7B5E"/>
    <w:rsid w:val="008B2AF6"/>
    <w:rsid w:val="008B5BD8"/>
    <w:rsid w:val="008C11C5"/>
    <w:rsid w:val="008C4ED8"/>
    <w:rsid w:val="008E7E47"/>
    <w:rsid w:val="008F6A96"/>
    <w:rsid w:val="0090030C"/>
    <w:rsid w:val="00901548"/>
    <w:rsid w:val="00906AA5"/>
    <w:rsid w:val="00906C2D"/>
    <w:rsid w:val="009126DD"/>
    <w:rsid w:val="0091703E"/>
    <w:rsid w:val="0093185A"/>
    <w:rsid w:val="00931882"/>
    <w:rsid w:val="00933025"/>
    <w:rsid w:val="00933683"/>
    <w:rsid w:val="00940654"/>
    <w:rsid w:val="00943091"/>
    <w:rsid w:val="0095158B"/>
    <w:rsid w:val="0095351B"/>
    <w:rsid w:val="009536C6"/>
    <w:rsid w:val="00960F7F"/>
    <w:rsid w:val="0096257B"/>
    <w:rsid w:val="00965A0D"/>
    <w:rsid w:val="0098773F"/>
    <w:rsid w:val="00992544"/>
    <w:rsid w:val="00997131"/>
    <w:rsid w:val="009976E2"/>
    <w:rsid w:val="009A32E7"/>
    <w:rsid w:val="009A545F"/>
    <w:rsid w:val="009B3FF1"/>
    <w:rsid w:val="009B5276"/>
    <w:rsid w:val="009B6AA7"/>
    <w:rsid w:val="009C7093"/>
    <w:rsid w:val="009D0E76"/>
    <w:rsid w:val="009D4E4A"/>
    <w:rsid w:val="009E3941"/>
    <w:rsid w:val="009F1AA7"/>
    <w:rsid w:val="009F3322"/>
    <w:rsid w:val="009F33CB"/>
    <w:rsid w:val="009F4A63"/>
    <w:rsid w:val="009F5E01"/>
    <w:rsid w:val="009F704B"/>
    <w:rsid w:val="00A017E6"/>
    <w:rsid w:val="00A133B8"/>
    <w:rsid w:val="00A14420"/>
    <w:rsid w:val="00A209F5"/>
    <w:rsid w:val="00A22D27"/>
    <w:rsid w:val="00A329A1"/>
    <w:rsid w:val="00A37CFF"/>
    <w:rsid w:val="00A40DB2"/>
    <w:rsid w:val="00A421D5"/>
    <w:rsid w:val="00A42A2C"/>
    <w:rsid w:val="00A45C1E"/>
    <w:rsid w:val="00A46C05"/>
    <w:rsid w:val="00A66709"/>
    <w:rsid w:val="00A75C8F"/>
    <w:rsid w:val="00A77FB8"/>
    <w:rsid w:val="00A8405B"/>
    <w:rsid w:val="00A84C4E"/>
    <w:rsid w:val="00A87AEF"/>
    <w:rsid w:val="00A911EA"/>
    <w:rsid w:val="00A93D2F"/>
    <w:rsid w:val="00A95979"/>
    <w:rsid w:val="00AA18CB"/>
    <w:rsid w:val="00AB5545"/>
    <w:rsid w:val="00AC040E"/>
    <w:rsid w:val="00AC44A0"/>
    <w:rsid w:val="00AD0240"/>
    <w:rsid w:val="00AD3B05"/>
    <w:rsid w:val="00AF13E4"/>
    <w:rsid w:val="00AF582E"/>
    <w:rsid w:val="00AF6A10"/>
    <w:rsid w:val="00B01614"/>
    <w:rsid w:val="00B1737F"/>
    <w:rsid w:val="00B31EBB"/>
    <w:rsid w:val="00B34669"/>
    <w:rsid w:val="00B41858"/>
    <w:rsid w:val="00B431EC"/>
    <w:rsid w:val="00B432A6"/>
    <w:rsid w:val="00B448A2"/>
    <w:rsid w:val="00B53241"/>
    <w:rsid w:val="00B56E4B"/>
    <w:rsid w:val="00B67B99"/>
    <w:rsid w:val="00B7178F"/>
    <w:rsid w:val="00B75ECF"/>
    <w:rsid w:val="00B77686"/>
    <w:rsid w:val="00B863D8"/>
    <w:rsid w:val="00B9118F"/>
    <w:rsid w:val="00B91241"/>
    <w:rsid w:val="00B922DC"/>
    <w:rsid w:val="00B945C4"/>
    <w:rsid w:val="00B95DD0"/>
    <w:rsid w:val="00BB12D7"/>
    <w:rsid w:val="00BB3FF0"/>
    <w:rsid w:val="00BC40DB"/>
    <w:rsid w:val="00BD5FFA"/>
    <w:rsid w:val="00BE0746"/>
    <w:rsid w:val="00BF1903"/>
    <w:rsid w:val="00C0162C"/>
    <w:rsid w:val="00C01ADE"/>
    <w:rsid w:val="00C037CB"/>
    <w:rsid w:val="00C03EB7"/>
    <w:rsid w:val="00C0737A"/>
    <w:rsid w:val="00C1068A"/>
    <w:rsid w:val="00C119CA"/>
    <w:rsid w:val="00C14156"/>
    <w:rsid w:val="00C2649B"/>
    <w:rsid w:val="00C306F0"/>
    <w:rsid w:val="00C37C21"/>
    <w:rsid w:val="00C44A8E"/>
    <w:rsid w:val="00C46FF7"/>
    <w:rsid w:val="00C523B2"/>
    <w:rsid w:val="00C52A89"/>
    <w:rsid w:val="00C548F8"/>
    <w:rsid w:val="00C55EE4"/>
    <w:rsid w:val="00C676B9"/>
    <w:rsid w:val="00C76A7E"/>
    <w:rsid w:val="00C90E83"/>
    <w:rsid w:val="00C93B74"/>
    <w:rsid w:val="00C94F6C"/>
    <w:rsid w:val="00CA12F4"/>
    <w:rsid w:val="00CA496D"/>
    <w:rsid w:val="00CA6B48"/>
    <w:rsid w:val="00CB1598"/>
    <w:rsid w:val="00CB62D1"/>
    <w:rsid w:val="00CD67D7"/>
    <w:rsid w:val="00CE01F9"/>
    <w:rsid w:val="00CE0A0B"/>
    <w:rsid w:val="00CE26BE"/>
    <w:rsid w:val="00CF56FE"/>
    <w:rsid w:val="00D006BA"/>
    <w:rsid w:val="00D01A08"/>
    <w:rsid w:val="00D02C54"/>
    <w:rsid w:val="00D03BF9"/>
    <w:rsid w:val="00D11673"/>
    <w:rsid w:val="00D14888"/>
    <w:rsid w:val="00D1520F"/>
    <w:rsid w:val="00D22FA5"/>
    <w:rsid w:val="00D32B89"/>
    <w:rsid w:val="00D336CE"/>
    <w:rsid w:val="00D37ECF"/>
    <w:rsid w:val="00D40BB1"/>
    <w:rsid w:val="00D4765C"/>
    <w:rsid w:val="00D478ED"/>
    <w:rsid w:val="00D50171"/>
    <w:rsid w:val="00D51DC1"/>
    <w:rsid w:val="00D54DD4"/>
    <w:rsid w:val="00D62988"/>
    <w:rsid w:val="00D7530A"/>
    <w:rsid w:val="00D835A5"/>
    <w:rsid w:val="00D836C0"/>
    <w:rsid w:val="00D84D00"/>
    <w:rsid w:val="00D9314A"/>
    <w:rsid w:val="00D96FB8"/>
    <w:rsid w:val="00DA2FDC"/>
    <w:rsid w:val="00DA36B6"/>
    <w:rsid w:val="00DA3C3C"/>
    <w:rsid w:val="00DA531F"/>
    <w:rsid w:val="00DB51EB"/>
    <w:rsid w:val="00DB52CE"/>
    <w:rsid w:val="00DE3EB7"/>
    <w:rsid w:val="00DE6CBF"/>
    <w:rsid w:val="00DE71FD"/>
    <w:rsid w:val="00DF2D31"/>
    <w:rsid w:val="00DF3E43"/>
    <w:rsid w:val="00DF4FC5"/>
    <w:rsid w:val="00DF5433"/>
    <w:rsid w:val="00DF6040"/>
    <w:rsid w:val="00DF75A5"/>
    <w:rsid w:val="00E01071"/>
    <w:rsid w:val="00E05372"/>
    <w:rsid w:val="00E0670B"/>
    <w:rsid w:val="00E079B0"/>
    <w:rsid w:val="00E13A9D"/>
    <w:rsid w:val="00E2186A"/>
    <w:rsid w:val="00E25833"/>
    <w:rsid w:val="00E267C1"/>
    <w:rsid w:val="00E27354"/>
    <w:rsid w:val="00E430A2"/>
    <w:rsid w:val="00E523F4"/>
    <w:rsid w:val="00E56FB9"/>
    <w:rsid w:val="00E65D29"/>
    <w:rsid w:val="00E74C22"/>
    <w:rsid w:val="00E82981"/>
    <w:rsid w:val="00E85E98"/>
    <w:rsid w:val="00E9068C"/>
    <w:rsid w:val="00E91A4F"/>
    <w:rsid w:val="00E93CD9"/>
    <w:rsid w:val="00E953AE"/>
    <w:rsid w:val="00E95700"/>
    <w:rsid w:val="00E97D0A"/>
    <w:rsid w:val="00EA4F4B"/>
    <w:rsid w:val="00EB48CE"/>
    <w:rsid w:val="00EC4851"/>
    <w:rsid w:val="00ED03B4"/>
    <w:rsid w:val="00ED7729"/>
    <w:rsid w:val="00EE25C8"/>
    <w:rsid w:val="00EE2B85"/>
    <w:rsid w:val="00EE61DE"/>
    <w:rsid w:val="00EE72AA"/>
    <w:rsid w:val="00EF04DF"/>
    <w:rsid w:val="00EF2CB8"/>
    <w:rsid w:val="00EF49C2"/>
    <w:rsid w:val="00EF57BF"/>
    <w:rsid w:val="00EF6D08"/>
    <w:rsid w:val="00EF7200"/>
    <w:rsid w:val="00F009EC"/>
    <w:rsid w:val="00F14C15"/>
    <w:rsid w:val="00F160D4"/>
    <w:rsid w:val="00F22AF9"/>
    <w:rsid w:val="00F23FBA"/>
    <w:rsid w:val="00F246AF"/>
    <w:rsid w:val="00F27C10"/>
    <w:rsid w:val="00F327FB"/>
    <w:rsid w:val="00F46E27"/>
    <w:rsid w:val="00F46E75"/>
    <w:rsid w:val="00F505E1"/>
    <w:rsid w:val="00F51AB6"/>
    <w:rsid w:val="00F55F4B"/>
    <w:rsid w:val="00F6595A"/>
    <w:rsid w:val="00F67968"/>
    <w:rsid w:val="00F7030C"/>
    <w:rsid w:val="00F80B28"/>
    <w:rsid w:val="00F866A1"/>
    <w:rsid w:val="00F97573"/>
    <w:rsid w:val="00F976A7"/>
    <w:rsid w:val="00FA33E4"/>
    <w:rsid w:val="00FA644B"/>
    <w:rsid w:val="00FA7520"/>
    <w:rsid w:val="00FA7D59"/>
    <w:rsid w:val="00FB39BE"/>
    <w:rsid w:val="00FC4B7C"/>
    <w:rsid w:val="00FC61FF"/>
    <w:rsid w:val="00FD6B06"/>
    <w:rsid w:val="00FD7165"/>
    <w:rsid w:val="00FF62B0"/>
    <w:rsid w:val="00FF67D3"/>
    <w:rsid w:val="00FF689A"/>
    <w:rsid w:val="00FF70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BA5AC"/>
  <w15:chartTrackingRefBased/>
  <w15:docId w15:val="{C67AC3E2-E67E-4B3E-8CC8-809AADCD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A0B"/>
    <w:rPr>
      <w:rFonts w:ascii="Arial" w:hAnsi="Arial"/>
      <w:sz w:val="20"/>
    </w:rPr>
  </w:style>
  <w:style w:type="paragraph" w:styleId="Heading1">
    <w:name w:val="heading 1"/>
    <w:basedOn w:val="Normal"/>
    <w:next w:val="Normal"/>
    <w:link w:val="Heading1Char"/>
    <w:uiPriority w:val="9"/>
    <w:qFormat/>
    <w:rsid w:val="00B532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116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7B3"/>
    <w:rPr>
      <w:rFonts w:ascii="Segoe UI" w:hAnsi="Segoe UI" w:cs="Segoe UI"/>
      <w:sz w:val="18"/>
      <w:szCs w:val="18"/>
    </w:rPr>
  </w:style>
  <w:style w:type="paragraph" w:styleId="ListParagraph">
    <w:name w:val="List Paragraph"/>
    <w:basedOn w:val="Normal"/>
    <w:uiPriority w:val="34"/>
    <w:qFormat/>
    <w:rsid w:val="002227B3"/>
    <w:pPr>
      <w:ind w:left="720"/>
      <w:contextualSpacing/>
    </w:pPr>
  </w:style>
  <w:style w:type="character" w:styleId="Hyperlink">
    <w:name w:val="Hyperlink"/>
    <w:basedOn w:val="DefaultParagraphFont"/>
    <w:uiPriority w:val="99"/>
    <w:unhideWhenUsed/>
    <w:rsid w:val="002227B3"/>
    <w:rPr>
      <w:color w:val="0000FF"/>
      <w:u w:val="single"/>
    </w:rPr>
  </w:style>
  <w:style w:type="paragraph" w:styleId="FootnoteText">
    <w:name w:val="footnote text"/>
    <w:basedOn w:val="Normal"/>
    <w:link w:val="FootnoteTextChar"/>
    <w:uiPriority w:val="99"/>
    <w:unhideWhenUsed/>
    <w:rsid w:val="002227B3"/>
    <w:pPr>
      <w:spacing w:after="0" w:line="240" w:lineRule="auto"/>
    </w:pPr>
    <w:rPr>
      <w:rFonts w:eastAsiaTheme="minorEastAsia"/>
      <w:szCs w:val="20"/>
      <w:lang w:val="en-GB" w:eastAsia="zh-CN"/>
    </w:rPr>
  </w:style>
  <w:style w:type="character" w:customStyle="1" w:styleId="FootnoteTextChar">
    <w:name w:val="Footnote Text Char"/>
    <w:basedOn w:val="DefaultParagraphFont"/>
    <w:link w:val="FootnoteText"/>
    <w:uiPriority w:val="99"/>
    <w:rsid w:val="002227B3"/>
    <w:rPr>
      <w:rFonts w:eastAsiaTheme="minorEastAsia"/>
      <w:sz w:val="20"/>
      <w:szCs w:val="20"/>
      <w:lang w:val="en-GB" w:eastAsia="zh-CN"/>
    </w:rPr>
  </w:style>
  <w:style w:type="character" w:styleId="FootnoteReference">
    <w:name w:val="footnote reference"/>
    <w:basedOn w:val="DefaultParagraphFont"/>
    <w:uiPriority w:val="99"/>
    <w:unhideWhenUsed/>
    <w:rsid w:val="002227B3"/>
    <w:rPr>
      <w:vertAlign w:val="superscript"/>
    </w:rPr>
  </w:style>
  <w:style w:type="character" w:styleId="UnresolvedMention">
    <w:name w:val="Unresolved Mention"/>
    <w:basedOn w:val="DefaultParagraphFont"/>
    <w:uiPriority w:val="99"/>
    <w:semiHidden/>
    <w:unhideWhenUsed/>
    <w:rsid w:val="002227B3"/>
    <w:rPr>
      <w:color w:val="605E5C"/>
      <w:shd w:val="clear" w:color="auto" w:fill="E1DFDD"/>
    </w:rPr>
  </w:style>
  <w:style w:type="character" w:styleId="FollowedHyperlink">
    <w:name w:val="FollowedHyperlink"/>
    <w:basedOn w:val="DefaultParagraphFont"/>
    <w:uiPriority w:val="99"/>
    <w:semiHidden/>
    <w:unhideWhenUsed/>
    <w:rsid w:val="00724C66"/>
    <w:rPr>
      <w:color w:val="800080" w:themeColor="followedHyperlink"/>
      <w:u w:val="single"/>
    </w:rPr>
  </w:style>
  <w:style w:type="paragraph" w:styleId="NormalWeb">
    <w:name w:val="Normal (Web)"/>
    <w:basedOn w:val="Normal"/>
    <w:uiPriority w:val="99"/>
    <w:semiHidden/>
    <w:unhideWhenUsed/>
    <w:rsid w:val="00A84C4E"/>
    <w:rPr>
      <w:rFonts w:ascii="Times New Roman" w:hAnsi="Times New Roman" w:cs="Times New Roman"/>
      <w:sz w:val="24"/>
      <w:szCs w:val="24"/>
    </w:rPr>
  </w:style>
  <w:style w:type="character" w:customStyle="1" w:styleId="Heading1Char">
    <w:name w:val="Heading 1 Char"/>
    <w:basedOn w:val="DefaultParagraphFont"/>
    <w:link w:val="Heading1"/>
    <w:uiPriority w:val="9"/>
    <w:rsid w:val="00B53241"/>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7D7295"/>
    <w:rPr>
      <w:i/>
      <w:iCs/>
    </w:rPr>
  </w:style>
  <w:style w:type="character" w:customStyle="1" w:styleId="Heading3Char">
    <w:name w:val="Heading 3 Char"/>
    <w:basedOn w:val="DefaultParagraphFont"/>
    <w:link w:val="Heading3"/>
    <w:uiPriority w:val="9"/>
    <w:semiHidden/>
    <w:rsid w:val="00D11673"/>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CE0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A0B"/>
  </w:style>
  <w:style w:type="paragraph" w:styleId="Footer">
    <w:name w:val="footer"/>
    <w:basedOn w:val="Normal"/>
    <w:link w:val="FooterChar"/>
    <w:uiPriority w:val="99"/>
    <w:unhideWhenUsed/>
    <w:rsid w:val="00CE0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A0B"/>
  </w:style>
  <w:style w:type="character" w:styleId="CommentReference">
    <w:name w:val="annotation reference"/>
    <w:basedOn w:val="DefaultParagraphFont"/>
    <w:uiPriority w:val="99"/>
    <w:semiHidden/>
    <w:unhideWhenUsed/>
    <w:rsid w:val="009126DD"/>
    <w:rPr>
      <w:sz w:val="16"/>
      <w:szCs w:val="16"/>
    </w:rPr>
  </w:style>
  <w:style w:type="paragraph" w:styleId="CommentText">
    <w:name w:val="annotation text"/>
    <w:basedOn w:val="Normal"/>
    <w:link w:val="CommentTextChar"/>
    <w:uiPriority w:val="99"/>
    <w:semiHidden/>
    <w:unhideWhenUsed/>
    <w:rsid w:val="009126DD"/>
    <w:pPr>
      <w:spacing w:line="240" w:lineRule="auto"/>
    </w:pPr>
    <w:rPr>
      <w:szCs w:val="20"/>
    </w:rPr>
  </w:style>
  <w:style w:type="character" w:customStyle="1" w:styleId="CommentTextChar">
    <w:name w:val="Comment Text Char"/>
    <w:basedOn w:val="DefaultParagraphFont"/>
    <w:link w:val="CommentText"/>
    <w:uiPriority w:val="99"/>
    <w:semiHidden/>
    <w:rsid w:val="009126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126DD"/>
    <w:rPr>
      <w:b/>
      <w:bCs/>
    </w:rPr>
  </w:style>
  <w:style w:type="character" w:customStyle="1" w:styleId="CommentSubjectChar">
    <w:name w:val="Comment Subject Char"/>
    <w:basedOn w:val="CommentTextChar"/>
    <w:link w:val="CommentSubject"/>
    <w:uiPriority w:val="99"/>
    <w:semiHidden/>
    <w:rsid w:val="009126D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5354">
      <w:bodyDiv w:val="1"/>
      <w:marLeft w:val="0"/>
      <w:marRight w:val="0"/>
      <w:marTop w:val="0"/>
      <w:marBottom w:val="0"/>
      <w:divBdr>
        <w:top w:val="none" w:sz="0" w:space="0" w:color="auto"/>
        <w:left w:val="none" w:sz="0" w:space="0" w:color="auto"/>
        <w:bottom w:val="none" w:sz="0" w:space="0" w:color="auto"/>
        <w:right w:val="none" w:sz="0" w:space="0" w:color="auto"/>
      </w:divBdr>
    </w:div>
    <w:div w:id="128137808">
      <w:bodyDiv w:val="1"/>
      <w:marLeft w:val="0"/>
      <w:marRight w:val="0"/>
      <w:marTop w:val="0"/>
      <w:marBottom w:val="0"/>
      <w:divBdr>
        <w:top w:val="none" w:sz="0" w:space="0" w:color="auto"/>
        <w:left w:val="none" w:sz="0" w:space="0" w:color="auto"/>
        <w:bottom w:val="none" w:sz="0" w:space="0" w:color="auto"/>
        <w:right w:val="none" w:sz="0" w:space="0" w:color="auto"/>
      </w:divBdr>
    </w:div>
    <w:div w:id="170141751">
      <w:bodyDiv w:val="1"/>
      <w:marLeft w:val="0"/>
      <w:marRight w:val="0"/>
      <w:marTop w:val="0"/>
      <w:marBottom w:val="0"/>
      <w:divBdr>
        <w:top w:val="none" w:sz="0" w:space="0" w:color="auto"/>
        <w:left w:val="none" w:sz="0" w:space="0" w:color="auto"/>
        <w:bottom w:val="none" w:sz="0" w:space="0" w:color="auto"/>
        <w:right w:val="none" w:sz="0" w:space="0" w:color="auto"/>
      </w:divBdr>
    </w:div>
    <w:div w:id="243418717">
      <w:bodyDiv w:val="1"/>
      <w:marLeft w:val="0"/>
      <w:marRight w:val="0"/>
      <w:marTop w:val="0"/>
      <w:marBottom w:val="0"/>
      <w:divBdr>
        <w:top w:val="none" w:sz="0" w:space="0" w:color="auto"/>
        <w:left w:val="none" w:sz="0" w:space="0" w:color="auto"/>
        <w:bottom w:val="none" w:sz="0" w:space="0" w:color="auto"/>
        <w:right w:val="none" w:sz="0" w:space="0" w:color="auto"/>
      </w:divBdr>
    </w:div>
    <w:div w:id="321354444">
      <w:bodyDiv w:val="1"/>
      <w:marLeft w:val="0"/>
      <w:marRight w:val="0"/>
      <w:marTop w:val="0"/>
      <w:marBottom w:val="0"/>
      <w:divBdr>
        <w:top w:val="none" w:sz="0" w:space="0" w:color="auto"/>
        <w:left w:val="none" w:sz="0" w:space="0" w:color="auto"/>
        <w:bottom w:val="none" w:sz="0" w:space="0" w:color="auto"/>
        <w:right w:val="none" w:sz="0" w:space="0" w:color="auto"/>
      </w:divBdr>
    </w:div>
    <w:div w:id="351732931">
      <w:bodyDiv w:val="1"/>
      <w:marLeft w:val="0"/>
      <w:marRight w:val="0"/>
      <w:marTop w:val="0"/>
      <w:marBottom w:val="0"/>
      <w:divBdr>
        <w:top w:val="none" w:sz="0" w:space="0" w:color="auto"/>
        <w:left w:val="none" w:sz="0" w:space="0" w:color="auto"/>
        <w:bottom w:val="none" w:sz="0" w:space="0" w:color="auto"/>
        <w:right w:val="none" w:sz="0" w:space="0" w:color="auto"/>
      </w:divBdr>
    </w:div>
    <w:div w:id="998459780">
      <w:bodyDiv w:val="1"/>
      <w:marLeft w:val="0"/>
      <w:marRight w:val="0"/>
      <w:marTop w:val="0"/>
      <w:marBottom w:val="0"/>
      <w:divBdr>
        <w:top w:val="none" w:sz="0" w:space="0" w:color="auto"/>
        <w:left w:val="none" w:sz="0" w:space="0" w:color="auto"/>
        <w:bottom w:val="none" w:sz="0" w:space="0" w:color="auto"/>
        <w:right w:val="none" w:sz="0" w:space="0" w:color="auto"/>
      </w:divBdr>
    </w:div>
    <w:div w:id="1082526127">
      <w:bodyDiv w:val="1"/>
      <w:marLeft w:val="0"/>
      <w:marRight w:val="0"/>
      <w:marTop w:val="0"/>
      <w:marBottom w:val="0"/>
      <w:divBdr>
        <w:top w:val="none" w:sz="0" w:space="0" w:color="auto"/>
        <w:left w:val="none" w:sz="0" w:space="0" w:color="auto"/>
        <w:bottom w:val="none" w:sz="0" w:space="0" w:color="auto"/>
        <w:right w:val="none" w:sz="0" w:space="0" w:color="auto"/>
      </w:divBdr>
    </w:div>
    <w:div w:id="1128010978">
      <w:bodyDiv w:val="1"/>
      <w:marLeft w:val="0"/>
      <w:marRight w:val="0"/>
      <w:marTop w:val="0"/>
      <w:marBottom w:val="0"/>
      <w:divBdr>
        <w:top w:val="none" w:sz="0" w:space="0" w:color="auto"/>
        <w:left w:val="none" w:sz="0" w:space="0" w:color="auto"/>
        <w:bottom w:val="none" w:sz="0" w:space="0" w:color="auto"/>
        <w:right w:val="none" w:sz="0" w:space="0" w:color="auto"/>
      </w:divBdr>
    </w:div>
    <w:div w:id="1161583466">
      <w:bodyDiv w:val="1"/>
      <w:marLeft w:val="0"/>
      <w:marRight w:val="0"/>
      <w:marTop w:val="0"/>
      <w:marBottom w:val="0"/>
      <w:divBdr>
        <w:top w:val="none" w:sz="0" w:space="0" w:color="auto"/>
        <w:left w:val="none" w:sz="0" w:space="0" w:color="auto"/>
        <w:bottom w:val="none" w:sz="0" w:space="0" w:color="auto"/>
        <w:right w:val="none" w:sz="0" w:space="0" w:color="auto"/>
      </w:divBdr>
    </w:div>
    <w:div w:id="1253389839">
      <w:bodyDiv w:val="1"/>
      <w:marLeft w:val="0"/>
      <w:marRight w:val="0"/>
      <w:marTop w:val="0"/>
      <w:marBottom w:val="0"/>
      <w:divBdr>
        <w:top w:val="none" w:sz="0" w:space="0" w:color="auto"/>
        <w:left w:val="none" w:sz="0" w:space="0" w:color="auto"/>
        <w:bottom w:val="none" w:sz="0" w:space="0" w:color="auto"/>
        <w:right w:val="none" w:sz="0" w:space="0" w:color="auto"/>
      </w:divBdr>
    </w:div>
    <w:div w:id="1276790193">
      <w:bodyDiv w:val="1"/>
      <w:marLeft w:val="0"/>
      <w:marRight w:val="0"/>
      <w:marTop w:val="0"/>
      <w:marBottom w:val="0"/>
      <w:divBdr>
        <w:top w:val="none" w:sz="0" w:space="0" w:color="auto"/>
        <w:left w:val="none" w:sz="0" w:space="0" w:color="auto"/>
        <w:bottom w:val="none" w:sz="0" w:space="0" w:color="auto"/>
        <w:right w:val="none" w:sz="0" w:space="0" w:color="auto"/>
      </w:divBdr>
    </w:div>
    <w:div w:id="1293439726">
      <w:bodyDiv w:val="1"/>
      <w:marLeft w:val="0"/>
      <w:marRight w:val="0"/>
      <w:marTop w:val="0"/>
      <w:marBottom w:val="0"/>
      <w:divBdr>
        <w:top w:val="none" w:sz="0" w:space="0" w:color="auto"/>
        <w:left w:val="none" w:sz="0" w:space="0" w:color="auto"/>
        <w:bottom w:val="none" w:sz="0" w:space="0" w:color="auto"/>
        <w:right w:val="none" w:sz="0" w:space="0" w:color="auto"/>
      </w:divBdr>
    </w:div>
    <w:div w:id="1298486678">
      <w:bodyDiv w:val="1"/>
      <w:marLeft w:val="0"/>
      <w:marRight w:val="0"/>
      <w:marTop w:val="0"/>
      <w:marBottom w:val="0"/>
      <w:divBdr>
        <w:top w:val="none" w:sz="0" w:space="0" w:color="auto"/>
        <w:left w:val="none" w:sz="0" w:space="0" w:color="auto"/>
        <w:bottom w:val="none" w:sz="0" w:space="0" w:color="auto"/>
        <w:right w:val="none" w:sz="0" w:space="0" w:color="auto"/>
      </w:divBdr>
    </w:div>
    <w:div w:id="1526406841">
      <w:bodyDiv w:val="1"/>
      <w:marLeft w:val="0"/>
      <w:marRight w:val="0"/>
      <w:marTop w:val="0"/>
      <w:marBottom w:val="0"/>
      <w:divBdr>
        <w:top w:val="none" w:sz="0" w:space="0" w:color="auto"/>
        <w:left w:val="none" w:sz="0" w:space="0" w:color="auto"/>
        <w:bottom w:val="none" w:sz="0" w:space="0" w:color="auto"/>
        <w:right w:val="none" w:sz="0" w:space="0" w:color="auto"/>
      </w:divBdr>
    </w:div>
    <w:div w:id="1677464045">
      <w:bodyDiv w:val="1"/>
      <w:marLeft w:val="0"/>
      <w:marRight w:val="0"/>
      <w:marTop w:val="0"/>
      <w:marBottom w:val="0"/>
      <w:divBdr>
        <w:top w:val="none" w:sz="0" w:space="0" w:color="auto"/>
        <w:left w:val="none" w:sz="0" w:space="0" w:color="auto"/>
        <w:bottom w:val="none" w:sz="0" w:space="0" w:color="auto"/>
        <w:right w:val="none" w:sz="0" w:space="0" w:color="auto"/>
      </w:divBdr>
    </w:div>
    <w:div w:id="1828278472">
      <w:bodyDiv w:val="1"/>
      <w:marLeft w:val="0"/>
      <w:marRight w:val="0"/>
      <w:marTop w:val="0"/>
      <w:marBottom w:val="0"/>
      <w:divBdr>
        <w:top w:val="none" w:sz="0" w:space="0" w:color="auto"/>
        <w:left w:val="none" w:sz="0" w:space="0" w:color="auto"/>
        <w:bottom w:val="none" w:sz="0" w:space="0" w:color="auto"/>
        <w:right w:val="none" w:sz="0" w:space="0" w:color="auto"/>
      </w:divBdr>
    </w:div>
    <w:div w:id="203826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commissioner/-/hungary-progress-needed-on-media-freedom-anti-discrimination-measures-and-migrants-right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e.int/en/web/commissioner/-/hungary-should-address-interconnected-human-rights-issues-in-refugee-protection-civil-society-space-independence-of-the-judiciary-and-gender-equalit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e.int/en/web/commissioner/thematic-work/media-freed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e.int/en/web/commissioner/-/hungary-should-use-the-council-of-europe-s-standards-to-guarantee-freedom-of-expression-and-media-pluralism"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naih.hu/files/NAIH-3071-2-2020-200330.pdf" TargetMode="External"/><Relationship Id="rId117" Type="http://schemas.openxmlformats.org/officeDocument/2006/relationships/hyperlink" Target="https://www.equalitylaw.eu/downloads/5197-hungary-draft-bill-on-mandatory-in-kind-compensation-for-segregation-in-education-submitted-97-kb" TargetMode="External"/><Relationship Id="rId21" Type="http://schemas.openxmlformats.org/officeDocument/2006/relationships/hyperlink" Target="https://balkaninsight.com/2020/05/13/hungarian-police-accused-of-abusing-powers-to-arrest-critics/" TargetMode="External"/><Relationship Id="rId42" Type="http://schemas.openxmlformats.org/officeDocument/2006/relationships/hyperlink" Target="https://mertek.eu/wp-content/uploads/2021/03/State-advertising-Hungary.pdf" TargetMode="External"/><Relationship Id="rId47" Type="http://schemas.openxmlformats.org/officeDocument/2006/relationships/hyperlink" Target="http://hunconcourt.hu/sitting/23-june-2020-plenary-session" TargetMode="External"/><Relationship Id="rId63" Type="http://schemas.openxmlformats.org/officeDocument/2006/relationships/hyperlink" Target="https://curia.europa.eu/jcms/jcms/p1_3252427/en/" TargetMode="External"/><Relationship Id="rId68" Type="http://schemas.openxmlformats.org/officeDocument/2006/relationships/hyperlink" Target="http://nol.hu/belfold/hat-gondolat-amivel-bayer-zsolt-kierdemelte-a-lovagkeresztet-1628295" TargetMode="External"/><Relationship Id="rId84" Type="http://schemas.openxmlformats.org/officeDocument/2006/relationships/hyperlink" Target="https://www.euronews.com/2020/07/22/editor-in-chief-of-index-hu-fired-just-weeks-after-company-said-its-independence-was-in-da" TargetMode="External"/><Relationship Id="rId89" Type="http://schemas.openxmlformats.org/officeDocument/2006/relationships/hyperlink" Target="https://rm.coe.int/ref/CommDH(2014)21" TargetMode="External"/><Relationship Id="rId112" Type="http://schemas.openxmlformats.org/officeDocument/2006/relationships/hyperlink" Target="https://www.coe.int/en/web/media-freedom/detail-alert?p_p_id=sojdashboard_WAR_coesojportlet&amp;p_p_lifecycle=0&amp;p_p_col_id=column-4&amp;p_p_col_count=1&amp;_sojdashboard_WAR_coesojportlet_alertId=64037610" TargetMode="External"/><Relationship Id="rId133" Type="http://schemas.openxmlformats.org/officeDocument/2006/relationships/hyperlink" Target="https://www.helsinki.hu/wp-content/uploads/Assessment_NHRI_Hungary_18022021_HHC.pdf" TargetMode="External"/><Relationship Id="rId16" Type="http://schemas.openxmlformats.org/officeDocument/2006/relationships/hyperlink" Target="https://hudoc.echr.coe.int/fre" TargetMode="External"/><Relationship Id="rId107" Type="http://schemas.openxmlformats.org/officeDocument/2006/relationships/hyperlink" Target="https://hudoc.echr.coe.int/eng" TargetMode="External"/><Relationship Id="rId11" Type="http://schemas.openxmlformats.org/officeDocument/2006/relationships/hyperlink" Target="https://www.coe.int/en/web/freedom-expression/committee-of-ministers-adopted-texts/-/asset_publisher/aDXmrol0vvsU/content/recommendation-no-r-96-10-of-the-committee-of-ministers-to-member-states-on-the-guarantee-of-the-independence-of-public-service-broadcasting?inheritRedirect=false" TargetMode="External"/><Relationship Id="rId32" Type="http://schemas.openxmlformats.org/officeDocument/2006/relationships/hyperlink" Target="https://naih.hu/files/NAIH-8150-2-2020-201117.pdf" TargetMode="External"/><Relationship Id="rId37" Type="http://schemas.openxmlformats.org/officeDocument/2006/relationships/hyperlink" Target="https://www.reuters.com/article/us-health-coronavirus-eu-hungary-exclusi-idUSKBN2A8156" TargetMode="External"/><Relationship Id="rId53" Type="http://schemas.openxmlformats.org/officeDocument/2006/relationships/hyperlink" Target="https://cadmus.eui.eu/bitstream/handle/1814/64284/Hungarian_media_market.pdf?sequence=1&amp;isAllowed=y" TargetMode="External"/><Relationship Id="rId58" Type="http://schemas.openxmlformats.org/officeDocument/2006/relationships/hyperlink" Target="https://www.osce.org/odihr/elections/hungary/385959" TargetMode="External"/><Relationship Id="rId74" Type="http://schemas.openxmlformats.org/officeDocument/2006/relationships/hyperlink" Target="https://www.coe.int/en/web/media-freedom/detail-alert?p_p_id=sojdashboard_WAR_coesojportlet&amp;p_p_lifecycle=0&amp;p_p_col_id=column-4&amp;p_p_col_count=1&amp;_sojdashboard_WAR_coesojportlet_alertId=60528694" TargetMode="External"/><Relationship Id="rId79" Type="http://schemas.openxmlformats.org/officeDocument/2006/relationships/hyperlink" Target="https://ipi.media/new-report-hungary-dismantles-media-freedom-and-pluralism/" TargetMode="External"/><Relationship Id="rId102" Type="http://schemas.openxmlformats.org/officeDocument/2006/relationships/hyperlink" Target="https://www.szabadeuropa.hu/a/klubradio-radio-mediatanacs-nmhh-frekvencia/30857420.html" TargetMode="External"/><Relationship Id="rId123" Type="http://schemas.openxmlformats.org/officeDocument/2006/relationships/hyperlink" Target="https://www.coe.int/en/web/commissioner/-/commissioner-concerned-about-proposed-additional-restrictions-to-the-work-of-ngos-in-hungary" TargetMode="External"/><Relationship Id="rId128" Type="http://schemas.openxmlformats.org/officeDocument/2006/relationships/hyperlink" Target="https://www.coe.int/en/web/commissioner/-/hungary-commissioner-concerned-at-further-planned-barriers-to-the-work-of-ngos-assisting-migrants" TargetMode="External"/><Relationship Id="rId5" Type="http://schemas.openxmlformats.org/officeDocument/2006/relationships/hyperlink" Target="https://newsarchive.ohchr.org/en/NewsEvents/Pages/DisplayNews.aspx?NewsID=10916&amp;LangID=E" TargetMode="External"/><Relationship Id="rId90" Type="http://schemas.openxmlformats.org/officeDocument/2006/relationships/hyperlink" Target="http://abouthungary.hu/blog/klubradio-committed-major-infractions-violated-basic-broadcasting-regulations-not-once-not-twice-but-six-times/" TargetMode="External"/><Relationship Id="rId95" Type="http://schemas.openxmlformats.org/officeDocument/2006/relationships/hyperlink" Target="https://english.nmhh.hu/cikk/167376/A_Mediatanacs_8122015_VI_30_szamu_dontese" TargetMode="External"/><Relationship Id="rId14" Type="http://schemas.openxmlformats.org/officeDocument/2006/relationships/hyperlink" Target="https://eur-lex.europa.eu/legal-content/EN/TXT/HTML/?uri=CELEX:32018L1808&amp;from=FR" TargetMode="External"/><Relationship Id="rId22" Type="http://schemas.openxmlformats.org/officeDocument/2006/relationships/hyperlink" Target="http://ekint.org/lib/documents/1595421967-EKINT_Concentration_of_Power_Salvaged_-_Coronavirus_Stocktaking_(analysis).pdf" TargetMode="External"/><Relationship Id="rId27" Type="http://schemas.openxmlformats.org/officeDocument/2006/relationships/hyperlink" Target="https://www.coe.int/en/web/conventions/full-list/-/conventions/treaty/205/signatures?p_auth=m2WijJaD" TargetMode="External"/><Relationship Id="rId30" Type="http://schemas.openxmlformats.org/officeDocument/2006/relationships/hyperlink" Target="https://www.coe.int/en/web/commissioner/-/commissioner-urges-hungary-s-parliament-to-postpone-the-vote-on-draft-bills-that-if-adopted-will-have-far-reaching-adverse-effects-on-human-rights-in-" TargetMode="External"/><Relationship Id="rId35" Type="http://schemas.openxmlformats.org/officeDocument/2006/relationships/hyperlink" Target="https://rm.coe.int/covid-and-free-speech-en/1680a03f3a" TargetMode="External"/><Relationship Id="rId43" Type="http://schemas.openxmlformats.org/officeDocument/2006/relationships/hyperlink" Target="https://mertek.eu/en/2020/09/07/ec-complaints/" TargetMode="External"/><Relationship Id="rId48" Type="http://schemas.openxmlformats.org/officeDocument/2006/relationships/hyperlink" Target="https://cepmf.hu/" TargetMode="External"/><Relationship Id="rId56" Type="http://schemas.openxmlformats.org/officeDocument/2006/relationships/hyperlink" Target="https://www.magyaridok.hu/belfold/ime-az-uj-nemzeti-konzultacio-kerdesei-2272693/" TargetMode="External"/><Relationship Id="rId64" Type="http://schemas.openxmlformats.org/officeDocument/2006/relationships/hyperlink" Target="http://polhist.hu/hsa-statement-in-support/" TargetMode="External"/><Relationship Id="rId69" Type="http://schemas.openxmlformats.org/officeDocument/2006/relationships/hyperlink" Target="https://freedomhouse.org/report/freedom-net/2018/hungary" TargetMode="External"/><Relationship Id="rId77" Type="http://schemas.openxmlformats.org/officeDocument/2006/relationships/hyperlink" Target="https://www.digitalnewsreport.org/survey/2019/hungary-2019/" TargetMode="External"/><Relationship Id="rId100" Type="http://schemas.openxmlformats.org/officeDocument/2006/relationships/hyperlink" Target="https://nmhh.hu/cikk/215878/Budapest_929_MHz__a_palyazati_felhivas" TargetMode="External"/><Relationship Id="rId105" Type="http://schemas.openxmlformats.org/officeDocument/2006/relationships/hyperlink" Target="https://hudoc.echr.coe.int/eng" TargetMode="External"/><Relationship Id="rId113" Type="http://schemas.openxmlformats.org/officeDocument/2006/relationships/hyperlink" Target="https://rm.coe.int/hungary-reply-en-threats-of-legal-action-against-cartoonist-gabor-papa/16809ed466" TargetMode="External"/><Relationship Id="rId118" Type="http://schemas.openxmlformats.org/officeDocument/2006/relationships/hyperlink" Target="https://www.amnesty.hu/wp-content/uploads/2021/02/Status-of-the-Hungarian-judiciary_EN_FINAL.pdf" TargetMode="External"/><Relationship Id="rId126" Type="http://schemas.openxmlformats.org/officeDocument/2006/relationships/hyperlink" Target="http://www.miniszterelnok.hu/prime-minister-viktor-orban-on-the-kossuth-radio-programme-good-morning-hungary-19/" TargetMode="External"/><Relationship Id="rId134" Type="http://schemas.openxmlformats.org/officeDocument/2006/relationships/hyperlink" Target="https://dailynewshungary.com/hungarian-authority-for-consumer-protection-fines-coca-cola-for-pro-lgbtq-campaign/" TargetMode="External"/><Relationship Id="rId8" Type="http://schemas.openxmlformats.org/officeDocument/2006/relationships/hyperlink" Target="https://www.venice.coe.int/webforms/documents/default.aspx?pdffile=CDL-AD(2015)015-e" TargetMode="External"/><Relationship Id="rId51" Type="http://schemas.openxmlformats.org/officeDocument/2006/relationships/hyperlink" Target="https://cadmus.eui.eu/handle/1814/67805" TargetMode="External"/><Relationship Id="rId72" Type="http://schemas.openxmlformats.org/officeDocument/2006/relationships/hyperlink" Target="https://www.politico.eu/article/google-withdraws-grant-to-hungary-news-site-over-fake-news-anti-semitism/" TargetMode="External"/><Relationship Id="rId80" Type="http://schemas.openxmlformats.org/officeDocument/2006/relationships/hyperlink" Target="https://www.nytimes.com/2018/11/24/world/europe/hungary-viktor-orban-media.html" TargetMode="External"/><Relationship Id="rId85" Type="http://schemas.openxmlformats.org/officeDocument/2006/relationships/hyperlink" Target="https://www.bbc.com/news/world-europe-53531948" TargetMode="External"/><Relationship Id="rId93" Type="http://schemas.openxmlformats.org/officeDocument/2006/relationships/hyperlink" Target="https://english.nmhh.hu/cikk/170468/A_Mediatanacs_4642016_IV_19_szamu_dontese" TargetMode="External"/><Relationship Id="rId98" Type="http://schemas.openxmlformats.org/officeDocument/2006/relationships/hyperlink" Target="https://english.nmhh.hu/article/165540/A_Mediatanacs_12412014_XII_16_szamu_dontese" TargetMode="External"/><Relationship Id="rId121" Type="http://schemas.openxmlformats.org/officeDocument/2006/relationships/hyperlink" Target="https://www.politicalcapital.hu/news.php?article_read=1&amp;article_id=2719" TargetMode="External"/><Relationship Id="rId3" Type="http://schemas.openxmlformats.org/officeDocument/2006/relationships/hyperlink" Target="https://www.osce.org/files/f/documents/1/3/71218.pdf" TargetMode="External"/><Relationship Id="rId12" Type="http://schemas.openxmlformats.org/officeDocument/2006/relationships/hyperlink" Target="https://www.venice.coe.int/webforms/documents/default.aspx?pdffile=CDL-AD(2015)015-e" TargetMode="External"/><Relationship Id="rId17" Type="http://schemas.openxmlformats.org/officeDocument/2006/relationships/hyperlink" Target="https://www.venice.coe.int/webforms/documents/default.aspx?pdffile=CDL-AD(2015)015-e" TargetMode="External"/><Relationship Id="rId25" Type="http://schemas.openxmlformats.org/officeDocument/2006/relationships/hyperlink" Target="https://www.lexology.com/library/detail.aspx?g=e8a01f55-caf3-43c5-b07e-c73fb41eb675" TargetMode="External"/><Relationship Id="rId33" Type="http://schemas.openxmlformats.org/officeDocument/2006/relationships/hyperlink" Target="https://naih.hu/files/NAIH-8150-4-2020-201202.pdf" TargetMode="External"/><Relationship Id="rId38" Type="http://schemas.openxmlformats.org/officeDocument/2006/relationships/hyperlink" Target="https://ec.europa.eu/info/sites/info/files/hu_rol_country_chapter.pdf" TargetMode="External"/><Relationship Id="rId46" Type="http://schemas.openxmlformats.org/officeDocument/2006/relationships/hyperlink" Target="https://cadmus.eui.eu/bitstream/handle/1814/64284/Hungarian_media_market.pdf?sequence=1&amp;isAllowed=y" TargetMode="External"/><Relationship Id="rId59" Type="http://schemas.openxmlformats.org/officeDocument/2006/relationships/hyperlink" Target="https://www.euractiv.com/section/future-eu/news/hungarian-people-want-to-stop-soros-orban-says/" TargetMode="External"/><Relationship Id="rId67" Type="http://schemas.openxmlformats.org/officeDocument/2006/relationships/hyperlink" Target="https://www.coe.int/en/web/media-freedom/detail-alert?p_p_id=sojdashboard_WAR_coesojportlet&amp;p_p_lifecycle=0&amp;p_p_col_id=column-4&amp;p_p_col_count=1&amp;_sojdashboard_WAR_coesojportlet_alertId=55330075" TargetMode="External"/><Relationship Id="rId103" Type="http://schemas.openxmlformats.org/officeDocument/2006/relationships/hyperlink" Target="https://hclu.hu/en/articles/research-on-the-obstruction-of-the-work-of-journalists-during-the-coronavirus-pandemic-in-hungary" TargetMode="External"/><Relationship Id="rId108" Type="http://schemas.openxmlformats.org/officeDocument/2006/relationships/hyperlink" Target="https://www.osce.org/representative-on-freedom-of-media/377776" TargetMode="External"/><Relationship Id="rId116" Type="http://schemas.openxmlformats.org/officeDocument/2006/relationships/hyperlink" Target="https://hudoc.exec.coe.int/eng" TargetMode="External"/><Relationship Id="rId124" Type="http://schemas.openxmlformats.org/officeDocument/2006/relationships/hyperlink" Target="http://curia.europa.eu/juris/liste.jsf?num=C-78/18" TargetMode="External"/><Relationship Id="rId129" Type="http://schemas.openxmlformats.org/officeDocument/2006/relationships/hyperlink" Target="https://www.venice.coe.int/webforms/documents/?pdf=CDL-AD(2018)013-e" TargetMode="External"/><Relationship Id="rId20" Type="http://schemas.openxmlformats.org/officeDocument/2006/relationships/hyperlink" Target="https://search.coe.int/cm/Pages/result_details.aspx?ObjectID=0900001680790e14" TargetMode="External"/><Relationship Id="rId41" Type="http://schemas.openxmlformats.org/officeDocument/2006/relationships/hyperlink" Target="https://europeanjournalists.org/blog/2019/12/03/new-report-hungary-dismantles-media-freedom-and-pluralism/" TargetMode="External"/><Relationship Id="rId54" Type="http://schemas.openxmlformats.org/officeDocument/2006/relationships/hyperlink" Target="https://budapestbeacon.com/orbans-new-propaganda-minister-antal-rogan/" TargetMode="External"/><Relationship Id="rId62" Type="http://schemas.openxmlformats.org/officeDocument/2006/relationships/hyperlink" Target="https://hudoc.echr.coe.int/eng" TargetMode="External"/><Relationship Id="rId70" Type="http://schemas.openxmlformats.org/officeDocument/2006/relationships/hyperlink" Target="https://nmhh.hu/cikk/204113/A_Mediatanacs_5682019_V_14_szamu_dontese" TargetMode="External"/><Relationship Id="rId75" Type="http://schemas.openxmlformats.org/officeDocument/2006/relationships/hyperlink" Target="https://search.coe.int/cm/Pages/result_details.aspx?ObjectID=09000016805cb4b4" TargetMode="External"/><Relationship Id="rId83" Type="http://schemas.openxmlformats.org/officeDocument/2006/relationships/hyperlink" Target="https://rm.coe.int/hungary-reply-largest-opposition-daily-suspended-in-hungary-31january2/1680920c6a" TargetMode="External"/><Relationship Id="rId88" Type="http://schemas.openxmlformats.org/officeDocument/2006/relationships/hyperlink" Target="https://rm.coe.int/hungary-reply-media-council-refuses-to-renew-broadcasting-licences-of-/1680920cb9" TargetMode="External"/><Relationship Id="rId91" Type="http://schemas.openxmlformats.org/officeDocument/2006/relationships/hyperlink" Target="https://english.nmhh.hu/cikk/161765/A_Mediatanacs_17002013_XII_3_szamu_dontese" TargetMode="External"/><Relationship Id="rId96" Type="http://schemas.openxmlformats.org/officeDocument/2006/relationships/hyperlink" Target="https://english.nmhh.hu/article/206873/A_Mediatanacs_11172019_IX_10_szamu_dontese" TargetMode="External"/><Relationship Id="rId111" Type="http://schemas.openxmlformats.org/officeDocument/2006/relationships/hyperlink" Target="https://cpj.org/2020/04/hungarian-journalist-csaba-lukacs-on-covering-covi/" TargetMode="External"/><Relationship Id="rId132" Type="http://schemas.openxmlformats.org/officeDocument/2006/relationships/hyperlink" Target="https://en.hatter.hu/news/bill-ban-lgr" TargetMode="External"/><Relationship Id="rId1" Type="http://schemas.openxmlformats.org/officeDocument/2006/relationships/hyperlink" Target="https://hudoc.echr.coe.int/fre" TargetMode="External"/><Relationship Id="rId6" Type="http://schemas.openxmlformats.org/officeDocument/2006/relationships/hyperlink" Target="https://www.venice.coe.int/webforms/documents/default.aspx?pdffile=CDL-AD(2015)015-e" TargetMode="External"/><Relationship Id="rId15" Type="http://schemas.openxmlformats.org/officeDocument/2006/relationships/hyperlink" Target="https://rm.coe.int/16806daac3" TargetMode="External"/><Relationship Id="rId23" Type="http://schemas.openxmlformats.org/officeDocument/2006/relationships/hyperlink" Target="https://www.ecpmf.eu/hungarys-two-pandemics-covid-19-and-attacks-on-media-freedom/" TargetMode="External"/><Relationship Id="rId28" Type="http://schemas.openxmlformats.org/officeDocument/2006/relationships/hyperlink" Target="https://www.nytimes.com/2020/12/15/world/hungary-laws-orban-gay-rights.html" TargetMode="External"/><Relationship Id="rId36" Type="http://schemas.openxmlformats.org/officeDocument/2006/relationships/hyperlink" Target="https://budapestbeacon.com/hungarys-pmo-granted-unsupervised-access-cookie-jar/" TargetMode="External"/><Relationship Id="rId49" Type="http://schemas.openxmlformats.org/officeDocument/2006/relationships/hyperlink" Target="https://ec.europa.eu/digital-single-market/en/monitoring-media-pluralism-digital-era" TargetMode="External"/><Relationship Id="rId57" Type="http://schemas.openxmlformats.org/officeDocument/2006/relationships/hyperlink" Target="https://fnf-europe.org/2017/11/23/national-consultation-campaigns-in-hungary/" TargetMode="External"/><Relationship Id="rId106" Type="http://schemas.openxmlformats.org/officeDocument/2006/relationships/hyperlink" Target="https://www.coe.int/en/web/media-freedom/detail-alert?p_p_id=sojdashboard_WAR_coesojportlet&amp;p_p_lifecycle=0&amp;p_p_col_id=column-4&amp;p_p_col_count=1&amp;_sojdashboard_WAR_coesojportlet_alertId=74747604" TargetMode="External"/><Relationship Id="rId114" Type="http://schemas.openxmlformats.org/officeDocument/2006/relationships/hyperlink" Target="https://hudoc.echr.coe.int/eng" TargetMode="External"/><Relationship Id="rId119" Type="http://schemas.openxmlformats.org/officeDocument/2006/relationships/hyperlink" Target="https://politicalcapital.hu/news.php?article_read=1&amp;article_id=2680&amp;fbclid=IwAR264_tBz-S5oP88_p7-ZSh0GVc__iiIYvVcRPMxNNgNqNSxwaDObDMbpEA" TargetMode="External"/><Relationship Id="rId127" Type="http://schemas.openxmlformats.org/officeDocument/2006/relationships/hyperlink" Target="https://hudoc.echr.coe.int/fre" TargetMode="External"/><Relationship Id="rId10" Type="http://schemas.openxmlformats.org/officeDocument/2006/relationships/hyperlink" Target="https://www.iwm.at/transit-online/hungarys-media-law-package/" TargetMode="External"/><Relationship Id="rId31" Type="http://schemas.openxmlformats.org/officeDocument/2006/relationships/hyperlink" Target="https://www.naih.hu/files/NAIH-2020-4228-hatarozat.pdf" TargetMode="External"/><Relationship Id="rId44" Type="http://schemas.openxmlformats.org/officeDocument/2006/relationships/hyperlink" Target="https://eur-lex.europa.eu/legal-content/EN/TXT/HTML/?uri=CELEX:52009XC1027(01)&amp;from=EN" TargetMode="External"/><Relationship Id="rId52" Type="http://schemas.openxmlformats.org/officeDocument/2006/relationships/hyperlink" Target="https://search.coe.int/cm/Pages/result_details.aspx?ObjectId=0900001680790e13" TargetMode="External"/><Relationship Id="rId60" Type="http://schemas.openxmlformats.org/officeDocument/2006/relationships/hyperlink" Target="https://hudoc.echr.coe.int/fre" TargetMode="External"/><Relationship Id="rId65" Type="http://schemas.openxmlformats.org/officeDocument/2006/relationships/hyperlink" Target="https://hungarianspectrum.org/2021/02/24/krisztina-toths-encounter-with-the-rabble-of-the-orban-regime/" TargetMode="External"/><Relationship Id="rId73" Type="http://schemas.openxmlformats.org/officeDocument/2006/relationships/hyperlink" Target="https://cadmus.eui.eu/bitstream/handle/1814/64284/Hungarian_media_market.pdf?sequence=1&amp;isAllowed=y" TargetMode="External"/><Relationship Id="rId78" Type="http://schemas.openxmlformats.org/officeDocument/2006/relationships/hyperlink" Target="https://english.nmhh.hu/article/217993/A_Mediatanacs_elnoke_a_Klubradiougyrol_jogaszkent_a_jogallamisagban_hiszek" TargetMode="External"/><Relationship Id="rId81" Type="http://schemas.openxmlformats.org/officeDocument/2006/relationships/hyperlink" Target="https://gijn.org/2016/05/19/hungarian-journalists-build-new-site-after-controversy/" TargetMode="External"/><Relationship Id="rId86" Type="http://schemas.openxmlformats.org/officeDocument/2006/relationships/hyperlink" Target="https://www.helsinki.hu/en/illiberal-highlights-of-2020/" TargetMode="External"/><Relationship Id="rId94" Type="http://schemas.openxmlformats.org/officeDocument/2006/relationships/hyperlink" Target="https://english.nmhh.hu/article/206874/A_Mediatanacs_11182019_IX_10_szamu_dontese" TargetMode="External"/><Relationship Id="rId99" Type="http://schemas.openxmlformats.org/officeDocument/2006/relationships/hyperlink" Target="https://twitter.com/CommissionerHR/status/1359105128524054529" TargetMode="External"/><Relationship Id="rId101" Type="http://schemas.openxmlformats.org/officeDocument/2006/relationships/hyperlink" Target="https://nmhh.hu/cikk/218755/Eredmenytelen_a_Budapest_929_MHz_frekvenciara_kiirt_palyazat" TargetMode="External"/><Relationship Id="rId122" Type="http://schemas.openxmlformats.org/officeDocument/2006/relationships/hyperlink" Target="https://politicalcapital.hu/news.php?article_read=1&amp;article_id=2676" TargetMode="External"/><Relationship Id="rId130" Type="http://schemas.openxmlformats.org/officeDocument/2006/relationships/hyperlink" Target="https://www.venice.coe.int/webforms/documents/default.aspx?pdffile=CDL-AD(2018)035-e" TargetMode="External"/><Relationship Id="rId135" Type="http://schemas.openxmlformats.org/officeDocument/2006/relationships/hyperlink" Target="https://nmhh.hu/kozerdeku-adatok/tevekenyseg-mukodes/orszaggyulesi-beszamolok" TargetMode="External"/><Relationship Id="rId4" Type="http://schemas.openxmlformats.org/officeDocument/2006/relationships/hyperlink" Target="https://www.osce.org/fom/75990" TargetMode="External"/><Relationship Id="rId9" Type="http://schemas.openxmlformats.org/officeDocument/2006/relationships/hyperlink" Target="https://www.venice.coe.int/webforms/documents/default.aspx?pdffile=CDL-AD(2015)015-e" TargetMode="External"/><Relationship Id="rId13" Type="http://schemas.openxmlformats.org/officeDocument/2006/relationships/hyperlink" Target="https://rm.coe.int/16804e0322.See" TargetMode="External"/><Relationship Id="rId18" Type="http://schemas.openxmlformats.org/officeDocument/2006/relationships/hyperlink" Target="https://hudoc.echr.coe.int/fre" TargetMode="External"/><Relationship Id="rId39" Type="http://schemas.openxmlformats.org/officeDocument/2006/relationships/hyperlink" Target="https://cadmus.eui.eu/handle/1814/67805" TargetMode="External"/><Relationship Id="rId109" Type="http://schemas.openxmlformats.org/officeDocument/2006/relationships/hyperlink" Target="https://www.coe.int/en/web/media-freedom/detail-alert?p_p_id=sojdashboard_WAR_coesojportlet&amp;p_p_lifecycle=0&amp;p_p_col_id=column-4&amp;p_p_col_count=1&amp;_sojdashboard_WAR_coesojportlet_alertId=29265782" TargetMode="External"/><Relationship Id="rId34" Type="http://schemas.openxmlformats.org/officeDocument/2006/relationships/hyperlink" Target="https://www.osce.org/fom/225776" TargetMode="External"/><Relationship Id="rId50" Type="http://schemas.openxmlformats.org/officeDocument/2006/relationships/hyperlink" Target="https://cmpf.eui.eu/mpm2020-results/" TargetMode="External"/><Relationship Id="rId55" Type="http://schemas.openxmlformats.org/officeDocument/2006/relationships/hyperlink" Target="https://cadmus.eui.eu/bitstream/handle/1814/67805/hungary_results_mpm_2020_cmpf.pdf?sequence=1&amp;isAllowed=y" TargetMode="External"/><Relationship Id="rId76" Type="http://schemas.openxmlformats.org/officeDocument/2006/relationships/hyperlink" Target="https://mertek.eu/wp-content/uploads/2020/12/Infected_media_system.pdf" TargetMode="External"/><Relationship Id="rId97" Type="http://schemas.openxmlformats.org/officeDocument/2006/relationships/hyperlink" Target="https://english.nmhh.hu/cikk/162573/A_Mediatanacs_1742014_II_18_szamu_dontese" TargetMode="External"/><Relationship Id="rId104" Type="http://schemas.openxmlformats.org/officeDocument/2006/relationships/hyperlink" Target="https://hudoc.echr.coe.int/eng" TargetMode="External"/><Relationship Id="rId120" Type="http://schemas.openxmlformats.org/officeDocument/2006/relationships/hyperlink" Target="https://www.politico.eu/article/in-hungary-politicizing-of-vaccine-hangs-over-immunization-efforts/" TargetMode="External"/><Relationship Id="rId125" Type="http://schemas.openxmlformats.org/officeDocument/2006/relationships/hyperlink" Target="https://euobserver.com/political/150984?utm_source=euobs&amp;utm_medium=email" TargetMode="External"/><Relationship Id="rId7" Type="http://schemas.openxmlformats.org/officeDocument/2006/relationships/hyperlink" Target="https://rm.coe.int/ref/CommDH(2014)21" TargetMode="External"/><Relationship Id="rId71" Type="http://schemas.openxmlformats.org/officeDocument/2006/relationships/hyperlink" Target="https://nmhh.hu/cikk/212180/A_Mediatanacs_4052020_IV_28_szamu_dontese" TargetMode="External"/><Relationship Id="rId92" Type="http://schemas.openxmlformats.org/officeDocument/2006/relationships/hyperlink" Target="https://english.nmhh.hu/cikk/164355/A_Mediatanacs_8352014_IX_9_szamu_dontese" TargetMode="External"/><Relationship Id="rId2" Type="http://schemas.openxmlformats.org/officeDocument/2006/relationships/hyperlink" Target="https://rm.coe.int/16806daac3" TargetMode="External"/><Relationship Id="rId29" Type="http://schemas.openxmlformats.org/officeDocument/2006/relationships/hyperlink" Target="https://www.venice.coe.int/webforms/documents/default.aspx?pdffile=CDL-AD(2020)014-e" TargetMode="External"/><Relationship Id="rId24" Type="http://schemas.openxmlformats.org/officeDocument/2006/relationships/hyperlink" Target="https://hclu.hu/en/articles/research-on-the-obstruction-of-the-work-of-journalists-during-the-coronavirus-pandemic-in-hungary" TargetMode="External"/><Relationship Id="rId40" Type="http://schemas.openxmlformats.org/officeDocument/2006/relationships/hyperlink" Target="https://mertek.eu/en/2019/05/02/fidesz-friendly-media-dominate-everywhere/" TargetMode="External"/><Relationship Id="rId45" Type="http://schemas.openxmlformats.org/officeDocument/2006/relationships/hyperlink" Target="https://europeanjournalists.org/blog/2019/12/03/new-report-hungary-dismantles-media-freedom-and-pluralism/" TargetMode="External"/><Relationship Id="rId66" Type="http://schemas.openxmlformats.org/officeDocument/2006/relationships/hyperlink" Target="https://cadmus.eui.eu/bitstream/handle/1814/64284/Hungarian_media_market.pdf?sequence=1&amp;isAllowed=y" TargetMode="External"/><Relationship Id="rId87" Type="http://schemas.openxmlformats.org/officeDocument/2006/relationships/hyperlink" Target="https://www.coe.int/en/web/media-freedom/detail-alert?p_p_id=sojdashboard_WAR_coesojportlet&amp;p_p_lifecycle=0&amp;p_p_col_id=column-4&amp;p_p_col_count=1&amp;_sojdashboard_WAR_coesojportlet_alertId=41733289" TargetMode="External"/><Relationship Id="rId110" Type="http://schemas.openxmlformats.org/officeDocument/2006/relationships/hyperlink" Target="https://rm.coe.int/hungary-reply-lili-bayer-verbally-attacked-31january2019/1680920cb5" TargetMode="External"/><Relationship Id="rId115" Type="http://schemas.openxmlformats.org/officeDocument/2006/relationships/hyperlink" Target="https://hudoc.exec.coe.int/eng" TargetMode="External"/><Relationship Id="rId131" Type="http://schemas.openxmlformats.org/officeDocument/2006/relationships/hyperlink" Target="http://www.miniszterelnok.hu/prime-minister-viktor-orban-on-the-kossuth-radio-programme-sunday-news/" TargetMode="External"/><Relationship Id="rId136" Type="http://schemas.openxmlformats.org/officeDocument/2006/relationships/hyperlink" Target="https://mertek.eu/wp-content/uploads/2020/12/Infected_media_system.pdf" TargetMode="External"/><Relationship Id="rId61" Type="http://schemas.openxmlformats.org/officeDocument/2006/relationships/hyperlink" Target="https://hudoc.echr.coe.int/eng" TargetMode="External"/><Relationship Id="rId82" Type="http://schemas.openxmlformats.org/officeDocument/2006/relationships/hyperlink" Target="https://www.coe.int/en/web/media-freedom/detail-alert?p_p_id=sojdashboard_WAR_coesojportlet&amp;p_p_lifecycle=0&amp;p_p_col_id=column-4&amp;p_p_col_count=1&amp;_sojdashboard_WAR_coesojportlet_alertId=19942500" TargetMode="External"/><Relationship Id="rId19" Type="http://schemas.openxmlformats.org/officeDocument/2006/relationships/hyperlink" Target="https://digitalisszabadsag.kormany.hu/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ry xmlns="33810594-69a7-4ee4-b5dc-2c1254269190" xsi:nil="true"/>
    <Region xmlns="69fe4883-ae34-4221-a549-a1cb61b1b568" xsi:nil="true"/>
    <Theme xmlns="33810594-69a7-4ee4-b5dc-2c1254269190" xsi:nil="true"/>
    <Document_x0020_type xmlns="33810594-69a7-4ee4-b5dc-2c1254269190">Work-in-progress (Division I)</Document_x0020_type>
  </documentManagement>
</p:properti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cument" ma:contentTypeID="0x010100D4DFCCB05DEEB84FBBD69D81700AADC5" ma:contentTypeVersion="4" ma:contentTypeDescription="Create a new document." ma:contentTypeScope="" ma:versionID="8e92ed3a3202408209537364733e0053">
  <xsd:schema xmlns:xsd="http://www.w3.org/2001/XMLSchema" xmlns:xs="http://www.w3.org/2001/XMLSchema" xmlns:p="http://schemas.microsoft.com/office/2006/metadata/properties" xmlns:ns2="33810594-69a7-4ee4-b5dc-2c1254269190" xmlns:ns3="69fe4883-ae34-4221-a549-a1cb61b1b568" targetNamespace="http://schemas.microsoft.com/office/2006/metadata/properties" ma:root="true" ma:fieldsID="d65e0b6efd86cf4ee2bb8a802fd5d3ab" ns2:_="" ns3:_="">
    <xsd:import namespace="33810594-69a7-4ee4-b5dc-2c1254269190"/>
    <xsd:import namespace="69fe4883-ae34-4221-a549-a1cb61b1b568"/>
    <xsd:element name="properties">
      <xsd:complexType>
        <xsd:sequence>
          <xsd:element name="documentManagement">
            <xsd:complexType>
              <xsd:all>
                <xsd:element ref="ns2:Document_x0020_type" minOccurs="0"/>
                <xsd:element ref="ns2:Country" minOccurs="0"/>
                <xsd:element ref="ns3:Region" minOccurs="0"/>
                <xsd:element ref="ns2:The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10594-69a7-4ee4-b5dc-2c1254269190"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CommHR Office"/>
          <xsd:enumeration value="Country - Briefing"/>
          <xsd:enumeration value="Country  - Fact sheet"/>
          <xsd:enumeration value="Guidelines"/>
          <xsd:enumeration value="Media"/>
          <xsd:enumeration value="Monitoring Covid 19"/>
          <xsd:enumeration value="Other"/>
          <xsd:enumeration value="Theme - Briefing"/>
          <xsd:enumeration value="Theme - Fact sheet"/>
          <xsd:enumeration value="Work-in-progress"/>
          <xsd:enumeration value="Work-in-progress (20th Anniversary)"/>
          <xsd:enumeration value="Work-in-progress (CommHR Compilation)"/>
          <xsd:enumeration value="Work-in-progress (Division I)"/>
          <xsd:enumeration value="Work-in-progress (Division II)"/>
          <xsd:enumeration value="Work-in-progress (Division III)"/>
        </xsd:restriction>
      </xsd:simpleType>
    </xsd:element>
    <xsd:element name="Country" ma:index="3" nillable="true" ma:displayName="Country" ma:format="Dropdown" ma:internalName="Country">
      <xsd:simpleType>
        <xsd:restriction base="dms:Choice">
          <xsd:enumeration value="Albania"/>
          <xsd:enumeration value="Andorra"/>
          <xsd:enumeration value="Armenia"/>
          <xsd:enumeration value="Austria"/>
          <xsd:enumeration value="Azerbaijan"/>
          <xsd:enumeration value="Belarus"/>
          <xsd:enumeration value="Belgium"/>
          <xsd:enumeration value="Bosnia and Herzegovina"/>
          <xsd:enumeration value="Bulgaria"/>
          <xsd:enumeration value="Croatia"/>
          <xsd:enumeration value="Cyprus"/>
          <xsd:enumeration value="Czech Republic"/>
          <xsd:enumeration value="Denmark"/>
          <xsd:enumeration value="Estonia"/>
          <xsd:enumeration value="Ethiopia"/>
          <xsd:enumeration value="Finland"/>
          <xsd:enumeration value="France"/>
          <xsd:enumeration value="Georgia"/>
          <xsd:enumeration value="Germany"/>
          <xsd:enumeration value="Greece"/>
          <xsd:enumeration value="Hungary"/>
          <xsd:enumeration value="Ireland"/>
          <xsd:enumeration value="Island"/>
          <xsd:enumeration value="Italy"/>
          <xsd:enumeration value="Kosovo"/>
          <xsd:enumeration value="Latvia"/>
          <xsd:enumeration value="Liechtenstein"/>
          <xsd:enumeration value="Lithuania"/>
          <xsd:enumeration value="Luxembourg"/>
          <xsd:enumeration value="Malta"/>
          <xsd:enumeration value="Moldova"/>
          <xsd:enumeration value="Monaco"/>
          <xsd:enumeration value="Montenegro"/>
          <xsd:enumeration value="Netherlands"/>
          <xsd:enumeration value="North Macedonia"/>
          <xsd:enumeration value="Norway"/>
          <xsd:enumeration value="Poland"/>
          <xsd:enumeration value="Portugal"/>
          <xsd:enumeration value="Romania"/>
          <xsd:enumeration value="Russian Federation"/>
          <xsd:enumeration value="San Marino"/>
          <xsd:enumeration value="Serbia"/>
          <xsd:enumeration value="Slovak Republic"/>
          <xsd:enumeration value="Slovenia"/>
          <xsd:enumeration value="Spain"/>
          <xsd:enumeration value="Sweden"/>
          <xsd:enumeration value="Switzerland"/>
          <xsd:enumeration value="Turkey"/>
          <xsd:enumeration value="Ukraine"/>
          <xsd:enumeration value="United Kingdom"/>
        </xsd:restriction>
      </xsd:simpleType>
    </xsd:element>
    <xsd:element name="Theme" ma:index="5" nillable="true" ma:displayName="Theme" ma:format="Dropdown" ma:internalName="Theme">
      <xsd:simpleType>
        <xsd:restriction base="dms:Choice">
          <xsd:enumeration value="Antisemitism"/>
          <xsd:enumeration value="Artificial Intelligence"/>
          <xsd:enumeration value="Children"/>
          <xsd:enumeration value="Data protection"/>
          <xsd:enumeration value="Detention"/>
          <xsd:enumeration value="Disability"/>
          <xsd:enumeration value="Elderly"/>
          <xsd:enumeration value="Freedom of expression"/>
          <xsd:enumeration value="Hate speech"/>
          <xsd:enumeration value="IDPs"/>
          <xsd:enumeration value="Legislation"/>
          <xsd:enumeration value="LGBT"/>
          <xsd:enumeration value="Migrants, refugees, asylum seekers"/>
          <xsd:enumeration value="Minorities"/>
          <xsd:enumeration value="Non-discrimination"/>
          <xsd:enumeration value="Police"/>
          <xsd:enumeration value="Racist extremism"/>
          <xsd:enumeration value="Roma and Travellers"/>
          <xsd:enumeration value="Statelessness"/>
          <xsd:enumeration value="Terrorism"/>
          <xsd:enumeration value="Transitional justice"/>
          <xsd:enumeration value="Women's rights"/>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69fe4883-ae34-4221-a549-a1cb61b1b568" elementFormDefault="qualified">
    <xsd:import namespace="http://schemas.microsoft.com/office/2006/documentManagement/types"/>
    <xsd:import namespace="http://schemas.microsoft.com/office/infopath/2007/PartnerControls"/>
    <xsd:element name="Region" ma:index="4" nillable="true" ma:displayName="Region" ma:format="Dropdown" ma:internalName="Region">
      <xsd:simpleType>
        <xsd:restriction base="dms:Choice">
          <xsd:enumeration value="All CoE member states"/>
          <xsd:enumeration value="Balkans"/>
          <xsd:enumeration value="Caucasus"/>
          <xsd:enumeration value="Central &amp; Eastern Europe"/>
          <xsd:enumeration value="European Union"/>
          <xsd:enumeration value="Glob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04317E-F3E9-4737-89FD-D8754BC2F2B1}">
  <ds:schemaRefs>
    <ds:schemaRef ds:uri="http://schemas.microsoft.com/office/2006/metadata/properties"/>
    <ds:schemaRef ds:uri="http://schemas.microsoft.com/office/infopath/2007/PartnerControls"/>
    <ds:schemaRef ds:uri="33810594-69a7-4ee4-b5dc-2c1254269190"/>
    <ds:schemaRef ds:uri="69fe4883-ae34-4221-a549-a1cb61b1b568"/>
  </ds:schemaRefs>
</ds:datastoreItem>
</file>

<file path=customXml/itemProps2.xml><?xml version="1.0" encoding="utf-8"?>
<ds:datastoreItem xmlns:ds="http://schemas.openxmlformats.org/officeDocument/2006/customXml" ds:itemID="{BBF03811-381A-4697-B225-9347E85D9247}">
  <ds:schemaRefs>
    <ds:schemaRef ds:uri="http://schemas.openxmlformats.org/officeDocument/2006/bibliography"/>
  </ds:schemaRefs>
</ds:datastoreItem>
</file>

<file path=customXml/itemProps3.xml><?xml version="1.0" encoding="utf-8"?>
<ds:datastoreItem xmlns:ds="http://schemas.openxmlformats.org/officeDocument/2006/customXml" ds:itemID="{5CA308A3-E313-4CD2-A283-DF2D84EF5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10594-69a7-4ee4-b5dc-2c1254269190"/>
    <ds:schemaRef ds:uri="69fe4883-ae34-4221-a549-a1cb61b1b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743E66-8E28-411D-A550-C76E710091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6833</Words>
  <Characters>37583</Characters>
  <Application>Microsoft Office Word</Application>
  <DocSecurity>0</DocSecurity>
  <Lines>313</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CommDH(2021)10 Memorandum freedom of expression and media freedom in Hungary</vt:lpstr>
      <vt:lpstr>CommDH(2021)10 Memorandum freedom of expression and media freedom in Hungary</vt:lpstr>
    </vt:vector>
  </TitlesOfParts>
  <Company/>
  <LinksUpToDate>false</LinksUpToDate>
  <CharactersWithSpaces>44328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on freedom of expression and media freedom in Hungary</dc:title>
  <dc:subject/>
  <dc:creator>Commissioner for Human Rights of the Council of Europe</dc:creator>
  <cp:keywords/>
  <dc:description/>
  <cp:lastModifiedBy>MARIE-ST-GERMAIN Magnus</cp:lastModifiedBy>
  <cp:revision>4</cp:revision>
  <cp:lastPrinted>2021-02-25T15:30:00Z</cp:lastPrinted>
  <dcterms:created xsi:type="dcterms:W3CDTF">2021-03-30T07:27:00Z</dcterms:created>
  <dcterms:modified xsi:type="dcterms:W3CDTF">2021-03-30T09:28:00Z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0x010100D4DFCCB05DEEB84FBBD69D81700AADC5</vt:lpwstr>
  </property>
</Properties>
</file>