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475"/>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7371"/>
      </w:tblGrid>
      <w:tr w:rsidR="00147AE5" w14:paraId="19E6171F" w14:textId="77777777" w:rsidTr="00147AE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477AEDD" w14:textId="77777777" w:rsidR="00147AE5" w:rsidRDefault="00147AE5" w:rsidP="00147AE5">
            <w:pPr>
              <w:jc w:val="right"/>
              <w:rPr>
                <w:rFonts w:ascii="Arial Narrow" w:hAnsi="Arial Narrow"/>
                <w:b/>
                <w:caps/>
                <w:sz w:val="28"/>
                <w:szCs w:val="28"/>
              </w:rPr>
            </w:pPr>
            <w:bookmarkStart w:id="0" w:name="_GoBack"/>
            <w:bookmarkEnd w:id="0"/>
            <w:r>
              <w:rPr>
                <w:rFonts w:ascii="Arial Narrow" w:hAnsi="Arial Narrow"/>
                <w:sz w:val="18"/>
                <w:szCs w:val="18"/>
              </w:rPr>
              <w:t xml:space="preserve">Contract No. </w:t>
            </w:r>
            <w:r>
              <w:rPr>
                <w:rFonts w:ascii="Times New Roman" w:hAnsi="Times New Roman" w:cs="Times New Roman"/>
                <w:color w:val="0070C0"/>
                <w:sz w:val="18"/>
                <w:szCs w:val="18"/>
              </w:rPr>
              <w:t>►</w:t>
            </w:r>
          </w:p>
        </w:tc>
        <w:tc>
          <w:tcPr>
            <w:tcW w:w="737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E7C195F" w14:textId="7CB99B45" w:rsidR="00147AE5" w:rsidRDefault="00147AE5" w:rsidP="00147AE5">
            <w:pPr>
              <w:rPr>
                <w:rFonts w:ascii="Arial Narrow" w:hAnsi="Arial Narrow"/>
                <w:caps/>
                <w:color w:val="000000" w:themeColor="text1"/>
                <w:sz w:val="18"/>
                <w:szCs w:val="18"/>
                <w:highlight w:val="cyan"/>
              </w:rPr>
            </w:pPr>
          </w:p>
        </w:tc>
      </w:tr>
      <w:tr w:rsidR="00147AE5" w14:paraId="223BCD9D" w14:textId="77777777" w:rsidTr="00147AE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B11D049" w14:textId="77777777" w:rsidR="00147AE5" w:rsidRDefault="00147AE5" w:rsidP="00147AE5">
            <w:pPr>
              <w:jc w:val="right"/>
              <w:rPr>
                <w:rFonts w:ascii="Arial Narrow" w:hAnsi="Arial Narrow"/>
                <w:b/>
                <w:caps/>
                <w:sz w:val="28"/>
                <w:szCs w:val="2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737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5705A0F" w14:textId="46D3C97B" w:rsidR="00147AE5" w:rsidRPr="00147AE5" w:rsidRDefault="00147AE5" w:rsidP="00147AE5">
            <w:pPr>
              <w:rPr>
                <w:rFonts w:ascii="Arial Narrow" w:hAnsi="Arial Narrow"/>
                <w:caps/>
                <w:color w:val="000000" w:themeColor="text1"/>
                <w:sz w:val="18"/>
                <w:szCs w:val="18"/>
              </w:rPr>
            </w:pPr>
            <w:r w:rsidRPr="00147AE5">
              <w:rPr>
                <w:rFonts w:ascii="Arial Narrow" w:hAnsi="Arial Narrow"/>
                <w:caps/>
                <w:color w:val="000000" w:themeColor="text1"/>
                <w:sz w:val="18"/>
                <w:szCs w:val="18"/>
              </w:rPr>
              <w:t>HOrizon</w:t>
            </w:r>
            <w:r w:rsidR="00040A2C">
              <w:rPr>
                <w:rFonts w:ascii="Arial Narrow" w:hAnsi="Arial Narrow"/>
                <w:caps/>
                <w:color w:val="000000" w:themeColor="text1"/>
                <w:sz w:val="18"/>
                <w:szCs w:val="18"/>
              </w:rPr>
              <w:t>tal fa</w:t>
            </w:r>
            <w:r w:rsidRPr="00147AE5">
              <w:rPr>
                <w:rFonts w:ascii="Arial Narrow" w:hAnsi="Arial Narrow"/>
                <w:caps/>
                <w:color w:val="000000" w:themeColor="text1"/>
                <w:sz w:val="18"/>
                <w:szCs w:val="18"/>
              </w:rPr>
              <w:t>cility</w:t>
            </w:r>
          </w:p>
        </w:tc>
      </w:tr>
      <w:tr w:rsidR="00147AE5" w14:paraId="2465BA55" w14:textId="77777777" w:rsidTr="00147AE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B4BC38B" w14:textId="77777777" w:rsidR="00147AE5" w:rsidRDefault="00147AE5" w:rsidP="00147AE5">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737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4999E96" w14:textId="5846E90B" w:rsidR="00147AE5" w:rsidRPr="00C334C4" w:rsidRDefault="00C334C4" w:rsidP="00147AE5">
            <w:pPr>
              <w:rPr>
                <w:rFonts w:ascii="Arial Narrow" w:hAnsi="Arial Narrow"/>
                <w:b/>
                <w:caps/>
                <w:color w:val="000000" w:themeColor="text1"/>
                <w:sz w:val="18"/>
                <w:szCs w:val="18"/>
                <w:highlight w:val="cyan"/>
              </w:rPr>
            </w:pPr>
            <w:r>
              <w:rPr>
                <w:rFonts w:ascii="Arial Narrow" w:hAnsi="Arial Narrow"/>
                <w:sz w:val="20"/>
                <w:szCs w:val="20"/>
              </w:rPr>
              <w:t>podgorica@coe.int</w:t>
            </w:r>
          </w:p>
        </w:tc>
      </w:tr>
    </w:tbl>
    <w:p w14:paraId="2A6B2F1E" w14:textId="77777777" w:rsidR="00C20349" w:rsidRPr="00C20349" w:rsidRDefault="00C20349" w:rsidP="00147AE5">
      <w:pPr>
        <w:spacing w:before="120"/>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276AFFEF" w:rsidR="003840F5" w:rsidRPr="002133FA" w:rsidRDefault="00BD6B89" w:rsidP="00DA27F2">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764810">
        <w:rPr>
          <w:rFonts w:ascii="Arial Narrow" w:hAnsi="Arial Narrow"/>
          <w:b/>
        </w:rPr>
        <w:t xml:space="preserve"> for </w:t>
      </w:r>
      <w:r w:rsidR="0000301C">
        <w:rPr>
          <w:rFonts w:ascii="Arial Narrow" w:hAnsi="Arial Narrow"/>
          <w:b/>
        </w:rPr>
        <w:t>the</w:t>
      </w:r>
      <w:r w:rsidR="0000301C" w:rsidRPr="00147AE5">
        <w:rPr>
          <w:rFonts w:ascii="Arial Narrow" w:hAnsi="Arial Narrow"/>
          <w:b/>
        </w:rPr>
        <w:t xml:space="preserve"> Provision</w:t>
      </w:r>
      <w:r w:rsidR="00DA27F2" w:rsidRPr="00147AE5">
        <w:rPr>
          <w:rFonts w:ascii="Arial Narrow" w:hAnsi="Arial Narrow"/>
          <w:b/>
        </w:rPr>
        <w:t xml:space="preserve"> of Communication and Public Relation</w:t>
      </w:r>
      <w:r w:rsidR="00147AE5">
        <w:rPr>
          <w:rFonts w:ascii="Arial Narrow" w:hAnsi="Arial Narrow"/>
          <w:b/>
        </w:rPr>
        <w:t>s</w:t>
      </w:r>
      <w:r w:rsidR="00DA27F2" w:rsidRPr="00147AE5">
        <w:rPr>
          <w:rFonts w:ascii="Arial Narrow" w:hAnsi="Arial Narrow"/>
          <w:b/>
        </w:rPr>
        <w:t xml:space="preserve"> Services for H</w:t>
      </w:r>
      <w:r w:rsidR="00147AE5">
        <w:rPr>
          <w:rFonts w:ascii="Arial Narrow" w:hAnsi="Arial Narrow"/>
          <w:b/>
        </w:rPr>
        <w:t xml:space="preserve">orizontal </w:t>
      </w:r>
      <w:r w:rsidR="00DA27F2" w:rsidRPr="00147AE5">
        <w:rPr>
          <w:rFonts w:ascii="Arial Narrow" w:hAnsi="Arial Narrow"/>
          <w:b/>
        </w:rPr>
        <w:t>F</w:t>
      </w:r>
      <w:r w:rsidR="00147AE5">
        <w:rPr>
          <w:rFonts w:ascii="Arial Narrow" w:hAnsi="Arial Narrow"/>
          <w:b/>
        </w:rPr>
        <w:t>acility</w:t>
      </w:r>
      <w:r w:rsidR="00DA27F2" w:rsidRPr="00147AE5">
        <w:rPr>
          <w:rFonts w:ascii="Arial Narrow" w:hAnsi="Arial Narrow"/>
          <w:b/>
        </w:rPr>
        <w:t xml:space="preserve"> Actions </w:t>
      </w:r>
      <w:r w:rsidR="00DA27F2" w:rsidRPr="005F3EF5">
        <w:rPr>
          <w:rFonts w:ascii="Arial Narrow" w:hAnsi="Arial Narrow"/>
          <w:b/>
        </w:rPr>
        <w:t>in</w:t>
      </w:r>
      <w:r w:rsidR="00040A2C" w:rsidRPr="005F3EF5">
        <w:rPr>
          <w:rFonts w:ascii="Arial Narrow" w:hAnsi="Arial Narrow"/>
          <w:b/>
        </w:rPr>
        <w:t xml:space="preserve"> </w:t>
      </w:r>
      <w:r w:rsidR="00C334C4" w:rsidRPr="005F3EF5">
        <w:rPr>
          <w:rFonts w:ascii="Arial Narrow" w:hAnsi="Arial Narrow"/>
          <w:b/>
        </w:rPr>
        <w:t>Montenegro</w:t>
      </w:r>
      <w:r w:rsidR="00040A2C">
        <w:t>.</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E27D81">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E27D81">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E27D81">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E27D81">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E27D81">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E27D81">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E27D81">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E27D81">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E27D81">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E27D81">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E27D81">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E27D81">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E27D81">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E27D81">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E27D81">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E27D81">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E27D81">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E27D81">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E27D81">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E27D81">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E27D81">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E27D81">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E27D81">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E27D81">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E27D81">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12DBC9F0" w14:textId="175FDBB8" w:rsidR="00DA27F2" w:rsidRDefault="00DA27F2" w:rsidP="00DA27F2">
      <w:pPr>
        <w:jc w:val="both"/>
        <w:rPr>
          <w:rFonts w:ascii="Arial Narrow" w:hAnsi="Arial Narrow"/>
          <w:sz w:val="20"/>
          <w:szCs w:val="20"/>
        </w:rPr>
      </w:pPr>
      <w:r w:rsidRPr="009A5399">
        <w:rPr>
          <w:rFonts w:ascii="Arial Narrow" w:hAnsi="Arial Narrow"/>
          <w:sz w:val="20"/>
          <w:szCs w:val="20"/>
        </w:rPr>
        <w:t xml:space="preserve">The </w:t>
      </w:r>
      <w:hyperlink r:id="rId12" w:history="1">
        <w:r w:rsidRPr="00FE0B09">
          <w:rPr>
            <w:rStyle w:val="Hyperlink"/>
            <w:rFonts w:ascii="Arial Narrow" w:hAnsi="Arial Narrow"/>
            <w:sz w:val="20"/>
            <w:szCs w:val="20"/>
          </w:rPr>
          <w:t>Horizontal Facility for the Western Balkans and Turkey (Horizontal Facility)</w:t>
        </w:r>
      </w:hyperlink>
      <w:r w:rsidRPr="009A5399">
        <w:rPr>
          <w:rFonts w:ascii="Arial Narrow" w:hAnsi="Arial Narrow"/>
          <w:sz w:val="20"/>
          <w:szCs w:val="20"/>
        </w:rPr>
        <w:t xml:space="preserve"> is a joint initiative of the European Union (EU) and the Council of Europe </w:t>
      </w:r>
      <w:r w:rsidR="00EF7937">
        <w:rPr>
          <w:rFonts w:ascii="Arial Narrow" w:hAnsi="Arial Narrow"/>
          <w:sz w:val="20"/>
          <w:szCs w:val="20"/>
        </w:rPr>
        <w:t xml:space="preserve">(COE) </w:t>
      </w:r>
      <w:r w:rsidRPr="009A5399">
        <w:rPr>
          <w:rFonts w:ascii="Arial Narrow" w:hAnsi="Arial Narrow"/>
          <w:sz w:val="20"/>
          <w:szCs w:val="20"/>
        </w:rPr>
        <w:t xml:space="preserve">for South East Europe and Turkey, representing a key instrument for promoting joint EU and </w:t>
      </w:r>
      <w:r w:rsidR="00EF7937">
        <w:rPr>
          <w:rFonts w:ascii="Arial Narrow" w:hAnsi="Arial Narrow"/>
          <w:sz w:val="20"/>
          <w:szCs w:val="20"/>
        </w:rPr>
        <w:t xml:space="preserve">COE </w:t>
      </w:r>
      <w:r w:rsidRPr="009A5399">
        <w:rPr>
          <w:rFonts w:ascii="Arial Narrow" w:hAnsi="Arial Narrow"/>
          <w:sz w:val="20"/>
          <w:szCs w:val="20"/>
        </w:rPr>
        <w:t>standards and values to a wider target audience.</w:t>
      </w:r>
      <w:r w:rsidR="00EF7937">
        <w:rPr>
          <w:rFonts w:ascii="Arial Narrow" w:hAnsi="Arial Narrow"/>
          <w:sz w:val="20"/>
          <w:szCs w:val="20"/>
        </w:rPr>
        <w:t xml:space="preserve"> </w:t>
      </w:r>
      <w:r>
        <w:rPr>
          <w:rFonts w:ascii="Arial Narrow" w:hAnsi="Arial Narrow"/>
          <w:sz w:val="20"/>
          <w:szCs w:val="20"/>
        </w:rPr>
        <w:t xml:space="preserve">There are </w:t>
      </w:r>
      <w:r w:rsidR="005F3EF5">
        <w:rPr>
          <w:rFonts w:ascii="Arial Narrow" w:hAnsi="Arial Narrow"/>
          <w:sz w:val="20"/>
          <w:szCs w:val="20"/>
        </w:rPr>
        <w:t xml:space="preserve">6 </w:t>
      </w:r>
      <w:r w:rsidR="00147AE5">
        <w:rPr>
          <w:rFonts w:ascii="Arial Narrow" w:hAnsi="Arial Narrow"/>
          <w:sz w:val="20"/>
          <w:szCs w:val="20"/>
        </w:rPr>
        <w:t>a</w:t>
      </w:r>
      <w:r>
        <w:rPr>
          <w:rFonts w:ascii="Arial Narrow" w:hAnsi="Arial Narrow"/>
          <w:sz w:val="20"/>
          <w:szCs w:val="20"/>
        </w:rPr>
        <w:t>ctions implemented under the Hori</w:t>
      </w:r>
      <w:r w:rsidR="00124451">
        <w:rPr>
          <w:rFonts w:ascii="Arial Narrow" w:hAnsi="Arial Narrow"/>
          <w:sz w:val="20"/>
          <w:szCs w:val="20"/>
        </w:rPr>
        <w:t xml:space="preserve">zontal Facility in </w:t>
      </w:r>
      <w:r w:rsidR="00C334C4">
        <w:rPr>
          <w:rFonts w:ascii="Arial Narrow" w:hAnsi="Arial Narrow"/>
          <w:sz w:val="20"/>
          <w:szCs w:val="20"/>
        </w:rPr>
        <w:t>Montenegro</w:t>
      </w:r>
      <w:r w:rsidR="00124451">
        <w:rPr>
          <w:rFonts w:ascii="Arial Narrow" w:hAnsi="Arial Narrow"/>
          <w:sz w:val="20"/>
          <w:szCs w:val="20"/>
        </w:rPr>
        <w:t>, namely:</w:t>
      </w:r>
    </w:p>
    <w:p w14:paraId="672B215D" w14:textId="77777777" w:rsidR="00296F78" w:rsidRPr="00496D51" w:rsidRDefault="00296F78" w:rsidP="00DA27F2">
      <w:pPr>
        <w:jc w:val="both"/>
        <w:rPr>
          <w:rFonts w:ascii="Arial Narrow" w:hAnsi="Arial Narrow"/>
          <w:sz w:val="20"/>
          <w:szCs w:val="20"/>
        </w:rPr>
      </w:pPr>
    </w:p>
    <w:p w14:paraId="7CABC9B1" w14:textId="77777777" w:rsidR="00296F78" w:rsidRPr="00296F78" w:rsidRDefault="00517A84" w:rsidP="00296F78">
      <w:pPr>
        <w:numPr>
          <w:ilvl w:val="0"/>
          <w:numId w:val="12"/>
        </w:numPr>
        <w:spacing w:after="200" w:line="276" w:lineRule="auto"/>
        <w:jc w:val="both"/>
        <w:rPr>
          <w:rFonts w:ascii="Arial Narrow" w:hAnsi="Arial Narrow"/>
          <w:color w:val="0000FF"/>
          <w:sz w:val="20"/>
          <w:szCs w:val="20"/>
        </w:rPr>
      </w:pPr>
      <w:hyperlink r:id="rId13" w:history="1">
        <w:r w:rsidR="00296F78" w:rsidRPr="00296F78">
          <w:rPr>
            <w:rFonts w:ascii="Arial Narrow" w:hAnsi="Arial Narrow"/>
            <w:color w:val="0000FF" w:themeColor="hyperlink"/>
            <w:sz w:val="20"/>
            <w:szCs w:val="20"/>
          </w:rPr>
          <w:t>Action against Economic Crime Montenegro (AEC-MNE)</w:t>
        </w:r>
      </w:hyperlink>
      <w:r w:rsidR="00296F78" w:rsidRPr="00296F78">
        <w:rPr>
          <w:rFonts w:ascii="Arial Narrow" w:hAnsi="Arial Narrow"/>
          <w:color w:val="0000FF" w:themeColor="hyperlink"/>
          <w:sz w:val="20"/>
          <w:szCs w:val="20"/>
        </w:rPr>
        <w:t>;</w:t>
      </w:r>
    </w:p>
    <w:p w14:paraId="6565947E" w14:textId="77777777" w:rsidR="00296F78" w:rsidRPr="00296F78" w:rsidRDefault="00517A84" w:rsidP="00296F78">
      <w:pPr>
        <w:numPr>
          <w:ilvl w:val="0"/>
          <w:numId w:val="12"/>
        </w:numPr>
        <w:spacing w:after="200" w:line="276" w:lineRule="auto"/>
        <w:jc w:val="both"/>
        <w:rPr>
          <w:rFonts w:ascii="Arial Narrow" w:hAnsi="Arial Narrow"/>
          <w:color w:val="0000FF"/>
          <w:sz w:val="20"/>
          <w:szCs w:val="20"/>
        </w:rPr>
      </w:pPr>
      <w:hyperlink r:id="rId14" w:history="1">
        <w:r w:rsidR="00296F78" w:rsidRPr="00296F78">
          <w:rPr>
            <w:rFonts w:ascii="Arial Narrow" w:hAnsi="Arial Narrow"/>
            <w:color w:val="0000FF" w:themeColor="hyperlink"/>
            <w:sz w:val="20"/>
            <w:szCs w:val="20"/>
          </w:rPr>
          <w:t xml:space="preserve">Fighting Ill-treatment and Impunity and Enhancing the Application of the </w:t>
        </w:r>
        <w:proofErr w:type="spellStart"/>
        <w:r w:rsidR="00296F78" w:rsidRPr="00296F78">
          <w:rPr>
            <w:rFonts w:ascii="Arial Narrow" w:hAnsi="Arial Narrow"/>
            <w:color w:val="0000FF" w:themeColor="hyperlink"/>
            <w:sz w:val="20"/>
            <w:szCs w:val="20"/>
          </w:rPr>
          <w:t>ECtHR</w:t>
        </w:r>
        <w:proofErr w:type="spellEnd"/>
        <w:r w:rsidR="00296F78" w:rsidRPr="00296F78">
          <w:rPr>
            <w:rFonts w:ascii="Arial Narrow" w:hAnsi="Arial Narrow"/>
            <w:color w:val="0000FF" w:themeColor="hyperlink"/>
            <w:sz w:val="20"/>
            <w:szCs w:val="20"/>
          </w:rPr>
          <w:t xml:space="preserve"> Case-law on National Level (FILL)</w:t>
        </w:r>
      </w:hyperlink>
      <w:r w:rsidR="00296F78" w:rsidRPr="00296F78">
        <w:rPr>
          <w:rFonts w:ascii="Arial Narrow" w:hAnsi="Arial Narrow"/>
          <w:color w:val="0000FF"/>
          <w:sz w:val="20"/>
          <w:szCs w:val="20"/>
        </w:rPr>
        <w:t>;</w:t>
      </w:r>
    </w:p>
    <w:p w14:paraId="04FE9618" w14:textId="77777777" w:rsidR="00296F78" w:rsidRPr="00296F78" w:rsidRDefault="00517A84" w:rsidP="00296F78">
      <w:pPr>
        <w:numPr>
          <w:ilvl w:val="0"/>
          <w:numId w:val="12"/>
        </w:numPr>
        <w:spacing w:after="200" w:line="276" w:lineRule="auto"/>
        <w:jc w:val="both"/>
        <w:rPr>
          <w:rFonts w:ascii="Arial Narrow" w:hAnsi="Arial Narrow"/>
          <w:color w:val="0000FF"/>
          <w:sz w:val="20"/>
          <w:szCs w:val="20"/>
        </w:rPr>
      </w:pPr>
      <w:hyperlink r:id="rId15" w:history="1">
        <w:r w:rsidR="00296F78" w:rsidRPr="00296F78">
          <w:rPr>
            <w:rFonts w:ascii="Arial Narrow" w:hAnsi="Arial Narrow"/>
            <w:color w:val="0000FF" w:themeColor="hyperlink"/>
            <w:sz w:val="20"/>
            <w:szCs w:val="20"/>
          </w:rPr>
          <w:t>Enhancing human rights protection for detained and sentenced persons in Montenegro</w:t>
        </w:r>
      </w:hyperlink>
      <w:r w:rsidR="00296F78" w:rsidRPr="00296F78">
        <w:rPr>
          <w:rFonts w:ascii="Arial Narrow" w:hAnsi="Arial Narrow"/>
          <w:color w:val="0000FF" w:themeColor="hyperlink"/>
          <w:sz w:val="20"/>
          <w:szCs w:val="20"/>
        </w:rPr>
        <w:t>;</w:t>
      </w:r>
    </w:p>
    <w:p w14:paraId="35D0D4E9" w14:textId="77777777" w:rsidR="00296F78" w:rsidRPr="00296F78" w:rsidRDefault="00517A84" w:rsidP="00296F78">
      <w:pPr>
        <w:numPr>
          <w:ilvl w:val="0"/>
          <w:numId w:val="12"/>
        </w:numPr>
        <w:spacing w:after="200" w:line="276" w:lineRule="auto"/>
        <w:jc w:val="both"/>
        <w:rPr>
          <w:rFonts w:ascii="Arial Narrow" w:hAnsi="Arial Narrow"/>
          <w:sz w:val="20"/>
          <w:szCs w:val="20"/>
        </w:rPr>
      </w:pPr>
      <w:hyperlink r:id="rId16" w:history="1">
        <w:r w:rsidR="00296F78" w:rsidRPr="00296F78">
          <w:rPr>
            <w:rFonts w:ascii="Arial Narrow" w:hAnsi="Arial Narrow"/>
            <w:color w:val="0000FF" w:themeColor="hyperlink"/>
            <w:sz w:val="20"/>
            <w:szCs w:val="20"/>
          </w:rPr>
          <w:t>Accountability of the Judicial System in Montenegro</w:t>
        </w:r>
      </w:hyperlink>
      <w:r w:rsidR="00296F78" w:rsidRPr="00296F78">
        <w:rPr>
          <w:rFonts w:ascii="Arial Narrow" w:hAnsi="Arial Narrow"/>
          <w:color w:val="0000FF" w:themeColor="hyperlink"/>
          <w:sz w:val="20"/>
          <w:szCs w:val="20"/>
        </w:rPr>
        <w:t>;</w:t>
      </w:r>
    </w:p>
    <w:p w14:paraId="2784BF58" w14:textId="77777777" w:rsidR="00296F78" w:rsidRPr="00296F78" w:rsidRDefault="00517A84" w:rsidP="00296F78">
      <w:pPr>
        <w:numPr>
          <w:ilvl w:val="0"/>
          <w:numId w:val="12"/>
        </w:numPr>
        <w:spacing w:after="200" w:line="276" w:lineRule="auto"/>
        <w:jc w:val="both"/>
        <w:rPr>
          <w:rFonts w:ascii="Arial Narrow" w:hAnsi="Arial Narrow"/>
          <w:sz w:val="20"/>
          <w:szCs w:val="20"/>
        </w:rPr>
      </w:pPr>
      <w:hyperlink r:id="rId17" w:history="1">
        <w:r w:rsidR="00296F78" w:rsidRPr="00296F78">
          <w:rPr>
            <w:rFonts w:ascii="Arial Narrow" w:hAnsi="Arial Narrow"/>
            <w:color w:val="0000FF" w:themeColor="hyperlink"/>
            <w:sz w:val="20"/>
            <w:szCs w:val="20"/>
          </w:rPr>
          <w:t>Strengthen integrity and combat corruption in higher education</w:t>
        </w:r>
      </w:hyperlink>
      <w:r w:rsidR="00296F78" w:rsidRPr="00296F78">
        <w:rPr>
          <w:rFonts w:ascii="Arial Narrow" w:hAnsi="Arial Narrow"/>
          <w:sz w:val="20"/>
          <w:szCs w:val="20"/>
        </w:rPr>
        <w:t>;</w:t>
      </w:r>
    </w:p>
    <w:p w14:paraId="2AAD5E80" w14:textId="77777777" w:rsidR="00296F78" w:rsidRPr="00296F78" w:rsidRDefault="00517A84" w:rsidP="00296F78">
      <w:pPr>
        <w:numPr>
          <w:ilvl w:val="0"/>
          <w:numId w:val="12"/>
        </w:numPr>
        <w:spacing w:after="200" w:line="276" w:lineRule="auto"/>
        <w:jc w:val="both"/>
        <w:rPr>
          <w:rFonts w:ascii="Arial Narrow" w:hAnsi="Arial Narrow"/>
          <w:sz w:val="20"/>
          <w:szCs w:val="20"/>
        </w:rPr>
      </w:pPr>
      <w:hyperlink r:id="rId18" w:history="1">
        <w:r w:rsidR="00296F78" w:rsidRPr="00296F78">
          <w:rPr>
            <w:rFonts w:ascii="Arial Narrow" w:hAnsi="Arial Narrow"/>
            <w:color w:val="0000FF" w:themeColor="hyperlink"/>
            <w:sz w:val="20"/>
            <w:szCs w:val="20"/>
          </w:rPr>
          <w:t>Fostering a democratic school culture</w:t>
        </w:r>
      </w:hyperlink>
      <w:r w:rsidR="00296F78" w:rsidRPr="00296F78">
        <w:rPr>
          <w:rFonts w:ascii="Arial Narrow" w:hAnsi="Arial Narrow"/>
          <w:sz w:val="20"/>
          <w:szCs w:val="20"/>
        </w:rPr>
        <w:t>.</w:t>
      </w:r>
    </w:p>
    <w:p w14:paraId="4842426C" w14:textId="1470C74A" w:rsidR="00986E66" w:rsidRDefault="00296F78" w:rsidP="00986E66">
      <w:pPr>
        <w:shd w:val="clear" w:color="auto" w:fill="FFFFFF" w:themeFill="background1"/>
        <w:autoSpaceDE w:val="0"/>
        <w:autoSpaceDN w:val="0"/>
        <w:adjustRightInd w:val="0"/>
        <w:jc w:val="both"/>
        <w:rPr>
          <w:rFonts w:ascii="Arial Narrow" w:hAnsi="Arial Narrow"/>
          <w:noProof/>
          <w:sz w:val="20"/>
          <w:szCs w:val="20"/>
          <w:lang w:eastAsia="fr-FR"/>
        </w:rPr>
      </w:pPr>
      <w:r w:rsidRPr="00296F78">
        <w:rPr>
          <w:rFonts w:ascii="Arial Narrow" w:hAnsi="Arial Narrow"/>
          <w:sz w:val="20"/>
          <w:szCs w:val="20"/>
        </w:rPr>
        <w:t xml:space="preserve">In order to facilitate the implementation of the Horizontal Facility communication guidelines and its plan in Montenegro, the Council of Europe Programme Office in Podgorica is looking for </w:t>
      </w:r>
      <w:r w:rsidR="0000301C">
        <w:rPr>
          <w:rFonts w:ascii="Arial Narrow" w:hAnsi="Arial Narrow"/>
          <w:sz w:val="20"/>
          <w:szCs w:val="20"/>
        </w:rPr>
        <w:t>a maximum of 4</w:t>
      </w:r>
      <w:r w:rsidR="0000301C" w:rsidRPr="00296F78">
        <w:rPr>
          <w:rFonts w:ascii="Arial Narrow" w:hAnsi="Arial Narrow"/>
          <w:sz w:val="20"/>
          <w:szCs w:val="20"/>
        </w:rPr>
        <w:t xml:space="preserve"> </w:t>
      </w:r>
      <w:r w:rsidRPr="00296F78">
        <w:rPr>
          <w:rFonts w:ascii="Arial Narrow" w:hAnsi="Arial Narrow"/>
          <w:sz w:val="20"/>
          <w:szCs w:val="20"/>
        </w:rPr>
        <w:t>Providers with special expertise</w:t>
      </w:r>
      <w:r w:rsidR="007875A5">
        <w:rPr>
          <w:rFonts w:ascii="Arial Narrow" w:hAnsi="Arial Narrow"/>
          <w:sz w:val="20"/>
          <w:szCs w:val="20"/>
        </w:rPr>
        <w:t xml:space="preserve"> in</w:t>
      </w:r>
      <w:r w:rsidRPr="00296F78">
        <w:rPr>
          <w:rFonts w:ascii="Arial Narrow" w:hAnsi="Arial Narrow"/>
          <w:sz w:val="20"/>
          <w:szCs w:val="20"/>
        </w:rPr>
        <w:t xml:space="preserve"> communication and public relation services.</w:t>
      </w:r>
    </w:p>
    <w:p w14:paraId="6363035A" w14:textId="77777777" w:rsidR="00296F78" w:rsidRDefault="00296F78" w:rsidP="00986E66">
      <w:pPr>
        <w:jc w:val="both"/>
        <w:rPr>
          <w:rFonts w:ascii="Arial Narrow" w:hAnsi="Arial Narrow"/>
          <w:sz w:val="20"/>
          <w:szCs w:val="20"/>
        </w:rPr>
      </w:pPr>
    </w:p>
    <w:p w14:paraId="6EBE5A0C" w14:textId="4A27B22B" w:rsidR="00296F78" w:rsidRDefault="00296F78" w:rsidP="00986E66">
      <w:pPr>
        <w:jc w:val="both"/>
        <w:rPr>
          <w:rFonts w:ascii="Arial Narrow" w:hAnsi="Arial Narrow"/>
          <w:sz w:val="20"/>
          <w:szCs w:val="20"/>
        </w:rPr>
      </w:pPr>
      <w:r w:rsidRPr="00296F78">
        <w:rPr>
          <w:rFonts w:ascii="Arial Narrow" w:hAnsi="Arial Narrow"/>
          <w:sz w:val="20"/>
          <w:szCs w:val="20"/>
        </w:rPr>
        <w:t xml:space="preserve">The Providers are expected to deliver coordination services related to oral and written communications services, in close cooperation with the team of the Council of Europe Programme Office in Podgorica, for </w:t>
      </w:r>
      <w:r w:rsidR="001F4341">
        <w:rPr>
          <w:rFonts w:ascii="Arial Narrow" w:hAnsi="Arial Narrow"/>
          <w:sz w:val="20"/>
          <w:szCs w:val="20"/>
        </w:rPr>
        <w:t xml:space="preserve">an estimate </w:t>
      </w:r>
      <w:r w:rsidR="003916BE">
        <w:rPr>
          <w:rFonts w:ascii="Arial Narrow" w:hAnsi="Arial Narrow"/>
          <w:sz w:val="20"/>
          <w:szCs w:val="20"/>
        </w:rPr>
        <w:t xml:space="preserve">of </w:t>
      </w:r>
      <w:r w:rsidR="003916BE" w:rsidRPr="00296F78">
        <w:rPr>
          <w:rFonts w:ascii="Arial Narrow" w:hAnsi="Arial Narrow"/>
          <w:sz w:val="20"/>
          <w:szCs w:val="20"/>
        </w:rPr>
        <w:t>100</w:t>
      </w:r>
      <w:r w:rsidRPr="00296F78">
        <w:rPr>
          <w:rFonts w:ascii="Arial Narrow" w:hAnsi="Arial Narrow"/>
          <w:sz w:val="20"/>
          <w:szCs w:val="20"/>
        </w:rPr>
        <w:t xml:space="preserve"> </w:t>
      </w:r>
      <w:r w:rsidR="00E22F9A">
        <w:rPr>
          <w:rFonts w:ascii="Arial Narrow" w:hAnsi="Arial Narrow"/>
          <w:sz w:val="20"/>
          <w:szCs w:val="20"/>
        </w:rPr>
        <w:t>working</w:t>
      </w:r>
      <w:r w:rsidR="00E22F9A" w:rsidRPr="00296F78">
        <w:rPr>
          <w:rFonts w:ascii="Arial Narrow" w:hAnsi="Arial Narrow"/>
          <w:sz w:val="20"/>
          <w:szCs w:val="20"/>
        </w:rPr>
        <w:t xml:space="preserve"> </w:t>
      </w:r>
      <w:r w:rsidRPr="00296F78">
        <w:rPr>
          <w:rFonts w:ascii="Arial Narrow" w:hAnsi="Arial Narrow"/>
          <w:sz w:val="20"/>
          <w:szCs w:val="20"/>
        </w:rPr>
        <w:t>days, distributed until 30 April 2019.</w:t>
      </w:r>
      <w:r w:rsidR="0000301C">
        <w:rPr>
          <w:rFonts w:ascii="Arial Narrow" w:hAnsi="Arial Narrow"/>
          <w:sz w:val="20"/>
          <w:szCs w:val="20"/>
        </w:rPr>
        <w:t xml:space="preserve"> </w:t>
      </w:r>
      <w:r w:rsidRPr="00296F78">
        <w:rPr>
          <w:rFonts w:ascii="Arial Narrow" w:hAnsi="Arial Narrow"/>
          <w:sz w:val="20"/>
          <w:szCs w:val="20"/>
        </w:rPr>
        <w:t>This estimate is for information only and shall not constitute any sort of contractual commitment on the part of the COE.</w:t>
      </w:r>
      <w:r w:rsidR="0000301C">
        <w:rPr>
          <w:rFonts w:ascii="Arial Narrow" w:hAnsi="Arial Narrow"/>
          <w:sz w:val="20"/>
          <w:szCs w:val="20"/>
        </w:rPr>
        <w:t xml:space="preserve"> </w:t>
      </w:r>
      <w:r w:rsidRPr="00296F78">
        <w:rPr>
          <w:rFonts w:ascii="Arial Narrow" w:hAnsi="Arial Narrow"/>
          <w:sz w:val="20"/>
          <w:szCs w:val="20"/>
        </w:rPr>
        <w:t xml:space="preserve">The contract may potentially represent a higher or lower number of </w:t>
      </w:r>
      <w:r w:rsidR="00E22F9A">
        <w:rPr>
          <w:rFonts w:ascii="Arial Narrow" w:hAnsi="Arial Narrow"/>
          <w:sz w:val="20"/>
          <w:szCs w:val="20"/>
        </w:rPr>
        <w:t xml:space="preserve">working </w:t>
      </w:r>
      <w:r w:rsidR="00EF1BF6">
        <w:rPr>
          <w:rFonts w:ascii="Arial Narrow" w:hAnsi="Arial Narrow"/>
          <w:sz w:val="20"/>
          <w:szCs w:val="20"/>
        </w:rPr>
        <w:t>days</w:t>
      </w:r>
      <w:r w:rsidRPr="00296F78">
        <w:rPr>
          <w:rFonts w:ascii="Arial Narrow" w:hAnsi="Arial Narrow"/>
          <w:sz w:val="20"/>
          <w:szCs w:val="20"/>
        </w:rPr>
        <w:t>, depending on the evolving needs of the Organisation</w:t>
      </w:r>
      <w:r>
        <w:rPr>
          <w:rFonts w:ascii="Arial Narrow" w:hAnsi="Arial Narrow"/>
          <w:sz w:val="20"/>
          <w:szCs w:val="20"/>
        </w:rPr>
        <w:t>.</w:t>
      </w:r>
    </w:p>
    <w:p w14:paraId="518181DB" w14:textId="77777777" w:rsidR="00EF1BF6" w:rsidRDefault="00EF1BF6" w:rsidP="00986E66">
      <w:pPr>
        <w:jc w:val="both"/>
        <w:rPr>
          <w:rFonts w:ascii="Arial Narrow" w:hAnsi="Arial Narrow"/>
          <w:sz w:val="20"/>
          <w:szCs w:val="20"/>
        </w:rPr>
      </w:pPr>
    </w:p>
    <w:p w14:paraId="4BAF447E" w14:textId="632F3231" w:rsidR="00986E66" w:rsidRPr="004F38E2" w:rsidRDefault="00986E66" w:rsidP="00986E66">
      <w:pPr>
        <w:jc w:val="both"/>
        <w:rPr>
          <w:rFonts w:ascii="Arial Narrow" w:hAnsi="Arial Narrow"/>
          <w:sz w:val="20"/>
          <w:szCs w:val="20"/>
        </w:rPr>
      </w:pPr>
      <w:r w:rsidRPr="004F38E2">
        <w:rPr>
          <w:rFonts w:ascii="Arial Narrow" w:hAnsi="Arial Narrow"/>
          <w:sz w:val="20"/>
          <w:szCs w:val="20"/>
        </w:rPr>
        <w:t>Deliverables will be delivered on the basis of Order Forms submitted by the C</w:t>
      </w:r>
      <w:r w:rsidR="00BB3DE0">
        <w:rPr>
          <w:rFonts w:ascii="Arial Narrow" w:hAnsi="Arial Narrow"/>
          <w:sz w:val="20"/>
          <w:szCs w:val="20"/>
        </w:rPr>
        <w:t>OE</w:t>
      </w:r>
      <w:r w:rsidRPr="004F38E2">
        <w:rPr>
          <w:rFonts w:ascii="Arial Narrow" w:hAnsi="Arial Narrow"/>
          <w:sz w:val="20"/>
          <w:szCs w:val="20"/>
        </w:rPr>
        <w:t xml:space="preserve"> to the selected Provider</w:t>
      </w:r>
      <w:r w:rsidR="007C7CED">
        <w:rPr>
          <w:rFonts w:ascii="Arial Narrow" w:hAnsi="Arial Narrow"/>
          <w:sz w:val="20"/>
          <w:szCs w:val="20"/>
        </w:rPr>
        <w:t>s</w:t>
      </w:r>
      <w:r w:rsidRPr="004F38E2">
        <w:rPr>
          <w:rFonts w:ascii="Arial Narrow" w:hAnsi="Arial Narrow"/>
          <w:sz w:val="20"/>
          <w:szCs w:val="20"/>
        </w:rPr>
        <w:t xml:space="preserve">, by post or </w:t>
      </w:r>
      <w:r w:rsidR="003916BE" w:rsidRPr="004F38E2">
        <w:rPr>
          <w:rFonts w:ascii="Arial Narrow" w:hAnsi="Arial Narrow"/>
          <w:sz w:val="20"/>
          <w:szCs w:val="20"/>
        </w:rPr>
        <w:t>electronically;</w:t>
      </w:r>
      <w:r w:rsidRPr="004F38E2">
        <w:rPr>
          <w:rFonts w:ascii="Arial Narrow" w:hAnsi="Arial Narrow"/>
          <w:sz w:val="20"/>
          <w:szCs w:val="20"/>
        </w:rPr>
        <w:t xml:space="preserve"> on </w:t>
      </w:r>
      <w:r w:rsidRPr="004F38E2">
        <w:rPr>
          <w:rFonts w:ascii="Arial Narrow" w:hAnsi="Arial Narrow"/>
          <w:b/>
          <w:sz w:val="20"/>
          <w:szCs w:val="20"/>
        </w:rPr>
        <w:t>an as needed basis</w:t>
      </w:r>
      <w:r w:rsidRPr="004F38E2">
        <w:rPr>
          <w:rFonts w:ascii="Arial Narrow" w:hAnsi="Arial Narrow"/>
          <w:sz w:val="20"/>
          <w:szCs w:val="20"/>
        </w:rPr>
        <w:t xml:space="preserve"> (there is therefore no obligation to order on the </w:t>
      </w:r>
      <w:r w:rsidR="00BB3DE0">
        <w:rPr>
          <w:rFonts w:ascii="Arial Narrow" w:hAnsi="Arial Narrow"/>
          <w:sz w:val="20"/>
          <w:szCs w:val="20"/>
        </w:rPr>
        <w:t>side of COE</w:t>
      </w:r>
      <w:r w:rsidRPr="004F38E2">
        <w:rPr>
          <w:rFonts w:ascii="Arial Narrow" w:hAnsi="Arial Narrow"/>
          <w:sz w:val="20"/>
          <w:szCs w:val="20"/>
        </w:rPr>
        <w:t>).</w:t>
      </w:r>
    </w:p>
    <w:p w14:paraId="1DE37A68" w14:textId="77777777" w:rsidR="00986E66" w:rsidRDefault="00986E66" w:rsidP="00986E66">
      <w:pPr>
        <w:jc w:val="both"/>
        <w:rPr>
          <w:rFonts w:ascii="Arial Narrow" w:hAnsi="Arial Narrow"/>
          <w:sz w:val="20"/>
          <w:szCs w:val="20"/>
        </w:rPr>
      </w:pPr>
    </w:p>
    <w:p w14:paraId="47241B80" w14:textId="5945B495" w:rsidR="00BB3DE0" w:rsidRPr="00BB3DE0" w:rsidRDefault="00BB3DE0" w:rsidP="00BB3DE0">
      <w:pPr>
        <w:jc w:val="both"/>
        <w:rPr>
          <w:rFonts w:ascii="Arial Narrow" w:hAnsi="Arial Narrow"/>
          <w:sz w:val="20"/>
          <w:szCs w:val="20"/>
        </w:rPr>
      </w:pPr>
      <w:r w:rsidRPr="00BB3DE0">
        <w:rPr>
          <w:rFonts w:ascii="Arial Narrow" w:hAnsi="Arial Narrow"/>
          <w:sz w:val="20"/>
          <w:szCs w:val="20"/>
        </w:rPr>
        <w:t xml:space="preserve">For each order, the </w:t>
      </w:r>
      <w:r w:rsidR="00EF7937">
        <w:rPr>
          <w:rFonts w:ascii="Arial Narrow" w:hAnsi="Arial Narrow"/>
          <w:sz w:val="20"/>
          <w:szCs w:val="20"/>
        </w:rPr>
        <w:t xml:space="preserve">COE </w:t>
      </w:r>
      <w:r w:rsidRPr="00BB3DE0">
        <w:rPr>
          <w:rFonts w:ascii="Arial Narrow" w:hAnsi="Arial Narrow"/>
          <w:sz w:val="20"/>
          <w:szCs w:val="20"/>
        </w:rPr>
        <w:t xml:space="preserve">will select from the pool of pre-selected tenderers the Provider who demonstrably offers best value for money for its requirement when assessed – for the Order concerned – against the criteria of:  </w:t>
      </w:r>
    </w:p>
    <w:p w14:paraId="4F3FE174" w14:textId="7B96B124" w:rsidR="00BB3DE0" w:rsidRPr="0000301C" w:rsidRDefault="00EF1BF6" w:rsidP="0000301C">
      <w:pPr>
        <w:pStyle w:val="ListParagraph"/>
        <w:numPr>
          <w:ilvl w:val="0"/>
          <w:numId w:val="13"/>
        </w:numPr>
        <w:jc w:val="both"/>
        <w:rPr>
          <w:rFonts w:ascii="Arial Narrow" w:hAnsi="Arial Narrow"/>
          <w:sz w:val="20"/>
          <w:szCs w:val="20"/>
        </w:rPr>
      </w:pPr>
      <w:r w:rsidRPr="0000301C">
        <w:rPr>
          <w:rFonts w:ascii="Arial Narrow" w:hAnsi="Arial Narrow"/>
          <w:sz w:val="20"/>
          <w:szCs w:val="20"/>
        </w:rPr>
        <w:t>Q</w:t>
      </w:r>
      <w:r w:rsidR="00BB3DE0" w:rsidRPr="0000301C">
        <w:rPr>
          <w:rFonts w:ascii="Arial Narrow" w:hAnsi="Arial Narrow"/>
          <w:sz w:val="20"/>
          <w:szCs w:val="20"/>
        </w:rPr>
        <w:t>uality</w:t>
      </w:r>
      <w:r>
        <w:rPr>
          <w:rFonts w:ascii="Arial Narrow" w:hAnsi="Arial Narrow"/>
          <w:sz w:val="20"/>
          <w:szCs w:val="20"/>
        </w:rPr>
        <w:t xml:space="preserve"> </w:t>
      </w:r>
      <w:r w:rsidR="00BB3DE0" w:rsidRPr="0000301C">
        <w:rPr>
          <w:rFonts w:ascii="Arial Narrow" w:hAnsi="Arial Narrow"/>
          <w:sz w:val="20"/>
          <w:szCs w:val="20"/>
        </w:rPr>
        <w:t>(including as appropriate: capability, expertise, past performance, availability of resources and proposed methods of undertaking the work);</w:t>
      </w:r>
    </w:p>
    <w:p w14:paraId="60B904D1" w14:textId="4777F40C" w:rsidR="00BB3DE0" w:rsidRPr="0000301C" w:rsidRDefault="00EF1BF6" w:rsidP="0000301C">
      <w:pPr>
        <w:pStyle w:val="ListParagraph"/>
        <w:numPr>
          <w:ilvl w:val="0"/>
          <w:numId w:val="13"/>
        </w:numPr>
        <w:jc w:val="both"/>
        <w:rPr>
          <w:rFonts w:ascii="Arial Narrow" w:hAnsi="Arial Narrow"/>
          <w:sz w:val="20"/>
          <w:szCs w:val="20"/>
        </w:rPr>
      </w:pPr>
      <w:r w:rsidRPr="0000301C">
        <w:rPr>
          <w:rFonts w:ascii="Arial Narrow" w:hAnsi="Arial Narrow"/>
          <w:sz w:val="20"/>
          <w:szCs w:val="20"/>
        </w:rPr>
        <w:t>A</w:t>
      </w:r>
      <w:r w:rsidR="00BB3DE0" w:rsidRPr="0000301C">
        <w:rPr>
          <w:rFonts w:ascii="Arial Narrow" w:hAnsi="Arial Narrow"/>
          <w:sz w:val="20"/>
          <w:szCs w:val="20"/>
        </w:rPr>
        <w:t>vailability</w:t>
      </w:r>
      <w:r>
        <w:rPr>
          <w:rFonts w:ascii="Arial Narrow" w:hAnsi="Arial Narrow"/>
          <w:sz w:val="20"/>
          <w:szCs w:val="20"/>
        </w:rPr>
        <w:t xml:space="preserve"> </w:t>
      </w:r>
      <w:r w:rsidR="00BB3DE0" w:rsidRPr="0000301C">
        <w:rPr>
          <w:rFonts w:ascii="Arial Narrow" w:hAnsi="Arial Narrow"/>
          <w:sz w:val="20"/>
          <w:szCs w:val="20"/>
        </w:rPr>
        <w:t>(including, without limitation, capacity to meet required deadlines and, where relevant, geographical location); and</w:t>
      </w:r>
    </w:p>
    <w:p w14:paraId="34FAB26C" w14:textId="00E9BCE9" w:rsidR="00BB3DE0" w:rsidRPr="0000301C" w:rsidRDefault="00BB3DE0" w:rsidP="0000301C">
      <w:pPr>
        <w:pStyle w:val="ListParagraph"/>
        <w:numPr>
          <w:ilvl w:val="0"/>
          <w:numId w:val="13"/>
        </w:numPr>
        <w:jc w:val="both"/>
        <w:rPr>
          <w:rFonts w:ascii="Arial Narrow" w:hAnsi="Arial Narrow"/>
          <w:sz w:val="20"/>
          <w:szCs w:val="20"/>
        </w:rPr>
      </w:pPr>
      <w:proofErr w:type="gramStart"/>
      <w:r w:rsidRPr="0000301C">
        <w:rPr>
          <w:rFonts w:ascii="Arial Narrow" w:hAnsi="Arial Narrow"/>
          <w:sz w:val="20"/>
          <w:szCs w:val="20"/>
        </w:rPr>
        <w:t>price</w:t>
      </w:r>
      <w:proofErr w:type="gramEnd"/>
      <w:r w:rsidRPr="0000301C">
        <w:rPr>
          <w:rFonts w:ascii="Arial Narrow" w:hAnsi="Arial Narrow"/>
          <w:sz w:val="20"/>
          <w:szCs w:val="20"/>
        </w:rPr>
        <w:t>.</w:t>
      </w:r>
    </w:p>
    <w:p w14:paraId="229CAA74" w14:textId="77777777" w:rsidR="00EF7937" w:rsidRDefault="00EF7937" w:rsidP="00BB3DE0">
      <w:pPr>
        <w:jc w:val="both"/>
        <w:rPr>
          <w:rFonts w:ascii="Arial Narrow" w:hAnsi="Arial Narrow"/>
          <w:sz w:val="20"/>
          <w:szCs w:val="20"/>
        </w:rPr>
      </w:pPr>
    </w:p>
    <w:p w14:paraId="109BB3AD" w14:textId="5A09BD39" w:rsidR="00BB3DE0" w:rsidRPr="00BB3DE0" w:rsidRDefault="00BB3DE0" w:rsidP="00BB3DE0">
      <w:pPr>
        <w:jc w:val="both"/>
        <w:rPr>
          <w:rFonts w:ascii="Arial Narrow" w:hAnsi="Arial Narrow"/>
          <w:sz w:val="20"/>
          <w:szCs w:val="20"/>
        </w:rPr>
      </w:pPr>
      <w:r w:rsidRPr="00BB3DE0">
        <w:rPr>
          <w:rFonts w:ascii="Arial Narrow" w:hAnsi="Arial Narrow"/>
          <w:sz w:val="20"/>
          <w:szCs w:val="20"/>
        </w:rPr>
        <w:t>If a Provider is unable to take an Order or if no reply is given on his behalf within the above deadline, the C</w:t>
      </w:r>
      <w:r w:rsidR="00335804">
        <w:rPr>
          <w:rFonts w:ascii="Arial Narrow" w:hAnsi="Arial Narrow"/>
          <w:sz w:val="20"/>
          <w:szCs w:val="20"/>
        </w:rPr>
        <w:t>OE</w:t>
      </w:r>
      <w:r w:rsidRPr="00BB3DE0">
        <w:rPr>
          <w:rFonts w:ascii="Arial Narrow" w:hAnsi="Arial Narrow"/>
          <w:sz w:val="20"/>
          <w:szCs w:val="20"/>
        </w:rPr>
        <w:t xml:space="preserve"> may call on another Provider using the same criteria, and so on until a suitable Provider is contracted.</w:t>
      </w:r>
    </w:p>
    <w:p w14:paraId="61277E92" w14:textId="77777777" w:rsidR="00335804" w:rsidRDefault="00335804" w:rsidP="003F5BE6">
      <w:pPr>
        <w:spacing w:line="276" w:lineRule="auto"/>
        <w:ind w:left="-142"/>
        <w:jc w:val="both"/>
        <w:rPr>
          <w:rFonts w:ascii="Arial Narrow" w:hAnsi="Arial Narrow"/>
          <w:b/>
          <w:sz w:val="20"/>
          <w:szCs w:val="20"/>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0A0AEAFF" w14:textId="6FEB00EC" w:rsidR="003F5BE6" w:rsidRDefault="00336C4A" w:rsidP="00336C4A">
      <w:pPr>
        <w:spacing w:line="276" w:lineRule="auto"/>
        <w:ind w:left="-142"/>
        <w:jc w:val="both"/>
        <w:rPr>
          <w:rFonts w:ascii="Arial Narrow" w:hAnsi="Arial Narrow"/>
          <w:sz w:val="20"/>
          <w:szCs w:val="20"/>
        </w:rPr>
      </w:pPr>
      <w:r w:rsidRPr="00B4565F">
        <w:rPr>
          <w:rFonts w:ascii="Arial Narrow" w:hAnsi="Arial Narrow"/>
          <w:sz w:val="20"/>
          <w:szCs w:val="20"/>
        </w:rPr>
        <w:t xml:space="preserve">In return for the fulfilment by the </w:t>
      </w:r>
      <w:r>
        <w:rPr>
          <w:rFonts w:ascii="Arial Narrow" w:hAnsi="Arial Narrow"/>
          <w:sz w:val="20"/>
          <w:szCs w:val="20"/>
        </w:rPr>
        <w:t xml:space="preserve">Provider </w:t>
      </w:r>
      <w:r w:rsidRPr="00B4565F">
        <w:rPr>
          <w:rFonts w:ascii="Arial Narrow" w:hAnsi="Arial Narrow"/>
          <w:sz w:val="20"/>
          <w:szCs w:val="20"/>
        </w:rPr>
        <w:t xml:space="preserve">of its obligations under the contract, the </w:t>
      </w:r>
      <w:r w:rsidR="00BB3DE0" w:rsidRPr="00B4565F">
        <w:rPr>
          <w:rFonts w:ascii="Arial Narrow" w:hAnsi="Arial Narrow"/>
          <w:sz w:val="20"/>
          <w:szCs w:val="20"/>
        </w:rPr>
        <w:t>C</w:t>
      </w:r>
      <w:r w:rsidR="00BB3DE0">
        <w:rPr>
          <w:rFonts w:ascii="Arial Narrow" w:hAnsi="Arial Narrow"/>
          <w:sz w:val="20"/>
          <w:szCs w:val="20"/>
        </w:rPr>
        <w:t>OE</w:t>
      </w:r>
      <w:r w:rsidR="00BB3DE0" w:rsidRPr="00B4565F">
        <w:rPr>
          <w:rFonts w:ascii="Arial Narrow" w:hAnsi="Arial Narrow"/>
          <w:sz w:val="20"/>
          <w:szCs w:val="20"/>
        </w:rPr>
        <w:t xml:space="preserve"> </w:t>
      </w:r>
      <w:r w:rsidRPr="00B4565F">
        <w:rPr>
          <w:rFonts w:ascii="Arial Narrow" w:hAnsi="Arial Narrow"/>
          <w:sz w:val="20"/>
          <w:szCs w:val="20"/>
        </w:rPr>
        <w:t xml:space="preserve">undertakes to pay the </w:t>
      </w:r>
      <w:r w:rsidR="00BB3DE0">
        <w:rPr>
          <w:rFonts w:ascii="Arial Narrow" w:hAnsi="Arial Narrow"/>
          <w:sz w:val="20"/>
          <w:szCs w:val="20"/>
        </w:rPr>
        <w:t xml:space="preserve">Provider </w:t>
      </w:r>
      <w:r w:rsidRPr="00B4565F">
        <w:rPr>
          <w:rFonts w:ascii="Arial Narrow" w:hAnsi="Arial Narrow"/>
          <w:sz w:val="20"/>
          <w:szCs w:val="20"/>
        </w:rPr>
        <w:t xml:space="preserve">a net fixed fee </w:t>
      </w:r>
      <w:r w:rsidR="00714FBD">
        <w:rPr>
          <w:rFonts w:ascii="Arial Narrow" w:hAnsi="Arial Narrow"/>
          <w:sz w:val="20"/>
          <w:szCs w:val="20"/>
        </w:rPr>
        <w:t xml:space="preserve">per </w:t>
      </w:r>
      <w:r w:rsidR="006126C2">
        <w:rPr>
          <w:rFonts w:ascii="Arial Narrow" w:hAnsi="Arial Narrow"/>
          <w:sz w:val="20"/>
          <w:szCs w:val="20"/>
        </w:rPr>
        <w:t>deliverables</w:t>
      </w:r>
      <w:r w:rsidRPr="00B4565F">
        <w:rPr>
          <w:rFonts w:ascii="Arial Narrow" w:hAnsi="Arial Narrow"/>
          <w:sz w:val="20"/>
          <w:szCs w:val="20"/>
        </w:rPr>
        <w:t xml:space="preserve"> for a</w:t>
      </w:r>
      <w:r w:rsidR="00EB2DB9">
        <w:rPr>
          <w:rFonts w:ascii="Arial Narrow" w:hAnsi="Arial Narrow"/>
          <w:sz w:val="20"/>
          <w:szCs w:val="20"/>
        </w:rPr>
        <w:t xml:space="preserve">n </w:t>
      </w:r>
      <w:r w:rsidR="003916BE">
        <w:rPr>
          <w:rFonts w:ascii="Arial Narrow" w:hAnsi="Arial Narrow"/>
          <w:sz w:val="20"/>
          <w:szCs w:val="20"/>
        </w:rPr>
        <w:t>estimated of</w:t>
      </w:r>
      <w:r w:rsidR="00412A25">
        <w:rPr>
          <w:rFonts w:ascii="Arial Narrow" w:hAnsi="Arial Narrow"/>
          <w:sz w:val="20"/>
          <w:szCs w:val="20"/>
        </w:rPr>
        <w:t xml:space="preserve"> </w:t>
      </w:r>
      <w:r w:rsidR="00674FED" w:rsidRPr="00335804">
        <w:rPr>
          <w:rFonts w:ascii="Arial Narrow" w:hAnsi="Arial Narrow"/>
          <w:sz w:val="20"/>
          <w:szCs w:val="20"/>
        </w:rPr>
        <w:t xml:space="preserve">100 </w:t>
      </w:r>
      <w:r w:rsidR="00714FBD">
        <w:rPr>
          <w:rFonts w:ascii="Arial Narrow" w:hAnsi="Arial Narrow"/>
          <w:sz w:val="20"/>
          <w:szCs w:val="20"/>
        </w:rPr>
        <w:t>working days</w:t>
      </w:r>
      <w:r w:rsidR="00714FBD" w:rsidRPr="00335804">
        <w:rPr>
          <w:rFonts w:ascii="Arial Narrow" w:hAnsi="Arial Narrow"/>
          <w:sz w:val="20"/>
          <w:szCs w:val="20"/>
        </w:rPr>
        <w:t xml:space="preserve"> </w:t>
      </w:r>
      <w:r w:rsidRPr="00335804">
        <w:rPr>
          <w:rFonts w:ascii="Arial Narrow" w:hAnsi="Arial Narrow"/>
          <w:sz w:val="20"/>
          <w:szCs w:val="20"/>
        </w:rPr>
        <w:t xml:space="preserve">from </w:t>
      </w:r>
      <w:r w:rsidR="00714FBD" w:rsidRPr="00335804">
        <w:rPr>
          <w:rFonts w:ascii="Arial Narrow" w:hAnsi="Arial Narrow"/>
          <w:sz w:val="20"/>
          <w:szCs w:val="20"/>
        </w:rPr>
        <w:t>1</w:t>
      </w:r>
      <w:r w:rsidR="00714FBD">
        <w:rPr>
          <w:rFonts w:ascii="Arial Narrow" w:hAnsi="Arial Narrow"/>
          <w:sz w:val="20"/>
          <w:szCs w:val="20"/>
        </w:rPr>
        <w:t xml:space="preserve">5 October </w:t>
      </w:r>
      <w:r w:rsidRPr="00335804">
        <w:rPr>
          <w:rFonts w:ascii="Arial Narrow" w:hAnsi="Arial Narrow"/>
          <w:sz w:val="20"/>
          <w:szCs w:val="20"/>
        </w:rPr>
        <w:t xml:space="preserve">to </w:t>
      </w:r>
      <w:r w:rsidR="00FF108C" w:rsidRPr="00335804">
        <w:rPr>
          <w:rFonts w:ascii="Arial Narrow" w:hAnsi="Arial Narrow"/>
          <w:sz w:val="20"/>
          <w:szCs w:val="20"/>
        </w:rPr>
        <w:t>30 April</w:t>
      </w:r>
      <w:r w:rsidRPr="00335804">
        <w:rPr>
          <w:rFonts w:ascii="Arial Narrow" w:hAnsi="Arial Narrow"/>
          <w:sz w:val="20"/>
          <w:szCs w:val="20"/>
        </w:rPr>
        <w:t xml:space="preserve"> 201</w:t>
      </w:r>
      <w:r w:rsidR="00FF108C" w:rsidRPr="00335804">
        <w:rPr>
          <w:rFonts w:ascii="Arial Narrow" w:hAnsi="Arial Narrow"/>
          <w:sz w:val="20"/>
          <w:szCs w:val="20"/>
        </w:rPr>
        <w:t>9</w:t>
      </w:r>
      <w:r w:rsidRPr="00335804">
        <w:rPr>
          <w:rFonts w:ascii="Arial Narrow" w:hAnsi="Arial Narrow"/>
          <w:sz w:val="20"/>
          <w:szCs w:val="20"/>
        </w:rPr>
        <w:t>.</w:t>
      </w:r>
      <w:r w:rsidRPr="00B4565F">
        <w:rPr>
          <w:rFonts w:ascii="Arial Narrow" w:hAnsi="Arial Narrow"/>
          <w:sz w:val="20"/>
          <w:szCs w:val="20"/>
        </w:rPr>
        <w:t xml:space="preserve"> </w:t>
      </w: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Pr>
          <w:rFonts w:ascii="Arial Narrow" w:hAnsi="Arial Narrow"/>
          <w:color w:val="000000"/>
          <w:sz w:val="20"/>
          <w:szCs w:val="20"/>
          <w:lang w:eastAsia="en-US"/>
        </w:rPr>
        <w:t xml:space="preserve">Prices are indicated in </w:t>
      </w:r>
      <w:r w:rsidRPr="00EF247F">
        <w:rPr>
          <w:rFonts w:ascii="Arial Narrow" w:hAnsi="Arial Narrow"/>
          <w:color w:val="000000"/>
          <w:sz w:val="20"/>
          <w:szCs w:val="20"/>
          <w:lang w:eastAsia="en-US"/>
        </w:rPr>
        <w:t xml:space="preserve">Euros </w:t>
      </w:r>
      <w:r w:rsidRPr="00EF247F">
        <w:rPr>
          <w:rFonts w:ascii="Arial Narrow" w:hAnsi="Arial Narrow"/>
          <w:i/>
          <w:color w:val="000000"/>
          <w:sz w:val="20"/>
          <w:szCs w:val="20"/>
          <w:lang w:eastAsia="en-US"/>
        </w:rPr>
        <w:t>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00336345">
        <w:rPr>
          <w:rFonts w:ascii="Arial Narrow" w:hAnsi="Arial Narrow"/>
          <w:color w:val="000000"/>
          <w:sz w:val="20"/>
          <w:szCs w:val="20"/>
          <w:lang w:eastAsia="en-US"/>
        </w:rPr>
        <w:t xml:space="preserve">). </w:t>
      </w:r>
      <w:r w:rsidRPr="00B4565F">
        <w:rPr>
          <w:rFonts w:ascii="Arial Narrow" w:hAnsi="Arial Narrow"/>
          <w:sz w:val="20"/>
          <w:szCs w:val="20"/>
        </w:rPr>
        <w:t xml:space="preserve">These fees are final and not subject to review. Payments shall be made into the bank account of the </w:t>
      </w:r>
      <w:r w:rsidR="003916BE">
        <w:rPr>
          <w:rFonts w:ascii="Arial Narrow" w:hAnsi="Arial Narrow"/>
          <w:sz w:val="20"/>
          <w:szCs w:val="20"/>
        </w:rPr>
        <w:t xml:space="preserve">Provider </w:t>
      </w:r>
      <w:r w:rsidR="003916BE" w:rsidRPr="00B4565F">
        <w:rPr>
          <w:rFonts w:ascii="Arial Narrow" w:hAnsi="Arial Narrow"/>
          <w:sz w:val="20"/>
          <w:szCs w:val="20"/>
        </w:rPr>
        <w:t>as</w:t>
      </w:r>
      <w:r w:rsidRPr="00B4565F">
        <w:rPr>
          <w:rFonts w:ascii="Arial Narrow" w:hAnsi="Arial Narrow"/>
          <w:sz w:val="20"/>
          <w:szCs w:val="20"/>
        </w:rPr>
        <w:t xml:space="preserve"> indicated in Article 19 based on the acceptance of the deliverables and the number of service days worked on the day of payment.</w:t>
      </w:r>
    </w:p>
    <w:p w14:paraId="5D87497A" w14:textId="77777777" w:rsidR="00336C4A" w:rsidRDefault="00336C4A" w:rsidP="00336C4A">
      <w:pPr>
        <w:spacing w:line="276" w:lineRule="auto"/>
        <w:ind w:left="-142"/>
        <w:jc w:val="both"/>
        <w:rPr>
          <w:rFonts w:ascii="Arial Narrow" w:hAnsi="Arial Narrow"/>
          <w:sz w:val="20"/>
          <w:szCs w:val="20"/>
        </w:rPr>
      </w:pPr>
    </w:p>
    <w:p w14:paraId="30424C00" w14:textId="77777777" w:rsidR="00962E5E" w:rsidRDefault="00962E5E" w:rsidP="00F918FF">
      <w:pPr>
        <w:spacing w:line="276" w:lineRule="auto"/>
        <w:jc w:val="both"/>
        <w:rPr>
          <w:rFonts w:ascii="Arial Narrow" w:hAnsi="Arial Narrow"/>
          <w:sz w:val="20"/>
          <w:szCs w:val="20"/>
        </w:rPr>
      </w:pPr>
    </w:p>
    <w:p w14:paraId="16E3C60C" w14:textId="6B465430" w:rsidR="00EB2DB9" w:rsidRDefault="00962E5E" w:rsidP="00962E5E">
      <w:pPr>
        <w:spacing w:line="276" w:lineRule="auto"/>
        <w:jc w:val="both"/>
        <w:rPr>
          <w:rFonts w:ascii="Arial Narrow" w:hAnsi="Arial Narrow"/>
          <w:sz w:val="18"/>
          <w:szCs w:val="18"/>
          <w:lang w:eastAsia="en-US"/>
        </w:rPr>
      </w:pPr>
      <w:r>
        <w:rPr>
          <w:rFonts w:ascii="Arial Narrow" w:hAnsi="Arial Narrow"/>
          <w:color w:val="FF0000"/>
          <w:sz w:val="20"/>
          <w:szCs w:val="20"/>
        </w:rPr>
        <w:t xml:space="preserve">                                                                                            </w:t>
      </w:r>
      <w:r w:rsidR="003F5BE6" w:rsidRPr="003B3A58">
        <w:rPr>
          <w:rFonts w:ascii="Arial Narrow" w:hAnsi="Arial Narrow"/>
          <w:color w:val="FF0000"/>
          <w:sz w:val="20"/>
          <w:szCs w:val="20"/>
        </w:rPr>
        <w:t>The Provide</w:t>
      </w:r>
      <w:r w:rsidR="003F5BE6">
        <w:rPr>
          <w:rFonts w:ascii="Arial Narrow" w:hAnsi="Arial Narrow"/>
          <w:color w:val="FF0000"/>
          <w:sz w:val="20"/>
          <w:szCs w:val="20"/>
        </w:rPr>
        <w:t>r shall indicate its</w:t>
      </w:r>
      <w:r w:rsidR="003F5BE6" w:rsidRPr="003B3A58">
        <w:rPr>
          <w:rFonts w:ascii="Arial Narrow" w:hAnsi="Arial Narrow"/>
          <w:color w:val="FF0000"/>
          <w:sz w:val="20"/>
          <w:szCs w:val="20"/>
        </w:rPr>
        <w:t xml:space="preserve"> </w:t>
      </w:r>
      <w:r w:rsidR="003F5BE6">
        <w:rPr>
          <w:rFonts w:ascii="Arial Narrow" w:hAnsi="Arial Narrow"/>
          <w:color w:val="FF0000"/>
          <w:sz w:val="20"/>
          <w:szCs w:val="20"/>
        </w:rPr>
        <w:t xml:space="preserve">proposed </w:t>
      </w:r>
      <w:r w:rsidR="00714FBD">
        <w:rPr>
          <w:rFonts w:ascii="Arial Narrow" w:hAnsi="Arial Narrow"/>
          <w:color w:val="FF0000"/>
          <w:sz w:val="20"/>
          <w:szCs w:val="20"/>
        </w:rPr>
        <w:t xml:space="preserve">fees </w:t>
      </w:r>
      <w:r w:rsidR="003F5BE6">
        <w:rPr>
          <w:rFonts w:ascii="Arial Narrow" w:hAnsi="Arial Narrow"/>
          <w:color w:val="FF0000"/>
          <w:sz w:val="20"/>
          <w:szCs w:val="20"/>
        </w:rPr>
        <w:t>in the</w:t>
      </w:r>
      <w:r w:rsidR="003F5BE6" w:rsidRPr="003B3A58">
        <w:rPr>
          <w:rFonts w:ascii="Arial Narrow" w:hAnsi="Arial Narrow"/>
          <w:color w:val="FF0000"/>
          <w:sz w:val="20"/>
          <w:szCs w:val="20"/>
        </w:rPr>
        <w:t xml:space="preserve"> </w:t>
      </w:r>
      <w:proofErr w:type="gramStart"/>
      <w:r w:rsidR="003F5BE6" w:rsidRPr="003B3A58">
        <w:rPr>
          <w:rFonts w:ascii="Arial Narrow" w:hAnsi="Arial Narrow"/>
          <w:color w:val="FF0000"/>
          <w:sz w:val="20"/>
          <w:szCs w:val="20"/>
        </w:rPr>
        <w:t>box(</w:t>
      </w:r>
      <w:proofErr w:type="spellStart"/>
      <w:proofErr w:type="gramEnd"/>
      <w:r w:rsidR="003F5BE6" w:rsidRPr="003B3A58">
        <w:rPr>
          <w:rFonts w:ascii="Arial Narrow" w:hAnsi="Arial Narrow"/>
          <w:color w:val="FF0000"/>
          <w:sz w:val="20"/>
          <w:szCs w:val="20"/>
        </w:rPr>
        <w:t>es</w:t>
      </w:r>
      <w:proofErr w:type="spellEnd"/>
      <w:r w:rsidR="003F5BE6" w:rsidRPr="003B3A58">
        <w:rPr>
          <w:rFonts w:ascii="Arial Narrow" w:hAnsi="Arial Narrow"/>
          <w:color w:val="FF0000"/>
          <w:sz w:val="20"/>
          <w:szCs w:val="20"/>
        </w:rPr>
        <w:t>)</w:t>
      </w:r>
      <w:r w:rsidR="003F5BE6">
        <w:rPr>
          <w:rFonts w:ascii="Arial Narrow" w:hAnsi="Arial Narrow"/>
          <w:color w:val="FF0000"/>
          <w:sz w:val="20"/>
          <w:szCs w:val="20"/>
        </w:rPr>
        <w:t xml:space="preserve"> belo</w:t>
      </w:r>
      <w:r w:rsidR="003F5BE6">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47650D90">
                <wp:simplePos x="0" y="0"/>
                <wp:positionH relativeFrom="column">
                  <wp:posOffset>5696585</wp:posOffset>
                </wp:positionH>
                <wp:positionV relativeFrom="paragraph">
                  <wp:posOffset>177165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48.55pt;margin-top:13.9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" adj="3973" strokecolor="red">
                <o:lock v:ext="edit" aspectratio="t"/>
                <v:textbox style="layout-flow:vertical-ideographic"/>
                <w10:anchorlock/>
              </v:shape>
            </w:pict>
          </mc:Fallback>
        </mc:AlternateContent>
      </w:r>
      <w:r>
        <w:rPr>
          <w:rFonts w:ascii="Arial Narrow" w:hAnsi="Arial Narrow"/>
          <w:color w:val="FF0000"/>
          <w:sz w:val="20"/>
          <w:szCs w:val="20"/>
        </w:rPr>
        <w:t>w.</w:t>
      </w:r>
    </w:p>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239F0213" w14:textId="77777777" w:rsidTr="001F4341">
        <w:trPr>
          <w:trHeight w:val="704"/>
        </w:trPr>
        <w:tc>
          <w:tcPr>
            <w:tcW w:w="6908" w:type="dxa"/>
            <w:shd w:val="clear" w:color="auto" w:fill="DBE5F1"/>
            <w:vAlign w:val="center"/>
          </w:tcPr>
          <w:p w14:paraId="69AC4B8C" w14:textId="77777777" w:rsidR="00F81654" w:rsidRPr="00F918FF" w:rsidRDefault="00F81654" w:rsidP="00206A77">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 ▼</w:t>
            </w:r>
          </w:p>
        </w:tc>
        <w:tc>
          <w:tcPr>
            <w:tcW w:w="3119" w:type="dxa"/>
            <w:shd w:val="clear" w:color="auto" w:fill="DBE5F1"/>
          </w:tcPr>
          <w:p w14:paraId="11DB21F0" w14:textId="77777777" w:rsidR="00F81654" w:rsidRPr="00F918FF" w:rsidRDefault="00F81654" w:rsidP="00206A77">
            <w:pPr>
              <w:tabs>
                <w:tab w:val="left" w:pos="-139"/>
              </w:tabs>
              <w:spacing w:line="276" w:lineRule="auto"/>
              <w:ind w:left="-139" w:right="-140"/>
              <w:jc w:val="center"/>
              <w:rPr>
                <w:rFonts w:ascii="Arial Narrow" w:hAnsi="Arial Narrow"/>
                <w:b/>
                <w:sz w:val="18"/>
                <w:szCs w:val="18"/>
                <w:lang w:eastAsia="en-US"/>
              </w:rPr>
            </w:pPr>
          </w:p>
          <w:p w14:paraId="096D7FD9" w14:textId="77777777" w:rsidR="00F81654" w:rsidRDefault="00F81654" w:rsidP="00206A77">
            <w:pPr>
              <w:tabs>
                <w:tab w:val="left" w:pos="-139"/>
              </w:tabs>
              <w:spacing w:line="276" w:lineRule="auto"/>
              <w:ind w:left="-139" w:right="-140"/>
              <w:jc w:val="center"/>
              <w:rPr>
                <w:rFonts w:ascii="Arial Narrow" w:hAnsi="Arial Narrow"/>
                <w:b/>
                <w:sz w:val="18"/>
                <w:szCs w:val="18"/>
                <w:lang w:eastAsia="en-US"/>
              </w:rPr>
            </w:pPr>
          </w:p>
          <w:p w14:paraId="48CE59BC" w14:textId="77777777" w:rsidR="00F81654" w:rsidRDefault="00F81654" w:rsidP="00206A77">
            <w:pPr>
              <w:tabs>
                <w:tab w:val="left" w:pos="-139"/>
              </w:tabs>
              <w:spacing w:line="276" w:lineRule="auto"/>
              <w:ind w:left="-139" w:right="-140"/>
              <w:jc w:val="center"/>
              <w:rPr>
                <w:rFonts w:ascii="Arial Narrow" w:hAnsi="Arial Narrow"/>
                <w:b/>
                <w:sz w:val="18"/>
                <w:szCs w:val="18"/>
                <w:lang w:eastAsia="en-US"/>
              </w:rPr>
            </w:pPr>
          </w:p>
          <w:p w14:paraId="1EB1B321" w14:textId="2F555A17" w:rsidR="00F81654" w:rsidRPr="00F918FF" w:rsidRDefault="00F81654" w:rsidP="00206A77">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 xml:space="preserve">Fee </w:t>
            </w:r>
            <w:r>
              <w:rPr>
                <w:rFonts w:ascii="Arial Narrow" w:hAnsi="Arial Narrow"/>
                <w:b/>
                <w:sz w:val="18"/>
                <w:szCs w:val="18"/>
                <w:lang w:eastAsia="en-US"/>
              </w:rPr>
              <w:t xml:space="preserve">per contract </w:t>
            </w:r>
            <w:r w:rsidRPr="00F918FF">
              <w:rPr>
                <w:rFonts w:ascii="Arial Narrow" w:hAnsi="Arial Narrow"/>
                <w:b/>
                <w:sz w:val="18"/>
                <w:szCs w:val="18"/>
                <w:lang w:eastAsia="en-US"/>
              </w:rPr>
              <w:t xml:space="preserve"> ▼</w:t>
            </w:r>
          </w:p>
        </w:tc>
      </w:tr>
      <w:tr w:rsidR="00F81654" w:rsidRPr="00F918FF" w14:paraId="6295576B" w14:textId="77777777" w:rsidTr="001F4341">
        <w:trPr>
          <w:trHeight w:val="1409"/>
        </w:trPr>
        <w:tc>
          <w:tcPr>
            <w:tcW w:w="6908" w:type="dxa"/>
            <w:shd w:val="clear" w:color="auto" w:fill="F2F2F2"/>
            <w:vAlign w:val="center"/>
          </w:tcPr>
          <w:p w14:paraId="261F5F7B" w14:textId="360B519A" w:rsidR="00F81654" w:rsidRPr="00F918FF" w:rsidRDefault="00F81654" w:rsidP="00714FBD">
            <w:pPr>
              <w:rPr>
                <w:rFonts w:ascii="Arial Narrow" w:hAnsi="Arial Narrow"/>
                <w:sz w:val="18"/>
                <w:szCs w:val="18"/>
                <w:lang w:eastAsia="en-US"/>
              </w:rPr>
            </w:pPr>
            <w:r w:rsidRPr="00F918FF">
              <w:rPr>
                <w:rFonts w:ascii="Arial Narrow" w:hAnsi="Arial Narrow"/>
                <w:sz w:val="18"/>
                <w:szCs w:val="18"/>
                <w:lang w:eastAsia="en-US"/>
              </w:rPr>
              <w:t>Provide daily press clipping</w:t>
            </w:r>
            <w:r w:rsidR="004B1778">
              <w:rPr>
                <w:rFonts w:ascii="Arial Narrow" w:hAnsi="Arial Narrow"/>
                <w:sz w:val="18"/>
                <w:szCs w:val="18"/>
                <w:lang w:eastAsia="en-US"/>
              </w:rPr>
              <w:t>s</w:t>
            </w:r>
            <w:r w:rsidRPr="00F918FF">
              <w:rPr>
                <w:rFonts w:ascii="Arial Narrow" w:hAnsi="Arial Narrow"/>
                <w:sz w:val="18"/>
                <w:szCs w:val="18"/>
                <w:lang w:eastAsia="en-US"/>
              </w:rPr>
              <w:t xml:space="preserve"> </w:t>
            </w:r>
            <w:r w:rsidR="004B1778">
              <w:rPr>
                <w:rFonts w:ascii="Arial Narrow" w:hAnsi="Arial Narrow"/>
                <w:sz w:val="18"/>
                <w:szCs w:val="18"/>
                <w:lang w:eastAsia="en-US"/>
              </w:rPr>
              <w:t xml:space="preserve">from </w:t>
            </w:r>
            <w:r w:rsidRPr="00F918FF">
              <w:rPr>
                <w:rFonts w:ascii="Arial Narrow" w:hAnsi="Arial Narrow"/>
                <w:sz w:val="18"/>
                <w:szCs w:val="18"/>
                <w:lang w:eastAsia="en-US"/>
              </w:rPr>
              <w:t>print, TV and online media based on predefined keyword tracking. The Providers will send the daily press clipping</w:t>
            </w:r>
            <w:r w:rsidR="00686727">
              <w:rPr>
                <w:rFonts w:ascii="Arial Narrow" w:hAnsi="Arial Narrow"/>
                <w:sz w:val="18"/>
                <w:szCs w:val="18"/>
                <w:lang w:eastAsia="en-US"/>
              </w:rPr>
              <w:t>s</w:t>
            </w:r>
            <w:r w:rsidRPr="00F918FF">
              <w:rPr>
                <w:rFonts w:ascii="Arial Narrow" w:hAnsi="Arial Narrow"/>
                <w:sz w:val="18"/>
                <w:szCs w:val="18"/>
                <w:lang w:eastAsia="en-US"/>
              </w:rPr>
              <w:t xml:space="preserve"> by e-mail every</w:t>
            </w:r>
            <w:r w:rsidR="00714FBD">
              <w:rPr>
                <w:rFonts w:ascii="Arial Narrow" w:hAnsi="Arial Narrow"/>
                <w:sz w:val="18"/>
                <w:szCs w:val="18"/>
                <w:lang w:eastAsia="en-US"/>
              </w:rPr>
              <w:t xml:space="preserve"> working </w:t>
            </w:r>
            <w:r w:rsidRPr="00F918FF">
              <w:rPr>
                <w:rFonts w:ascii="Arial Narrow" w:hAnsi="Arial Narrow"/>
                <w:sz w:val="18"/>
                <w:szCs w:val="18"/>
                <w:lang w:eastAsia="en-US"/>
              </w:rPr>
              <w:t xml:space="preserve">day </w:t>
            </w:r>
            <w:r w:rsidR="006126C2">
              <w:rPr>
                <w:rFonts w:ascii="Arial Narrow" w:hAnsi="Arial Narrow"/>
                <w:sz w:val="18"/>
                <w:szCs w:val="18"/>
                <w:lang w:eastAsia="en-US"/>
              </w:rPr>
              <w:t>b</w:t>
            </w:r>
            <w:r w:rsidRPr="00F918FF">
              <w:rPr>
                <w:rFonts w:ascii="Arial Narrow" w:hAnsi="Arial Narrow"/>
                <w:sz w:val="18"/>
                <w:szCs w:val="18"/>
                <w:lang w:eastAsia="en-US"/>
              </w:rPr>
              <w:t xml:space="preserve">y </w:t>
            </w:r>
            <w:r w:rsidR="00686727">
              <w:rPr>
                <w:rFonts w:ascii="Arial Narrow" w:hAnsi="Arial Narrow"/>
                <w:sz w:val="18"/>
                <w:szCs w:val="18"/>
                <w:lang w:eastAsia="en-US"/>
              </w:rPr>
              <w:t>0</w:t>
            </w:r>
            <w:r w:rsidRPr="00F918FF">
              <w:rPr>
                <w:rFonts w:ascii="Arial Narrow" w:hAnsi="Arial Narrow"/>
                <w:sz w:val="18"/>
                <w:szCs w:val="18"/>
                <w:lang w:eastAsia="en-US"/>
              </w:rPr>
              <w:t>9</w:t>
            </w:r>
            <w:r w:rsidR="00686727">
              <w:rPr>
                <w:rFonts w:ascii="Arial Narrow" w:hAnsi="Arial Narrow"/>
                <w:sz w:val="18"/>
                <w:szCs w:val="18"/>
                <w:lang w:eastAsia="en-US"/>
              </w:rPr>
              <w:t>h</w:t>
            </w:r>
            <w:r w:rsidRPr="00F918FF">
              <w:rPr>
                <w:rFonts w:ascii="Arial Narrow" w:hAnsi="Arial Narrow"/>
                <w:sz w:val="18"/>
                <w:szCs w:val="18"/>
                <w:lang w:eastAsia="en-US"/>
              </w:rPr>
              <w:t>00 until the end of the contracting period. The Council of Europe Office in Podgorica will have access to the transcript, as well as to the original newspaper article</w:t>
            </w:r>
            <w:r w:rsidR="004B1778">
              <w:rPr>
                <w:rFonts w:ascii="Arial Narrow" w:hAnsi="Arial Narrow"/>
                <w:sz w:val="18"/>
                <w:szCs w:val="18"/>
                <w:lang w:eastAsia="en-US"/>
              </w:rPr>
              <w:t>s</w:t>
            </w:r>
            <w:r w:rsidRPr="00F918FF">
              <w:rPr>
                <w:rFonts w:ascii="Arial Narrow" w:hAnsi="Arial Narrow"/>
                <w:sz w:val="18"/>
                <w:szCs w:val="18"/>
                <w:lang w:eastAsia="en-US"/>
              </w:rPr>
              <w:t xml:space="preserve"> or video file</w:t>
            </w:r>
            <w:r w:rsidR="004B1778">
              <w:rPr>
                <w:rFonts w:ascii="Arial Narrow" w:hAnsi="Arial Narrow"/>
                <w:sz w:val="18"/>
                <w:szCs w:val="18"/>
                <w:lang w:eastAsia="en-US"/>
              </w:rPr>
              <w:t>s</w:t>
            </w:r>
            <w:r w:rsidRPr="00F918FF">
              <w:rPr>
                <w:rFonts w:ascii="Arial Narrow" w:hAnsi="Arial Narrow"/>
                <w:sz w:val="18"/>
                <w:szCs w:val="18"/>
                <w:lang w:eastAsia="en-US"/>
              </w:rPr>
              <w:t>;</w:t>
            </w:r>
          </w:p>
        </w:tc>
        <w:tc>
          <w:tcPr>
            <w:tcW w:w="3119" w:type="dxa"/>
            <w:tcBorders>
              <w:right w:val="single" w:sz="2" w:space="0" w:color="FF0000"/>
            </w:tcBorders>
            <w:shd w:val="clear" w:color="auto" w:fill="FFFFFF"/>
          </w:tcPr>
          <w:p w14:paraId="1C9EBD97" w14:textId="77777777"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16479F81" w14:textId="77777777" w:rsidR="00F918FF" w:rsidRPr="00F918FF" w:rsidRDefault="00F918FF" w:rsidP="003916BE"/>
    <w:p w14:paraId="54BEE676" w14:textId="77777777" w:rsidR="00F918FF" w:rsidRPr="00F918FF" w:rsidRDefault="00F918FF" w:rsidP="003916BE"/>
    <w:p w14:paraId="3A9C2B76" w14:textId="77777777" w:rsidR="00F918FF" w:rsidRPr="00F918FF" w:rsidRDefault="00F918FF"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29CF6A55" w14:textId="77777777" w:rsidTr="001F4341">
        <w:trPr>
          <w:trHeight w:val="704"/>
        </w:trPr>
        <w:tc>
          <w:tcPr>
            <w:tcW w:w="6908" w:type="dxa"/>
            <w:shd w:val="clear" w:color="auto" w:fill="DBE5F1"/>
            <w:vAlign w:val="center"/>
          </w:tcPr>
          <w:p w14:paraId="143C2B9B"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lastRenderedPageBreak/>
              <w:t>Type of deliverables  ▼</w:t>
            </w:r>
          </w:p>
        </w:tc>
        <w:tc>
          <w:tcPr>
            <w:tcW w:w="3119" w:type="dxa"/>
            <w:shd w:val="clear" w:color="auto" w:fill="DBE5F1"/>
          </w:tcPr>
          <w:p w14:paraId="636195B3" w14:textId="77777777" w:rsidR="00F81654" w:rsidRPr="00F918FF" w:rsidRDefault="00F81654" w:rsidP="003916BE">
            <w:pPr>
              <w:tabs>
                <w:tab w:val="left" w:pos="-139"/>
              </w:tabs>
              <w:spacing w:line="276" w:lineRule="auto"/>
              <w:ind w:left="-139" w:right="-140"/>
              <w:rPr>
                <w:rFonts w:ascii="Arial Narrow" w:hAnsi="Arial Narrow"/>
                <w:b/>
                <w:sz w:val="18"/>
                <w:szCs w:val="18"/>
                <w:lang w:eastAsia="en-US"/>
              </w:rPr>
            </w:pPr>
          </w:p>
          <w:p w14:paraId="31B8DD4E"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Fee per event  ▼</w:t>
            </w:r>
          </w:p>
        </w:tc>
      </w:tr>
      <w:tr w:rsidR="00F81654" w:rsidRPr="00F918FF" w14:paraId="3E200B61" w14:textId="77777777" w:rsidTr="001F4341">
        <w:trPr>
          <w:trHeight w:val="403"/>
        </w:trPr>
        <w:tc>
          <w:tcPr>
            <w:tcW w:w="6908" w:type="dxa"/>
            <w:shd w:val="clear" w:color="auto" w:fill="F2F2F2"/>
            <w:vAlign w:val="center"/>
          </w:tcPr>
          <w:p w14:paraId="152F029E" w14:textId="0B218080" w:rsidR="00F81654" w:rsidRPr="00F918FF" w:rsidRDefault="00F81654" w:rsidP="00686727">
            <w:pPr>
              <w:tabs>
                <w:tab w:val="left" w:pos="-139"/>
              </w:tabs>
              <w:spacing w:line="276" w:lineRule="auto"/>
              <w:ind w:right="-140"/>
              <w:rPr>
                <w:rFonts w:ascii="Arial Narrow" w:hAnsi="Arial Narrow"/>
                <w:sz w:val="18"/>
                <w:szCs w:val="18"/>
                <w:lang w:eastAsia="en-US"/>
              </w:rPr>
            </w:pPr>
            <w:r w:rsidRPr="00F918FF">
              <w:rPr>
                <w:rFonts w:ascii="Arial Narrow" w:hAnsi="Arial Narrow"/>
                <w:sz w:val="18"/>
                <w:szCs w:val="18"/>
                <w:lang w:eastAsia="en-US"/>
              </w:rPr>
              <w:t xml:space="preserve">Monitor </w:t>
            </w:r>
            <w:r w:rsidR="004B1778">
              <w:rPr>
                <w:rFonts w:ascii="Arial Narrow" w:hAnsi="Arial Narrow"/>
                <w:sz w:val="18"/>
                <w:szCs w:val="18"/>
                <w:lang w:eastAsia="en-US"/>
              </w:rPr>
              <w:t xml:space="preserve">media </w:t>
            </w:r>
            <w:r w:rsidRPr="00F918FF">
              <w:rPr>
                <w:rFonts w:ascii="Arial Narrow" w:hAnsi="Arial Narrow"/>
                <w:sz w:val="18"/>
                <w:szCs w:val="18"/>
                <w:lang w:eastAsia="en-US"/>
              </w:rPr>
              <w:t>report</w:t>
            </w:r>
            <w:r w:rsidR="004B1778">
              <w:rPr>
                <w:rFonts w:ascii="Arial Narrow" w:hAnsi="Arial Narrow"/>
                <w:sz w:val="18"/>
                <w:szCs w:val="18"/>
                <w:lang w:eastAsia="en-US"/>
              </w:rPr>
              <w:t xml:space="preserve">ing </w:t>
            </w:r>
            <w:r w:rsidRPr="00F918FF">
              <w:rPr>
                <w:rFonts w:ascii="Arial Narrow" w:hAnsi="Arial Narrow"/>
                <w:sz w:val="18"/>
                <w:szCs w:val="18"/>
                <w:lang w:eastAsia="en-US"/>
              </w:rPr>
              <w:t>after each public event organised by the Council of Europe Programme Office in Podgorica</w:t>
            </w:r>
            <w:r w:rsidR="00686727">
              <w:rPr>
                <w:rFonts w:ascii="Arial Narrow" w:hAnsi="Arial Narrow"/>
                <w:sz w:val="18"/>
                <w:szCs w:val="18"/>
                <w:lang w:eastAsia="en-US"/>
              </w:rPr>
              <w:t>.</w:t>
            </w:r>
            <w:r w:rsidRPr="00F918FF">
              <w:rPr>
                <w:rFonts w:ascii="Arial Narrow" w:hAnsi="Arial Narrow"/>
                <w:sz w:val="18"/>
                <w:szCs w:val="18"/>
                <w:lang w:eastAsia="en-US"/>
              </w:rPr>
              <w:t xml:space="preserve"> </w:t>
            </w:r>
            <w:r w:rsidR="00686727">
              <w:rPr>
                <w:rFonts w:ascii="Arial Narrow" w:hAnsi="Arial Narrow"/>
                <w:sz w:val="18"/>
                <w:szCs w:val="18"/>
                <w:lang w:eastAsia="en-US"/>
              </w:rPr>
              <w:t>T</w:t>
            </w:r>
            <w:r w:rsidRPr="00F918FF">
              <w:rPr>
                <w:rFonts w:ascii="Arial Narrow" w:hAnsi="Arial Narrow"/>
                <w:sz w:val="18"/>
                <w:szCs w:val="18"/>
                <w:lang w:eastAsia="en-US"/>
              </w:rPr>
              <w:t xml:space="preserve">he Providers will </w:t>
            </w:r>
            <w:r w:rsidR="00686727">
              <w:rPr>
                <w:rFonts w:ascii="Arial Narrow" w:hAnsi="Arial Narrow"/>
                <w:sz w:val="18"/>
                <w:szCs w:val="18"/>
                <w:lang w:eastAsia="en-US"/>
              </w:rPr>
              <w:t>prepare</w:t>
            </w:r>
            <w:r w:rsidR="00686727" w:rsidRPr="00F918FF">
              <w:rPr>
                <w:rFonts w:ascii="Arial Narrow" w:hAnsi="Arial Narrow"/>
                <w:sz w:val="18"/>
                <w:szCs w:val="18"/>
                <w:lang w:eastAsia="en-US"/>
              </w:rPr>
              <w:t xml:space="preserve"> </w:t>
            </w:r>
            <w:r w:rsidRPr="00F918FF">
              <w:rPr>
                <w:rFonts w:ascii="Arial Narrow" w:hAnsi="Arial Narrow"/>
                <w:sz w:val="18"/>
                <w:szCs w:val="18"/>
                <w:lang w:eastAsia="en-US"/>
              </w:rPr>
              <w:t xml:space="preserve">a report </w:t>
            </w:r>
            <w:r w:rsidR="00686727">
              <w:rPr>
                <w:rFonts w:ascii="Arial Narrow" w:hAnsi="Arial Narrow"/>
                <w:sz w:val="18"/>
                <w:szCs w:val="18"/>
                <w:lang w:eastAsia="en-US"/>
              </w:rPr>
              <w:t>i</w:t>
            </w:r>
            <w:r w:rsidRPr="00F918FF">
              <w:rPr>
                <w:rFonts w:ascii="Arial Narrow" w:hAnsi="Arial Narrow"/>
                <w:sz w:val="18"/>
                <w:szCs w:val="18"/>
                <w:lang w:eastAsia="en-US"/>
              </w:rPr>
              <w:t xml:space="preserve">n English containing </w:t>
            </w:r>
            <w:r>
              <w:rPr>
                <w:rFonts w:ascii="Arial Narrow" w:hAnsi="Arial Narrow"/>
                <w:sz w:val="18"/>
                <w:szCs w:val="18"/>
                <w:lang w:eastAsia="en-US"/>
              </w:rPr>
              <w:t xml:space="preserve">a press digest and the </w:t>
            </w:r>
            <w:r w:rsidRPr="00F918FF">
              <w:rPr>
                <w:rFonts w:ascii="Arial Narrow" w:hAnsi="Arial Narrow"/>
                <w:sz w:val="18"/>
                <w:szCs w:val="18"/>
                <w:lang w:eastAsia="en-US"/>
              </w:rPr>
              <w:t>following statistic</w:t>
            </w:r>
            <w:r w:rsidR="004B1778">
              <w:rPr>
                <w:rFonts w:ascii="Arial Narrow" w:hAnsi="Arial Narrow"/>
                <w:sz w:val="18"/>
                <w:szCs w:val="18"/>
                <w:lang w:eastAsia="en-US"/>
              </w:rPr>
              <w:t>s</w:t>
            </w:r>
            <w:r w:rsidRPr="00F918FF">
              <w:rPr>
                <w:rFonts w:ascii="Arial Narrow" w:hAnsi="Arial Narrow"/>
                <w:sz w:val="18"/>
                <w:szCs w:val="18"/>
                <w:lang w:eastAsia="en-US"/>
              </w:rPr>
              <w:t xml:space="preserve"> (the number of published media advisories, the list of media where the media advisory was published, the number of published press releases and the list of media where the press releases was published);</w:t>
            </w:r>
          </w:p>
        </w:tc>
        <w:tc>
          <w:tcPr>
            <w:tcW w:w="3119" w:type="dxa"/>
            <w:tcBorders>
              <w:right w:val="single" w:sz="2" w:space="0" w:color="FF0000"/>
            </w:tcBorders>
            <w:shd w:val="clear" w:color="auto" w:fill="FFFFFF"/>
          </w:tcPr>
          <w:p w14:paraId="478422AB" w14:textId="4AF68383" w:rsidR="00F81654" w:rsidRPr="00F918FF" w:rsidRDefault="00F81654" w:rsidP="003916BE">
            <w:pPr>
              <w:tabs>
                <w:tab w:val="left" w:pos="-139"/>
              </w:tabs>
              <w:spacing w:line="276" w:lineRule="auto"/>
              <w:ind w:right="-140"/>
              <w:rPr>
                <w:rFonts w:ascii="Arial Narrow" w:hAnsi="Arial Narrow"/>
                <w:sz w:val="18"/>
                <w:szCs w:val="18"/>
                <w:lang w:eastAsia="en-US"/>
              </w:rPr>
            </w:pPr>
          </w:p>
        </w:tc>
      </w:tr>
    </w:tbl>
    <w:p w14:paraId="6E61570F" w14:textId="77777777" w:rsidR="00F918FF" w:rsidRPr="00F918FF" w:rsidRDefault="00F918FF" w:rsidP="003916BE"/>
    <w:p w14:paraId="2755DDF3" w14:textId="77777777" w:rsidR="00F918FF" w:rsidRPr="00F918FF" w:rsidRDefault="00F918FF"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5A3D32D9" w14:textId="77777777" w:rsidTr="001F4341">
        <w:trPr>
          <w:trHeight w:val="704"/>
        </w:trPr>
        <w:tc>
          <w:tcPr>
            <w:tcW w:w="6908" w:type="dxa"/>
            <w:shd w:val="clear" w:color="auto" w:fill="DBE5F1"/>
            <w:vAlign w:val="center"/>
          </w:tcPr>
          <w:p w14:paraId="243084BA"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  ▼</w:t>
            </w:r>
          </w:p>
        </w:tc>
        <w:tc>
          <w:tcPr>
            <w:tcW w:w="3119" w:type="dxa"/>
            <w:shd w:val="clear" w:color="auto" w:fill="DBE5F1"/>
          </w:tcPr>
          <w:p w14:paraId="7460980D" w14:textId="77777777" w:rsidR="00F81654" w:rsidRPr="00F918FF" w:rsidRDefault="00F81654" w:rsidP="003916BE">
            <w:pPr>
              <w:tabs>
                <w:tab w:val="left" w:pos="-139"/>
              </w:tabs>
              <w:spacing w:line="276" w:lineRule="auto"/>
              <w:ind w:left="-139" w:right="-140"/>
              <w:rPr>
                <w:rFonts w:ascii="Arial Narrow" w:hAnsi="Arial Narrow"/>
                <w:b/>
                <w:sz w:val="18"/>
                <w:szCs w:val="18"/>
                <w:lang w:eastAsia="en-US"/>
              </w:rPr>
            </w:pPr>
          </w:p>
          <w:p w14:paraId="38B62BAD" w14:textId="044A336D"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 xml:space="preserve">Fee </w:t>
            </w:r>
            <w:r>
              <w:rPr>
                <w:rFonts w:ascii="Arial Narrow" w:hAnsi="Arial Narrow"/>
                <w:b/>
                <w:sz w:val="18"/>
                <w:szCs w:val="18"/>
                <w:lang w:eastAsia="en-US"/>
              </w:rPr>
              <w:t xml:space="preserve">per contract </w:t>
            </w:r>
            <w:r w:rsidRPr="00F918FF">
              <w:rPr>
                <w:rFonts w:ascii="Arial Narrow" w:hAnsi="Arial Narrow"/>
                <w:b/>
                <w:sz w:val="18"/>
                <w:szCs w:val="18"/>
                <w:lang w:eastAsia="en-US"/>
              </w:rPr>
              <w:t xml:space="preserve"> ▼</w:t>
            </w:r>
          </w:p>
        </w:tc>
      </w:tr>
      <w:tr w:rsidR="00F81654" w:rsidRPr="00F918FF" w14:paraId="5672C4D2" w14:textId="77777777" w:rsidTr="001F4341">
        <w:trPr>
          <w:trHeight w:val="403"/>
        </w:trPr>
        <w:tc>
          <w:tcPr>
            <w:tcW w:w="6908" w:type="dxa"/>
            <w:shd w:val="clear" w:color="auto" w:fill="F2F2F2"/>
            <w:vAlign w:val="center"/>
          </w:tcPr>
          <w:p w14:paraId="78D48DD7" w14:textId="2939EE29" w:rsidR="00F81654" w:rsidRPr="00F918FF" w:rsidRDefault="00F81654" w:rsidP="00714FBD">
            <w:pPr>
              <w:tabs>
                <w:tab w:val="left" w:pos="-139"/>
              </w:tabs>
              <w:spacing w:line="276" w:lineRule="auto"/>
              <w:ind w:right="-140"/>
              <w:rPr>
                <w:rFonts w:ascii="Arial Narrow" w:hAnsi="Arial Narrow"/>
                <w:sz w:val="18"/>
                <w:szCs w:val="18"/>
                <w:lang w:eastAsia="en-US"/>
              </w:rPr>
            </w:pPr>
            <w:r w:rsidRPr="00F918FF">
              <w:rPr>
                <w:rFonts w:ascii="Arial Narrow" w:hAnsi="Arial Narrow"/>
                <w:sz w:val="18"/>
                <w:szCs w:val="18"/>
                <w:lang w:eastAsia="en-US"/>
              </w:rPr>
              <w:t xml:space="preserve">Ensure access to a digital media database  which contains  </w:t>
            </w:r>
            <w:r w:rsidR="00714FBD">
              <w:rPr>
                <w:rFonts w:ascii="Arial Narrow" w:hAnsi="Arial Narrow"/>
                <w:sz w:val="18"/>
                <w:szCs w:val="18"/>
                <w:lang w:eastAsia="en-US"/>
              </w:rPr>
              <w:t xml:space="preserve">the main Montenegrin </w:t>
            </w:r>
            <w:r w:rsidRPr="00F918FF">
              <w:rPr>
                <w:rFonts w:ascii="Arial Narrow" w:hAnsi="Arial Narrow"/>
                <w:sz w:val="18"/>
                <w:szCs w:val="18"/>
                <w:lang w:eastAsia="en-US"/>
              </w:rPr>
              <w:t xml:space="preserve">print, media, and TV </w:t>
            </w:r>
            <w:r>
              <w:rPr>
                <w:rFonts w:ascii="Arial Narrow" w:hAnsi="Arial Narrow"/>
                <w:sz w:val="18"/>
                <w:szCs w:val="18"/>
                <w:lang w:eastAsia="en-US"/>
              </w:rPr>
              <w:t>articles;</w:t>
            </w:r>
          </w:p>
        </w:tc>
        <w:tc>
          <w:tcPr>
            <w:tcW w:w="3119" w:type="dxa"/>
            <w:tcBorders>
              <w:right w:val="single" w:sz="2" w:space="0" w:color="FF0000"/>
            </w:tcBorders>
            <w:shd w:val="clear" w:color="auto" w:fill="FFFFFF"/>
          </w:tcPr>
          <w:p w14:paraId="0D52573C" w14:textId="77777777"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0BF58D79" w14:textId="77777777" w:rsidR="00F918FF" w:rsidRPr="00F918FF" w:rsidRDefault="00F918FF" w:rsidP="003916BE"/>
    <w:p w14:paraId="664124FC" w14:textId="77777777" w:rsidR="00F918FF" w:rsidRPr="00F918FF" w:rsidRDefault="00F918FF"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1559"/>
        <w:gridCol w:w="1560"/>
      </w:tblGrid>
      <w:tr w:rsidR="00F81654" w:rsidRPr="00F918FF" w14:paraId="0C357971" w14:textId="77777777" w:rsidTr="001F4341">
        <w:trPr>
          <w:trHeight w:val="704"/>
        </w:trPr>
        <w:tc>
          <w:tcPr>
            <w:tcW w:w="6908" w:type="dxa"/>
            <w:shd w:val="clear" w:color="auto" w:fill="DBE5F1"/>
            <w:vAlign w:val="center"/>
          </w:tcPr>
          <w:p w14:paraId="6C34C311"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w:t>
            </w:r>
          </w:p>
        </w:tc>
        <w:tc>
          <w:tcPr>
            <w:tcW w:w="1559" w:type="dxa"/>
            <w:shd w:val="clear" w:color="auto" w:fill="DBE5F1"/>
          </w:tcPr>
          <w:p w14:paraId="3F2C561E"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p>
          <w:p w14:paraId="22F088CE" w14:textId="77777777" w:rsidR="00F81654" w:rsidRPr="00F918FF" w:rsidRDefault="00F81654" w:rsidP="003916BE">
            <w:pPr>
              <w:tabs>
                <w:tab w:val="left" w:pos="-139"/>
              </w:tabs>
              <w:spacing w:line="276" w:lineRule="auto"/>
              <w:ind w:right="-140"/>
              <w:jc w:val="center"/>
              <w:rPr>
                <w:rFonts w:ascii="Arial Narrow" w:hAnsi="Arial Narrow"/>
                <w:b/>
                <w:sz w:val="18"/>
                <w:szCs w:val="18"/>
                <w:lang w:eastAsia="en-US"/>
              </w:rPr>
            </w:pPr>
            <w:r w:rsidRPr="00F918FF">
              <w:rPr>
                <w:rFonts w:ascii="Arial Narrow" w:hAnsi="Arial Narrow"/>
                <w:b/>
                <w:sz w:val="18"/>
                <w:szCs w:val="18"/>
                <w:lang w:eastAsia="en-US"/>
              </w:rPr>
              <w:t>Daily fee ▼</w:t>
            </w:r>
          </w:p>
        </w:tc>
        <w:tc>
          <w:tcPr>
            <w:tcW w:w="1560" w:type="dxa"/>
            <w:tcBorders>
              <w:bottom w:val="single" w:sz="2" w:space="0" w:color="FF0000"/>
            </w:tcBorders>
            <w:shd w:val="clear" w:color="auto" w:fill="DBE5F1"/>
            <w:vAlign w:val="center"/>
          </w:tcPr>
          <w:p w14:paraId="00BCFA64"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Half day</w:t>
            </w:r>
          </w:p>
          <w:p w14:paraId="6CDE809A" w14:textId="6E200949"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fee ▼</w:t>
            </w:r>
          </w:p>
        </w:tc>
      </w:tr>
      <w:tr w:rsidR="00F81654" w:rsidRPr="00F918FF" w14:paraId="70C4EC42" w14:textId="77777777" w:rsidTr="001F4341">
        <w:trPr>
          <w:trHeight w:val="811"/>
        </w:trPr>
        <w:tc>
          <w:tcPr>
            <w:tcW w:w="6908" w:type="dxa"/>
            <w:shd w:val="clear" w:color="auto" w:fill="F2F2F2"/>
            <w:vAlign w:val="center"/>
          </w:tcPr>
          <w:p w14:paraId="7A80A1B7" w14:textId="77777777" w:rsidR="00F81654" w:rsidRPr="00F918FF" w:rsidRDefault="00F81654" w:rsidP="003916BE">
            <w:pPr>
              <w:tabs>
                <w:tab w:val="left" w:pos="-139"/>
              </w:tabs>
              <w:spacing w:line="276" w:lineRule="auto"/>
              <w:ind w:right="-140"/>
              <w:rPr>
                <w:rFonts w:ascii="Arial Narrow" w:hAnsi="Arial Narrow"/>
                <w:sz w:val="18"/>
                <w:szCs w:val="18"/>
                <w:lang w:eastAsia="en-US"/>
              </w:rPr>
            </w:pPr>
            <w:r w:rsidRPr="00F918FF">
              <w:rPr>
                <w:rFonts w:ascii="Arial Narrow" w:hAnsi="Arial Narrow"/>
                <w:sz w:val="18"/>
                <w:szCs w:val="18"/>
                <w:lang w:eastAsia="en-US"/>
              </w:rPr>
              <w:t>Photo and media coverage of the Council of Europe public events upon request;</w:t>
            </w:r>
          </w:p>
        </w:tc>
        <w:tc>
          <w:tcPr>
            <w:tcW w:w="1559" w:type="dxa"/>
            <w:tcBorders>
              <w:right w:val="single" w:sz="2" w:space="0" w:color="FF0000"/>
            </w:tcBorders>
            <w:shd w:val="clear" w:color="auto" w:fill="FFFFFF"/>
          </w:tcPr>
          <w:p w14:paraId="33C8D621" w14:textId="5E112769" w:rsidR="00F81654" w:rsidRPr="00F918FF" w:rsidRDefault="00F81654" w:rsidP="003916BE">
            <w:pPr>
              <w:tabs>
                <w:tab w:val="left" w:pos="-139"/>
              </w:tabs>
              <w:spacing w:line="276" w:lineRule="auto"/>
              <w:ind w:left="-139" w:right="-140"/>
              <w:rPr>
                <w:rFonts w:ascii="Arial Narrow" w:hAnsi="Arial Narrow"/>
                <w:sz w:val="18"/>
                <w:szCs w:val="18"/>
                <w:lang w:eastAsia="en-US"/>
              </w:rPr>
            </w:pPr>
          </w:p>
        </w:tc>
        <w:tc>
          <w:tcPr>
            <w:tcW w:w="1560" w:type="dxa"/>
            <w:tcBorders>
              <w:top w:val="single" w:sz="2" w:space="0" w:color="FF0000"/>
              <w:left w:val="single" w:sz="2" w:space="0" w:color="FF0000"/>
              <w:right w:val="single" w:sz="2" w:space="0" w:color="FF0000"/>
            </w:tcBorders>
            <w:shd w:val="clear" w:color="auto" w:fill="FFFFFF"/>
            <w:vAlign w:val="center"/>
          </w:tcPr>
          <w:p w14:paraId="3ACB7200" w14:textId="77777777"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329AFBEC" w14:textId="77777777" w:rsidR="00F918FF" w:rsidRDefault="00F918FF" w:rsidP="003916BE"/>
    <w:p w14:paraId="42503CCE" w14:textId="77777777" w:rsidR="0030096D" w:rsidRPr="00F918FF" w:rsidRDefault="0030096D"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098F8BCA" w14:textId="77777777" w:rsidTr="001F4341">
        <w:trPr>
          <w:trHeight w:val="704"/>
        </w:trPr>
        <w:tc>
          <w:tcPr>
            <w:tcW w:w="6908" w:type="dxa"/>
            <w:shd w:val="clear" w:color="auto" w:fill="DBE5F1"/>
            <w:vAlign w:val="center"/>
          </w:tcPr>
          <w:p w14:paraId="7EBF6299"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  ▼</w:t>
            </w:r>
          </w:p>
        </w:tc>
        <w:tc>
          <w:tcPr>
            <w:tcW w:w="3119" w:type="dxa"/>
            <w:shd w:val="clear" w:color="auto" w:fill="DBE5F1"/>
          </w:tcPr>
          <w:p w14:paraId="0F368DEF"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Fee per event  ▼</w:t>
            </w:r>
          </w:p>
        </w:tc>
      </w:tr>
      <w:tr w:rsidR="00F81654" w:rsidRPr="00F918FF" w14:paraId="7E855E99" w14:textId="77777777" w:rsidTr="001F4341">
        <w:trPr>
          <w:trHeight w:val="403"/>
        </w:trPr>
        <w:tc>
          <w:tcPr>
            <w:tcW w:w="6908" w:type="dxa"/>
            <w:shd w:val="clear" w:color="auto" w:fill="F2F2F2"/>
            <w:vAlign w:val="center"/>
          </w:tcPr>
          <w:p w14:paraId="62F26A72" w14:textId="32DEED71" w:rsidR="00F81654" w:rsidRPr="00F918FF" w:rsidRDefault="00F81654" w:rsidP="003916BE">
            <w:pPr>
              <w:tabs>
                <w:tab w:val="left" w:pos="-139"/>
              </w:tabs>
              <w:spacing w:line="276" w:lineRule="auto"/>
              <w:ind w:right="-140"/>
              <w:rPr>
                <w:rFonts w:ascii="Arial Narrow" w:hAnsi="Arial Narrow"/>
                <w:sz w:val="18"/>
                <w:szCs w:val="18"/>
                <w:lang w:eastAsia="en-US"/>
              </w:rPr>
            </w:pPr>
            <w:r w:rsidRPr="00F918FF">
              <w:rPr>
                <w:rFonts w:ascii="Arial Narrow" w:hAnsi="Arial Narrow"/>
                <w:sz w:val="18"/>
                <w:szCs w:val="18"/>
                <w:lang w:eastAsia="en-US"/>
              </w:rPr>
              <w:t>Prepare and distribute media advisories and press releases cleared by COE staff</w:t>
            </w:r>
            <w:r w:rsidR="004B1778">
              <w:rPr>
                <w:rFonts w:ascii="Arial Narrow" w:hAnsi="Arial Narrow"/>
                <w:sz w:val="18"/>
                <w:szCs w:val="18"/>
                <w:lang w:eastAsia="en-US"/>
              </w:rPr>
              <w:t>, in English and Montenegrin</w:t>
            </w:r>
            <w:r w:rsidRPr="00F918FF">
              <w:rPr>
                <w:rFonts w:ascii="Arial Narrow" w:hAnsi="Arial Narrow"/>
                <w:sz w:val="18"/>
                <w:szCs w:val="18"/>
                <w:lang w:eastAsia="en-US"/>
              </w:rPr>
              <w:t>. Liaise with media as necessary in order to achieve better media coverage in Montenegro;</w:t>
            </w:r>
          </w:p>
        </w:tc>
        <w:tc>
          <w:tcPr>
            <w:tcW w:w="3119" w:type="dxa"/>
            <w:tcBorders>
              <w:right w:val="single" w:sz="2" w:space="0" w:color="FF0000"/>
            </w:tcBorders>
            <w:shd w:val="clear" w:color="auto" w:fill="FFFFFF"/>
          </w:tcPr>
          <w:p w14:paraId="08EA7BBF" w14:textId="77777777"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3BE1B36D" w14:textId="77777777" w:rsidR="00F918FF" w:rsidRDefault="00F918FF" w:rsidP="003916BE"/>
    <w:p w14:paraId="1B398919" w14:textId="77777777" w:rsidR="0030096D" w:rsidRPr="00F918FF" w:rsidRDefault="0030096D"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502FB210" w14:textId="77777777" w:rsidTr="001F4341">
        <w:trPr>
          <w:trHeight w:val="704"/>
        </w:trPr>
        <w:tc>
          <w:tcPr>
            <w:tcW w:w="6908" w:type="dxa"/>
            <w:shd w:val="clear" w:color="auto" w:fill="DBE5F1"/>
            <w:vAlign w:val="center"/>
          </w:tcPr>
          <w:p w14:paraId="3CBF98E7"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 ▼</w:t>
            </w:r>
          </w:p>
        </w:tc>
        <w:tc>
          <w:tcPr>
            <w:tcW w:w="3119" w:type="dxa"/>
            <w:shd w:val="clear" w:color="auto" w:fill="DBE5F1"/>
          </w:tcPr>
          <w:p w14:paraId="1D59AFC2" w14:textId="77777777" w:rsidR="00F81654" w:rsidRPr="00F918FF" w:rsidRDefault="00F81654" w:rsidP="003916BE">
            <w:pPr>
              <w:tabs>
                <w:tab w:val="left" w:pos="-139"/>
              </w:tabs>
              <w:spacing w:line="276" w:lineRule="auto"/>
              <w:ind w:left="-139" w:right="-140"/>
              <w:rPr>
                <w:rFonts w:ascii="Arial Narrow" w:hAnsi="Arial Narrow"/>
                <w:b/>
                <w:sz w:val="18"/>
                <w:szCs w:val="18"/>
                <w:lang w:eastAsia="en-US"/>
              </w:rPr>
            </w:pPr>
          </w:p>
          <w:p w14:paraId="14B87727"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Pr>
                <w:rFonts w:ascii="Arial Narrow" w:hAnsi="Arial Narrow"/>
                <w:b/>
                <w:sz w:val="18"/>
                <w:szCs w:val="18"/>
                <w:lang w:eastAsia="en-US"/>
              </w:rPr>
              <w:t xml:space="preserve">Daily fee </w:t>
            </w:r>
            <w:r w:rsidRPr="00F918FF">
              <w:rPr>
                <w:rFonts w:ascii="Arial Narrow" w:hAnsi="Arial Narrow"/>
                <w:b/>
                <w:sz w:val="18"/>
                <w:szCs w:val="18"/>
                <w:lang w:eastAsia="en-US"/>
              </w:rPr>
              <w:t xml:space="preserve">  ▼</w:t>
            </w:r>
          </w:p>
        </w:tc>
      </w:tr>
      <w:tr w:rsidR="00F81654" w:rsidRPr="00F918FF" w14:paraId="4679408B" w14:textId="77777777" w:rsidTr="001F4341">
        <w:trPr>
          <w:trHeight w:val="403"/>
        </w:trPr>
        <w:tc>
          <w:tcPr>
            <w:tcW w:w="6908" w:type="dxa"/>
            <w:shd w:val="clear" w:color="auto" w:fill="F2F2F2"/>
            <w:vAlign w:val="center"/>
          </w:tcPr>
          <w:p w14:paraId="50CEE036" w14:textId="2FE55DE7" w:rsidR="00F81654" w:rsidRPr="00080A7E" w:rsidRDefault="00F81654" w:rsidP="003916BE">
            <w:pPr>
              <w:rPr>
                <w:rFonts w:ascii="Arial Narrow" w:hAnsi="Arial Narrow"/>
                <w:sz w:val="18"/>
                <w:szCs w:val="18"/>
              </w:rPr>
            </w:pPr>
            <w:r w:rsidRPr="00080A7E">
              <w:rPr>
                <w:rFonts w:ascii="Arial Narrow" w:hAnsi="Arial Narrow"/>
                <w:sz w:val="18"/>
                <w:szCs w:val="18"/>
              </w:rPr>
              <w:t>Facilitate the Horizontal Facility Actions’ staff in identifying and preparing relevant public relation events, tools and messages;</w:t>
            </w:r>
          </w:p>
          <w:p w14:paraId="2B7C4DA3" w14:textId="77777777" w:rsidR="00F81654" w:rsidRPr="00F918FF" w:rsidRDefault="00F81654" w:rsidP="003916BE">
            <w:pPr>
              <w:tabs>
                <w:tab w:val="left" w:pos="-139"/>
              </w:tabs>
              <w:spacing w:line="276" w:lineRule="auto"/>
              <w:ind w:right="-140"/>
              <w:rPr>
                <w:rFonts w:ascii="Arial Narrow" w:hAnsi="Arial Narrow"/>
                <w:sz w:val="18"/>
                <w:szCs w:val="18"/>
                <w:lang w:eastAsia="en-US"/>
              </w:rPr>
            </w:pPr>
          </w:p>
        </w:tc>
        <w:tc>
          <w:tcPr>
            <w:tcW w:w="3119" w:type="dxa"/>
            <w:tcBorders>
              <w:right w:val="single" w:sz="2" w:space="0" w:color="FF0000"/>
            </w:tcBorders>
            <w:shd w:val="clear" w:color="auto" w:fill="FFFFFF"/>
          </w:tcPr>
          <w:p w14:paraId="5ABB2DC5" w14:textId="77777777"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0D535A5D" w14:textId="77777777" w:rsidR="00080A7E" w:rsidRDefault="00080A7E" w:rsidP="003916BE"/>
    <w:p w14:paraId="51BE48AC" w14:textId="77777777" w:rsidR="00080A7E" w:rsidRPr="00F918FF" w:rsidRDefault="00080A7E"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3A6CAC8E" w14:textId="77777777" w:rsidTr="001F4341">
        <w:trPr>
          <w:trHeight w:val="704"/>
        </w:trPr>
        <w:tc>
          <w:tcPr>
            <w:tcW w:w="6908" w:type="dxa"/>
            <w:shd w:val="clear" w:color="auto" w:fill="DBE5F1"/>
            <w:vAlign w:val="center"/>
          </w:tcPr>
          <w:p w14:paraId="78DAFD37"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 ▼</w:t>
            </w:r>
          </w:p>
        </w:tc>
        <w:tc>
          <w:tcPr>
            <w:tcW w:w="3119" w:type="dxa"/>
            <w:shd w:val="clear" w:color="auto" w:fill="DBE5F1"/>
          </w:tcPr>
          <w:p w14:paraId="043117FA" w14:textId="77777777" w:rsidR="00F81654" w:rsidRPr="00F918FF" w:rsidRDefault="00F81654" w:rsidP="003916BE">
            <w:pPr>
              <w:tabs>
                <w:tab w:val="left" w:pos="-139"/>
              </w:tabs>
              <w:spacing w:line="276" w:lineRule="auto"/>
              <w:ind w:left="-139" w:right="-140"/>
              <w:rPr>
                <w:rFonts w:ascii="Arial Narrow" w:hAnsi="Arial Narrow"/>
                <w:b/>
                <w:sz w:val="18"/>
                <w:szCs w:val="18"/>
                <w:lang w:eastAsia="en-US"/>
              </w:rPr>
            </w:pPr>
          </w:p>
          <w:p w14:paraId="6A7181FF" w14:textId="14EEF65A"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Pr>
                <w:rFonts w:ascii="Arial Narrow" w:hAnsi="Arial Narrow"/>
                <w:b/>
                <w:sz w:val="18"/>
                <w:szCs w:val="18"/>
                <w:lang w:eastAsia="en-US"/>
              </w:rPr>
              <w:t xml:space="preserve">Daily fee </w:t>
            </w:r>
            <w:r w:rsidRPr="00F918FF">
              <w:rPr>
                <w:rFonts w:ascii="Arial Narrow" w:hAnsi="Arial Narrow"/>
                <w:b/>
                <w:sz w:val="18"/>
                <w:szCs w:val="18"/>
                <w:lang w:eastAsia="en-US"/>
              </w:rPr>
              <w:t xml:space="preserve">  ▼</w:t>
            </w:r>
          </w:p>
        </w:tc>
      </w:tr>
      <w:tr w:rsidR="00F81654" w:rsidRPr="00F918FF" w14:paraId="0E1B8D84" w14:textId="77777777" w:rsidTr="001F4341">
        <w:trPr>
          <w:trHeight w:val="403"/>
        </w:trPr>
        <w:tc>
          <w:tcPr>
            <w:tcW w:w="6908" w:type="dxa"/>
            <w:shd w:val="clear" w:color="auto" w:fill="F2F2F2"/>
            <w:vAlign w:val="center"/>
          </w:tcPr>
          <w:p w14:paraId="3F4F479D" w14:textId="734677E5" w:rsidR="00F81654" w:rsidRPr="00080A7E" w:rsidRDefault="00F81654" w:rsidP="003916BE">
            <w:pPr>
              <w:rPr>
                <w:rFonts w:ascii="Arial Narrow" w:hAnsi="Arial Narrow"/>
                <w:sz w:val="18"/>
                <w:szCs w:val="18"/>
              </w:rPr>
            </w:pPr>
            <w:r w:rsidRPr="00080A7E">
              <w:rPr>
                <w:rFonts w:ascii="Arial Narrow" w:hAnsi="Arial Narrow"/>
                <w:sz w:val="18"/>
                <w:szCs w:val="18"/>
              </w:rPr>
              <w:t>Identify project success stories highlighting the impact of the action – to be promoted through media contacts, public relations events, written interviews/stories/ short filmed interviews</w:t>
            </w:r>
            <w:r w:rsidR="001F4341">
              <w:rPr>
                <w:rFonts w:ascii="Arial Narrow" w:hAnsi="Arial Narrow"/>
                <w:sz w:val="18"/>
                <w:szCs w:val="18"/>
              </w:rPr>
              <w:t xml:space="preserve"> containing subtitles </w:t>
            </w:r>
            <w:r w:rsidR="004B1778">
              <w:rPr>
                <w:rFonts w:ascii="Arial Narrow" w:hAnsi="Arial Narrow"/>
                <w:sz w:val="18"/>
                <w:szCs w:val="18"/>
              </w:rPr>
              <w:t>i</w:t>
            </w:r>
            <w:r w:rsidR="001F4341">
              <w:rPr>
                <w:rFonts w:ascii="Arial Narrow" w:hAnsi="Arial Narrow"/>
                <w:sz w:val="18"/>
                <w:szCs w:val="18"/>
              </w:rPr>
              <w:t xml:space="preserve">n English and Montenegrin </w:t>
            </w:r>
            <w:r w:rsidRPr="00080A7E">
              <w:rPr>
                <w:rFonts w:ascii="Arial Narrow" w:hAnsi="Arial Narrow"/>
                <w:sz w:val="18"/>
                <w:szCs w:val="18"/>
              </w:rPr>
              <w:t xml:space="preserve">/photos/ </w:t>
            </w:r>
            <w:proofErr w:type="spellStart"/>
            <w:r w:rsidRPr="00080A7E">
              <w:rPr>
                <w:rFonts w:ascii="Arial Narrow" w:hAnsi="Arial Narrow"/>
                <w:sz w:val="18"/>
                <w:szCs w:val="18"/>
              </w:rPr>
              <w:t>infographics</w:t>
            </w:r>
            <w:proofErr w:type="spellEnd"/>
            <w:r w:rsidRPr="00080A7E">
              <w:rPr>
                <w:rFonts w:ascii="Arial Narrow" w:hAnsi="Arial Narrow"/>
                <w:sz w:val="18"/>
                <w:szCs w:val="18"/>
              </w:rPr>
              <w:t xml:space="preserve"> to be used on website, social media and </w:t>
            </w:r>
            <w:r w:rsidR="004B1778">
              <w:rPr>
                <w:rFonts w:ascii="Arial Narrow" w:hAnsi="Arial Narrow"/>
                <w:sz w:val="18"/>
                <w:szCs w:val="18"/>
              </w:rPr>
              <w:t>in the e-</w:t>
            </w:r>
            <w:r w:rsidRPr="00080A7E">
              <w:rPr>
                <w:rFonts w:ascii="Arial Narrow" w:hAnsi="Arial Narrow"/>
                <w:sz w:val="18"/>
                <w:szCs w:val="18"/>
              </w:rPr>
              <w:t>newsletter and distributed to media, to national stakeholders, international organisations in Montenegro, civil society organisations;</w:t>
            </w:r>
          </w:p>
          <w:p w14:paraId="7624A5D0" w14:textId="706A7675" w:rsidR="00F81654" w:rsidRPr="00F918FF" w:rsidRDefault="00F81654" w:rsidP="003916BE">
            <w:pPr>
              <w:tabs>
                <w:tab w:val="left" w:pos="-139"/>
              </w:tabs>
              <w:spacing w:line="276" w:lineRule="auto"/>
              <w:ind w:right="-140"/>
              <w:rPr>
                <w:rFonts w:ascii="Arial Narrow" w:hAnsi="Arial Narrow"/>
                <w:sz w:val="18"/>
                <w:szCs w:val="18"/>
                <w:lang w:eastAsia="en-US"/>
              </w:rPr>
            </w:pPr>
          </w:p>
        </w:tc>
        <w:tc>
          <w:tcPr>
            <w:tcW w:w="3119" w:type="dxa"/>
            <w:tcBorders>
              <w:right w:val="single" w:sz="2" w:space="0" w:color="FF0000"/>
            </w:tcBorders>
            <w:shd w:val="clear" w:color="auto" w:fill="FFFFFF"/>
          </w:tcPr>
          <w:p w14:paraId="76FA21C8" w14:textId="77777777"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5E967521" w14:textId="77777777" w:rsidR="00F918FF" w:rsidRDefault="00F918FF" w:rsidP="003916BE"/>
    <w:p w14:paraId="094D4AE5" w14:textId="77777777" w:rsidR="0030096D" w:rsidRPr="00F918FF" w:rsidRDefault="0030096D"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55B393B8" w14:textId="77777777" w:rsidTr="001F4341">
        <w:trPr>
          <w:trHeight w:val="704"/>
        </w:trPr>
        <w:tc>
          <w:tcPr>
            <w:tcW w:w="6908" w:type="dxa"/>
            <w:shd w:val="clear" w:color="auto" w:fill="DBE5F1"/>
            <w:vAlign w:val="center"/>
          </w:tcPr>
          <w:p w14:paraId="4D184CE7"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 ▼</w:t>
            </w:r>
          </w:p>
        </w:tc>
        <w:tc>
          <w:tcPr>
            <w:tcW w:w="3119" w:type="dxa"/>
            <w:shd w:val="clear" w:color="auto" w:fill="DBE5F1"/>
          </w:tcPr>
          <w:p w14:paraId="384B128F" w14:textId="77777777" w:rsidR="00F81654" w:rsidRPr="00F918FF" w:rsidRDefault="00F81654" w:rsidP="003916BE">
            <w:pPr>
              <w:tabs>
                <w:tab w:val="left" w:pos="-139"/>
              </w:tabs>
              <w:spacing w:line="276" w:lineRule="auto"/>
              <w:ind w:left="-139" w:right="-140"/>
              <w:rPr>
                <w:rFonts w:ascii="Arial Narrow" w:hAnsi="Arial Narrow"/>
                <w:b/>
                <w:sz w:val="18"/>
                <w:szCs w:val="18"/>
                <w:lang w:eastAsia="en-US"/>
              </w:rPr>
            </w:pPr>
          </w:p>
          <w:p w14:paraId="3313CD38" w14:textId="71728413" w:rsidR="00F81654" w:rsidRPr="00F918FF" w:rsidRDefault="004B1778" w:rsidP="003916BE">
            <w:pPr>
              <w:tabs>
                <w:tab w:val="left" w:pos="-139"/>
              </w:tabs>
              <w:spacing w:line="276" w:lineRule="auto"/>
              <w:ind w:left="-139" w:right="-140"/>
              <w:jc w:val="center"/>
              <w:rPr>
                <w:rFonts w:ascii="Arial Narrow" w:hAnsi="Arial Narrow"/>
                <w:b/>
                <w:sz w:val="18"/>
                <w:szCs w:val="18"/>
                <w:lang w:eastAsia="en-US"/>
              </w:rPr>
            </w:pPr>
            <w:r>
              <w:rPr>
                <w:rFonts w:ascii="Arial Narrow" w:hAnsi="Arial Narrow"/>
                <w:b/>
                <w:sz w:val="18"/>
                <w:szCs w:val="18"/>
                <w:lang w:eastAsia="en-US"/>
              </w:rPr>
              <w:t>Unit</w:t>
            </w:r>
            <w:r w:rsidRPr="00F918FF">
              <w:rPr>
                <w:rFonts w:ascii="Arial Narrow" w:hAnsi="Arial Narrow"/>
                <w:b/>
                <w:sz w:val="18"/>
                <w:szCs w:val="18"/>
                <w:lang w:eastAsia="en-US"/>
              </w:rPr>
              <w:t xml:space="preserve"> </w:t>
            </w:r>
            <w:r w:rsidR="00F81654" w:rsidRPr="00F918FF">
              <w:rPr>
                <w:rFonts w:ascii="Arial Narrow" w:hAnsi="Arial Narrow"/>
                <w:b/>
                <w:sz w:val="18"/>
                <w:szCs w:val="18"/>
                <w:lang w:eastAsia="en-US"/>
              </w:rPr>
              <w:t>fee ▼</w:t>
            </w:r>
          </w:p>
        </w:tc>
      </w:tr>
      <w:tr w:rsidR="00F81654" w:rsidRPr="00F918FF" w14:paraId="2D29FB4F" w14:textId="77777777" w:rsidTr="001F4341">
        <w:trPr>
          <w:trHeight w:val="403"/>
        </w:trPr>
        <w:tc>
          <w:tcPr>
            <w:tcW w:w="6908" w:type="dxa"/>
            <w:shd w:val="clear" w:color="auto" w:fill="F2F2F2"/>
            <w:vAlign w:val="center"/>
          </w:tcPr>
          <w:p w14:paraId="6536DB8C" w14:textId="42FACFA6" w:rsidR="00F81654" w:rsidRPr="00F918FF" w:rsidRDefault="00F81654" w:rsidP="003916BE">
            <w:pPr>
              <w:tabs>
                <w:tab w:val="left" w:pos="-139"/>
              </w:tabs>
              <w:spacing w:line="276" w:lineRule="auto"/>
              <w:ind w:right="-140"/>
              <w:rPr>
                <w:rFonts w:ascii="Arial Narrow" w:hAnsi="Arial Narrow"/>
                <w:sz w:val="18"/>
                <w:szCs w:val="18"/>
                <w:lang w:eastAsia="en-US"/>
              </w:rPr>
            </w:pPr>
            <w:r w:rsidRPr="00F918FF">
              <w:rPr>
                <w:rFonts w:ascii="Arial Narrow" w:hAnsi="Arial Narrow"/>
                <w:sz w:val="18"/>
                <w:szCs w:val="18"/>
                <w:lang w:eastAsia="en-US"/>
              </w:rPr>
              <w:t>Develop contacts with  key beneficiaries</w:t>
            </w:r>
            <w:r w:rsidR="004B1778">
              <w:rPr>
                <w:rFonts w:ascii="Arial Narrow" w:hAnsi="Arial Narrow"/>
                <w:sz w:val="18"/>
                <w:szCs w:val="18"/>
                <w:lang w:eastAsia="en-US"/>
              </w:rPr>
              <w:t>’</w:t>
            </w:r>
            <w:r w:rsidRPr="00F918FF">
              <w:rPr>
                <w:rFonts w:ascii="Arial Narrow" w:hAnsi="Arial Narrow"/>
                <w:sz w:val="18"/>
                <w:szCs w:val="18"/>
                <w:lang w:eastAsia="en-US"/>
              </w:rPr>
              <w:t xml:space="preserve"> communication officers to create channels for the multiplication of messages;</w:t>
            </w:r>
          </w:p>
        </w:tc>
        <w:tc>
          <w:tcPr>
            <w:tcW w:w="3119" w:type="dxa"/>
            <w:tcBorders>
              <w:right w:val="single" w:sz="2" w:space="0" w:color="FF0000"/>
            </w:tcBorders>
            <w:shd w:val="clear" w:color="auto" w:fill="FFFFFF"/>
          </w:tcPr>
          <w:p w14:paraId="049184AC" w14:textId="77777777"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0399B48F" w14:textId="77777777" w:rsidR="00F918FF" w:rsidRPr="00F918FF" w:rsidRDefault="00F918FF" w:rsidP="003916BE"/>
    <w:tbl>
      <w:tblPr>
        <w:tblW w:w="10027" w:type="dxa"/>
        <w:tblInd w:w="-42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08"/>
        <w:gridCol w:w="3119"/>
      </w:tblGrid>
      <w:tr w:rsidR="00F81654" w:rsidRPr="00F918FF" w14:paraId="76AEED6B" w14:textId="77777777" w:rsidTr="001F4341">
        <w:trPr>
          <w:trHeight w:val="704"/>
        </w:trPr>
        <w:tc>
          <w:tcPr>
            <w:tcW w:w="6908" w:type="dxa"/>
            <w:shd w:val="clear" w:color="auto" w:fill="DBE5F1"/>
            <w:vAlign w:val="center"/>
          </w:tcPr>
          <w:p w14:paraId="3AB078B0"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r w:rsidRPr="00F918FF">
              <w:rPr>
                <w:rFonts w:ascii="Arial Narrow" w:hAnsi="Arial Narrow"/>
                <w:b/>
                <w:sz w:val="18"/>
                <w:szCs w:val="18"/>
                <w:lang w:eastAsia="en-US"/>
              </w:rPr>
              <w:t>Type of deliverables▼</w:t>
            </w:r>
          </w:p>
        </w:tc>
        <w:tc>
          <w:tcPr>
            <w:tcW w:w="3119" w:type="dxa"/>
            <w:shd w:val="clear" w:color="auto" w:fill="DBE5F1"/>
          </w:tcPr>
          <w:p w14:paraId="1F12CE42" w14:textId="77777777" w:rsidR="00F81654" w:rsidRPr="00F918FF" w:rsidRDefault="00F81654" w:rsidP="003916BE">
            <w:pPr>
              <w:tabs>
                <w:tab w:val="left" w:pos="-139"/>
              </w:tabs>
              <w:spacing w:line="276" w:lineRule="auto"/>
              <w:ind w:left="-139" w:right="-140"/>
              <w:jc w:val="center"/>
              <w:rPr>
                <w:rFonts w:ascii="Arial Narrow" w:hAnsi="Arial Narrow"/>
                <w:b/>
                <w:sz w:val="18"/>
                <w:szCs w:val="18"/>
                <w:lang w:eastAsia="en-US"/>
              </w:rPr>
            </w:pPr>
          </w:p>
          <w:p w14:paraId="2F7F770B" w14:textId="5141BEB8" w:rsidR="00F81654" w:rsidRPr="00F918FF" w:rsidRDefault="004B1778" w:rsidP="003916BE">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Unit</w:t>
            </w:r>
            <w:r w:rsidRPr="00F918FF">
              <w:rPr>
                <w:rFonts w:ascii="Arial Narrow" w:hAnsi="Arial Narrow"/>
                <w:b/>
                <w:sz w:val="18"/>
                <w:szCs w:val="18"/>
                <w:lang w:eastAsia="en-US"/>
              </w:rPr>
              <w:t xml:space="preserve"> </w:t>
            </w:r>
            <w:r w:rsidR="00F81654" w:rsidRPr="00F918FF">
              <w:rPr>
                <w:rFonts w:ascii="Arial Narrow" w:hAnsi="Arial Narrow"/>
                <w:b/>
                <w:sz w:val="18"/>
                <w:szCs w:val="18"/>
                <w:lang w:eastAsia="en-US"/>
              </w:rPr>
              <w:t>fee ▼</w:t>
            </w:r>
          </w:p>
        </w:tc>
      </w:tr>
      <w:tr w:rsidR="00F81654" w:rsidRPr="00F918FF" w14:paraId="52A51C67" w14:textId="77777777" w:rsidTr="001F4341">
        <w:trPr>
          <w:trHeight w:val="811"/>
        </w:trPr>
        <w:tc>
          <w:tcPr>
            <w:tcW w:w="6908" w:type="dxa"/>
            <w:shd w:val="clear" w:color="auto" w:fill="F2F2F2"/>
            <w:vAlign w:val="center"/>
          </w:tcPr>
          <w:p w14:paraId="2FD70C58" w14:textId="517F4F03" w:rsidR="00F81654" w:rsidRPr="00F918FF" w:rsidRDefault="00F81654" w:rsidP="003916BE">
            <w:pPr>
              <w:tabs>
                <w:tab w:val="left" w:pos="-139"/>
              </w:tabs>
              <w:spacing w:line="276" w:lineRule="auto"/>
              <w:ind w:right="-140"/>
              <w:rPr>
                <w:rFonts w:ascii="Arial Narrow" w:hAnsi="Arial Narrow"/>
                <w:sz w:val="18"/>
                <w:szCs w:val="18"/>
                <w:lang w:eastAsia="en-US"/>
              </w:rPr>
            </w:pPr>
            <w:r w:rsidRPr="00F918FF">
              <w:rPr>
                <w:rFonts w:ascii="Arial Narrow" w:hAnsi="Arial Narrow"/>
                <w:sz w:val="18"/>
                <w:szCs w:val="18"/>
                <w:lang w:eastAsia="en-US"/>
              </w:rPr>
              <w:t>Maintain close contacts and co-ordinate with the communication officer in ODGP and relevant contacts in the Directorate of Communication in Strasbour</w:t>
            </w:r>
            <w:r w:rsidR="001F4341">
              <w:rPr>
                <w:rFonts w:ascii="Arial Narrow" w:hAnsi="Arial Narrow"/>
                <w:sz w:val="18"/>
                <w:szCs w:val="18"/>
                <w:lang w:eastAsia="en-US"/>
              </w:rPr>
              <w:t>g.</w:t>
            </w:r>
          </w:p>
        </w:tc>
        <w:tc>
          <w:tcPr>
            <w:tcW w:w="3119" w:type="dxa"/>
            <w:tcBorders>
              <w:right w:val="single" w:sz="2" w:space="0" w:color="FF0000"/>
            </w:tcBorders>
            <w:shd w:val="clear" w:color="auto" w:fill="FFFFFF"/>
          </w:tcPr>
          <w:p w14:paraId="68016A27" w14:textId="1C06F97D" w:rsidR="00F81654" w:rsidRPr="00F918FF" w:rsidRDefault="00F81654" w:rsidP="003916BE">
            <w:pPr>
              <w:tabs>
                <w:tab w:val="left" w:pos="-139"/>
              </w:tabs>
              <w:spacing w:line="276" w:lineRule="auto"/>
              <w:ind w:left="-139" w:right="-140"/>
              <w:rPr>
                <w:rFonts w:ascii="Arial Narrow" w:hAnsi="Arial Narrow"/>
                <w:sz w:val="18"/>
                <w:szCs w:val="18"/>
                <w:lang w:eastAsia="en-US"/>
              </w:rPr>
            </w:pPr>
          </w:p>
        </w:tc>
      </w:tr>
    </w:tbl>
    <w:p w14:paraId="233F8119" w14:textId="77777777" w:rsidR="00F918FF" w:rsidRPr="00F918FF" w:rsidRDefault="00F918FF" w:rsidP="00F918FF"/>
    <w:p w14:paraId="56486237" w14:textId="77777777" w:rsidR="00F918FF" w:rsidRPr="00F918FF" w:rsidRDefault="00F918FF" w:rsidP="00F918FF"/>
    <w:p w14:paraId="5D0EA382" w14:textId="77777777" w:rsidR="00EB2DB9" w:rsidRDefault="00EB2DB9" w:rsidP="003F5BE6">
      <w:pPr>
        <w:spacing w:line="276" w:lineRule="auto"/>
        <w:ind w:left="-142"/>
        <w:jc w:val="both"/>
        <w:rPr>
          <w:rFonts w:ascii="Arial Narrow" w:hAnsi="Arial Narrow"/>
          <w:sz w:val="18"/>
          <w:szCs w:val="18"/>
          <w:lang w:eastAsia="en-US"/>
        </w:rPr>
      </w:pPr>
    </w:p>
    <w:tbl>
      <w:tblPr>
        <w:tblStyle w:val="TableGrid"/>
        <w:tblW w:w="10666"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65"/>
        <w:gridCol w:w="1701"/>
      </w:tblGrid>
      <w:tr w:rsidR="00352519" w:rsidRPr="00AE14CD" w14:paraId="47229172" w14:textId="77777777" w:rsidTr="00962E5E">
        <w:tc>
          <w:tcPr>
            <w:tcW w:w="8965" w:type="dxa"/>
            <w:shd w:val="clear" w:color="auto" w:fill="DBE5F1" w:themeFill="accent1" w:themeFillTint="33"/>
            <w:vAlign w:val="center"/>
          </w:tcPr>
          <w:p w14:paraId="37EACEB2" w14:textId="77777777" w:rsidR="00352519" w:rsidRPr="00802563" w:rsidRDefault="00352519" w:rsidP="00E27D81">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19-04-30T00:00:00Z">
                <w:dateFormat w:val="dd/MM/yyyy"/>
                <w:lid w:val="fr-FR"/>
                <w:storeMappedDataAs w:val="dateTime"/>
                <w:calendar w:val="gregorian"/>
              </w:date>
            </w:sdtPr>
            <w:sdtEndPr>
              <w:rPr>
                <w:rStyle w:val="Style71"/>
              </w:rPr>
            </w:sdtEndPr>
            <w:sdtContent>
              <w:p w14:paraId="46084A98" w14:textId="16E1A173" w:rsidR="00352519" w:rsidRPr="00802563" w:rsidRDefault="008F3370" w:rsidP="00E27D81">
                <w:pPr>
                  <w:spacing w:before="120" w:after="120"/>
                  <w:rPr>
                    <w:rFonts w:ascii="Arial Narrow" w:hAnsi="Arial Narrow"/>
                    <w:sz w:val="20"/>
                    <w:szCs w:val="20"/>
                  </w:rPr>
                </w:pPr>
                <w:r>
                  <w:rPr>
                    <w:rStyle w:val="Style71"/>
                    <w:szCs w:val="20"/>
                    <w:lang w:val="fr-FR"/>
                  </w:rPr>
                  <w:t>30/04/2019</w:t>
                </w:r>
              </w:p>
            </w:sdtContent>
          </w:sdt>
        </w:tc>
      </w:tr>
    </w:tbl>
    <w:p w14:paraId="09235224" w14:textId="46CCE92E" w:rsidR="003F5BE6" w:rsidRDefault="003F5BE6" w:rsidP="003F5BE6">
      <w:pPr>
        <w:ind w:left="-142"/>
        <w:rPr>
          <w:rFonts w:ascii="Arial Narrow" w:hAnsi="Arial Narrow"/>
          <w:b/>
        </w:rPr>
      </w:pPr>
    </w:p>
    <w:p w14:paraId="55287DF3" w14:textId="77777777" w:rsidR="00962E5E" w:rsidRDefault="00962E5E" w:rsidP="003916BE">
      <w:pPr>
        <w:rPr>
          <w:rFonts w:ascii="Arial Narrow" w:hAnsi="Arial Narrow"/>
          <w:b/>
        </w:rPr>
      </w:pPr>
    </w:p>
    <w:p w14:paraId="0D74B789" w14:textId="77777777" w:rsidR="00962E5E" w:rsidRDefault="00962E5E" w:rsidP="003F5BE6">
      <w:pPr>
        <w:ind w:left="-142"/>
        <w:rPr>
          <w:rFonts w:ascii="Arial Narrow" w:hAnsi="Arial Narrow"/>
          <w:b/>
        </w:rPr>
      </w:pPr>
    </w:p>
    <w:p w14:paraId="196C95C7" w14:textId="77777777" w:rsidR="00962E5E" w:rsidRDefault="00962E5E" w:rsidP="003F5BE6">
      <w:pPr>
        <w:ind w:left="-142"/>
        <w:rPr>
          <w:rFonts w:ascii="Arial Narrow" w:hAnsi="Arial Narrow"/>
          <w:b/>
        </w:rPr>
      </w:pP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C701A2">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C701A2">
      <w:pPr>
        <w:numPr>
          <w:ilvl w:val="0"/>
          <w:numId w:val="2"/>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C701A2">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Default="0075705D" w:rsidP="00EF7937">
      <w:pPr>
        <w:tabs>
          <w:tab w:val="left" w:pos="284"/>
        </w:tabs>
        <w:ind w:left="284" w:right="283"/>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5962E57" w14:textId="77777777" w:rsidR="00EF7937" w:rsidRDefault="00EF7937" w:rsidP="00EF7937">
      <w:pPr>
        <w:tabs>
          <w:tab w:val="left" w:pos="284"/>
        </w:tabs>
        <w:ind w:left="284" w:right="283"/>
        <w:jc w:val="both"/>
        <w:rPr>
          <w:rFonts w:ascii="Arial Narrow" w:hAnsi="Arial Narrow"/>
          <w:sz w:val="20"/>
          <w:szCs w:val="20"/>
        </w:rPr>
      </w:pPr>
    </w:p>
    <w:p w14:paraId="5A7C22CD" w14:textId="77777777" w:rsidR="00EF7937" w:rsidRDefault="00EF7937" w:rsidP="00EF7937">
      <w:pPr>
        <w:tabs>
          <w:tab w:val="left" w:pos="284"/>
        </w:tabs>
        <w:ind w:right="283"/>
        <w:jc w:val="both"/>
        <w:rPr>
          <w:rFonts w:ascii="Arial Narrow" w:hAnsi="Arial Narrow"/>
          <w:sz w:val="20"/>
          <w:szCs w:val="20"/>
        </w:rPr>
      </w:pPr>
    </w:p>
    <w:p w14:paraId="674FF35A" w14:textId="77777777" w:rsidR="00EF7937" w:rsidRPr="003A0F5F" w:rsidRDefault="00EF7937" w:rsidP="00EF7937">
      <w:pPr>
        <w:tabs>
          <w:tab w:val="left" w:pos="284"/>
        </w:tabs>
        <w:ind w:right="283"/>
        <w:jc w:val="both"/>
        <w:rPr>
          <w:rFonts w:ascii="Arial Narrow" w:hAnsi="Arial Narrow"/>
          <w:sz w:val="20"/>
          <w:szCs w:val="20"/>
        </w:rPr>
      </w:pP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1"/>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even" r:id="rId19"/>
          <w:headerReference w:type="default" r:id="rId20"/>
          <w:footerReference w:type="even" r:id="rId21"/>
          <w:footerReference w:type="default" r:id="rId22"/>
          <w:headerReference w:type="first" r:id="rId23"/>
          <w:footerReference w:type="first" r:id="rId24"/>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C701A2">
      <w:pPr>
        <w:numPr>
          <w:ilvl w:val="1"/>
          <w:numId w:val="4"/>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C701A2">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p w14:paraId="2DA06255" w14:textId="77777777" w:rsidR="00C73ED8" w:rsidRPr="007D4E81" w:rsidRDefault="00C73ED8" w:rsidP="00C73ED8">
      <w:pPr>
        <w:jc w:val="both"/>
        <w:rPr>
          <w:rFonts w:ascii="Arial Narrow" w:eastAsiaTheme="minorHAnsi" w:hAnsi="Arial Narrow"/>
          <w:sz w:val="18"/>
          <w:szCs w:val="18"/>
        </w:rPr>
      </w:pPr>
      <w:r w:rsidRPr="007D4E81">
        <w:rPr>
          <w:rFonts w:ascii="Arial Narrow" w:eastAsiaTheme="minorHAnsi" w:hAnsi="Arial Narrow"/>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CE925A0" w14:textId="77777777" w:rsidR="00C73ED8" w:rsidRPr="007D4E81" w:rsidRDefault="00C73ED8" w:rsidP="00C73ED8">
      <w:pPr>
        <w:jc w:val="both"/>
        <w:rPr>
          <w:rFonts w:ascii="Arial Narrow" w:eastAsiaTheme="minorHAnsi" w:hAnsi="Arial Narrow"/>
          <w:sz w:val="18"/>
          <w:szCs w:val="18"/>
        </w:rPr>
      </w:pPr>
      <w:r w:rsidRPr="007D4E81">
        <w:rPr>
          <w:rFonts w:ascii="Arial Narrow" w:eastAsiaTheme="minorHAnsi" w:hAnsi="Arial Narrow"/>
          <w:sz w:val="18"/>
          <w:szCs w:val="18"/>
        </w:rPr>
        <w:t>Where the Provider, pursuant to its obligations under this contract, processes personal data on behalf of the Council, it shall:</w:t>
      </w:r>
    </w:p>
    <w:p w14:paraId="175567A9"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Process personal data only in accordance with written instructions from the Council;</w:t>
      </w:r>
    </w:p>
    <w:p w14:paraId="42766D86"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Process personal data only to the extent and in such manner as is necessary for the execution of the contract, or as otherwise notified by the Council;</w:t>
      </w:r>
    </w:p>
    <w:p w14:paraId="5454912F" w14:textId="677DDECA"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 xml:space="preserve">Implement appropriate technological measures to protect against accidental loss, destruction, damage, alteration or disclosure. These measures shall be </w:t>
      </w:r>
      <w:r w:rsidR="00D751E1">
        <w:rPr>
          <w:rFonts w:ascii="Arial Narrow" w:eastAsiaTheme="minorHAnsi" w:hAnsi="Arial Narrow"/>
          <w:sz w:val="18"/>
          <w:szCs w:val="18"/>
        </w:rPr>
        <w:t>proportionate</w:t>
      </w:r>
      <w:r w:rsidRPr="007D4E81">
        <w:rPr>
          <w:rFonts w:ascii="Arial Narrow" w:eastAsiaTheme="minorHAnsi" w:hAnsi="Arial Narrow"/>
          <w:sz w:val="18"/>
          <w:szCs w:val="18"/>
        </w:rPr>
        <w:t xml:space="preserve"> to the harm which might result from any authorised or unlawful processing, accidental loss, destruction, or damage and having regard to the nature of the personal data which is to be protected;</w:t>
      </w:r>
    </w:p>
    <w:p w14:paraId="4B529A4E"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Take reasonable steps to ensure the reliability of any of the Provider’s employees having access to the personal data and that employees are informed of the confidential nature of the personal data and comply with the obligations set out in this Contract;</w:t>
      </w:r>
    </w:p>
    <w:p w14:paraId="3AF68132"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Obtain written consent from the Council prior to any transfer of possession or responsibility for the personal data to any subcontractors;</w:t>
      </w:r>
    </w:p>
    <w:p w14:paraId="1DC7335B"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Notify the Council within five working days if it receives:</w:t>
      </w:r>
    </w:p>
    <w:p w14:paraId="7E09FBE0" w14:textId="77777777" w:rsidR="00C73ED8" w:rsidRPr="007D4E81" w:rsidRDefault="00C73ED8" w:rsidP="00C701A2">
      <w:pPr>
        <w:numPr>
          <w:ilvl w:val="1"/>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A request from a data subject to have access (including rectification, deletion and objection)  to that person’s personal data; or</w:t>
      </w:r>
    </w:p>
    <w:p w14:paraId="6010CE10" w14:textId="77777777" w:rsidR="00C73ED8" w:rsidRPr="007D4E81" w:rsidRDefault="00C73ED8" w:rsidP="00C701A2">
      <w:pPr>
        <w:numPr>
          <w:ilvl w:val="1"/>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A complaint or request related to the Council’s obligations to comply with the data protection requirements.</w:t>
      </w:r>
    </w:p>
    <w:p w14:paraId="7FBE283B"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Provide the Council with full assistance in relation to any such request or complaint;</w:t>
      </w:r>
    </w:p>
    <w:p w14:paraId="3D1A5944"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Allow for and contribute to checks and audits, including inspections, conducted or mandated by the Council or by any authorised third auditing person. The Provider shall immediately inform the Council about any audit not conducted or mandated by the Council;</w:t>
      </w:r>
    </w:p>
    <w:p w14:paraId="36DF6CE1"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Not process personal data outside the jurisdiction of a Council of Europe Member State without the prior authorisation of the Council;</w:t>
      </w:r>
    </w:p>
    <w:p w14:paraId="3460D226"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Upon the Council’s request, provide information relating to its compliance with its obligations under the contract in connection with the processing of personal data and the rights of data subjects;</w:t>
      </w:r>
    </w:p>
    <w:p w14:paraId="016AD08D" w14:textId="77777777" w:rsidR="00C73ED8" w:rsidRPr="007D4E81" w:rsidRDefault="00C73ED8" w:rsidP="00C701A2">
      <w:pPr>
        <w:numPr>
          <w:ilvl w:val="0"/>
          <w:numId w:val="5"/>
        </w:numPr>
        <w:tabs>
          <w:tab w:val="left" w:pos="0"/>
          <w:tab w:val="left" w:pos="142"/>
        </w:tabs>
        <w:spacing w:after="200"/>
        <w:ind w:left="0" w:firstLine="0"/>
        <w:contextualSpacing/>
        <w:jc w:val="both"/>
        <w:rPr>
          <w:rFonts w:ascii="Arial Narrow" w:eastAsiaTheme="minorHAnsi" w:hAnsi="Arial Narrow"/>
          <w:sz w:val="18"/>
          <w:szCs w:val="18"/>
        </w:rPr>
      </w:pPr>
      <w:r w:rsidRPr="007D4E81">
        <w:rPr>
          <w:rFonts w:ascii="Arial Narrow" w:eastAsiaTheme="minorHAnsi" w:hAnsi="Arial Narrow"/>
          <w:sz w:val="18"/>
          <w:szCs w:val="18"/>
        </w:rPr>
        <w:t>Upon the Council’s request, delete or return to the Council all personal data and any existing copies, unless the applicable law requires storage of the personal data.</w:t>
      </w:r>
    </w:p>
    <w:bookmarkEnd w:id="2"/>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2"/>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w:t>
      </w:r>
      <w:r w:rsidRPr="007D4E81">
        <w:rPr>
          <w:rFonts w:ascii="Arial Narrow" w:hAnsi="Arial Narrow" w:cs="Times New Roman"/>
          <w:sz w:val="18"/>
          <w:szCs w:val="18"/>
          <w:lang w:eastAsia="fr-FR"/>
        </w:rPr>
        <w:lastRenderedPageBreak/>
        <w:t>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In case of 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C701A2">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F-67075 Strasbourg Cedex,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1BAF4FA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p>
    <w:p w14:paraId="2F908407" w14:textId="77777777" w:rsidR="0072200B" w:rsidRPr="007D4E81" w:rsidRDefault="0072200B" w:rsidP="0072200B">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pPr>
    </w:p>
    <w:p w14:paraId="106EB131" w14:textId="77777777" w:rsidR="007D4E81" w:rsidRPr="007D4E81" w:rsidRDefault="007D4E81">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557F" w14:textId="77777777" w:rsidR="00C1258A" w:rsidRDefault="00C1258A" w:rsidP="00D50F13">
      <w:r>
        <w:separator/>
      </w:r>
    </w:p>
  </w:endnote>
  <w:endnote w:type="continuationSeparator" w:id="0">
    <w:p w14:paraId="7B6A462B" w14:textId="77777777" w:rsidR="00C1258A" w:rsidRDefault="00C1258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2009" w14:textId="77777777" w:rsidR="00967E93" w:rsidRDefault="00967E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661847"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661847" w:rsidRPr="00147AE5" w:rsidRDefault="00661847" w:rsidP="00E27D81">
          <w:pPr>
            <w:jc w:val="right"/>
            <w:rPr>
              <w:rFonts w:ascii="Arial Narrow" w:hAnsi="Arial Narrow"/>
              <w:sz w:val="18"/>
              <w:szCs w:val="18"/>
            </w:rPr>
          </w:pPr>
          <w:r w:rsidRPr="00147AE5">
            <w:rPr>
              <w:rFonts w:ascii="Arial Narrow" w:hAnsi="Arial Narrow"/>
              <w:sz w:val="18"/>
              <w:szCs w:val="18"/>
            </w:rPr>
            <w:t xml:space="preserve">Contract No. </w:t>
          </w:r>
          <w:r w:rsidRPr="00147AE5">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A2E77E3" w:rsidR="00661847" w:rsidRPr="00147AE5" w:rsidRDefault="00661847" w:rsidP="00E27D81">
          <w:pPr>
            <w:rPr>
              <w:rFonts w:ascii="Arial Narrow" w:hAnsi="Arial Narrow"/>
              <w:caps/>
              <w:color w:val="000000"/>
              <w:sz w:val="18"/>
              <w:szCs w:val="18"/>
            </w:rPr>
          </w:pPr>
        </w:p>
      </w:tc>
    </w:tr>
  </w:tbl>
  <w:p w14:paraId="50D77C58" w14:textId="51884BC4" w:rsidR="00661847" w:rsidRPr="00B47508" w:rsidRDefault="00661847" w:rsidP="00B47508">
    <w:pPr>
      <w:pStyle w:val="Footer"/>
      <w:rPr>
        <w:rFonts w:ascii="Arial Narrow" w:hAnsi="Arial Narro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39721" w14:textId="77777777" w:rsidR="00967E93" w:rsidRDefault="00967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A563A" w14:textId="77777777" w:rsidR="00C1258A" w:rsidRDefault="00C1258A" w:rsidP="00D50F13">
      <w:r>
        <w:separator/>
      </w:r>
    </w:p>
  </w:footnote>
  <w:footnote w:type="continuationSeparator" w:id="0">
    <w:p w14:paraId="799520F3" w14:textId="77777777" w:rsidR="00C1258A" w:rsidRDefault="00C1258A" w:rsidP="00D50F13">
      <w:r>
        <w:continuationSeparator/>
      </w:r>
    </w:p>
  </w:footnote>
  <w:footnote w:id="1">
    <w:p w14:paraId="71AD4308" w14:textId="77777777" w:rsidR="00661847" w:rsidRPr="00BC7984" w:rsidRDefault="00661847"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2">
    <w:p w14:paraId="1EDFF562" w14:textId="33990BF0" w:rsidR="00661847" w:rsidRPr="002E59DA" w:rsidRDefault="00661847">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Applicable rules : </w:t>
      </w:r>
      <w:hyperlink r:id="rId1" w:history="1">
        <w:r w:rsidRPr="002E59DA">
          <w:rPr>
            <w:rStyle w:val="Hyperlink"/>
            <w:rFonts w:ascii="Arial Narrow" w:hAnsi="Arial Narrow"/>
            <w:sz w:val="16"/>
            <w:szCs w:val="16"/>
          </w:rPr>
          <w:t>https://search.coe.int/cm/Pages/result_details.aspx?ObjectId=09000016805ceb14</w:t>
        </w:r>
      </w:hyperlink>
      <w:r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8216" w14:textId="77777777" w:rsidR="00967E93" w:rsidRDefault="00967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661847" w:rsidRPr="002E59DA" w:rsidRDefault="00661847">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517A84">
          <w:rPr>
            <w:rFonts w:ascii="Arial Narrow" w:hAnsi="Arial Narrow"/>
            <w:bCs/>
            <w:noProof/>
          </w:rPr>
          <w:t>7</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517A84">
          <w:rPr>
            <w:rFonts w:ascii="Arial Narrow" w:hAnsi="Arial Narrow"/>
            <w:bCs/>
            <w:noProof/>
          </w:rPr>
          <w:t>7</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33D5ED04" w:rsidR="00661847" w:rsidRDefault="00661847" w:rsidP="00147AE5">
    <w:pPr>
      <w:pStyle w:val="Header"/>
      <w:jc w:val="center"/>
    </w:pPr>
    <w:r>
      <w:rPr>
        <w:noProof/>
        <w:lang w:val="en-US" w:eastAsia="en-US"/>
      </w:rPr>
      <w:drawing>
        <wp:inline distT="0" distB="0" distL="0" distR="0" wp14:anchorId="7F2CDE4E" wp14:editId="233E9B3B">
          <wp:extent cx="5188585" cy="1406525"/>
          <wp:effectExtent l="0" t="0" r="0" b="3175"/>
          <wp:docPr id="1" name="Picture 1" descr="\\hawking-share\ODGP_COMM\3. HF communication\HF logos\Funded-EU-and-COE-Implemented-COE-fil-black-and-whit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ing-share\ODGP_COMM\3. HF communication\HF logos\Funded-EU-and-COE-Implemented-COE-fil-black-and-whit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8585" cy="1406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68801B6"/>
    <w:multiLevelType w:val="hybridMultilevel"/>
    <w:tmpl w:val="A6F69B40"/>
    <w:lvl w:ilvl="0" w:tplc="7480C578">
      <w:start w:val="1"/>
      <w:numFmt w:val="decimal"/>
      <w:lvlText w:val="%1."/>
      <w:lvlJc w:val="left"/>
      <w:pPr>
        <w:ind w:left="502" w:hanging="360"/>
      </w:pPr>
      <w:rPr>
        <w:rFonts w:ascii="Arial Narrow" w:eastAsia="Times New Roman" w:hAnsi="Arial Narrow" w:cs="Arial"/>
        <w:color w:val="0000FF"/>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B9C648F"/>
    <w:multiLevelType w:val="hybridMultilevel"/>
    <w:tmpl w:val="F92E1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30D04ACC"/>
    <w:multiLevelType w:val="hybridMultilevel"/>
    <w:tmpl w:val="64D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592A5F91"/>
    <w:multiLevelType w:val="multilevel"/>
    <w:tmpl w:val="21563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3D65873"/>
    <w:multiLevelType w:val="hybridMultilevel"/>
    <w:tmpl w:val="6C58D242"/>
    <w:lvl w:ilvl="0" w:tplc="6E88D7E8">
      <w:start w:val="1"/>
      <w:numFmt w:val="decimal"/>
      <w:lvlText w:val="%1."/>
      <w:lvlJc w:val="left"/>
      <w:pPr>
        <w:ind w:left="502" w:hanging="360"/>
      </w:pPr>
      <w:rPr>
        <w:rFonts w:hint="default"/>
        <w:color w:val="0000FF"/>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92E49EC"/>
    <w:multiLevelType w:val="hybridMultilevel"/>
    <w:tmpl w:val="7C0EBC80"/>
    <w:lvl w:ilvl="0" w:tplc="835CE2C6">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C2C1321"/>
    <w:multiLevelType w:val="hybridMultilevel"/>
    <w:tmpl w:val="0284BA9A"/>
    <w:lvl w:ilvl="0" w:tplc="473AEDCC">
      <w:start w:val="1"/>
      <w:numFmt w:val="decimal"/>
      <w:lvlText w:val="%1."/>
      <w:lvlJc w:val="left"/>
      <w:pPr>
        <w:ind w:left="720" w:hanging="360"/>
      </w:pPr>
      <w:rPr>
        <w:rFonts w:ascii="Arial Narrow" w:hAnsi="Arial Narrow"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8"/>
  </w:num>
  <w:num w:numId="12">
    <w:abstractNumId w:val="2"/>
  </w:num>
  <w:num w:numId="13">
    <w:abstractNumId w:val="5"/>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301C"/>
    <w:rsid w:val="00007AEB"/>
    <w:rsid w:val="000128DD"/>
    <w:rsid w:val="0001537A"/>
    <w:rsid w:val="00015DB4"/>
    <w:rsid w:val="00037A7D"/>
    <w:rsid w:val="00040A2C"/>
    <w:rsid w:val="0004179C"/>
    <w:rsid w:val="000478B8"/>
    <w:rsid w:val="000502B1"/>
    <w:rsid w:val="00072FB8"/>
    <w:rsid w:val="00080A7E"/>
    <w:rsid w:val="0008106F"/>
    <w:rsid w:val="000837E6"/>
    <w:rsid w:val="000841B9"/>
    <w:rsid w:val="00084509"/>
    <w:rsid w:val="000852FE"/>
    <w:rsid w:val="00093155"/>
    <w:rsid w:val="000966F4"/>
    <w:rsid w:val="000A0D8A"/>
    <w:rsid w:val="000A19C2"/>
    <w:rsid w:val="000B1D29"/>
    <w:rsid w:val="000B26A2"/>
    <w:rsid w:val="000B4274"/>
    <w:rsid w:val="000C4D6D"/>
    <w:rsid w:val="000D3674"/>
    <w:rsid w:val="000E0285"/>
    <w:rsid w:val="000E2440"/>
    <w:rsid w:val="000E3E9A"/>
    <w:rsid w:val="000E59BC"/>
    <w:rsid w:val="000E59DC"/>
    <w:rsid w:val="000E5DF5"/>
    <w:rsid w:val="000F1520"/>
    <w:rsid w:val="000F18A2"/>
    <w:rsid w:val="000F3067"/>
    <w:rsid w:val="000F3BC2"/>
    <w:rsid w:val="000F3CB2"/>
    <w:rsid w:val="000F448F"/>
    <w:rsid w:val="000F551A"/>
    <w:rsid w:val="000F5561"/>
    <w:rsid w:val="00113108"/>
    <w:rsid w:val="0011556A"/>
    <w:rsid w:val="00124451"/>
    <w:rsid w:val="00126183"/>
    <w:rsid w:val="0012667B"/>
    <w:rsid w:val="00127842"/>
    <w:rsid w:val="00127AB4"/>
    <w:rsid w:val="00135199"/>
    <w:rsid w:val="001359BE"/>
    <w:rsid w:val="0014098C"/>
    <w:rsid w:val="00141EE1"/>
    <w:rsid w:val="00147AE5"/>
    <w:rsid w:val="00150C0F"/>
    <w:rsid w:val="00160002"/>
    <w:rsid w:val="0016172B"/>
    <w:rsid w:val="00162598"/>
    <w:rsid w:val="0018381D"/>
    <w:rsid w:val="00183E4D"/>
    <w:rsid w:val="0019283C"/>
    <w:rsid w:val="001A207E"/>
    <w:rsid w:val="001A5371"/>
    <w:rsid w:val="001B0127"/>
    <w:rsid w:val="001B138A"/>
    <w:rsid w:val="001C4BA2"/>
    <w:rsid w:val="001C6878"/>
    <w:rsid w:val="001D40AD"/>
    <w:rsid w:val="001D5926"/>
    <w:rsid w:val="001E5424"/>
    <w:rsid w:val="001F4341"/>
    <w:rsid w:val="001F5A87"/>
    <w:rsid w:val="002019A5"/>
    <w:rsid w:val="00206A77"/>
    <w:rsid w:val="002111B3"/>
    <w:rsid w:val="002133FA"/>
    <w:rsid w:val="00213A16"/>
    <w:rsid w:val="00225B0D"/>
    <w:rsid w:val="002336A0"/>
    <w:rsid w:val="0024380B"/>
    <w:rsid w:val="00251355"/>
    <w:rsid w:val="00254DA0"/>
    <w:rsid w:val="00256E49"/>
    <w:rsid w:val="002818A7"/>
    <w:rsid w:val="00290EAC"/>
    <w:rsid w:val="00293CBB"/>
    <w:rsid w:val="00294937"/>
    <w:rsid w:val="00296F78"/>
    <w:rsid w:val="002A2C42"/>
    <w:rsid w:val="002A44D9"/>
    <w:rsid w:val="002A56A1"/>
    <w:rsid w:val="002A76FC"/>
    <w:rsid w:val="002B2259"/>
    <w:rsid w:val="002B4786"/>
    <w:rsid w:val="002C6F98"/>
    <w:rsid w:val="002D5425"/>
    <w:rsid w:val="002D5DC0"/>
    <w:rsid w:val="002E170B"/>
    <w:rsid w:val="002E5606"/>
    <w:rsid w:val="002E59DA"/>
    <w:rsid w:val="00300098"/>
    <w:rsid w:val="0030096D"/>
    <w:rsid w:val="00305B31"/>
    <w:rsid w:val="003122C0"/>
    <w:rsid w:val="00312EC4"/>
    <w:rsid w:val="00313DB1"/>
    <w:rsid w:val="00320711"/>
    <w:rsid w:val="003271DF"/>
    <w:rsid w:val="00332AF4"/>
    <w:rsid w:val="003347E8"/>
    <w:rsid w:val="00335804"/>
    <w:rsid w:val="00336345"/>
    <w:rsid w:val="00336C4A"/>
    <w:rsid w:val="00342BAD"/>
    <w:rsid w:val="0034681E"/>
    <w:rsid w:val="00350F4E"/>
    <w:rsid w:val="0035108E"/>
    <w:rsid w:val="00352519"/>
    <w:rsid w:val="0035431A"/>
    <w:rsid w:val="00361219"/>
    <w:rsid w:val="003705A6"/>
    <w:rsid w:val="003712F2"/>
    <w:rsid w:val="00371509"/>
    <w:rsid w:val="003840F5"/>
    <w:rsid w:val="00386026"/>
    <w:rsid w:val="003905D4"/>
    <w:rsid w:val="003916BE"/>
    <w:rsid w:val="0039258A"/>
    <w:rsid w:val="00394B2C"/>
    <w:rsid w:val="00394D33"/>
    <w:rsid w:val="003A0F5F"/>
    <w:rsid w:val="003A463D"/>
    <w:rsid w:val="003B1C2E"/>
    <w:rsid w:val="003B2E7E"/>
    <w:rsid w:val="003B4914"/>
    <w:rsid w:val="003C1D13"/>
    <w:rsid w:val="003D1EFC"/>
    <w:rsid w:val="003E2D84"/>
    <w:rsid w:val="003E6D30"/>
    <w:rsid w:val="003F2270"/>
    <w:rsid w:val="003F2595"/>
    <w:rsid w:val="003F2DD7"/>
    <w:rsid w:val="003F5956"/>
    <w:rsid w:val="003F5BE6"/>
    <w:rsid w:val="003F7D5B"/>
    <w:rsid w:val="00401899"/>
    <w:rsid w:val="00402529"/>
    <w:rsid w:val="00406138"/>
    <w:rsid w:val="004121E2"/>
    <w:rsid w:val="00412A25"/>
    <w:rsid w:val="00415503"/>
    <w:rsid w:val="00420E9A"/>
    <w:rsid w:val="00425C56"/>
    <w:rsid w:val="00432F42"/>
    <w:rsid w:val="00437926"/>
    <w:rsid w:val="00441D52"/>
    <w:rsid w:val="00446490"/>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6D51"/>
    <w:rsid w:val="00497AEE"/>
    <w:rsid w:val="004A3080"/>
    <w:rsid w:val="004B0F2D"/>
    <w:rsid w:val="004B1778"/>
    <w:rsid w:val="004B2022"/>
    <w:rsid w:val="004B3F9D"/>
    <w:rsid w:val="004C3551"/>
    <w:rsid w:val="004C6F59"/>
    <w:rsid w:val="004D084E"/>
    <w:rsid w:val="004E1F03"/>
    <w:rsid w:val="004E67E1"/>
    <w:rsid w:val="004E796F"/>
    <w:rsid w:val="004E7A45"/>
    <w:rsid w:val="004E7D01"/>
    <w:rsid w:val="004F00FA"/>
    <w:rsid w:val="004F2CFB"/>
    <w:rsid w:val="004F71A4"/>
    <w:rsid w:val="00517A84"/>
    <w:rsid w:val="00523268"/>
    <w:rsid w:val="00527592"/>
    <w:rsid w:val="00531A42"/>
    <w:rsid w:val="0053377B"/>
    <w:rsid w:val="00533788"/>
    <w:rsid w:val="00533AAF"/>
    <w:rsid w:val="00541446"/>
    <w:rsid w:val="00542FEE"/>
    <w:rsid w:val="00550849"/>
    <w:rsid w:val="00566A81"/>
    <w:rsid w:val="00567F3E"/>
    <w:rsid w:val="005845C2"/>
    <w:rsid w:val="005A267E"/>
    <w:rsid w:val="005A5930"/>
    <w:rsid w:val="005A6974"/>
    <w:rsid w:val="005B0752"/>
    <w:rsid w:val="005B17CB"/>
    <w:rsid w:val="005C5D6E"/>
    <w:rsid w:val="005E05C2"/>
    <w:rsid w:val="005E2710"/>
    <w:rsid w:val="005F0F4C"/>
    <w:rsid w:val="005F3EF5"/>
    <w:rsid w:val="005F65E7"/>
    <w:rsid w:val="00611175"/>
    <w:rsid w:val="006126C2"/>
    <w:rsid w:val="00613313"/>
    <w:rsid w:val="00614DB2"/>
    <w:rsid w:val="006232B4"/>
    <w:rsid w:val="006266B6"/>
    <w:rsid w:val="006426F7"/>
    <w:rsid w:val="00647C28"/>
    <w:rsid w:val="00653BB6"/>
    <w:rsid w:val="006558F9"/>
    <w:rsid w:val="00660256"/>
    <w:rsid w:val="00661847"/>
    <w:rsid w:val="00662182"/>
    <w:rsid w:val="00662FF0"/>
    <w:rsid w:val="00664680"/>
    <w:rsid w:val="006717A7"/>
    <w:rsid w:val="00674FED"/>
    <w:rsid w:val="0067529C"/>
    <w:rsid w:val="006771B6"/>
    <w:rsid w:val="00680325"/>
    <w:rsid w:val="00686727"/>
    <w:rsid w:val="006869EF"/>
    <w:rsid w:val="00687D63"/>
    <w:rsid w:val="006912CB"/>
    <w:rsid w:val="006A51F8"/>
    <w:rsid w:val="006A750B"/>
    <w:rsid w:val="006A7F07"/>
    <w:rsid w:val="006B2D7D"/>
    <w:rsid w:val="006B5CAE"/>
    <w:rsid w:val="006B5F47"/>
    <w:rsid w:val="006B71A1"/>
    <w:rsid w:val="006B757C"/>
    <w:rsid w:val="006C4390"/>
    <w:rsid w:val="006C7D58"/>
    <w:rsid w:val="006D00AF"/>
    <w:rsid w:val="006D3613"/>
    <w:rsid w:val="006D78F7"/>
    <w:rsid w:val="006D7C4E"/>
    <w:rsid w:val="006E09FC"/>
    <w:rsid w:val="006E37C3"/>
    <w:rsid w:val="006F040B"/>
    <w:rsid w:val="00711683"/>
    <w:rsid w:val="00714D53"/>
    <w:rsid w:val="00714FBD"/>
    <w:rsid w:val="0072200B"/>
    <w:rsid w:val="00731F4B"/>
    <w:rsid w:val="007332D8"/>
    <w:rsid w:val="00743F00"/>
    <w:rsid w:val="00747ADB"/>
    <w:rsid w:val="00751959"/>
    <w:rsid w:val="007556CC"/>
    <w:rsid w:val="0075705D"/>
    <w:rsid w:val="00757379"/>
    <w:rsid w:val="00762290"/>
    <w:rsid w:val="00762726"/>
    <w:rsid w:val="00764810"/>
    <w:rsid w:val="00766341"/>
    <w:rsid w:val="00766CF1"/>
    <w:rsid w:val="00782DE6"/>
    <w:rsid w:val="007860E1"/>
    <w:rsid w:val="007867C0"/>
    <w:rsid w:val="007875A5"/>
    <w:rsid w:val="0079040A"/>
    <w:rsid w:val="00791E04"/>
    <w:rsid w:val="00792B49"/>
    <w:rsid w:val="007960C5"/>
    <w:rsid w:val="007B0925"/>
    <w:rsid w:val="007B768B"/>
    <w:rsid w:val="007C267B"/>
    <w:rsid w:val="007C4BED"/>
    <w:rsid w:val="007C7CED"/>
    <w:rsid w:val="007D46B2"/>
    <w:rsid w:val="007D4E81"/>
    <w:rsid w:val="007D5BE8"/>
    <w:rsid w:val="007E2A3E"/>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75F8D"/>
    <w:rsid w:val="0088096D"/>
    <w:rsid w:val="00883C2D"/>
    <w:rsid w:val="008871ED"/>
    <w:rsid w:val="00887B2A"/>
    <w:rsid w:val="00890F8A"/>
    <w:rsid w:val="00892D73"/>
    <w:rsid w:val="008A486B"/>
    <w:rsid w:val="008B1207"/>
    <w:rsid w:val="008B3EEE"/>
    <w:rsid w:val="008B6FDD"/>
    <w:rsid w:val="008C754F"/>
    <w:rsid w:val="008D113B"/>
    <w:rsid w:val="008D3220"/>
    <w:rsid w:val="008D5239"/>
    <w:rsid w:val="008F2664"/>
    <w:rsid w:val="008F2874"/>
    <w:rsid w:val="008F2DBD"/>
    <w:rsid w:val="008F3370"/>
    <w:rsid w:val="008F3844"/>
    <w:rsid w:val="008F3D21"/>
    <w:rsid w:val="008F6198"/>
    <w:rsid w:val="00901C1A"/>
    <w:rsid w:val="009024F1"/>
    <w:rsid w:val="00904B93"/>
    <w:rsid w:val="009058FD"/>
    <w:rsid w:val="00912AA1"/>
    <w:rsid w:val="009214B5"/>
    <w:rsid w:val="00924591"/>
    <w:rsid w:val="0093185B"/>
    <w:rsid w:val="00944332"/>
    <w:rsid w:val="0095095F"/>
    <w:rsid w:val="00950A66"/>
    <w:rsid w:val="00956F45"/>
    <w:rsid w:val="00962E5E"/>
    <w:rsid w:val="00967E93"/>
    <w:rsid w:val="0097037F"/>
    <w:rsid w:val="00973EF1"/>
    <w:rsid w:val="0098229E"/>
    <w:rsid w:val="00986E66"/>
    <w:rsid w:val="00987B83"/>
    <w:rsid w:val="00990987"/>
    <w:rsid w:val="00995BA4"/>
    <w:rsid w:val="009A100B"/>
    <w:rsid w:val="009A5B27"/>
    <w:rsid w:val="009B16D0"/>
    <w:rsid w:val="009B76BE"/>
    <w:rsid w:val="009D290D"/>
    <w:rsid w:val="009E0C9B"/>
    <w:rsid w:val="009E4346"/>
    <w:rsid w:val="009E55DF"/>
    <w:rsid w:val="009F0519"/>
    <w:rsid w:val="009F32D6"/>
    <w:rsid w:val="009F49A6"/>
    <w:rsid w:val="009F6493"/>
    <w:rsid w:val="00A00374"/>
    <w:rsid w:val="00A01BC9"/>
    <w:rsid w:val="00A06007"/>
    <w:rsid w:val="00A12241"/>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D6D64"/>
    <w:rsid w:val="00AE2A99"/>
    <w:rsid w:val="00AE3602"/>
    <w:rsid w:val="00AE5507"/>
    <w:rsid w:val="00B018FC"/>
    <w:rsid w:val="00B036FF"/>
    <w:rsid w:val="00B11F35"/>
    <w:rsid w:val="00B12CCE"/>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A355F"/>
    <w:rsid w:val="00BA535D"/>
    <w:rsid w:val="00BB11AE"/>
    <w:rsid w:val="00BB3DE0"/>
    <w:rsid w:val="00BB66CF"/>
    <w:rsid w:val="00BC30D7"/>
    <w:rsid w:val="00BC4242"/>
    <w:rsid w:val="00BD671C"/>
    <w:rsid w:val="00BD6B89"/>
    <w:rsid w:val="00BE004A"/>
    <w:rsid w:val="00BE13D6"/>
    <w:rsid w:val="00BE33D8"/>
    <w:rsid w:val="00BF0EF7"/>
    <w:rsid w:val="00C029E4"/>
    <w:rsid w:val="00C07F6F"/>
    <w:rsid w:val="00C11F6F"/>
    <w:rsid w:val="00C1258A"/>
    <w:rsid w:val="00C12D50"/>
    <w:rsid w:val="00C16967"/>
    <w:rsid w:val="00C20349"/>
    <w:rsid w:val="00C334C4"/>
    <w:rsid w:val="00C35F97"/>
    <w:rsid w:val="00C4103C"/>
    <w:rsid w:val="00C5327B"/>
    <w:rsid w:val="00C53AF9"/>
    <w:rsid w:val="00C57EAD"/>
    <w:rsid w:val="00C674A5"/>
    <w:rsid w:val="00C701A2"/>
    <w:rsid w:val="00C73C2F"/>
    <w:rsid w:val="00C73ED8"/>
    <w:rsid w:val="00C7643B"/>
    <w:rsid w:val="00C81B85"/>
    <w:rsid w:val="00C8260C"/>
    <w:rsid w:val="00C82FF6"/>
    <w:rsid w:val="00C921E4"/>
    <w:rsid w:val="00C96D88"/>
    <w:rsid w:val="00CA4416"/>
    <w:rsid w:val="00CA6E6F"/>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26DE3"/>
    <w:rsid w:val="00D322CA"/>
    <w:rsid w:val="00D338C6"/>
    <w:rsid w:val="00D34C9B"/>
    <w:rsid w:val="00D417C2"/>
    <w:rsid w:val="00D44009"/>
    <w:rsid w:val="00D466A3"/>
    <w:rsid w:val="00D47F70"/>
    <w:rsid w:val="00D50229"/>
    <w:rsid w:val="00D50F13"/>
    <w:rsid w:val="00D51502"/>
    <w:rsid w:val="00D52157"/>
    <w:rsid w:val="00D5261C"/>
    <w:rsid w:val="00D5513E"/>
    <w:rsid w:val="00D73100"/>
    <w:rsid w:val="00D751E1"/>
    <w:rsid w:val="00D81B84"/>
    <w:rsid w:val="00D90F8E"/>
    <w:rsid w:val="00DA27F2"/>
    <w:rsid w:val="00DA5EB8"/>
    <w:rsid w:val="00DC3F97"/>
    <w:rsid w:val="00DD4C16"/>
    <w:rsid w:val="00DE0239"/>
    <w:rsid w:val="00DE6721"/>
    <w:rsid w:val="00E00310"/>
    <w:rsid w:val="00E0039F"/>
    <w:rsid w:val="00E045AD"/>
    <w:rsid w:val="00E049B6"/>
    <w:rsid w:val="00E05457"/>
    <w:rsid w:val="00E05C41"/>
    <w:rsid w:val="00E0771D"/>
    <w:rsid w:val="00E11E01"/>
    <w:rsid w:val="00E160F4"/>
    <w:rsid w:val="00E16762"/>
    <w:rsid w:val="00E17F6A"/>
    <w:rsid w:val="00E22F9A"/>
    <w:rsid w:val="00E22FD7"/>
    <w:rsid w:val="00E27D81"/>
    <w:rsid w:val="00E41727"/>
    <w:rsid w:val="00E44537"/>
    <w:rsid w:val="00E56FDA"/>
    <w:rsid w:val="00E57189"/>
    <w:rsid w:val="00E7726D"/>
    <w:rsid w:val="00E81D73"/>
    <w:rsid w:val="00E83B04"/>
    <w:rsid w:val="00E90DC4"/>
    <w:rsid w:val="00E9309D"/>
    <w:rsid w:val="00E94437"/>
    <w:rsid w:val="00EB2DB9"/>
    <w:rsid w:val="00EB550D"/>
    <w:rsid w:val="00EB6C90"/>
    <w:rsid w:val="00EC08A1"/>
    <w:rsid w:val="00EE1D09"/>
    <w:rsid w:val="00EE7240"/>
    <w:rsid w:val="00EF1BF6"/>
    <w:rsid w:val="00EF66B8"/>
    <w:rsid w:val="00EF7937"/>
    <w:rsid w:val="00F130D7"/>
    <w:rsid w:val="00F17C76"/>
    <w:rsid w:val="00F21315"/>
    <w:rsid w:val="00F240B8"/>
    <w:rsid w:val="00F25459"/>
    <w:rsid w:val="00F26952"/>
    <w:rsid w:val="00F270C4"/>
    <w:rsid w:val="00F30E47"/>
    <w:rsid w:val="00F54C06"/>
    <w:rsid w:val="00F56682"/>
    <w:rsid w:val="00F57BB6"/>
    <w:rsid w:val="00F57EC4"/>
    <w:rsid w:val="00F742F2"/>
    <w:rsid w:val="00F77E7D"/>
    <w:rsid w:val="00F81654"/>
    <w:rsid w:val="00F84B26"/>
    <w:rsid w:val="00F918FF"/>
    <w:rsid w:val="00FA7021"/>
    <w:rsid w:val="00FA70E6"/>
    <w:rsid w:val="00FB168A"/>
    <w:rsid w:val="00FC453F"/>
    <w:rsid w:val="00FC72C5"/>
    <w:rsid w:val="00FC7A03"/>
    <w:rsid w:val="00FC7E0E"/>
    <w:rsid w:val="00FD24F0"/>
    <w:rsid w:val="00FD4486"/>
    <w:rsid w:val="00FE0B09"/>
    <w:rsid w:val="00FE1164"/>
    <w:rsid w:val="00FE4C32"/>
    <w:rsid w:val="00FE4FEF"/>
    <w:rsid w:val="00FF108C"/>
    <w:rsid w:val="00FF40AA"/>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A27F2"/>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A27F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38345298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e.int/en/web/podgorica/aec-mne" TargetMode="External"/><Relationship Id="rId18" Type="http://schemas.openxmlformats.org/officeDocument/2006/relationships/hyperlink" Target="https://www.coe.int/en/web/podgorica/edu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pjp-eu.coe.int/en/web/horizontal-facility/home" TargetMode="External"/><Relationship Id="rId17" Type="http://schemas.openxmlformats.org/officeDocument/2006/relationships/hyperlink" Target="https://www.coe.int/en/web/podgorica/educ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e.int/en/web/podgorica/judicia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oe.int/en/web/podgorica/prison-and-polic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e.int/en/web/podgorica/fil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FB99D25A-20EE-47A3-8ED2-0964ED7D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5491</Words>
  <Characters>31304</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PAKSJUTOW Anna</cp:lastModifiedBy>
  <cp:revision>2</cp:revision>
  <cp:lastPrinted>2016-04-12T12:31:00Z</cp:lastPrinted>
  <dcterms:created xsi:type="dcterms:W3CDTF">2018-09-14T12:00:00Z</dcterms:created>
  <dcterms:modified xsi:type="dcterms:W3CDTF">2018-09-14T12:00:00Z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