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E95A7B1" w:rsidR="003122C0" w:rsidRDefault="00BC2A8B">
            <w:pPr>
              <w:rPr>
                <w:rFonts w:ascii="Arial Narrow" w:hAnsi="Arial Narrow"/>
                <w:caps/>
                <w:color w:val="000000" w:themeColor="text1"/>
                <w:sz w:val="18"/>
                <w:szCs w:val="18"/>
                <w:highlight w:val="cyan"/>
              </w:rPr>
            </w:pPr>
            <w:r w:rsidRPr="00BC2A8B">
              <w:rPr>
                <w:rFonts w:ascii="Arial Narrow" w:hAnsi="Arial Narrow"/>
                <w:caps/>
                <w:color w:val="000000" w:themeColor="text1"/>
                <w:sz w:val="18"/>
                <w:szCs w:val="18"/>
              </w:rPr>
              <w:t>4485/2018/10FC</w:t>
            </w: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E005981" w:rsidR="003122C0" w:rsidRPr="008A60B7" w:rsidRDefault="00BC2A8B">
            <w:pPr>
              <w:rPr>
                <w:rFonts w:ascii="Arial Narrow" w:hAnsi="Arial Narrow"/>
                <w:caps/>
                <w:color w:val="000000" w:themeColor="text1"/>
                <w:sz w:val="18"/>
                <w:szCs w:val="18"/>
              </w:rPr>
            </w:pPr>
            <w:r w:rsidRPr="008A60B7">
              <w:rPr>
                <w:rFonts w:ascii="Arial Narrow" w:hAnsi="Arial Narrow"/>
                <w:caps/>
                <w:color w:val="000000" w:themeColor="text1"/>
                <w:sz w:val="18"/>
                <w:szCs w:val="18"/>
              </w:rPr>
              <w:t>PGG “FREEDOM OF MEDIA IN uKRAINE”</w:t>
            </w:r>
          </w:p>
        </w:tc>
      </w:tr>
      <w:tr w:rsidR="003122C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D67F9FB" w14:textId="77777777" w:rsidR="003122C0" w:rsidRPr="008A60B7" w:rsidRDefault="00BC2A8B">
            <w:pPr>
              <w:rPr>
                <w:rFonts w:ascii="Arial Narrow" w:hAnsi="Arial Narrow"/>
                <w:color w:val="000000" w:themeColor="text1"/>
                <w:sz w:val="18"/>
                <w:szCs w:val="18"/>
              </w:rPr>
            </w:pPr>
            <w:r w:rsidRPr="008A60B7">
              <w:rPr>
                <w:rFonts w:ascii="Arial Narrow" w:hAnsi="Arial Narrow"/>
                <w:color w:val="000000" w:themeColor="text1"/>
                <w:sz w:val="18"/>
                <w:szCs w:val="18"/>
              </w:rPr>
              <w:t xml:space="preserve">Siuzanna </w:t>
            </w:r>
            <w:proofErr w:type="spellStart"/>
            <w:r w:rsidRPr="008A60B7">
              <w:rPr>
                <w:rFonts w:ascii="Arial Narrow" w:hAnsi="Arial Narrow"/>
                <w:color w:val="000000" w:themeColor="text1"/>
                <w:sz w:val="18"/>
                <w:szCs w:val="18"/>
              </w:rPr>
              <w:t>Mnatsakanian</w:t>
            </w:r>
            <w:proofErr w:type="spellEnd"/>
            <w:r w:rsidRPr="008A60B7">
              <w:rPr>
                <w:rFonts w:ascii="Arial Narrow" w:hAnsi="Arial Narrow"/>
                <w:color w:val="000000" w:themeColor="text1"/>
                <w:sz w:val="18"/>
                <w:szCs w:val="18"/>
              </w:rPr>
              <w:t>, Project Officer</w:t>
            </w:r>
          </w:p>
          <w:p w14:paraId="14BEAED4" w14:textId="6A15CF8B" w:rsidR="00BC2A8B" w:rsidRPr="008A60B7" w:rsidRDefault="00BC2A8B">
            <w:pPr>
              <w:rPr>
                <w:rFonts w:ascii="Arial Narrow" w:hAnsi="Arial Narrow"/>
                <w:b/>
                <w:caps/>
                <w:color w:val="000000" w:themeColor="text1"/>
                <w:sz w:val="18"/>
                <w:szCs w:val="18"/>
              </w:rPr>
            </w:pPr>
            <w:r w:rsidRPr="008A60B7">
              <w:rPr>
                <w:rFonts w:ascii="Arial Narrow" w:hAnsi="Arial Narrow"/>
                <w:color w:val="000000" w:themeColor="text1"/>
                <w:sz w:val="18"/>
                <w:szCs w:val="18"/>
              </w:rPr>
              <w:t>Siuzanna.mnatsakanian@coe.int</w:t>
            </w:r>
          </w:p>
        </w:tc>
      </w:tr>
    </w:tbl>
    <w:p w14:paraId="2002E72B" w14:textId="58EDF2EA"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6A56D7FB"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proofErr w:type="gramStart"/>
      <w:r w:rsidR="00BC2A8B">
        <w:rPr>
          <w:rFonts w:ascii="Arial Narrow" w:hAnsi="Arial Narrow"/>
          <w:b/>
        </w:rPr>
        <w:t xml:space="preserve">international </w:t>
      </w:r>
      <w:r w:rsidR="00A117D9">
        <w:rPr>
          <w:rFonts w:ascii="Arial Narrow" w:hAnsi="Arial Narrow"/>
          <w:b/>
        </w:rPr>
        <w:t xml:space="preserve"> consultant</w:t>
      </w:r>
      <w:proofErr w:type="gramEnd"/>
      <w:r w:rsidR="008A60B7">
        <w:rPr>
          <w:rFonts w:ascii="Arial Narrow" w:hAnsi="Arial Narrow"/>
          <w:b/>
        </w:rPr>
        <w:t xml:space="preserve"> </w:t>
      </w:r>
      <w:r w:rsidR="00BC2A8B">
        <w:rPr>
          <w:rFonts w:ascii="Arial Narrow" w:hAnsi="Arial Narrow"/>
          <w:b/>
        </w:rPr>
        <w:t>services</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51C31F20" w14:textId="199516E1" w:rsidR="003F5BE6" w:rsidRPr="008A60B7" w:rsidRDefault="000E68B4" w:rsidP="003F5BE6">
      <w:pPr>
        <w:spacing w:line="276" w:lineRule="auto"/>
        <w:ind w:left="-142"/>
        <w:jc w:val="both"/>
        <w:rPr>
          <w:rFonts w:ascii="Arial Narrow" w:hAnsi="Arial Narrow"/>
          <w:sz w:val="20"/>
          <w:szCs w:val="20"/>
        </w:rPr>
      </w:pPr>
      <w:r w:rsidRPr="008A60B7">
        <w:rPr>
          <w:rFonts w:ascii="Arial Narrow" w:hAnsi="Arial Narrow"/>
          <w:sz w:val="20"/>
          <w:szCs w:val="20"/>
        </w:rPr>
        <w:t xml:space="preserve">The Council of Europe is currently implementing the Project “Freedom of Media in Ukraine” in the framework of Council of Europe and European Union Partnership for Good Governance until 31 December 2018 which aims to improve freedom, independence, pluralism and diversity of media in Ukraine. Specific objectives of the Project are to enhance the independence and effectiveness of the bodies responsible for broadcasting regulation through improvement of legal framework, its implementation and enabling the public-service broadcasting system to better </w:t>
      </w:r>
      <w:proofErr w:type="spellStart"/>
      <w:r w:rsidRPr="008A60B7">
        <w:rPr>
          <w:rFonts w:ascii="Arial Narrow" w:hAnsi="Arial Narrow"/>
          <w:sz w:val="20"/>
          <w:szCs w:val="20"/>
        </w:rPr>
        <w:t>fulfill</w:t>
      </w:r>
      <w:proofErr w:type="spellEnd"/>
      <w:r w:rsidRPr="008A60B7">
        <w:rPr>
          <w:rFonts w:ascii="Arial Narrow" w:hAnsi="Arial Narrow"/>
          <w:sz w:val="20"/>
          <w:szCs w:val="20"/>
        </w:rPr>
        <w:t xml:space="preserve"> its remit; to support completion of the communal printed media reform and development of community media.</w:t>
      </w:r>
    </w:p>
    <w:p w14:paraId="7232B584" w14:textId="77777777" w:rsidR="00FE59E4" w:rsidRPr="008A60B7" w:rsidRDefault="00FE59E4" w:rsidP="003F5BE6">
      <w:pPr>
        <w:spacing w:line="276" w:lineRule="auto"/>
        <w:ind w:left="-142"/>
        <w:jc w:val="both"/>
        <w:rPr>
          <w:rFonts w:ascii="Arial Narrow" w:hAnsi="Arial Narrow"/>
          <w:sz w:val="20"/>
          <w:szCs w:val="20"/>
        </w:rPr>
      </w:pPr>
    </w:p>
    <w:p w14:paraId="1E6A7CCB" w14:textId="641F6843" w:rsidR="00FE59E4" w:rsidRPr="008A60B7" w:rsidRDefault="00FE59E4" w:rsidP="003F5BE6">
      <w:pPr>
        <w:spacing w:line="276" w:lineRule="auto"/>
        <w:ind w:left="-142"/>
        <w:jc w:val="both"/>
        <w:rPr>
          <w:rFonts w:ascii="Arial Narrow" w:hAnsi="Arial Narrow"/>
          <w:sz w:val="20"/>
          <w:szCs w:val="20"/>
        </w:rPr>
      </w:pPr>
      <w:r w:rsidRPr="008A60B7">
        <w:rPr>
          <w:rFonts w:ascii="Arial Narrow" w:hAnsi="Arial Narrow"/>
          <w:sz w:val="20"/>
          <w:szCs w:val="20"/>
        </w:rPr>
        <w:t>In this context the Project is looking for Provider(s) (see below) for the provision of particular expertise in the field of media and specifically experience in the following fields:</w:t>
      </w:r>
    </w:p>
    <w:p w14:paraId="4F94264A" w14:textId="61DD8D13" w:rsidR="00FE59E4" w:rsidRPr="008A60B7" w:rsidRDefault="0079367B" w:rsidP="00F82F91">
      <w:pPr>
        <w:pStyle w:val="ListParagraph"/>
        <w:numPr>
          <w:ilvl w:val="0"/>
          <w:numId w:val="7"/>
        </w:numPr>
        <w:spacing w:line="276" w:lineRule="auto"/>
        <w:ind w:left="567"/>
        <w:jc w:val="both"/>
        <w:rPr>
          <w:rFonts w:ascii="Arial Narrow" w:hAnsi="Arial Narrow"/>
          <w:sz w:val="20"/>
          <w:szCs w:val="20"/>
        </w:rPr>
      </w:pPr>
      <w:r w:rsidRPr="008A60B7">
        <w:rPr>
          <w:rFonts w:ascii="Arial Narrow" w:hAnsi="Arial Narrow"/>
          <w:b/>
          <w:sz w:val="20"/>
          <w:szCs w:val="20"/>
        </w:rPr>
        <w:t xml:space="preserve">Lot 1 - </w:t>
      </w:r>
      <w:r w:rsidR="00FE59E4" w:rsidRPr="008A60B7">
        <w:rPr>
          <w:rFonts w:ascii="Arial Narrow" w:hAnsi="Arial Narrow"/>
          <w:b/>
          <w:sz w:val="20"/>
          <w:szCs w:val="20"/>
        </w:rPr>
        <w:t>Public Broadcasting Service</w:t>
      </w:r>
      <w:r w:rsidR="00FE59E4" w:rsidRPr="008A60B7">
        <w:rPr>
          <w:rFonts w:ascii="Arial Narrow" w:hAnsi="Arial Narrow"/>
          <w:sz w:val="20"/>
          <w:szCs w:val="20"/>
        </w:rPr>
        <w:t xml:space="preserve"> (with particular focus on the UA</w:t>
      </w:r>
      <w:proofErr w:type="gramStart"/>
      <w:r w:rsidR="00FE59E4" w:rsidRPr="008A60B7">
        <w:rPr>
          <w:rFonts w:ascii="Arial Narrow" w:hAnsi="Arial Narrow"/>
          <w:sz w:val="20"/>
          <w:szCs w:val="20"/>
        </w:rPr>
        <w:t>:PBC</w:t>
      </w:r>
      <w:proofErr w:type="gramEnd"/>
      <w:r w:rsidR="00E41A84" w:rsidRPr="008A60B7">
        <w:rPr>
          <w:rFonts w:ascii="Arial Narrow" w:hAnsi="Arial Narrow"/>
          <w:sz w:val="20"/>
          <w:szCs w:val="20"/>
        </w:rPr>
        <w:t>)</w:t>
      </w:r>
      <w:r w:rsidR="00F82F91" w:rsidRPr="008A60B7">
        <w:rPr>
          <w:rFonts w:ascii="Arial Narrow" w:hAnsi="Arial Narrow"/>
          <w:sz w:val="20"/>
          <w:szCs w:val="20"/>
        </w:rPr>
        <w:t xml:space="preserve">. The scope will include but is not limited to: </w:t>
      </w:r>
      <w:r w:rsidR="00E41A84" w:rsidRPr="008A60B7">
        <w:rPr>
          <w:rFonts w:ascii="Arial Narrow" w:hAnsi="Arial Narrow"/>
          <w:sz w:val="20"/>
          <w:szCs w:val="20"/>
        </w:rPr>
        <w:t>e</w:t>
      </w:r>
      <w:r w:rsidR="00FE59E4" w:rsidRPr="008A60B7">
        <w:rPr>
          <w:rFonts w:ascii="Arial Narrow" w:hAnsi="Arial Narrow"/>
          <w:sz w:val="20"/>
          <w:szCs w:val="20"/>
        </w:rPr>
        <w:t xml:space="preserve">xpert reports, </w:t>
      </w:r>
      <w:r w:rsidR="00E41A84" w:rsidRPr="008A60B7">
        <w:rPr>
          <w:rFonts w:ascii="Arial Narrow" w:hAnsi="Arial Narrow"/>
          <w:sz w:val="20"/>
          <w:szCs w:val="20"/>
        </w:rPr>
        <w:t xml:space="preserve">delivery of </w:t>
      </w:r>
      <w:r w:rsidR="00FE59E4" w:rsidRPr="008A60B7">
        <w:rPr>
          <w:rFonts w:ascii="Arial Narrow" w:hAnsi="Arial Narrow"/>
          <w:sz w:val="20"/>
          <w:szCs w:val="20"/>
        </w:rPr>
        <w:t>trainings, seminars (presentations) with recommendations on implementation of the Law of Ukraine on Public Broadcasting in line with the Council of Europe and European standards, on revision of the mentioned law and other releva</w:t>
      </w:r>
      <w:r w:rsidR="00E41A84" w:rsidRPr="008A60B7">
        <w:rPr>
          <w:rFonts w:ascii="Arial Narrow" w:hAnsi="Arial Narrow"/>
          <w:sz w:val="20"/>
          <w:szCs w:val="20"/>
        </w:rPr>
        <w:t>nt legislation and regulations; provision of s</w:t>
      </w:r>
      <w:r w:rsidR="00FE59E4" w:rsidRPr="008A60B7">
        <w:rPr>
          <w:rFonts w:ascii="Arial Narrow" w:hAnsi="Arial Narrow"/>
          <w:sz w:val="20"/>
          <w:szCs w:val="20"/>
        </w:rPr>
        <w:t>upport to the UA:PBC concepts’ development and capacity building of the UA:PBC staff members, Management Board and Supervisory Board capacity building etc</w:t>
      </w:r>
      <w:r w:rsidR="00E41A84" w:rsidRPr="008A60B7">
        <w:rPr>
          <w:rFonts w:ascii="Arial Narrow" w:hAnsi="Arial Narrow"/>
          <w:sz w:val="20"/>
          <w:szCs w:val="20"/>
        </w:rPr>
        <w:t>.</w:t>
      </w:r>
    </w:p>
    <w:p w14:paraId="1EE98E78" w14:textId="0B7A0E96" w:rsidR="00FE59E4" w:rsidRPr="008A60B7" w:rsidRDefault="0079367B" w:rsidP="00F82F91">
      <w:pPr>
        <w:pStyle w:val="ListParagraph"/>
        <w:numPr>
          <w:ilvl w:val="0"/>
          <w:numId w:val="7"/>
        </w:numPr>
        <w:spacing w:line="276" w:lineRule="auto"/>
        <w:ind w:left="567"/>
        <w:jc w:val="both"/>
        <w:rPr>
          <w:rFonts w:ascii="Arial Narrow" w:hAnsi="Arial Narrow"/>
          <w:sz w:val="20"/>
          <w:szCs w:val="20"/>
        </w:rPr>
      </w:pPr>
      <w:r w:rsidRPr="008A60B7">
        <w:rPr>
          <w:rFonts w:ascii="Arial Narrow" w:hAnsi="Arial Narrow"/>
          <w:b/>
          <w:sz w:val="20"/>
          <w:szCs w:val="20"/>
        </w:rPr>
        <w:t xml:space="preserve">Lot 2 - </w:t>
      </w:r>
      <w:proofErr w:type="spellStart"/>
      <w:r w:rsidR="00FE59E4" w:rsidRPr="008A60B7">
        <w:rPr>
          <w:rFonts w:ascii="Arial Narrow" w:hAnsi="Arial Narrow"/>
          <w:b/>
          <w:sz w:val="20"/>
          <w:szCs w:val="20"/>
        </w:rPr>
        <w:t>Audiovisual</w:t>
      </w:r>
      <w:proofErr w:type="spellEnd"/>
      <w:r w:rsidR="00FE59E4" w:rsidRPr="008A60B7">
        <w:rPr>
          <w:rFonts w:ascii="Arial Narrow" w:hAnsi="Arial Narrow"/>
          <w:b/>
          <w:sz w:val="20"/>
          <w:szCs w:val="20"/>
        </w:rPr>
        <w:t xml:space="preserve"> Media Services</w:t>
      </w:r>
      <w:r w:rsidR="00F82F91" w:rsidRPr="008A60B7">
        <w:rPr>
          <w:rFonts w:ascii="Arial Narrow" w:hAnsi="Arial Narrow"/>
          <w:sz w:val="20"/>
          <w:szCs w:val="20"/>
        </w:rPr>
        <w:t xml:space="preserve">. The scope will include but is not limited to </w:t>
      </w:r>
      <w:r w:rsidR="00E41A84" w:rsidRPr="008A60B7">
        <w:rPr>
          <w:rFonts w:ascii="Arial Narrow" w:hAnsi="Arial Narrow"/>
          <w:sz w:val="20"/>
          <w:szCs w:val="20"/>
        </w:rPr>
        <w:t xml:space="preserve">expert reports, delivery of trainings, seminars </w:t>
      </w:r>
      <w:r w:rsidR="00FE59E4" w:rsidRPr="008A60B7">
        <w:rPr>
          <w:rFonts w:ascii="Arial Narrow" w:hAnsi="Arial Narrow"/>
          <w:sz w:val="20"/>
          <w:szCs w:val="20"/>
        </w:rPr>
        <w:t xml:space="preserve">(presentations) on AVS in EU, Council of Europe standards on AVS; expertise of the Draft Law of Ukraine on </w:t>
      </w:r>
      <w:proofErr w:type="spellStart"/>
      <w:r w:rsidR="00FE59E4" w:rsidRPr="008A60B7">
        <w:rPr>
          <w:rFonts w:ascii="Arial Narrow" w:hAnsi="Arial Narrow"/>
          <w:sz w:val="20"/>
          <w:szCs w:val="20"/>
        </w:rPr>
        <w:t>Audiovisual</w:t>
      </w:r>
      <w:proofErr w:type="spellEnd"/>
      <w:r w:rsidR="00FE59E4" w:rsidRPr="008A60B7">
        <w:rPr>
          <w:rFonts w:ascii="Arial Narrow" w:hAnsi="Arial Narrow"/>
          <w:sz w:val="20"/>
          <w:szCs w:val="20"/>
        </w:rPr>
        <w:t xml:space="preserve"> Services; trainings on EU regulations, best practices on new  media, regulation of online platforms etc.</w:t>
      </w:r>
    </w:p>
    <w:p w14:paraId="0510112B" w14:textId="648E4D8F" w:rsidR="00FE59E4" w:rsidRPr="008A60B7" w:rsidRDefault="0079367B" w:rsidP="00F82F91">
      <w:pPr>
        <w:pStyle w:val="ListParagraph"/>
        <w:numPr>
          <w:ilvl w:val="0"/>
          <w:numId w:val="7"/>
        </w:numPr>
        <w:spacing w:line="276" w:lineRule="auto"/>
        <w:ind w:left="567"/>
        <w:jc w:val="both"/>
        <w:rPr>
          <w:rFonts w:ascii="Arial Narrow" w:hAnsi="Arial Narrow"/>
          <w:sz w:val="20"/>
          <w:szCs w:val="20"/>
        </w:rPr>
      </w:pPr>
      <w:r w:rsidRPr="008A60B7">
        <w:rPr>
          <w:rFonts w:ascii="Arial Narrow" w:hAnsi="Arial Narrow"/>
          <w:b/>
          <w:sz w:val="20"/>
          <w:szCs w:val="20"/>
        </w:rPr>
        <w:t xml:space="preserve">Lot 3 - </w:t>
      </w:r>
      <w:r w:rsidR="00E41A84" w:rsidRPr="008A60B7">
        <w:rPr>
          <w:rFonts w:ascii="Arial Narrow" w:hAnsi="Arial Narrow"/>
          <w:b/>
          <w:sz w:val="20"/>
          <w:szCs w:val="20"/>
        </w:rPr>
        <w:t>T</w:t>
      </w:r>
      <w:r w:rsidR="00FE59E4" w:rsidRPr="008A60B7">
        <w:rPr>
          <w:rFonts w:ascii="Arial Narrow" w:hAnsi="Arial Narrow"/>
          <w:b/>
          <w:sz w:val="20"/>
          <w:szCs w:val="20"/>
        </w:rPr>
        <w:t>ransparency of media financing</w:t>
      </w:r>
      <w:r w:rsidR="00F82F91" w:rsidRPr="008A60B7">
        <w:rPr>
          <w:rFonts w:ascii="Arial Narrow" w:hAnsi="Arial Narrow"/>
          <w:sz w:val="20"/>
          <w:szCs w:val="20"/>
        </w:rPr>
        <w:t>. The scope will include but is not limited to:</w:t>
      </w:r>
      <w:r w:rsidR="00E41A84" w:rsidRPr="008A60B7">
        <w:rPr>
          <w:rFonts w:ascii="Arial Narrow" w:hAnsi="Arial Narrow"/>
          <w:sz w:val="20"/>
          <w:szCs w:val="20"/>
        </w:rPr>
        <w:t xml:space="preserve"> expert reports</w:t>
      </w:r>
      <w:r w:rsidR="00FE59E4" w:rsidRPr="008A60B7">
        <w:rPr>
          <w:rFonts w:ascii="Arial Narrow" w:hAnsi="Arial Narrow"/>
          <w:sz w:val="20"/>
          <w:szCs w:val="20"/>
        </w:rPr>
        <w:t>, trainings, seminars (presentations) on transparency of media financing, transparency of media financing, analogue-to-digital switchover, national regulator’s remits etc. with regard to the Council of Europe and European standards</w:t>
      </w:r>
      <w:r w:rsidR="00E41A84" w:rsidRPr="008A60B7">
        <w:rPr>
          <w:rFonts w:ascii="Arial Narrow" w:hAnsi="Arial Narrow"/>
          <w:sz w:val="20"/>
          <w:szCs w:val="20"/>
        </w:rPr>
        <w:t>.</w:t>
      </w:r>
    </w:p>
    <w:p w14:paraId="32CDC040" w14:textId="02F2F49A" w:rsidR="00FE59E4" w:rsidRPr="008A60B7" w:rsidRDefault="0079367B" w:rsidP="00F82F91">
      <w:pPr>
        <w:pStyle w:val="ListParagraph"/>
        <w:numPr>
          <w:ilvl w:val="0"/>
          <w:numId w:val="7"/>
        </w:numPr>
        <w:spacing w:line="276" w:lineRule="auto"/>
        <w:ind w:left="567"/>
        <w:jc w:val="both"/>
        <w:rPr>
          <w:rFonts w:ascii="Arial Narrow" w:hAnsi="Arial Narrow"/>
          <w:sz w:val="20"/>
          <w:szCs w:val="20"/>
        </w:rPr>
      </w:pPr>
      <w:r w:rsidRPr="008A60B7">
        <w:rPr>
          <w:rFonts w:ascii="Arial Narrow" w:hAnsi="Arial Narrow"/>
          <w:b/>
          <w:sz w:val="20"/>
          <w:szCs w:val="20"/>
        </w:rPr>
        <w:t xml:space="preserve">Lot 4 - </w:t>
      </w:r>
      <w:r w:rsidR="00E41A84" w:rsidRPr="008A60B7">
        <w:rPr>
          <w:rFonts w:ascii="Arial Narrow" w:hAnsi="Arial Narrow"/>
          <w:b/>
          <w:sz w:val="20"/>
          <w:szCs w:val="20"/>
        </w:rPr>
        <w:t>C</w:t>
      </w:r>
      <w:r w:rsidR="00FE59E4" w:rsidRPr="008A60B7">
        <w:rPr>
          <w:rFonts w:ascii="Arial Narrow" w:hAnsi="Arial Narrow"/>
          <w:b/>
          <w:sz w:val="20"/>
          <w:szCs w:val="20"/>
        </w:rPr>
        <w:t>ommunity media</w:t>
      </w:r>
      <w:r w:rsidR="00F82F91" w:rsidRPr="008A60B7">
        <w:rPr>
          <w:rFonts w:ascii="Arial Narrow" w:hAnsi="Arial Narrow"/>
          <w:sz w:val="20"/>
          <w:szCs w:val="20"/>
        </w:rPr>
        <w:t xml:space="preserve">. The scope will include but is not limited to: </w:t>
      </w:r>
      <w:r w:rsidR="00E41A84" w:rsidRPr="008A60B7">
        <w:rPr>
          <w:rFonts w:ascii="Arial Narrow" w:hAnsi="Arial Narrow"/>
          <w:sz w:val="20"/>
          <w:szCs w:val="20"/>
        </w:rPr>
        <w:t xml:space="preserve">expert reports, trainings, </w:t>
      </w:r>
      <w:r w:rsidR="00FE59E4" w:rsidRPr="008A60B7">
        <w:rPr>
          <w:rFonts w:ascii="Arial Narrow" w:hAnsi="Arial Narrow"/>
          <w:sz w:val="20"/>
          <w:szCs w:val="20"/>
        </w:rPr>
        <w:t xml:space="preserve">seminars (presentations) with recommendations on community media development in Ukraine, </w:t>
      </w:r>
      <w:proofErr w:type="spellStart"/>
      <w:r w:rsidR="00FE59E4" w:rsidRPr="008A60B7">
        <w:rPr>
          <w:rFonts w:ascii="Arial Narrow" w:hAnsi="Arial Narrow"/>
          <w:sz w:val="20"/>
          <w:szCs w:val="20"/>
        </w:rPr>
        <w:t>CoE</w:t>
      </w:r>
      <w:proofErr w:type="spellEnd"/>
      <w:r w:rsidR="00FE59E4" w:rsidRPr="008A60B7">
        <w:rPr>
          <w:rFonts w:ascii="Arial Narrow" w:hAnsi="Arial Narrow"/>
          <w:sz w:val="20"/>
          <w:szCs w:val="20"/>
        </w:rPr>
        <w:t xml:space="preserve"> standards and best </w:t>
      </w:r>
      <w:proofErr w:type="gramStart"/>
      <w:r w:rsidR="00FE59E4" w:rsidRPr="008A60B7">
        <w:rPr>
          <w:rFonts w:ascii="Arial Narrow" w:hAnsi="Arial Narrow"/>
          <w:sz w:val="20"/>
          <w:szCs w:val="20"/>
        </w:rPr>
        <w:t>European  practices</w:t>
      </w:r>
      <w:proofErr w:type="gramEnd"/>
      <w:r w:rsidR="00E41A84" w:rsidRPr="008A60B7">
        <w:rPr>
          <w:rFonts w:ascii="Arial Narrow" w:hAnsi="Arial Narrow"/>
          <w:sz w:val="20"/>
          <w:szCs w:val="20"/>
        </w:rPr>
        <w:t>.</w:t>
      </w:r>
    </w:p>
    <w:p w14:paraId="4C2BF212" w14:textId="3D9E6966" w:rsidR="00FE59E4" w:rsidRPr="008A60B7" w:rsidRDefault="0079367B" w:rsidP="00F82F91">
      <w:pPr>
        <w:pStyle w:val="ListParagraph"/>
        <w:numPr>
          <w:ilvl w:val="0"/>
          <w:numId w:val="7"/>
        </w:numPr>
        <w:spacing w:line="276" w:lineRule="auto"/>
        <w:ind w:left="567"/>
        <w:jc w:val="both"/>
        <w:rPr>
          <w:rFonts w:ascii="Arial Narrow" w:hAnsi="Arial Narrow"/>
          <w:sz w:val="20"/>
          <w:szCs w:val="20"/>
        </w:rPr>
      </w:pPr>
      <w:r w:rsidRPr="008A60B7">
        <w:rPr>
          <w:rFonts w:ascii="Arial Narrow" w:hAnsi="Arial Narrow"/>
          <w:b/>
          <w:sz w:val="20"/>
          <w:szCs w:val="20"/>
        </w:rPr>
        <w:t xml:space="preserve">Lot 5 - </w:t>
      </w:r>
      <w:r w:rsidR="00E41A84" w:rsidRPr="008A60B7">
        <w:rPr>
          <w:rFonts w:ascii="Arial Narrow" w:hAnsi="Arial Narrow"/>
          <w:b/>
          <w:sz w:val="20"/>
          <w:szCs w:val="20"/>
        </w:rPr>
        <w:t>G</w:t>
      </w:r>
      <w:r w:rsidR="00FE59E4" w:rsidRPr="008A60B7">
        <w:rPr>
          <w:rFonts w:ascii="Arial Narrow" w:hAnsi="Arial Narrow"/>
          <w:b/>
          <w:sz w:val="20"/>
          <w:szCs w:val="20"/>
        </w:rPr>
        <w:t>ender in media</w:t>
      </w:r>
      <w:r w:rsidR="00F82F91" w:rsidRPr="008A60B7">
        <w:rPr>
          <w:rFonts w:ascii="Arial Narrow" w:hAnsi="Arial Narrow"/>
          <w:sz w:val="20"/>
          <w:szCs w:val="20"/>
        </w:rPr>
        <w:t xml:space="preserve">. The scope will include but is not limited to: </w:t>
      </w:r>
      <w:r w:rsidR="00E41A84" w:rsidRPr="008A60B7">
        <w:rPr>
          <w:rFonts w:ascii="Arial Narrow" w:hAnsi="Arial Narrow"/>
          <w:sz w:val="20"/>
          <w:szCs w:val="20"/>
        </w:rPr>
        <w:t>expert reports, trainings</w:t>
      </w:r>
      <w:proofErr w:type="gramStart"/>
      <w:r w:rsidR="00E41A84" w:rsidRPr="008A60B7">
        <w:rPr>
          <w:rFonts w:ascii="Arial Narrow" w:hAnsi="Arial Narrow"/>
          <w:sz w:val="20"/>
          <w:szCs w:val="20"/>
        </w:rPr>
        <w:t>,</w:t>
      </w:r>
      <w:r w:rsidR="00FE59E4" w:rsidRPr="008A60B7">
        <w:rPr>
          <w:rFonts w:ascii="Arial Narrow" w:hAnsi="Arial Narrow"/>
          <w:sz w:val="20"/>
          <w:szCs w:val="20"/>
        </w:rPr>
        <w:t>,</w:t>
      </w:r>
      <w:proofErr w:type="gramEnd"/>
      <w:r w:rsidR="00FE59E4" w:rsidRPr="008A60B7">
        <w:rPr>
          <w:rFonts w:ascii="Arial Narrow" w:hAnsi="Arial Narrow"/>
          <w:sz w:val="20"/>
          <w:szCs w:val="20"/>
        </w:rPr>
        <w:t xml:space="preserve"> seminars (presentations) with recommendations of ensuring gender equality in media and combatting gender stereotypes and sexism in media and advertising in line with the Council of Europe and European standards</w:t>
      </w:r>
      <w:r w:rsidR="00E41A84" w:rsidRPr="008A60B7">
        <w:rPr>
          <w:rFonts w:ascii="Arial Narrow" w:hAnsi="Arial Narrow"/>
          <w:sz w:val="20"/>
          <w:szCs w:val="20"/>
        </w:rPr>
        <w:t>.</w:t>
      </w:r>
    </w:p>
    <w:p w14:paraId="668834AA" w14:textId="013E4368" w:rsidR="00FE59E4" w:rsidRPr="008A60B7" w:rsidRDefault="0079367B" w:rsidP="00F82F91">
      <w:pPr>
        <w:pStyle w:val="ListParagraph"/>
        <w:numPr>
          <w:ilvl w:val="0"/>
          <w:numId w:val="7"/>
        </w:numPr>
        <w:spacing w:line="276" w:lineRule="auto"/>
        <w:ind w:left="567"/>
        <w:jc w:val="both"/>
        <w:rPr>
          <w:rFonts w:ascii="Arial Narrow" w:hAnsi="Arial Narrow"/>
          <w:sz w:val="20"/>
          <w:szCs w:val="20"/>
        </w:rPr>
      </w:pPr>
      <w:r w:rsidRPr="008A60B7">
        <w:rPr>
          <w:rFonts w:ascii="Arial Narrow" w:hAnsi="Arial Narrow"/>
          <w:b/>
          <w:sz w:val="20"/>
          <w:szCs w:val="20"/>
        </w:rPr>
        <w:t xml:space="preserve">Lot 6 - </w:t>
      </w:r>
      <w:proofErr w:type="spellStart"/>
      <w:r w:rsidR="00E41A84" w:rsidRPr="008A60B7">
        <w:rPr>
          <w:rFonts w:ascii="Arial Narrow" w:hAnsi="Arial Narrow"/>
          <w:b/>
          <w:sz w:val="20"/>
          <w:szCs w:val="20"/>
        </w:rPr>
        <w:t>D</w:t>
      </w:r>
      <w:r w:rsidR="00FE59E4" w:rsidRPr="008A60B7">
        <w:rPr>
          <w:rFonts w:ascii="Arial Narrow" w:hAnsi="Arial Narrow"/>
          <w:b/>
          <w:sz w:val="20"/>
          <w:szCs w:val="20"/>
        </w:rPr>
        <w:t>estatization</w:t>
      </w:r>
      <w:proofErr w:type="spellEnd"/>
      <w:r w:rsidR="00FE59E4" w:rsidRPr="008A60B7">
        <w:rPr>
          <w:rFonts w:ascii="Arial Narrow" w:hAnsi="Arial Narrow"/>
          <w:b/>
          <w:sz w:val="20"/>
          <w:szCs w:val="20"/>
        </w:rPr>
        <w:t xml:space="preserve"> of media</w:t>
      </w:r>
      <w:r w:rsidR="00F82F91" w:rsidRPr="008A60B7">
        <w:rPr>
          <w:rFonts w:ascii="Arial Narrow" w:hAnsi="Arial Narrow"/>
          <w:sz w:val="20"/>
          <w:szCs w:val="20"/>
        </w:rPr>
        <w:t xml:space="preserve">. The scope will include but is not limited to: </w:t>
      </w:r>
      <w:r w:rsidR="00E41A84" w:rsidRPr="008A60B7">
        <w:rPr>
          <w:rFonts w:ascii="Arial Narrow" w:hAnsi="Arial Narrow"/>
          <w:sz w:val="20"/>
          <w:szCs w:val="20"/>
        </w:rPr>
        <w:t xml:space="preserve"> expert reports, trainings, </w:t>
      </w:r>
      <w:r w:rsidR="00FE59E4" w:rsidRPr="008A60B7">
        <w:rPr>
          <w:rFonts w:ascii="Arial Narrow" w:hAnsi="Arial Narrow"/>
          <w:sz w:val="20"/>
          <w:szCs w:val="20"/>
        </w:rPr>
        <w:t xml:space="preserve">seminars (presentations) with recommendations on reform of communal print media, TV and radio, developing of sustainable business models for reformed media outlets, enhancing their capacity etc. </w:t>
      </w:r>
    </w:p>
    <w:p w14:paraId="5554436B" w14:textId="4CAC8CA0" w:rsidR="00FE59E4" w:rsidRPr="008A60B7" w:rsidRDefault="0079367B" w:rsidP="00F82F91">
      <w:pPr>
        <w:pStyle w:val="ListParagraph"/>
        <w:numPr>
          <w:ilvl w:val="0"/>
          <w:numId w:val="7"/>
        </w:numPr>
        <w:spacing w:line="276" w:lineRule="auto"/>
        <w:ind w:left="567"/>
        <w:jc w:val="both"/>
        <w:rPr>
          <w:rFonts w:ascii="Arial Narrow" w:hAnsi="Arial Narrow"/>
          <w:sz w:val="20"/>
          <w:szCs w:val="20"/>
        </w:rPr>
      </w:pPr>
      <w:r w:rsidRPr="008A60B7">
        <w:rPr>
          <w:rFonts w:ascii="Arial Narrow" w:hAnsi="Arial Narrow"/>
          <w:b/>
          <w:sz w:val="20"/>
          <w:szCs w:val="20"/>
        </w:rPr>
        <w:t xml:space="preserve">Lot 7 - </w:t>
      </w:r>
      <w:r w:rsidR="00E41A84" w:rsidRPr="008A60B7">
        <w:rPr>
          <w:rFonts w:ascii="Arial Narrow" w:hAnsi="Arial Narrow"/>
          <w:b/>
          <w:sz w:val="20"/>
          <w:szCs w:val="20"/>
        </w:rPr>
        <w:t>M</w:t>
      </w:r>
      <w:r w:rsidR="00FE59E4" w:rsidRPr="008A60B7">
        <w:rPr>
          <w:rFonts w:ascii="Arial Narrow" w:hAnsi="Arial Narrow"/>
          <w:b/>
          <w:sz w:val="20"/>
          <w:szCs w:val="20"/>
        </w:rPr>
        <w:t>edia standards</w:t>
      </w:r>
      <w:r w:rsidR="00F82F91" w:rsidRPr="008A60B7">
        <w:rPr>
          <w:rFonts w:ascii="Arial Narrow" w:hAnsi="Arial Narrow"/>
          <w:sz w:val="20"/>
          <w:szCs w:val="20"/>
        </w:rPr>
        <w:t xml:space="preserve">. The scope will include but is not limited to: </w:t>
      </w:r>
      <w:r w:rsidR="00E41A84" w:rsidRPr="008A60B7">
        <w:rPr>
          <w:rFonts w:ascii="Arial Narrow" w:hAnsi="Arial Narrow"/>
          <w:sz w:val="20"/>
          <w:szCs w:val="20"/>
        </w:rPr>
        <w:t xml:space="preserve">expert reports, trainings, </w:t>
      </w:r>
      <w:r w:rsidR="00F82F91" w:rsidRPr="008A60B7">
        <w:rPr>
          <w:rFonts w:ascii="Arial Narrow" w:hAnsi="Arial Narrow"/>
          <w:sz w:val="20"/>
          <w:szCs w:val="20"/>
        </w:rPr>
        <w:t xml:space="preserve">seminar </w:t>
      </w:r>
      <w:r w:rsidR="00FE59E4" w:rsidRPr="008A60B7">
        <w:rPr>
          <w:rFonts w:ascii="Arial Narrow" w:hAnsi="Arial Narrow"/>
          <w:sz w:val="20"/>
          <w:szCs w:val="20"/>
        </w:rPr>
        <w:t>(presentations) with recommendations on Council of Europe and European media standards, journalistic ethics, media independence, including independent editorial policy, etc.</w:t>
      </w:r>
    </w:p>
    <w:p w14:paraId="079B74D5" w14:textId="77777777" w:rsidR="000E68B4" w:rsidRPr="008A60B7" w:rsidRDefault="000E68B4" w:rsidP="003F5BE6">
      <w:pPr>
        <w:spacing w:line="276" w:lineRule="auto"/>
        <w:ind w:left="-142"/>
        <w:jc w:val="both"/>
        <w:rPr>
          <w:rFonts w:ascii="Arial Narrow" w:hAnsi="Arial Narrow"/>
          <w:sz w:val="20"/>
          <w:szCs w:val="20"/>
        </w:rPr>
      </w:pPr>
    </w:p>
    <w:p w14:paraId="458DDFFF" w14:textId="0A6DF3A9" w:rsidR="003F5BE6" w:rsidRDefault="003F5BE6" w:rsidP="003F5BE6">
      <w:pPr>
        <w:spacing w:line="276" w:lineRule="auto"/>
        <w:ind w:left="-142"/>
        <w:jc w:val="both"/>
        <w:rPr>
          <w:rFonts w:ascii="Arial Narrow" w:hAnsi="Arial Narrow"/>
          <w:sz w:val="20"/>
          <w:szCs w:val="20"/>
        </w:rPr>
      </w:pPr>
      <w:r w:rsidRPr="008A60B7">
        <w:rPr>
          <w:rFonts w:ascii="Arial Narrow" w:hAnsi="Arial Narrow"/>
          <w:sz w:val="20"/>
          <w:szCs w:val="20"/>
        </w:rPr>
        <w:t xml:space="preserve">Each time an order form is sent, the selected Provider undertakes to take all the necessary measures to send it signed to the Council within </w:t>
      </w:r>
      <w:r w:rsidR="00BC2A8B" w:rsidRPr="008A60B7">
        <w:rPr>
          <w:rFonts w:ascii="Arial Narrow" w:hAnsi="Arial Narrow"/>
          <w:sz w:val="20"/>
          <w:szCs w:val="20"/>
        </w:rPr>
        <w:t>1 one working day</w:t>
      </w:r>
      <w:r w:rsidRPr="008A60B7">
        <w:rPr>
          <w:rFonts w:ascii="Arial Narrow" w:hAnsi="Arial Narrow"/>
          <w:sz w:val="20"/>
          <w:szCs w:val="20"/>
        </w:rPr>
        <w:t xml:space="preserve"> after its reception.</w:t>
      </w:r>
      <w:r>
        <w:rPr>
          <w:rFonts w:ascii="Arial Narrow" w:hAnsi="Arial Narrow"/>
          <w:sz w:val="20"/>
          <w:szCs w:val="20"/>
        </w:rPr>
        <w:t xml:space="preserve"> </w:t>
      </w:r>
    </w:p>
    <w:p w14:paraId="6ED71D83" w14:textId="77777777" w:rsidR="003F5BE6" w:rsidRDefault="003F5BE6" w:rsidP="003F5BE6">
      <w:pPr>
        <w:spacing w:line="276" w:lineRule="auto"/>
        <w:ind w:left="-142"/>
        <w:jc w:val="both"/>
        <w:rPr>
          <w:rFonts w:ascii="Arial Narrow" w:hAnsi="Arial Narrow"/>
          <w:sz w:val="20"/>
          <w:szCs w:val="20"/>
        </w:rPr>
      </w:pPr>
    </w:p>
    <w:p w14:paraId="0717E828" w14:textId="77777777" w:rsidR="003F5BE6" w:rsidRPr="008A60B7" w:rsidRDefault="003F5BE6" w:rsidP="003F5BE6">
      <w:pPr>
        <w:spacing w:line="276" w:lineRule="auto"/>
        <w:ind w:left="-142"/>
        <w:jc w:val="both"/>
        <w:rPr>
          <w:rFonts w:ascii="Arial Narrow" w:hAnsi="Arial Narrow"/>
          <w:b/>
          <w:sz w:val="20"/>
          <w:szCs w:val="20"/>
        </w:rPr>
      </w:pPr>
      <w:r w:rsidRPr="008A60B7">
        <w:rPr>
          <w:rFonts w:ascii="Arial Narrow" w:hAnsi="Arial Narrow"/>
          <w:b/>
          <w:sz w:val="20"/>
          <w:szCs w:val="20"/>
        </w:rPr>
        <w:t>Pooling</w:t>
      </w:r>
    </w:p>
    <w:p w14:paraId="3B3206BF" w14:textId="77777777" w:rsidR="003F5BE6" w:rsidRPr="008A60B7" w:rsidRDefault="003F5BE6" w:rsidP="003F5BE6">
      <w:pPr>
        <w:spacing w:line="276" w:lineRule="auto"/>
        <w:ind w:left="-142"/>
        <w:jc w:val="both"/>
        <w:rPr>
          <w:rFonts w:ascii="Arial Narrow" w:hAnsi="Arial Narrow"/>
          <w:sz w:val="20"/>
          <w:szCs w:val="20"/>
        </w:rPr>
      </w:pPr>
      <w:r w:rsidRPr="008A60B7">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8A60B7" w:rsidRDefault="003F5BE6" w:rsidP="00F82F91">
      <w:pPr>
        <w:pStyle w:val="Default"/>
        <w:numPr>
          <w:ilvl w:val="0"/>
          <w:numId w:val="5"/>
        </w:numPr>
        <w:ind w:left="567"/>
        <w:rPr>
          <w:rFonts w:ascii="Arial Narrow" w:hAnsi="Arial Narrow"/>
          <w:sz w:val="20"/>
          <w:szCs w:val="20"/>
        </w:rPr>
      </w:pPr>
      <w:r w:rsidRPr="008A60B7">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8A60B7" w:rsidRDefault="003F5BE6" w:rsidP="00F82F91">
      <w:pPr>
        <w:pStyle w:val="Default"/>
        <w:numPr>
          <w:ilvl w:val="0"/>
          <w:numId w:val="5"/>
        </w:numPr>
        <w:ind w:left="567"/>
        <w:rPr>
          <w:rFonts w:ascii="Arial Narrow" w:hAnsi="Arial Narrow"/>
          <w:sz w:val="20"/>
          <w:szCs w:val="20"/>
        </w:rPr>
      </w:pPr>
      <w:r w:rsidRPr="008A60B7">
        <w:rPr>
          <w:rFonts w:ascii="Arial Narrow" w:hAnsi="Arial Narrow"/>
          <w:sz w:val="20"/>
          <w:szCs w:val="20"/>
        </w:rPr>
        <w:t>availability (including, without limitation, capacity to meet required deadlines and, where relevant, geographical location); and</w:t>
      </w:r>
    </w:p>
    <w:p w14:paraId="61CBF01C" w14:textId="77777777" w:rsidR="003F5BE6" w:rsidRPr="008A60B7" w:rsidRDefault="003F5BE6" w:rsidP="00F82F91">
      <w:pPr>
        <w:pStyle w:val="Default"/>
        <w:numPr>
          <w:ilvl w:val="0"/>
          <w:numId w:val="5"/>
        </w:numPr>
        <w:ind w:left="567"/>
        <w:rPr>
          <w:rFonts w:ascii="Arial Narrow" w:hAnsi="Arial Narrow"/>
          <w:sz w:val="20"/>
          <w:szCs w:val="20"/>
        </w:rPr>
      </w:pPr>
      <w:proofErr w:type="gramStart"/>
      <w:r w:rsidRPr="008A60B7">
        <w:rPr>
          <w:rFonts w:ascii="Arial Narrow" w:hAnsi="Arial Narrow"/>
          <w:sz w:val="20"/>
          <w:szCs w:val="20"/>
        </w:rPr>
        <w:t>price</w:t>
      </w:r>
      <w:proofErr w:type="gramEnd"/>
      <w:r w:rsidRPr="008A60B7">
        <w:rPr>
          <w:rFonts w:ascii="Arial Narrow" w:hAnsi="Arial Narrow"/>
          <w:sz w:val="20"/>
          <w:szCs w:val="20"/>
        </w:rPr>
        <w:t>.</w:t>
      </w:r>
    </w:p>
    <w:p w14:paraId="3664A6C1" w14:textId="4B4CBBCB" w:rsidR="003F5BE6" w:rsidRPr="008A60B7" w:rsidRDefault="003F5BE6" w:rsidP="000E68B4">
      <w:pPr>
        <w:spacing w:line="276" w:lineRule="auto"/>
        <w:ind w:left="-142"/>
        <w:jc w:val="both"/>
        <w:rPr>
          <w:rFonts w:ascii="Arial Narrow" w:hAnsi="Arial Narrow"/>
          <w:sz w:val="20"/>
          <w:szCs w:val="20"/>
        </w:rPr>
      </w:pPr>
      <w:r w:rsidRPr="008A60B7">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59CD436B" w14:textId="77777777" w:rsidR="000E68B4" w:rsidRPr="008A60B7" w:rsidRDefault="000E68B4" w:rsidP="000E68B4">
      <w:pPr>
        <w:spacing w:line="276" w:lineRule="auto"/>
        <w:ind w:left="-142"/>
        <w:jc w:val="both"/>
        <w:rPr>
          <w:rFonts w:ascii="Arial Narrow" w:hAnsi="Arial Narrow"/>
          <w:sz w:val="20"/>
          <w:szCs w:val="20"/>
        </w:rPr>
      </w:pPr>
    </w:p>
    <w:p w14:paraId="32A0568F" w14:textId="54EC7AAD" w:rsidR="000E68B4" w:rsidRPr="008A60B7" w:rsidRDefault="000E68B4" w:rsidP="000E68B4">
      <w:pPr>
        <w:spacing w:line="276" w:lineRule="auto"/>
        <w:ind w:left="-142"/>
        <w:jc w:val="both"/>
        <w:rPr>
          <w:rFonts w:ascii="Arial Narrow" w:hAnsi="Arial Narrow"/>
          <w:b/>
          <w:sz w:val="20"/>
          <w:szCs w:val="20"/>
        </w:rPr>
      </w:pPr>
      <w:r w:rsidRPr="008A60B7">
        <w:rPr>
          <w:rFonts w:ascii="Arial Narrow" w:hAnsi="Arial Narrow"/>
          <w:b/>
          <w:sz w:val="20"/>
          <w:szCs w:val="20"/>
        </w:rPr>
        <w:t>Lots</w:t>
      </w:r>
    </w:p>
    <w:p w14:paraId="05FF8B5A" w14:textId="374AC9DC" w:rsidR="000E68B4" w:rsidRPr="000E68B4" w:rsidRDefault="000E68B4" w:rsidP="000E68B4">
      <w:pPr>
        <w:spacing w:line="276" w:lineRule="auto"/>
        <w:ind w:left="-142"/>
        <w:jc w:val="both"/>
        <w:rPr>
          <w:rFonts w:ascii="Arial Narrow" w:hAnsi="Arial Narrow"/>
          <w:sz w:val="20"/>
          <w:szCs w:val="20"/>
          <w:highlight w:val="cyan"/>
        </w:rPr>
      </w:pPr>
      <w:r w:rsidRPr="000E68B4">
        <w:rPr>
          <w:rFonts w:ascii="Arial Narrow" w:hAnsi="Arial Narrow"/>
          <w:sz w:val="20"/>
          <w:szCs w:val="20"/>
        </w:rPr>
        <w:t>The Tenderer declares that they submit a tender for the following lot/s:</w:t>
      </w:r>
    </w:p>
    <w:p w14:paraId="7B33B4BF" w14:textId="77777777" w:rsidR="000E68B4" w:rsidRDefault="000E68B4" w:rsidP="000E68B4">
      <w:pPr>
        <w:spacing w:line="276" w:lineRule="auto"/>
        <w:ind w:left="-142"/>
        <w:jc w:val="both"/>
        <w:rPr>
          <w:rFonts w:ascii="Arial Narrow" w:hAnsi="Arial Narrow"/>
          <w:sz w:val="20"/>
          <w:szCs w:val="20"/>
        </w:rPr>
      </w:pPr>
    </w:p>
    <w:p w14:paraId="09A9EA6B" w14:textId="77777777" w:rsidR="000E68B4" w:rsidRPr="00FB2401" w:rsidRDefault="000E68B4" w:rsidP="000E68B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Arial Narrow" w:hAnsi="Arial Narrow"/>
          <w:color w:val="FF0000"/>
          <w:sz w:val="18"/>
          <w:szCs w:val="18"/>
        </w:rPr>
      </w:pPr>
      <w:r w:rsidRPr="00FB2401">
        <w:rPr>
          <w:rFonts w:ascii="Arial Narrow" w:hAnsi="Arial Narrow"/>
          <w:color w:val="FF0000"/>
          <w:sz w:val="18"/>
          <w:szCs w:val="18"/>
        </w:rPr>
        <w:t xml:space="preserve">Tenderers shall tick the </w:t>
      </w:r>
      <w:proofErr w:type="gramStart"/>
      <w:r w:rsidRPr="00FB2401">
        <w:rPr>
          <w:rFonts w:ascii="Arial Narrow" w:hAnsi="Arial Narrow"/>
          <w:color w:val="FF0000"/>
          <w:sz w:val="18"/>
          <w:szCs w:val="18"/>
        </w:rPr>
        <w:t>box(</w:t>
      </w:r>
      <w:proofErr w:type="spellStart"/>
      <w:proofErr w:type="gramEnd"/>
      <w:r w:rsidRPr="00FB2401">
        <w:rPr>
          <w:rFonts w:ascii="Arial Narrow" w:hAnsi="Arial Narrow"/>
          <w:color w:val="FF0000"/>
          <w:sz w:val="18"/>
          <w:szCs w:val="18"/>
        </w:rPr>
        <w:t>es</w:t>
      </w:r>
      <w:proofErr w:type="spellEnd"/>
      <w:r w:rsidRPr="00FB2401">
        <w:rPr>
          <w:rFonts w:ascii="Arial Narrow" w:hAnsi="Arial Narrow"/>
          <w:color w:val="FF0000"/>
          <w:sz w:val="18"/>
          <w:szCs w:val="18"/>
        </w:rPr>
        <w:t>) corresponding to the lot(s) they tender for. They can tender for one, several or all lots.</w:t>
      </w:r>
    </w:p>
    <w:p w14:paraId="5692B50E" w14:textId="77777777" w:rsidR="000E68B4" w:rsidRDefault="000E68B4" w:rsidP="000E68B4">
      <w:pPr>
        <w:spacing w:line="276" w:lineRule="auto"/>
        <w:ind w:left="-142"/>
        <w:jc w:val="both"/>
        <w:rPr>
          <w:rFonts w:ascii="Arial Narrow" w:hAnsi="Arial Narrow"/>
          <w:sz w:val="20"/>
          <w:szCs w:val="20"/>
        </w:rPr>
      </w:pPr>
      <w:r>
        <w:rPr>
          <w:rFonts w:ascii="Arial Narrow" w:hAnsi="Arial Narrow"/>
          <w:b/>
          <w:noProof/>
          <w:lang w:val="en-US" w:eastAsia="en-US"/>
        </w:rPr>
        <mc:AlternateContent>
          <mc:Choice Requires="wps">
            <w:drawing>
              <wp:anchor distT="0" distB="0" distL="114300" distR="114300" simplePos="0" relativeHeight="251664384" behindDoc="0" locked="1" layoutInCell="1" allowOverlap="1" wp14:anchorId="080C67E6" wp14:editId="5EFAAA56">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Ind w:w="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3863"/>
      </w:tblGrid>
      <w:tr w:rsidR="000E68B4" w:rsidRPr="00266255" w14:paraId="726F329A" w14:textId="77777777" w:rsidTr="00AA1860">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538BE0A" w14:textId="77777777" w:rsidR="000E68B4" w:rsidRDefault="000E68B4" w:rsidP="00AA1860">
            <w:pPr>
              <w:ind w:left="-142"/>
              <w:jc w:val="center"/>
              <w:rPr>
                <w:rFonts w:ascii="Arial Narrow" w:eastAsia="Calibri" w:hAnsi="Arial Narrow" w:cs="Times New Roman"/>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7CDF6B4F" w14:textId="77777777" w:rsidR="000E68B4" w:rsidRPr="00266255" w:rsidRDefault="000E68B4" w:rsidP="00AA1860">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2224A233" w14:textId="77777777" w:rsidR="000E68B4" w:rsidRPr="00266255" w:rsidRDefault="000E68B4" w:rsidP="00AA1860">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Maximum number of Provider(s) to be selected</w:t>
            </w:r>
          </w:p>
        </w:tc>
      </w:tr>
      <w:tr w:rsidR="000E68B4" w:rsidRPr="00266255" w14:paraId="57E14377" w14:textId="77777777" w:rsidTr="00AA1860">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F52100" w14:textId="77777777" w:rsidR="000E68B4" w:rsidRPr="008F0073" w:rsidRDefault="000E68B4" w:rsidP="00AA1860">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CFFDBCA" w14:textId="3AE5C2A3" w:rsidR="000E68B4" w:rsidRPr="00B87EA7" w:rsidRDefault="00FE59E4" w:rsidP="00FE59E4">
            <w:pPr>
              <w:spacing w:before="60" w:after="60"/>
              <w:rPr>
                <w:rFonts w:ascii="Arial Narrow" w:eastAsia="Calibri" w:hAnsi="Arial Narrow" w:cs="Times New Roman"/>
                <w:b/>
                <w:bCs/>
                <w:sz w:val="20"/>
                <w:szCs w:val="20"/>
                <w:lang w:val="en-US" w:eastAsia="en-US"/>
              </w:rPr>
            </w:pPr>
            <w:r w:rsidRPr="00B87EA7">
              <w:rPr>
                <w:rFonts w:ascii="Arial Narrow" w:eastAsia="Calibri" w:hAnsi="Arial Narrow" w:cs="Times New Roman"/>
                <w:b/>
                <w:bCs/>
                <w:sz w:val="20"/>
                <w:szCs w:val="20"/>
                <w:lang w:val="en-US" w:eastAsia="en-US"/>
              </w:rPr>
              <w:t xml:space="preserve">Lot 1 - </w:t>
            </w:r>
            <w:r w:rsidR="000E68B4" w:rsidRPr="00B87EA7">
              <w:rPr>
                <w:rFonts w:ascii="Arial Narrow" w:eastAsia="Calibri" w:hAnsi="Arial Narrow" w:cs="Times New Roman"/>
                <w:b/>
                <w:bCs/>
                <w:sz w:val="20"/>
                <w:szCs w:val="20"/>
                <w:lang w:val="en-US" w:eastAsia="en-US"/>
              </w:rPr>
              <w:t>International  media expert on Public Broadcasting Service with particular focus on the UA:PBC</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E9F7F3E" w14:textId="489C0EBA" w:rsidR="000E68B4" w:rsidRPr="00B87EA7" w:rsidRDefault="00B87EA7" w:rsidP="00AA1860">
            <w:pPr>
              <w:spacing w:before="60" w:after="60"/>
              <w:ind w:left="-142"/>
              <w:jc w:val="center"/>
              <w:rPr>
                <w:rFonts w:ascii="Arial Narrow" w:eastAsia="Calibri" w:hAnsi="Arial Narrow" w:cs="Times New Roman"/>
                <w:b/>
                <w:bCs/>
                <w:sz w:val="20"/>
                <w:szCs w:val="20"/>
                <w:lang w:val="en-US" w:eastAsia="en-US"/>
              </w:rPr>
            </w:pPr>
            <w:r w:rsidRPr="00B87EA7">
              <w:rPr>
                <w:rFonts w:ascii="Arial Narrow" w:eastAsia="Calibri" w:hAnsi="Arial Narrow" w:cs="Times New Roman"/>
                <w:b/>
                <w:bCs/>
                <w:sz w:val="20"/>
                <w:szCs w:val="20"/>
                <w:lang w:val="en-US" w:eastAsia="en-US"/>
              </w:rPr>
              <w:t>5</w:t>
            </w:r>
          </w:p>
        </w:tc>
      </w:tr>
      <w:tr w:rsidR="000E68B4" w:rsidRPr="00266255" w14:paraId="7C6D1D4E" w14:textId="77777777" w:rsidTr="00AA1860">
        <w:trPr>
          <w:trHeight w:val="420"/>
          <w:jc w:val="center"/>
        </w:trPr>
        <w:sdt>
          <w:sdtPr>
            <w:rPr>
              <w:rFonts w:ascii="Arial Narrow" w:eastAsia="Calibri" w:hAnsi="Arial Narrow" w:cs="Times New Roman"/>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E6132E" w14:textId="77777777" w:rsidR="000E68B4" w:rsidRPr="008F0073" w:rsidRDefault="000E68B4" w:rsidP="00AA1860">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7ABB94" w14:textId="1B68BD4F" w:rsidR="000E68B4" w:rsidRPr="00B87EA7" w:rsidRDefault="00FE59E4" w:rsidP="00FE59E4">
            <w:pPr>
              <w:spacing w:before="60" w:after="60"/>
              <w:rPr>
                <w:rFonts w:ascii="Arial Narrow" w:eastAsia="Calibri" w:hAnsi="Arial Narrow" w:cs="Times New Roman"/>
                <w:b/>
                <w:bCs/>
                <w:sz w:val="20"/>
                <w:szCs w:val="20"/>
                <w:lang w:val="en-US" w:eastAsia="en-US"/>
              </w:rPr>
            </w:pPr>
            <w:r w:rsidRPr="00B87EA7">
              <w:rPr>
                <w:rFonts w:ascii="Arial Narrow" w:eastAsia="Calibri" w:hAnsi="Arial Narrow" w:cs="Times New Roman"/>
                <w:b/>
                <w:bCs/>
                <w:sz w:val="20"/>
                <w:szCs w:val="20"/>
                <w:lang w:val="en-US" w:eastAsia="en-US"/>
              </w:rPr>
              <w:t xml:space="preserve">Lot 2 - </w:t>
            </w:r>
            <w:r w:rsidR="000E68B4" w:rsidRPr="00B87EA7">
              <w:rPr>
                <w:rFonts w:ascii="Arial Narrow" w:eastAsia="Calibri" w:hAnsi="Arial Narrow" w:cs="Times New Roman"/>
                <w:b/>
                <w:bCs/>
                <w:sz w:val="20"/>
                <w:szCs w:val="20"/>
                <w:lang w:val="en-US" w:eastAsia="en-US"/>
              </w:rPr>
              <w:t xml:space="preserve">International  media expert on </w:t>
            </w:r>
            <w:r w:rsidR="000E68B4" w:rsidRPr="00B87EA7">
              <w:rPr>
                <w:rFonts w:ascii="Arial Narrow" w:eastAsia="Calibri" w:hAnsi="Arial Narrow" w:cs="Times New Roman"/>
                <w:b/>
                <w:bCs/>
                <w:sz w:val="20"/>
                <w:szCs w:val="20"/>
                <w:lang w:val="en-US" w:eastAsia="en-US"/>
              </w:rPr>
              <w:lastRenderedPageBreak/>
              <w:t>Audiovisual Media Services</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F7AFDF3" w14:textId="54A4545A" w:rsidR="000E68B4" w:rsidRPr="00B87EA7" w:rsidRDefault="00B87EA7" w:rsidP="00AA1860">
            <w:pPr>
              <w:spacing w:before="60" w:after="60"/>
              <w:ind w:left="-142"/>
              <w:jc w:val="center"/>
              <w:rPr>
                <w:rFonts w:ascii="Arial Narrow" w:eastAsia="Calibri" w:hAnsi="Arial Narrow" w:cs="Times New Roman"/>
                <w:b/>
                <w:bCs/>
                <w:sz w:val="20"/>
                <w:szCs w:val="20"/>
                <w:lang w:val="en-US" w:eastAsia="en-US"/>
              </w:rPr>
            </w:pPr>
            <w:r w:rsidRPr="00B87EA7">
              <w:rPr>
                <w:rFonts w:ascii="Arial Narrow" w:eastAsia="Calibri" w:hAnsi="Arial Narrow" w:cs="Times New Roman"/>
                <w:b/>
                <w:bCs/>
                <w:sz w:val="20"/>
                <w:szCs w:val="20"/>
                <w:lang w:val="en-US" w:eastAsia="en-US"/>
              </w:rPr>
              <w:lastRenderedPageBreak/>
              <w:t>7</w:t>
            </w:r>
          </w:p>
        </w:tc>
      </w:tr>
      <w:tr w:rsidR="000E68B4" w:rsidRPr="00266255" w14:paraId="1D1228C4" w14:textId="77777777" w:rsidTr="00AA1860">
        <w:trPr>
          <w:trHeight w:val="420"/>
          <w:jc w:val="center"/>
        </w:trPr>
        <w:sdt>
          <w:sdtPr>
            <w:rPr>
              <w:rFonts w:ascii="Arial Narrow" w:eastAsia="Calibri" w:hAnsi="Arial Narrow" w:cs="Times New Roman"/>
              <w:bCs/>
              <w:sz w:val="36"/>
              <w:szCs w:val="36"/>
              <w:lang w:val="en-US" w:eastAsia="en-US"/>
            </w:rPr>
            <w:id w:val="-1479063068"/>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0A24DD" w14:textId="77777777" w:rsidR="000E68B4" w:rsidRDefault="000E68B4" w:rsidP="00AA1860">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34D892" w14:textId="774CC854" w:rsidR="000E68B4" w:rsidRPr="00B87EA7" w:rsidRDefault="00FE59E4" w:rsidP="00FE59E4">
            <w:pPr>
              <w:spacing w:before="60" w:after="60"/>
              <w:rPr>
                <w:rFonts w:ascii="Arial Narrow" w:eastAsia="Calibri" w:hAnsi="Arial Narrow" w:cs="Times New Roman"/>
                <w:b/>
                <w:bCs/>
                <w:sz w:val="20"/>
                <w:szCs w:val="20"/>
                <w:lang w:val="en-US" w:eastAsia="en-US"/>
              </w:rPr>
            </w:pPr>
            <w:r w:rsidRPr="00B87EA7">
              <w:rPr>
                <w:rFonts w:ascii="Arial Narrow" w:eastAsia="Calibri" w:hAnsi="Arial Narrow" w:cs="Times New Roman"/>
                <w:b/>
                <w:bCs/>
                <w:sz w:val="20"/>
                <w:szCs w:val="20"/>
                <w:lang w:val="en-US" w:eastAsia="en-US"/>
              </w:rPr>
              <w:t xml:space="preserve">Lot 3 - </w:t>
            </w:r>
            <w:r w:rsidR="000E68B4" w:rsidRPr="00B87EA7">
              <w:rPr>
                <w:rFonts w:ascii="Arial Narrow" w:eastAsia="Calibri" w:hAnsi="Arial Narrow" w:cs="Times New Roman"/>
                <w:b/>
                <w:bCs/>
                <w:sz w:val="20"/>
                <w:szCs w:val="20"/>
                <w:lang w:val="en-US" w:eastAsia="en-US"/>
              </w:rPr>
              <w:t>International  media expert on transparency of media financing</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F655246" w14:textId="6430A744" w:rsidR="000E68B4" w:rsidRPr="00B87EA7" w:rsidRDefault="00B87EA7" w:rsidP="00AA1860">
            <w:pPr>
              <w:spacing w:before="60" w:after="60"/>
              <w:ind w:left="-142"/>
              <w:jc w:val="center"/>
              <w:rPr>
                <w:rFonts w:ascii="Arial Narrow" w:eastAsia="Calibri" w:hAnsi="Arial Narrow" w:cs="Times New Roman"/>
                <w:b/>
                <w:bCs/>
                <w:sz w:val="20"/>
                <w:szCs w:val="20"/>
                <w:lang w:val="en-US" w:eastAsia="en-US"/>
              </w:rPr>
            </w:pPr>
            <w:r w:rsidRPr="00B87EA7">
              <w:rPr>
                <w:rFonts w:ascii="Arial Narrow" w:eastAsia="Calibri" w:hAnsi="Arial Narrow" w:cs="Times New Roman"/>
                <w:b/>
                <w:bCs/>
                <w:sz w:val="20"/>
                <w:szCs w:val="20"/>
                <w:lang w:val="en-US" w:eastAsia="en-US"/>
              </w:rPr>
              <w:t>4</w:t>
            </w:r>
          </w:p>
        </w:tc>
      </w:tr>
      <w:tr w:rsidR="000E68B4" w:rsidRPr="00266255" w14:paraId="04C4AC23" w14:textId="77777777" w:rsidTr="00AA1860">
        <w:trPr>
          <w:trHeight w:val="420"/>
          <w:jc w:val="center"/>
        </w:trPr>
        <w:sdt>
          <w:sdtPr>
            <w:rPr>
              <w:rFonts w:ascii="Arial Narrow" w:eastAsia="Calibri" w:hAnsi="Arial Narrow" w:cs="Times New Roman"/>
              <w:bCs/>
              <w:sz w:val="36"/>
              <w:szCs w:val="36"/>
              <w:lang w:val="en-US" w:eastAsia="en-US"/>
            </w:rPr>
            <w:id w:val="-83167682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B298E1" w14:textId="77777777" w:rsidR="000E68B4" w:rsidRDefault="000E68B4" w:rsidP="00AA1860">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A9FD9FC" w14:textId="57AE46BC" w:rsidR="000E68B4" w:rsidRPr="00B87EA7" w:rsidRDefault="00FE59E4" w:rsidP="00FE59E4">
            <w:pPr>
              <w:spacing w:before="60" w:after="60"/>
              <w:rPr>
                <w:rFonts w:ascii="Arial Narrow" w:eastAsia="Calibri" w:hAnsi="Arial Narrow" w:cs="Times New Roman"/>
                <w:b/>
                <w:bCs/>
                <w:sz w:val="20"/>
                <w:szCs w:val="20"/>
                <w:lang w:val="en-US" w:eastAsia="en-US"/>
              </w:rPr>
            </w:pPr>
            <w:r w:rsidRPr="00B87EA7">
              <w:rPr>
                <w:rFonts w:ascii="Arial Narrow" w:eastAsia="Calibri" w:hAnsi="Arial Narrow" w:cs="Times New Roman"/>
                <w:b/>
                <w:bCs/>
                <w:sz w:val="20"/>
                <w:szCs w:val="20"/>
                <w:lang w:val="en-US" w:eastAsia="en-US"/>
              </w:rPr>
              <w:t xml:space="preserve">Lot 4 - </w:t>
            </w:r>
            <w:r w:rsidR="000E68B4" w:rsidRPr="00B87EA7">
              <w:rPr>
                <w:rFonts w:ascii="Arial Narrow" w:eastAsia="Calibri" w:hAnsi="Arial Narrow" w:cs="Times New Roman"/>
                <w:b/>
                <w:bCs/>
                <w:sz w:val="20"/>
                <w:szCs w:val="20"/>
                <w:lang w:val="en-US" w:eastAsia="en-US"/>
              </w:rPr>
              <w:t>International  expert on community media</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17A881D" w14:textId="57C4C70E" w:rsidR="000E68B4" w:rsidRPr="00B87EA7" w:rsidRDefault="00B87EA7" w:rsidP="00AA1860">
            <w:pPr>
              <w:spacing w:before="60" w:after="60"/>
              <w:ind w:left="-142"/>
              <w:jc w:val="center"/>
              <w:rPr>
                <w:rFonts w:ascii="Arial Narrow" w:eastAsia="Calibri" w:hAnsi="Arial Narrow" w:cs="Times New Roman"/>
                <w:b/>
                <w:bCs/>
                <w:sz w:val="20"/>
                <w:szCs w:val="20"/>
                <w:lang w:val="en-US" w:eastAsia="en-US"/>
              </w:rPr>
            </w:pPr>
            <w:r w:rsidRPr="00B87EA7">
              <w:rPr>
                <w:rFonts w:ascii="Arial Narrow" w:eastAsia="Calibri" w:hAnsi="Arial Narrow" w:cs="Times New Roman"/>
                <w:b/>
                <w:bCs/>
                <w:sz w:val="20"/>
                <w:szCs w:val="20"/>
                <w:lang w:val="en-US" w:eastAsia="en-US"/>
              </w:rPr>
              <w:t>5</w:t>
            </w:r>
          </w:p>
        </w:tc>
      </w:tr>
      <w:tr w:rsidR="00FE59E4" w:rsidRPr="00266255" w14:paraId="103B0990" w14:textId="77777777" w:rsidTr="00AA1860">
        <w:trPr>
          <w:trHeight w:val="420"/>
          <w:jc w:val="center"/>
        </w:trPr>
        <w:sdt>
          <w:sdtPr>
            <w:rPr>
              <w:rFonts w:ascii="Arial Narrow" w:eastAsia="Calibri" w:hAnsi="Arial Narrow" w:cs="Times New Roman"/>
              <w:bCs/>
              <w:sz w:val="36"/>
              <w:szCs w:val="36"/>
              <w:lang w:val="en-US" w:eastAsia="en-US"/>
            </w:rPr>
            <w:id w:val="-57798216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CD4E03" w14:textId="6B24CB0A" w:rsidR="00FE59E4" w:rsidRDefault="00FE59E4" w:rsidP="00AA1860">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636773E" w14:textId="53DC7CAD" w:rsidR="00FE59E4" w:rsidRPr="00B87EA7" w:rsidRDefault="00FE59E4" w:rsidP="00FE59E4">
            <w:pPr>
              <w:spacing w:before="60" w:after="60"/>
              <w:rPr>
                <w:rFonts w:ascii="Arial Narrow" w:eastAsia="Calibri" w:hAnsi="Arial Narrow" w:cs="Times New Roman"/>
                <w:b/>
                <w:bCs/>
                <w:sz w:val="20"/>
                <w:szCs w:val="20"/>
                <w:lang w:val="en-US" w:eastAsia="en-US"/>
              </w:rPr>
            </w:pPr>
            <w:r w:rsidRPr="00B87EA7">
              <w:rPr>
                <w:rFonts w:ascii="Arial Narrow" w:eastAsia="Calibri" w:hAnsi="Arial Narrow" w:cs="Times New Roman"/>
                <w:b/>
                <w:bCs/>
                <w:sz w:val="20"/>
                <w:szCs w:val="20"/>
                <w:lang w:val="en-US" w:eastAsia="en-US"/>
              </w:rPr>
              <w:t>Lot 5 - International expert on gender in media</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2898188" w14:textId="0EADCDD3" w:rsidR="00FE59E4" w:rsidRPr="00B87EA7" w:rsidRDefault="00B87EA7" w:rsidP="00AA1860">
            <w:pPr>
              <w:spacing w:before="60" w:after="60"/>
              <w:ind w:left="-142"/>
              <w:jc w:val="center"/>
              <w:rPr>
                <w:rFonts w:ascii="Arial Narrow" w:eastAsia="Calibri" w:hAnsi="Arial Narrow" w:cs="Times New Roman"/>
                <w:b/>
                <w:bCs/>
                <w:sz w:val="20"/>
                <w:szCs w:val="20"/>
                <w:lang w:val="en-US" w:eastAsia="en-US"/>
              </w:rPr>
            </w:pPr>
            <w:r w:rsidRPr="00B87EA7">
              <w:rPr>
                <w:rFonts w:ascii="Arial Narrow" w:eastAsia="Calibri" w:hAnsi="Arial Narrow" w:cs="Times New Roman"/>
                <w:b/>
                <w:bCs/>
                <w:sz w:val="20"/>
                <w:szCs w:val="20"/>
                <w:lang w:val="en-US" w:eastAsia="en-US"/>
              </w:rPr>
              <w:t>4</w:t>
            </w:r>
          </w:p>
        </w:tc>
      </w:tr>
      <w:tr w:rsidR="00FE59E4" w:rsidRPr="00266255" w14:paraId="753AC95D" w14:textId="77777777" w:rsidTr="00AA1860">
        <w:trPr>
          <w:trHeight w:val="420"/>
          <w:jc w:val="center"/>
        </w:trPr>
        <w:sdt>
          <w:sdtPr>
            <w:rPr>
              <w:rFonts w:ascii="Arial Narrow" w:eastAsia="Calibri" w:hAnsi="Arial Narrow" w:cs="Times New Roman"/>
              <w:bCs/>
              <w:sz w:val="36"/>
              <w:szCs w:val="36"/>
              <w:lang w:val="en-US" w:eastAsia="en-US"/>
            </w:rPr>
            <w:id w:val="-820745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78CF58" w14:textId="49E19312" w:rsidR="00FE59E4" w:rsidRDefault="00FE59E4" w:rsidP="00AA1860">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6B7578E" w14:textId="6021BAE3" w:rsidR="00FE59E4" w:rsidRPr="00B87EA7" w:rsidRDefault="00FE59E4" w:rsidP="00FE59E4">
            <w:pPr>
              <w:spacing w:before="60" w:after="60"/>
              <w:rPr>
                <w:rFonts w:ascii="Arial Narrow" w:eastAsia="Calibri" w:hAnsi="Arial Narrow" w:cs="Times New Roman"/>
                <w:b/>
                <w:bCs/>
                <w:sz w:val="20"/>
                <w:szCs w:val="20"/>
                <w:lang w:val="en-US" w:eastAsia="en-US"/>
              </w:rPr>
            </w:pPr>
            <w:r w:rsidRPr="00B87EA7">
              <w:rPr>
                <w:rFonts w:ascii="Arial Narrow" w:eastAsia="Calibri" w:hAnsi="Arial Narrow" w:cs="Times New Roman"/>
                <w:b/>
                <w:bCs/>
                <w:sz w:val="20"/>
                <w:szCs w:val="20"/>
                <w:lang w:val="en-US" w:eastAsia="en-US"/>
              </w:rPr>
              <w:t xml:space="preserve">Lot 6 - International  media expert on </w:t>
            </w:r>
            <w:proofErr w:type="spellStart"/>
            <w:r w:rsidRPr="00B87EA7">
              <w:rPr>
                <w:rFonts w:ascii="Arial Narrow" w:eastAsia="Calibri" w:hAnsi="Arial Narrow" w:cs="Times New Roman"/>
                <w:b/>
                <w:bCs/>
                <w:sz w:val="20"/>
                <w:szCs w:val="20"/>
                <w:lang w:val="en-US" w:eastAsia="en-US"/>
              </w:rPr>
              <w:t>destatization</w:t>
            </w:r>
            <w:proofErr w:type="spellEnd"/>
            <w:r w:rsidRPr="00B87EA7">
              <w:rPr>
                <w:rFonts w:ascii="Arial Narrow" w:eastAsia="Calibri" w:hAnsi="Arial Narrow" w:cs="Times New Roman"/>
                <w:b/>
                <w:bCs/>
                <w:sz w:val="20"/>
                <w:szCs w:val="20"/>
                <w:lang w:val="en-US" w:eastAsia="en-US"/>
              </w:rPr>
              <w:t xml:space="preserve"> of media</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2A6D4B4" w14:textId="06A2BD10" w:rsidR="00FE59E4" w:rsidRPr="00B87EA7" w:rsidRDefault="009613AA" w:rsidP="00AA1860">
            <w:pPr>
              <w:spacing w:before="60" w:after="60"/>
              <w:ind w:left="-142"/>
              <w:jc w:val="center"/>
              <w:rPr>
                <w:rFonts w:ascii="Arial Narrow" w:eastAsia="Calibri" w:hAnsi="Arial Narrow" w:cs="Times New Roman"/>
                <w:b/>
                <w:bCs/>
                <w:sz w:val="20"/>
                <w:szCs w:val="20"/>
                <w:lang w:val="en-US" w:eastAsia="en-US"/>
              </w:rPr>
            </w:pPr>
            <w:r w:rsidRPr="00B87EA7">
              <w:rPr>
                <w:rFonts w:ascii="Arial Narrow" w:eastAsia="Calibri" w:hAnsi="Arial Narrow" w:cs="Times New Roman"/>
                <w:b/>
                <w:bCs/>
                <w:sz w:val="20"/>
                <w:szCs w:val="20"/>
                <w:lang w:val="en-US" w:eastAsia="en-US"/>
              </w:rPr>
              <w:t>5</w:t>
            </w:r>
          </w:p>
        </w:tc>
      </w:tr>
      <w:tr w:rsidR="00FE59E4" w:rsidRPr="00266255" w14:paraId="29C436A6" w14:textId="77777777" w:rsidTr="00AA1860">
        <w:trPr>
          <w:trHeight w:val="420"/>
          <w:jc w:val="center"/>
        </w:trPr>
        <w:sdt>
          <w:sdtPr>
            <w:rPr>
              <w:rFonts w:ascii="Arial Narrow" w:eastAsia="Calibri" w:hAnsi="Arial Narrow" w:cs="Times New Roman"/>
              <w:bCs/>
              <w:sz w:val="36"/>
              <w:szCs w:val="36"/>
              <w:lang w:val="en-US" w:eastAsia="en-US"/>
            </w:rPr>
            <w:id w:val="-609750378"/>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8F8ECF" w14:textId="70486E71" w:rsidR="00FE59E4" w:rsidRDefault="00FE59E4" w:rsidP="00AA1860">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56671AA" w14:textId="65934E67" w:rsidR="00FE59E4" w:rsidRPr="00B87EA7" w:rsidRDefault="00FE59E4" w:rsidP="00FE59E4">
            <w:pPr>
              <w:spacing w:before="60" w:after="60"/>
              <w:rPr>
                <w:rFonts w:ascii="Arial Narrow" w:eastAsia="Calibri" w:hAnsi="Arial Narrow" w:cs="Times New Roman"/>
                <w:b/>
                <w:bCs/>
                <w:sz w:val="20"/>
                <w:szCs w:val="20"/>
                <w:lang w:val="en-US" w:eastAsia="en-US"/>
              </w:rPr>
            </w:pPr>
            <w:r w:rsidRPr="00B87EA7">
              <w:rPr>
                <w:rFonts w:ascii="Arial Narrow" w:eastAsia="Calibri" w:hAnsi="Arial Narrow" w:cs="Times New Roman"/>
                <w:b/>
                <w:bCs/>
                <w:sz w:val="20"/>
                <w:szCs w:val="20"/>
                <w:lang w:val="en-US" w:eastAsia="en-US"/>
              </w:rPr>
              <w:t>Lot 7 - International  expert on media standards</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6237820" w14:textId="4E165BBC" w:rsidR="00FE59E4" w:rsidRPr="00B87EA7" w:rsidRDefault="00B87EA7" w:rsidP="00AA1860">
            <w:pPr>
              <w:spacing w:before="60" w:after="60"/>
              <w:ind w:left="-142"/>
              <w:jc w:val="center"/>
              <w:rPr>
                <w:rFonts w:ascii="Arial Narrow" w:eastAsia="Calibri" w:hAnsi="Arial Narrow" w:cs="Times New Roman"/>
                <w:b/>
                <w:bCs/>
                <w:sz w:val="20"/>
                <w:szCs w:val="20"/>
                <w:lang w:val="en-US" w:eastAsia="en-US"/>
              </w:rPr>
            </w:pPr>
            <w:r w:rsidRPr="00B87EA7">
              <w:rPr>
                <w:rFonts w:ascii="Arial Narrow" w:eastAsia="Calibri" w:hAnsi="Arial Narrow" w:cs="Times New Roman"/>
                <w:b/>
                <w:bCs/>
                <w:sz w:val="20"/>
                <w:szCs w:val="20"/>
                <w:lang w:val="en-US" w:eastAsia="en-US"/>
              </w:rPr>
              <w:t>5</w:t>
            </w:r>
          </w:p>
        </w:tc>
      </w:tr>
    </w:tbl>
    <w:p w14:paraId="4C257B00" w14:textId="77777777" w:rsidR="000E68B4" w:rsidRDefault="000E68B4" w:rsidP="000E68B4">
      <w:pPr>
        <w:spacing w:line="276" w:lineRule="auto"/>
        <w:ind w:left="-142"/>
        <w:jc w:val="both"/>
        <w:rPr>
          <w:rFonts w:ascii="Arial Narrow" w:hAnsi="Arial Narrow"/>
          <w:sz w:val="20"/>
          <w:szCs w:val="20"/>
          <w:highlight w:val="cyan"/>
        </w:rPr>
      </w:pPr>
    </w:p>
    <w:p w14:paraId="53672B0B" w14:textId="77777777" w:rsidR="000E68B4" w:rsidRDefault="000E68B4" w:rsidP="000E68B4">
      <w:pPr>
        <w:spacing w:line="276" w:lineRule="auto"/>
        <w:ind w:left="-142"/>
        <w:jc w:val="both"/>
        <w:rPr>
          <w:rFonts w:ascii="Arial Narrow" w:hAnsi="Arial Narrow"/>
          <w:sz w:val="20"/>
          <w:szCs w:val="20"/>
          <w:highlight w:val="cyan"/>
        </w:rPr>
      </w:pPr>
    </w:p>
    <w:p w14:paraId="37EB188B" w14:textId="77777777" w:rsidR="000E68B4" w:rsidRPr="000E68B4" w:rsidRDefault="000E68B4" w:rsidP="000E68B4">
      <w:pPr>
        <w:spacing w:line="276" w:lineRule="auto"/>
        <w:ind w:left="-142"/>
        <w:jc w:val="both"/>
        <w:rPr>
          <w:rFonts w:ascii="Arial Narrow" w:hAnsi="Arial Narrow"/>
          <w:sz w:val="20"/>
          <w:szCs w:val="20"/>
          <w:highlight w:val="cyan"/>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0A0AEAFF" w14:textId="2B69927B" w:rsidR="003F5BE6" w:rsidRPr="008A60B7" w:rsidRDefault="00FE59E4" w:rsidP="003F5BE6">
      <w:pPr>
        <w:spacing w:line="276" w:lineRule="auto"/>
        <w:ind w:left="-142"/>
        <w:jc w:val="both"/>
        <w:rPr>
          <w:rFonts w:ascii="Arial Narrow" w:hAnsi="Arial Narrow"/>
          <w:sz w:val="20"/>
          <w:szCs w:val="20"/>
        </w:rPr>
      </w:pPr>
      <w:r w:rsidRPr="00FE59E4">
        <w:rPr>
          <w:rFonts w:ascii="Arial Narrow" w:hAnsi="Arial Narrow"/>
          <w:sz w:val="20"/>
          <w:szCs w:val="20"/>
        </w:rPr>
        <w:t xml:space="preserve">The fees indicated below will be applicable throughout the duration of the Framework Contract. Prices are indicated in Euros without VAT. For the VAT regime to be mentioned on the invoice(s), please refer to Article 4.2 of the Legal Conditions (See Section C. below). Prices </w:t>
      </w:r>
      <w:r w:rsidRPr="008A60B7">
        <w:rPr>
          <w:rFonts w:ascii="Arial Narrow" w:hAnsi="Arial Narrow"/>
          <w:sz w:val="20"/>
          <w:szCs w:val="20"/>
        </w:rPr>
        <w:t xml:space="preserve">are indicated in Euros without VAT. </w:t>
      </w:r>
    </w:p>
    <w:p w14:paraId="0C253621" w14:textId="77777777" w:rsidR="00FE59E4" w:rsidRPr="008A60B7" w:rsidRDefault="00FE59E4" w:rsidP="003F5BE6">
      <w:pPr>
        <w:spacing w:line="276" w:lineRule="auto"/>
        <w:ind w:left="-142"/>
        <w:jc w:val="both"/>
        <w:rPr>
          <w:rFonts w:ascii="Arial Narrow" w:hAnsi="Arial Narrow"/>
          <w:sz w:val="20"/>
          <w:szCs w:val="20"/>
        </w:rPr>
      </w:pPr>
    </w:p>
    <w:p w14:paraId="5FE5FADF" w14:textId="77777777" w:rsidR="003F5BE6" w:rsidRPr="008A60B7"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8A60B7">
        <w:rPr>
          <w:rFonts w:ascii="Arial Narrow" w:hAnsi="Arial Narrow"/>
          <w:color w:val="FF0000"/>
          <w:sz w:val="20"/>
          <w:szCs w:val="20"/>
        </w:rPr>
        <w:t xml:space="preserve">The Provider shall indicate its proposed fee(s) in the </w:t>
      </w:r>
      <w:proofErr w:type="gramStart"/>
      <w:r w:rsidRPr="008A60B7">
        <w:rPr>
          <w:rFonts w:ascii="Arial Narrow" w:hAnsi="Arial Narrow"/>
          <w:color w:val="FF0000"/>
          <w:sz w:val="20"/>
          <w:szCs w:val="20"/>
        </w:rPr>
        <w:t>box(</w:t>
      </w:r>
      <w:proofErr w:type="spellStart"/>
      <w:proofErr w:type="gramEnd"/>
      <w:r w:rsidRPr="008A60B7">
        <w:rPr>
          <w:rFonts w:ascii="Arial Narrow" w:hAnsi="Arial Narrow"/>
          <w:color w:val="FF0000"/>
          <w:sz w:val="20"/>
          <w:szCs w:val="20"/>
        </w:rPr>
        <w:t>es</w:t>
      </w:r>
      <w:proofErr w:type="spellEnd"/>
      <w:r w:rsidRPr="008A60B7">
        <w:rPr>
          <w:rFonts w:ascii="Arial Narrow" w:hAnsi="Arial Narrow"/>
          <w:color w:val="FF0000"/>
          <w:sz w:val="20"/>
          <w:szCs w:val="20"/>
        </w:rPr>
        <w:t>) below.</w:t>
      </w:r>
    </w:p>
    <w:p w14:paraId="14D62CBC" w14:textId="77777777" w:rsidR="003F5BE6" w:rsidRPr="008A60B7" w:rsidRDefault="003F5BE6" w:rsidP="003F5BE6">
      <w:pPr>
        <w:spacing w:line="276" w:lineRule="auto"/>
        <w:ind w:left="-142"/>
        <w:jc w:val="both"/>
        <w:rPr>
          <w:rFonts w:ascii="Arial Narrow" w:hAnsi="Arial Narrow"/>
          <w:sz w:val="18"/>
          <w:szCs w:val="18"/>
          <w:lang w:eastAsia="en-US"/>
        </w:rPr>
      </w:pPr>
      <w:r w:rsidRPr="008A60B7">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tblGrid>
      <w:tr w:rsidR="00F82F91" w:rsidRPr="008A60B7" w14:paraId="2585E0D7" w14:textId="77777777" w:rsidTr="00F82F91">
        <w:trPr>
          <w:trHeight w:val="688"/>
        </w:trPr>
        <w:tc>
          <w:tcPr>
            <w:tcW w:w="7738" w:type="dxa"/>
            <w:shd w:val="clear" w:color="auto" w:fill="DBE5F1" w:themeFill="accent1" w:themeFillTint="33"/>
            <w:vAlign w:val="center"/>
          </w:tcPr>
          <w:p w14:paraId="777ED51A" w14:textId="6BF7F2F1" w:rsidR="00F82F91" w:rsidRPr="008A60B7" w:rsidRDefault="00F82F91" w:rsidP="003F5BE6">
            <w:pPr>
              <w:tabs>
                <w:tab w:val="left" w:pos="0"/>
              </w:tabs>
              <w:spacing w:line="276" w:lineRule="auto"/>
              <w:ind w:left="-142"/>
              <w:jc w:val="center"/>
              <w:rPr>
                <w:rFonts w:ascii="Arial Narrow" w:hAnsi="Arial Narrow"/>
                <w:b/>
                <w:sz w:val="18"/>
                <w:szCs w:val="18"/>
                <w:lang w:eastAsia="en-US"/>
              </w:rPr>
            </w:pPr>
            <w:r w:rsidRPr="008A60B7">
              <w:rPr>
                <w:rFonts w:ascii="Arial Narrow" w:hAnsi="Arial Narrow"/>
                <w:b/>
                <w:sz w:val="18"/>
                <w:szCs w:val="18"/>
                <w:lang w:eastAsia="en-US"/>
              </w:rPr>
              <w:t>LOT 1 - Type(s) of Units  ▼</w:t>
            </w:r>
          </w:p>
        </w:tc>
        <w:tc>
          <w:tcPr>
            <w:tcW w:w="1359" w:type="dxa"/>
            <w:tcBorders>
              <w:bottom w:val="single" w:sz="2" w:space="0" w:color="FF0000"/>
            </w:tcBorders>
            <w:shd w:val="clear" w:color="auto" w:fill="DBE5F1" w:themeFill="accent1" w:themeFillTint="33"/>
            <w:vAlign w:val="center"/>
          </w:tcPr>
          <w:p w14:paraId="57C2381C" w14:textId="77777777" w:rsidR="00F82F91" w:rsidRPr="008A60B7" w:rsidRDefault="00F82F91" w:rsidP="00A4459E">
            <w:pPr>
              <w:spacing w:line="276" w:lineRule="auto"/>
              <w:ind w:left="-142" w:right="-84"/>
              <w:jc w:val="center"/>
              <w:rPr>
                <w:rFonts w:ascii="Arial Narrow" w:hAnsi="Arial Narrow"/>
                <w:b/>
                <w:sz w:val="18"/>
                <w:szCs w:val="18"/>
                <w:lang w:eastAsia="en-US"/>
              </w:rPr>
            </w:pPr>
            <w:r w:rsidRPr="008A60B7">
              <w:rPr>
                <w:rFonts w:ascii="Arial Narrow" w:hAnsi="Arial Narrow"/>
                <w:b/>
                <w:sz w:val="18"/>
                <w:szCs w:val="18"/>
                <w:lang w:eastAsia="en-US"/>
              </w:rPr>
              <w:t>Unit fee</w:t>
            </w:r>
          </w:p>
          <w:p w14:paraId="50EF7924" w14:textId="77777777" w:rsidR="00F82F91" w:rsidRPr="008A60B7" w:rsidRDefault="00F82F91" w:rsidP="003F5BE6">
            <w:pPr>
              <w:spacing w:line="276" w:lineRule="auto"/>
              <w:ind w:left="-142" w:right="-219"/>
              <w:jc w:val="center"/>
              <w:rPr>
                <w:rFonts w:ascii="Arial Narrow" w:hAnsi="Arial Narrow"/>
                <w:b/>
                <w:sz w:val="18"/>
                <w:szCs w:val="18"/>
                <w:lang w:eastAsia="en-US"/>
              </w:rPr>
            </w:pPr>
            <w:r w:rsidRPr="008A60B7">
              <w:rPr>
                <w:rFonts w:ascii="Arial Narrow" w:hAnsi="Arial Narrow"/>
                <w:b/>
                <w:sz w:val="18"/>
                <w:szCs w:val="18"/>
                <w:lang w:eastAsia="en-US"/>
              </w:rPr>
              <w:t>▼</w:t>
            </w:r>
          </w:p>
        </w:tc>
      </w:tr>
      <w:tr w:rsidR="00F82F91" w:rsidRPr="008A60B7" w14:paraId="0934CAF9" w14:textId="77777777" w:rsidTr="00F82F91">
        <w:trPr>
          <w:trHeight w:val="374"/>
        </w:trPr>
        <w:tc>
          <w:tcPr>
            <w:tcW w:w="7738" w:type="dxa"/>
            <w:tcBorders>
              <w:right w:val="single" w:sz="2" w:space="0" w:color="FF0000"/>
            </w:tcBorders>
            <w:shd w:val="clear" w:color="auto" w:fill="F2F2F2" w:themeFill="background1" w:themeFillShade="F2"/>
            <w:vAlign w:val="center"/>
          </w:tcPr>
          <w:p w14:paraId="1C0F6835" w14:textId="4422B634" w:rsidR="00F82F91" w:rsidRPr="008A60B7" w:rsidRDefault="00F82F91" w:rsidP="003F5BE6">
            <w:pPr>
              <w:spacing w:line="276" w:lineRule="auto"/>
              <w:ind w:left="34"/>
              <w:rPr>
                <w:rFonts w:ascii="Arial Narrow" w:hAnsi="Arial Narrow"/>
                <w:sz w:val="18"/>
                <w:szCs w:val="18"/>
                <w:lang w:eastAsia="en-US"/>
              </w:rPr>
            </w:pPr>
            <w:r w:rsidRPr="008A60B7">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F82F91" w:rsidRPr="008A60B7" w:rsidRDefault="00F82F91" w:rsidP="003F5BE6">
            <w:pPr>
              <w:spacing w:line="276" w:lineRule="auto"/>
              <w:ind w:left="-142" w:right="-91"/>
              <w:jc w:val="center"/>
              <w:rPr>
                <w:rFonts w:ascii="Arial Narrow" w:hAnsi="Arial Narrow"/>
                <w:sz w:val="18"/>
                <w:szCs w:val="18"/>
                <w:lang w:eastAsia="en-US"/>
              </w:rPr>
            </w:pPr>
          </w:p>
        </w:tc>
      </w:tr>
    </w:tbl>
    <w:p w14:paraId="495B554D" w14:textId="77777777" w:rsidR="003F5BE6" w:rsidRPr="008A60B7"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8A60B7" w14:paraId="47229172" w14:textId="77777777" w:rsidTr="00352519">
        <w:tc>
          <w:tcPr>
            <w:tcW w:w="8824" w:type="dxa"/>
            <w:shd w:val="clear" w:color="auto" w:fill="DBE5F1" w:themeFill="accent1" w:themeFillTint="33"/>
            <w:vAlign w:val="center"/>
          </w:tcPr>
          <w:p w14:paraId="37EACEB2" w14:textId="77777777" w:rsidR="00352519" w:rsidRPr="008A60B7" w:rsidRDefault="00352519" w:rsidP="007F5119">
            <w:pPr>
              <w:spacing w:before="120" w:after="120"/>
              <w:rPr>
                <w:rFonts w:ascii="Arial Narrow" w:hAnsi="Arial Narrow"/>
                <w:sz w:val="20"/>
                <w:szCs w:val="20"/>
              </w:rPr>
            </w:pPr>
            <w:r w:rsidRPr="008A60B7">
              <w:rPr>
                <w:rFonts w:ascii="Arial Narrow" w:hAnsi="Arial Narrow"/>
                <w:sz w:val="20"/>
                <w:szCs w:val="20"/>
              </w:rPr>
              <w:t>This Framework Contract</w:t>
            </w:r>
            <w:r w:rsidRPr="008A60B7">
              <w:rPr>
                <w:rFonts w:ascii="Arial Narrow" w:eastAsia="Calibri" w:hAnsi="Arial Narrow" w:cs="Times New Roman"/>
                <w:sz w:val="20"/>
                <w:szCs w:val="20"/>
                <w:lang w:val="en-US" w:eastAsia="en-US"/>
              </w:rPr>
              <w:t xml:space="preserve"> for this lot takes effect as from the date of its signature by both parties</w:t>
            </w:r>
            <w:r w:rsidRPr="008A60B7">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8-12-31T00:00:00Z">
                <w:dateFormat w:val="dd/MM/yyyy"/>
                <w:lid w:val="fr-FR"/>
                <w:storeMappedDataAs w:val="dateTime"/>
                <w:calendar w:val="gregorian"/>
              </w:date>
            </w:sdtPr>
            <w:sdtEndPr>
              <w:rPr>
                <w:rStyle w:val="Style71"/>
              </w:rPr>
            </w:sdtEndPr>
            <w:sdtContent>
              <w:p w14:paraId="46084A98" w14:textId="7B0AA5B4" w:rsidR="00352519" w:rsidRPr="008A60B7" w:rsidRDefault="00F82F91" w:rsidP="00F82F91">
                <w:pPr>
                  <w:spacing w:before="120" w:after="120"/>
                  <w:rPr>
                    <w:rFonts w:ascii="Arial Narrow" w:hAnsi="Arial Narrow"/>
                    <w:sz w:val="20"/>
                    <w:szCs w:val="20"/>
                  </w:rPr>
                </w:pPr>
                <w:r w:rsidRPr="008A60B7">
                  <w:rPr>
                    <w:rStyle w:val="Style71"/>
                    <w:szCs w:val="20"/>
                    <w:lang w:val="fr-FR"/>
                  </w:rPr>
                  <w:t>31/12/2018</w:t>
                </w:r>
              </w:p>
            </w:sdtContent>
          </w:sdt>
        </w:tc>
      </w:tr>
    </w:tbl>
    <w:p w14:paraId="229B286B" w14:textId="77777777" w:rsidR="003F5BE6" w:rsidRPr="008A60B7" w:rsidRDefault="003F5BE6" w:rsidP="003F5BE6">
      <w:pPr>
        <w:spacing w:line="276" w:lineRule="auto"/>
        <w:ind w:left="-142"/>
        <w:jc w:val="both"/>
        <w:rPr>
          <w:rFonts w:ascii="Arial Narrow" w:hAnsi="Arial Narrow"/>
          <w:sz w:val="18"/>
          <w:szCs w:val="18"/>
          <w:lang w:eastAsia="en-US"/>
        </w:rPr>
      </w:pP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tblGrid>
      <w:tr w:rsidR="00F82F91" w:rsidRPr="008A60B7" w14:paraId="39BFA901" w14:textId="77777777" w:rsidTr="00AA1860">
        <w:trPr>
          <w:trHeight w:val="688"/>
        </w:trPr>
        <w:tc>
          <w:tcPr>
            <w:tcW w:w="7738" w:type="dxa"/>
            <w:shd w:val="clear" w:color="auto" w:fill="DBE5F1" w:themeFill="accent1" w:themeFillTint="33"/>
            <w:vAlign w:val="center"/>
          </w:tcPr>
          <w:p w14:paraId="1FAFCB97" w14:textId="48E704CD" w:rsidR="00F82F91" w:rsidRPr="008A60B7" w:rsidRDefault="00F82F91" w:rsidP="00F82F91">
            <w:pPr>
              <w:tabs>
                <w:tab w:val="left" w:pos="0"/>
              </w:tabs>
              <w:spacing w:line="276" w:lineRule="auto"/>
              <w:ind w:left="-142"/>
              <w:jc w:val="center"/>
              <w:rPr>
                <w:rFonts w:ascii="Arial Narrow" w:hAnsi="Arial Narrow"/>
                <w:b/>
                <w:sz w:val="18"/>
                <w:szCs w:val="18"/>
                <w:lang w:eastAsia="en-US"/>
              </w:rPr>
            </w:pPr>
            <w:r w:rsidRPr="008A60B7">
              <w:rPr>
                <w:rFonts w:ascii="Arial Narrow" w:hAnsi="Arial Narrow"/>
                <w:b/>
                <w:sz w:val="18"/>
                <w:szCs w:val="18"/>
                <w:lang w:eastAsia="en-US"/>
              </w:rPr>
              <w:t>LOT 2 - Type(s) of Units  ▼</w:t>
            </w:r>
          </w:p>
        </w:tc>
        <w:tc>
          <w:tcPr>
            <w:tcW w:w="1359" w:type="dxa"/>
            <w:tcBorders>
              <w:bottom w:val="single" w:sz="2" w:space="0" w:color="FF0000"/>
            </w:tcBorders>
            <w:shd w:val="clear" w:color="auto" w:fill="DBE5F1" w:themeFill="accent1" w:themeFillTint="33"/>
            <w:vAlign w:val="center"/>
          </w:tcPr>
          <w:p w14:paraId="36221102" w14:textId="77777777" w:rsidR="00F82F91" w:rsidRPr="008A60B7" w:rsidRDefault="00F82F91" w:rsidP="00AA1860">
            <w:pPr>
              <w:spacing w:line="276" w:lineRule="auto"/>
              <w:ind w:left="-142" w:right="-84"/>
              <w:jc w:val="center"/>
              <w:rPr>
                <w:rFonts w:ascii="Arial Narrow" w:hAnsi="Arial Narrow"/>
                <w:b/>
                <w:sz w:val="18"/>
                <w:szCs w:val="18"/>
                <w:lang w:eastAsia="en-US"/>
              </w:rPr>
            </w:pPr>
            <w:r w:rsidRPr="008A60B7">
              <w:rPr>
                <w:rFonts w:ascii="Arial Narrow" w:hAnsi="Arial Narrow"/>
                <w:b/>
                <w:sz w:val="18"/>
                <w:szCs w:val="18"/>
                <w:lang w:eastAsia="en-US"/>
              </w:rPr>
              <w:t>Unit fee</w:t>
            </w:r>
          </w:p>
          <w:p w14:paraId="53F3598F" w14:textId="77777777" w:rsidR="00F82F91" w:rsidRPr="008A60B7" w:rsidRDefault="00F82F91" w:rsidP="00AA1860">
            <w:pPr>
              <w:spacing w:line="276" w:lineRule="auto"/>
              <w:ind w:left="-142" w:right="-219"/>
              <w:jc w:val="center"/>
              <w:rPr>
                <w:rFonts w:ascii="Arial Narrow" w:hAnsi="Arial Narrow"/>
                <w:b/>
                <w:sz w:val="18"/>
                <w:szCs w:val="18"/>
                <w:lang w:eastAsia="en-US"/>
              </w:rPr>
            </w:pPr>
            <w:r w:rsidRPr="008A60B7">
              <w:rPr>
                <w:rFonts w:ascii="Arial Narrow" w:hAnsi="Arial Narrow"/>
                <w:b/>
                <w:sz w:val="18"/>
                <w:szCs w:val="18"/>
                <w:lang w:eastAsia="en-US"/>
              </w:rPr>
              <w:t>▼</w:t>
            </w:r>
          </w:p>
        </w:tc>
      </w:tr>
      <w:tr w:rsidR="00F82F91" w:rsidRPr="008A60B7" w14:paraId="757E2C98" w14:textId="77777777" w:rsidTr="00AA1860">
        <w:trPr>
          <w:trHeight w:val="374"/>
        </w:trPr>
        <w:tc>
          <w:tcPr>
            <w:tcW w:w="7738" w:type="dxa"/>
            <w:tcBorders>
              <w:right w:val="single" w:sz="2" w:space="0" w:color="FF0000"/>
            </w:tcBorders>
            <w:shd w:val="clear" w:color="auto" w:fill="F2F2F2" w:themeFill="background1" w:themeFillShade="F2"/>
            <w:vAlign w:val="center"/>
          </w:tcPr>
          <w:p w14:paraId="08C34DFA" w14:textId="77777777" w:rsidR="00F82F91" w:rsidRPr="008A60B7" w:rsidRDefault="00F82F91" w:rsidP="00AA1860">
            <w:pPr>
              <w:spacing w:line="276" w:lineRule="auto"/>
              <w:ind w:left="34"/>
              <w:rPr>
                <w:rFonts w:ascii="Arial Narrow" w:hAnsi="Arial Narrow"/>
                <w:sz w:val="18"/>
                <w:szCs w:val="18"/>
                <w:lang w:eastAsia="en-US"/>
              </w:rPr>
            </w:pPr>
            <w:r w:rsidRPr="008A60B7">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79335A7" w14:textId="77777777" w:rsidR="00F82F91" w:rsidRPr="008A60B7" w:rsidRDefault="00F82F91" w:rsidP="00AA1860">
            <w:pPr>
              <w:spacing w:line="276" w:lineRule="auto"/>
              <w:ind w:left="-142" w:right="-91"/>
              <w:jc w:val="center"/>
              <w:rPr>
                <w:rFonts w:ascii="Arial Narrow" w:hAnsi="Arial Narrow"/>
                <w:sz w:val="18"/>
                <w:szCs w:val="18"/>
                <w:lang w:eastAsia="en-US"/>
              </w:rPr>
            </w:pPr>
          </w:p>
        </w:tc>
      </w:tr>
    </w:tbl>
    <w:p w14:paraId="0481B6C3" w14:textId="77777777" w:rsidR="00F82F91" w:rsidRPr="008A60B7" w:rsidRDefault="00F82F91" w:rsidP="00F82F91">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F82F91" w:rsidRPr="008A60B7" w14:paraId="42057A71" w14:textId="77777777" w:rsidTr="00AA1860">
        <w:tc>
          <w:tcPr>
            <w:tcW w:w="8824" w:type="dxa"/>
            <w:shd w:val="clear" w:color="auto" w:fill="DBE5F1" w:themeFill="accent1" w:themeFillTint="33"/>
            <w:vAlign w:val="center"/>
          </w:tcPr>
          <w:p w14:paraId="7F4D0DC2" w14:textId="77777777" w:rsidR="00F82F91" w:rsidRPr="008A60B7" w:rsidRDefault="00F82F91" w:rsidP="00AA1860">
            <w:pPr>
              <w:spacing w:before="120" w:after="120"/>
              <w:rPr>
                <w:rFonts w:ascii="Arial Narrow" w:hAnsi="Arial Narrow"/>
                <w:sz w:val="20"/>
                <w:szCs w:val="20"/>
              </w:rPr>
            </w:pPr>
            <w:r w:rsidRPr="008A60B7">
              <w:rPr>
                <w:rFonts w:ascii="Arial Narrow" w:hAnsi="Arial Narrow"/>
                <w:sz w:val="20"/>
                <w:szCs w:val="20"/>
              </w:rPr>
              <w:t>This Framework Contract</w:t>
            </w:r>
            <w:r w:rsidRPr="008A60B7">
              <w:rPr>
                <w:rFonts w:ascii="Arial Narrow" w:eastAsia="Calibri" w:hAnsi="Arial Narrow" w:cs="Times New Roman"/>
                <w:sz w:val="20"/>
                <w:szCs w:val="20"/>
                <w:lang w:val="en-US" w:eastAsia="en-US"/>
              </w:rPr>
              <w:t xml:space="preserve"> for this lot takes effect as from the date of its signature by both parties</w:t>
            </w:r>
            <w:r w:rsidRPr="008A60B7">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1581870738"/>
              <w:date w:fullDate="2018-12-31T00:00:00Z">
                <w:dateFormat w:val="dd/MM/yyyy"/>
                <w:lid w:val="fr-FR"/>
                <w:storeMappedDataAs w:val="dateTime"/>
                <w:calendar w:val="gregorian"/>
              </w:date>
            </w:sdtPr>
            <w:sdtEndPr>
              <w:rPr>
                <w:rStyle w:val="Style71"/>
              </w:rPr>
            </w:sdtEndPr>
            <w:sdtContent>
              <w:p w14:paraId="4A15D126" w14:textId="77777777" w:rsidR="00F82F91" w:rsidRPr="008A60B7" w:rsidRDefault="00F82F91" w:rsidP="00AA1860">
                <w:pPr>
                  <w:spacing w:before="120" w:after="120"/>
                  <w:rPr>
                    <w:rFonts w:ascii="Arial Narrow" w:hAnsi="Arial Narrow"/>
                    <w:sz w:val="20"/>
                    <w:szCs w:val="20"/>
                  </w:rPr>
                </w:pPr>
                <w:r w:rsidRPr="008A60B7">
                  <w:rPr>
                    <w:rStyle w:val="Style71"/>
                    <w:szCs w:val="20"/>
                    <w:lang w:val="fr-FR"/>
                  </w:rPr>
                  <w:t>31/12/2018</w:t>
                </w:r>
              </w:p>
            </w:sdtContent>
          </w:sdt>
        </w:tc>
      </w:tr>
    </w:tbl>
    <w:p w14:paraId="356A5F52" w14:textId="77777777" w:rsidR="003F5BE6" w:rsidRPr="008A60B7" w:rsidRDefault="003F5BE6" w:rsidP="003F5BE6">
      <w:pPr>
        <w:spacing w:before="60" w:after="120"/>
        <w:ind w:left="-142"/>
        <w:rPr>
          <w:rFonts w:ascii="Arial Narrow" w:hAnsi="Arial Narrow"/>
          <w:sz w:val="20"/>
          <w:szCs w:val="20"/>
        </w:rPr>
      </w:pP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tblGrid>
      <w:tr w:rsidR="00F82F91" w:rsidRPr="008A60B7" w14:paraId="46596757" w14:textId="77777777" w:rsidTr="00AA1860">
        <w:trPr>
          <w:trHeight w:val="688"/>
        </w:trPr>
        <w:tc>
          <w:tcPr>
            <w:tcW w:w="7738" w:type="dxa"/>
            <w:shd w:val="clear" w:color="auto" w:fill="DBE5F1" w:themeFill="accent1" w:themeFillTint="33"/>
            <w:vAlign w:val="center"/>
          </w:tcPr>
          <w:p w14:paraId="2FC21784" w14:textId="68EF2B25" w:rsidR="00F82F91" w:rsidRPr="008A60B7" w:rsidRDefault="00F82F91" w:rsidP="00F82F91">
            <w:pPr>
              <w:tabs>
                <w:tab w:val="left" w:pos="0"/>
              </w:tabs>
              <w:spacing w:line="276" w:lineRule="auto"/>
              <w:ind w:left="-142"/>
              <w:jc w:val="center"/>
              <w:rPr>
                <w:rFonts w:ascii="Arial Narrow" w:hAnsi="Arial Narrow"/>
                <w:b/>
                <w:sz w:val="18"/>
                <w:szCs w:val="18"/>
                <w:lang w:eastAsia="en-US"/>
              </w:rPr>
            </w:pPr>
            <w:r w:rsidRPr="008A60B7">
              <w:rPr>
                <w:rFonts w:ascii="Arial Narrow" w:hAnsi="Arial Narrow"/>
                <w:b/>
                <w:sz w:val="18"/>
                <w:szCs w:val="18"/>
                <w:lang w:eastAsia="en-US"/>
              </w:rPr>
              <w:t>LOT 3 - Type(s) of Units  ▼</w:t>
            </w:r>
          </w:p>
        </w:tc>
        <w:tc>
          <w:tcPr>
            <w:tcW w:w="1359" w:type="dxa"/>
            <w:tcBorders>
              <w:bottom w:val="single" w:sz="2" w:space="0" w:color="FF0000"/>
            </w:tcBorders>
            <w:shd w:val="clear" w:color="auto" w:fill="DBE5F1" w:themeFill="accent1" w:themeFillTint="33"/>
            <w:vAlign w:val="center"/>
          </w:tcPr>
          <w:p w14:paraId="440CE411" w14:textId="77777777" w:rsidR="00F82F91" w:rsidRPr="008A60B7" w:rsidRDefault="00F82F91" w:rsidP="00AA1860">
            <w:pPr>
              <w:spacing w:line="276" w:lineRule="auto"/>
              <w:ind w:left="-142" w:right="-84"/>
              <w:jc w:val="center"/>
              <w:rPr>
                <w:rFonts w:ascii="Arial Narrow" w:hAnsi="Arial Narrow"/>
                <w:b/>
                <w:sz w:val="18"/>
                <w:szCs w:val="18"/>
                <w:lang w:eastAsia="en-US"/>
              </w:rPr>
            </w:pPr>
            <w:r w:rsidRPr="008A60B7">
              <w:rPr>
                <w:rFonts w:ascii="Arial Narrow" w:hAnsi="Arial Narrow"/>
                <w:b/>
                <w:sz w:val="18"/>
                <w:szCs w:val="18"/>
                <w:lang w:eastAsia="en-US"/>
              </w:rPr>
              <w:t>Unit fee</w:t>
            </w:r>
          </w:p>
          <w:p w14:paraId="3D963419" w14:textId="77777777" w:rsidR="00F82F91" w:rsidRPr="008A60B7" w:rsidRDefault="00F82F91" w:rsidP="00AA1860">
            <w:pPr>
              <w:spacing w:line="276" w:lineRule="auto"/>
              <w:ind w:left="-142" w:right="-219"/>
              <w:jc w:val="center"/>
              <w:rPr>
                <w:rFonts w:ascii="Arial Narrow" w:hAnsi="Arial Narrow"/>
                <w:b/>
                <w:sz w:val="18"/>
                <w:szCs w:val="18"/>
                <w:lang w:eastAsia="en-US"/>
              </w:rPr>
            </w:pPr>
            <w:r w:rsidRPr="008A60B7">
              <w:rPr>
                <w:rFonts w:ascii="Arial Narrow" w:hAnsi="Arial Narrow"/>
                <w:b/>
                <w:sz w:val="18"/>
                <w:szCs w:val="18"/>
                <w:lang w:eastAsia="en-US"/>
              </w:rPr>
              <w:t>▼</w:t>
            </w:r>
          </w:p>
        </w:tc>
      </w:tr>
      <w:tr w:rsidR="00F82F91" w:rsidRPr="008A60B7" w14:paraId="702ED1E3" w14:textId="77777777" w:rsidTr="00AA1860">
        <w:trPr>
          <w:trHeight w:val="374"/>
        </w:trPr>
        <w:tc>
          <w:tcPr>
            <w:tcW w:w="7738" w:type="dxa"/>
            <w:tcBorders>
              <w:right w:val="single" w:sz="2" w:space="0" w:color="FF0000"/>
            </w:tcBorders>
            <w:shd w:val="clear" w:color="auto" w:fill="F2F2F2" w:themeFill="background1" w:themeFillShade="F2"/>
            <w:vAlign w:val="center"/>
          </w:tcPr>
          <w:p w14:paraId="6EDE60A6" w14:textId="77777777" w:rsidR="00F82F91" w:rsidRPr="008A60B7" w:rsidRDefault="00F82F91" w:rsidP="00AA1860">
            <w:pPr>
              <w:spacing w:line="276" w:lineRule="auto"/>
              <w:ind w:left="34"/>
              <w:rPr>
                <w:rFonts w:ascii="Arial Narrow" w:hAnsi="Arial Narrow"/>
                <w:sz w:val="18"/>
                <w:szCs w:val="18"/>
                <w:lang w:eastAsia="en-US"/>
              </w:rPr>
            </w:pPr>
            <w:r w:rsidRPr="008A60B7">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2EBDA8" w14:textId="77777777" w:rsidR="00F82F91" w:rsidRPr="008A60B7" w:rsidRDefault="00F82F91" w:rsidP="00AA1860">
            <w:pPr>
              <w:spacing w:line="276" w:lineRule="auto"/>
              <w:ind w:left="-142" w:right="-91"/>
              <w:jc w:val="center"/>
              <w:rPr>
                <w:rFonts w:ascii="Arial Narrow" w:hAnsi="Arial Narrow"/>
                <w:sz w:val="18"/>
                <w:szCs w:val="18"/>
                <w:lang w:eastAsia="en-US"/>
              </w:rPr>
            </w:pPr>
          </w:p>
        </w:tc>
      </w:tr>
    </w:tbl>
    <w:p w14:paraId="4F36D4F8" w14:textId="77777777" w:rsidR="00F82F91" w:rsidRPr="008A60B7" w:rsidRDefault="00F82F91" w:rsidP="00F82F91">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F82F91" w:rsidRPr="008A60B7" w14:paraId="13D28E49" w14:textId="77777777" w:rsidTr="00AA1860">
        <w:tc>
          <w:tcPr>
            <w:tcW w:w="8824" w:type="dxa"/>
            <w:shd w:val="clear" w:color="auto" w:fill="DBE5F1" w:themeFill="accent1" w:themeFillTint="33"/>
            <w:vAlign w:val="center"/>
          </w:tcPr>
          <w:p w14:paraId="05951054" w14:textId="77777777" w:rsidR="00F82F91" w:rsidRPr="008A60B7" w:rsidRDefault="00F82F91" w:rsidP="00AA1860">
            <w:pPr>
              <w:spacing w:before="120" w:after="120"/>
              <w:rPr>
                <w:rFonts w:ascii="Arial Narrow" w:hAnsi="Arial Narrow"/>
                <w:sz w:val="20"/>
                <w:szCs w:val="20"/>
              </w:rPr>
            </w:pPr>
            <w:r w:rsidRPr="008A60B7">
              <w:rPr>
                <w:rFonts w:ascii="Arial Narrow" w:hAnsi="Arial Narrow"/>
                <w:sz w:val="20"/>
                <w:szCs w:val="20"/>
              </w:rPr>
              <w:t>This Framework Contract</w:t>
            </w:r>
            <w:r w:rsidRPr="008A60B7">
              <w:rPr>
                <w:rFonts w:ascii="Arial Narrow" w:eastAsia="Calibri" w:hAnsi="Arial Narrow" w:cs="Times New Roman"/>
                <w:sz w:val="20"/>
                <w:szCs w:val="20"/>
                <w:lang w:val="en-US" w:eastAsia="en-US"/>
              </w:rPr>
              <w:t xml:space="preserve"> for this lot takes effect as from the date of its signature by both parties</w:t>
            </w:r>
            <w:r w:rsidRPr="008A60B7">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1017155308"/>
              <w:date w:fullDate="2018-12-31T00:00:00Z">
                <w:dateFormat w:val="dd/MM/yyyy"/>
                <w:lid w:val="fr-FR"/>
                <w:storeMappedDataAs w:val="dateTime"/>
                <w:calendar w:val="gregorian"/>
              </w:date>
            </w:sdtPr>
            <w:sdtEndPr>
              <w:rPr>
                <w:rStyle w:val="Style71"/>
              </w:rPr>
            </w:sdtEndPr>
            <w:sdtContent>
              <w:p w14:paraId="42A01F03" w14:textId="77777777" w:rsidR="00F82F91" w:rsidRPr="008A60B7" w:rsidRDefault="00F82F91" w:rsidP="00AA1860">
                <w:pPr>
                  <w:spacing w:before="120" w:after="120"/>
                  <w:rPr>
                    <w:rFonts w:ascii="Arial Narrow" w:hAnsi="Arial Narrow"/>
                    <w:sz w:val="20"/>
                    <w:szCs w:val="20"/>
                  </w:rPr>
                </w:pPr>
                <w:r w:rsidRPr="008A60B7">
                  <w:rPr>
                    <w:rStyle w:val="Style71"/>
                    <w:szCs w:val="20"/>
                    <w:lang w:val="fr-FR"/>
                  </w:rPr>
                  <w:t>31/12/2018</w:t>
                </w:r>
              </w:p>
            </w:sdtContent>
          </w:sdt>
        </w:tc>
      </w:tr>
    </w:tbl>
    <w:p w14:paraId="3ED4D1AA" w14:textId="77777777" w:rsidR="003F5BE6" w:rsidRPr="008A60B7" w:rsidRDefault="003F5BE6" w:rsidP="003F5BE6">
      <w:pPr>
        <w:spacing w:before="60" w:after="120"/>
        <w:ind w:left="-142"/>
        <w:rPr>
          <w:rFonts w:ascii="Arial Narrow" w:hAnsi="Arial Narrow"/>
          <w:b/>
        </w:rPr>
      </w:pP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tblGrid>
      <w:tr w:rsidR="00F82F91" w:rsidRPr="008A60B7" w14:paraId="0D283340" w14:textId="77777777" w:rsidTr="00AA1860">
        <w:trPr>
          <w:trHeight w:val="688"/>
        </w:trPr>
        <w:tc>
          <w:tcPr>
            <w:tcW w:w="7738" w:type="dxa"/>
            <w:shd w:val="clear" w:color="auto" w:fill="DBE5F1" w:themeFill="accent1" w:themeFillTint="33"/>
            <w:vAlign w:val="center"/>
          </w:tcPr>
          <w:p w14:paraId="7382BAE1" w14:textId="57630553" w:rsidR="00F82F91" w:rsidRPr="008A60B7" w:rsidRDefault="00F82F91" w:rsidP="00F82F91">
            <w:pPr>
              <w:tabs>
                <w:tab w:val="left" w:pos="0"/>
              </w:tabs>
              <w:spacing w:line="276" w:lineRule="auto"/>
              <w:ind w:left="-142"/>
              <w:jc w:val="center"/>
              <w:rPr>
                <w:rFonts w:ascii="Arial Narrow" w:hAnsi="Arial Narrow"/>
                <w:b/>
                <w:sz w:val="18"/>
                <w:szCs w:val="18"/>
                <w:lang w:eastAsia="en-US"/>
              </w:rPr>
            </w:pPr>
            <w:r w:rsidRPr="008A60B7">
              <w:rPr>
                <w:rFonts w:ascii="Arial Narrow" w:hAnsi="Arial Narrow"/>
                <w:b/>
                <w:sz w:val="18"/>
                <w:szCs w:val="18"/>
                <w:lang w:eastAsia="en-US"/>
              </w:rPr>
              <w:t>LOT 4 - Type(s) of Units  ▼</w:t>
            </w:r>
          </w:p>
        </w:tc>
        <w:tc>
          <w:tcPr>
            <w:tcW w:w="1359" w:type="dxa"/>
            <w:tcBorders>
              <w:bottom w:val="single" w:sz="2" w:space="0" w:color="FF0000"/>
            </w:tcBorders>
            <w:shd w:val="clear" w:color="auto" w:fill="DBE5F1" w:themeFill="accent1" w:themeFillTint="33"/>
            <w:vAlign w:val="center"/>
          </w:tcPr>
          <w:p w14:paraId="794843B8" w14:textId="77777777" w:rsidR="00F82F91" w:rsidRPr="008A60B7" w:rsidRDefault="00F82F91" w:rsidP="00AA1860">
            <w:pPr>
              <w:spacing w:line="276" w:lineRule="auto"/>
              <w:ind w:left="-142" w:right="-84"/>
              <w:jc w:val="center"/>
              <w:rPr>
                <w:rFonts w:ascii="Arial Narrow" w:hAnsi="Arial Narrow"/>
                <w:b/>
                <w:sz w:val="18"/>
                <w:szCs w:val="18"/>
                <w:lang w:eastAsia="en-US"/>
              </w:rPr>
            </w:pPr>
            <w:r w:rsidRPr="008A60B7">
              <w:rPr>
                <w:rFonts w:ascii="Arial Narrow" w:hAnsi="Arial Narrow"/>
                <w:b/>
                <w:sz w:val="18"/>
                <w:szCs w:val="18"/>
                <w:lang w:eastAsia="en-US"/>
              </w:rPr>
              <w:t>Unit fee</w:t>
            </w:r>
          </w:p>
          <w:p w14:paraId="645ADEF4" w14:textId="77777777" w:rsidR="00F82F91" w:rsidRPr="008A60B7" w:rsidRDefault="00F82F91" w:rsidP="00AA1860">
            <w:pPr>
              <w:spacing w:line="276" w:lineRule="auto"/>
              <w:ind w:left="-142" w:right="-219"/>
              <w:jc w:val="center"/>
              <w:rPr>
                <w:rFonts w:ascii="Arial Narrow" w:hAnsi="Arial Narrow"/>
                <w:b/>
                <w:sz w:val="18"/>
                <w:szCs w:val="18"/>
                <w:lang w:eastAsia="en-US"/>
              </w:rPr>
            </w:pPr>
            <w:r w:rsidRPr="008A60B7">
              <w:rPr>
                <w:rFonts w:ascii="Arial Narrow" w:hAnsi="Arial Narrow"/>
                <w:b/>
                <w:sz w:val="18"/>
                <w:szCs w:val="18"/>
                <w:lang w:eastAsia="en-US"/>
              </w:rPr>
              <w:t>▼</w:t>
            </w:r>
          </w:p>
        </w:tc>
      </w:tr>
      <w:tr w:rsidR="00F82F91" w:rsidRPr="008A60B7" w14:paraId="38880416" w14:textId="77777777" w:rsidTr="00AA1860">
        <w:trPr>
          <w:trHeight w:val="374"/>
        </w:trPr>
        <w:tc>
          <w:tcPr>
            <w:tcW w:w="7738" w:type="dxa"/>
            <w:tcBorders>
              <w:right w:val="single" w:sz="2" w:space="0" w:color="FF0000"/>
            </w:tcBorders>
            <w:shd w:val="clear" w:color="auto" w:fill="F2F2F2" w:themeFill="background1" w:themeFillShade="F2"/>
            <w:vAlign w:val="center"/>
          </w:tcPr>
          <w:p w14:paraId="5A42D459" w14:textId="77777777" w:rsidR="00F82F91" w:rsidRPr="008A60B7" w:rsidRDefault="00F82F91" w:rsidP="00AA1860">
            <w:pPr>
              <w:spacing w:line="276" w:lineRule="auto"/>
              <w:ind w:left="34"/>
              <w:rPr>
                <w:rFonts w:ascii="Arial Narrow" w:hAnsi="Arial Narrow"/>
                <w:sz w:val="18"/>
                <w:szCs w:val="18"/>
                <w:lang w:eastAsia="en-US"/>
              </w:rPr>
            </w:pPr>
            <w:r w:rsidRPr="008A60B7">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D939B7" w14:textId="77777777" w:rsidR="00F82F91" w:rsidRPr="008A60B7" w:rsidRDefault="00F82F91" w:rsidP="00AA1860">
            <w:pPr>
              <w:spacing w:line="276" w:lineRule="auto"/>
              <w:ind w:left="-142" w:right="-91"/>
              <w:jc w:val="center"/>
              <w:rPr>
                <w:rFonts w:ascii="Arial Narrow" w:hAnsi="Arial Narrow"/>
                <w:sz w:val="18"/>
                <w:szCs w:val="18"/>
                <w:lang w:eastAsia="en-US"/>
              </w:rPr>
            </w:pPr>
          </w:p>
        </w:tc>
      </w:tr>
    </w:tbl>
    <w:p w14:paraId="55119B54" w14:textId="77777777" w:rsidR="00F82F91" w:rsidRPr="008A60B7" w:rsidRDefault="00F82F91" w:rsidP="00F82F91">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F82F91" w:rsidRPr="008A60B7" w14:paraId="4838E8D1" w14:textId="77777777" w:rsidTr="00AA1860">
        <w:tc>
          <w:tcPr>
            <w:tcW w:w="8824" w:type="dxa"/>
            <w:shd w:val="clear" w:color="auto" w:fill="DBE5F1" w:themeFill="accent1" w:themeFillTint="33"/>
            <w:vAlign w:val="center"/>
          </w:tcPr>
          <w:p w14:paraId="1F80CF77" w14:textId="77777777" w:rsidR="00F82F91" w:rsidRPr="008A60B7" w:rsidRDefault="00F82F91" w:rsidP="00AA1860">
            <w:pPr>
              <w:spacing w:before="120" w:after="120"/>
              <w:rPr>
                <w:rFonts w:ascii="Arial Narrow" w:hAnsi="Arial Narrow"/>
                <w:sz w:val="20"/>
                <w:szCs w:val="20"/>
              </w:rPr>
            </w:pPr>
            <w:r w:rsidRPr="008A60B7">
              <w:rPr>
                <w:rFonts w:ascii="Arial Narrow" w:hAnsi="Arial Narrow"/>
                <w:sz w:val="20"/>
                <w:szCs w:val="20"/>
              </w:rPr>
              <w:t>This Framework Contract</w:t>
            </w:r>
            <w:r w:rsidRPr="008A60B7">
              <w:rPr>
                <w:rFonts w:ascii="Arial Narrow" w:eastAsia="Calibri" w:hAnsi="Arial Narrow" w:cs="Times New Roman"/>
                <w:sz w:val="20"/>
                <w:szCs w:val="20"/>
                <w:lang w:val="en-US" w:eastAsia="en-US"/>
              </w:rPr>
              <w:t xml:space="preserve"> for this lot takes effect as from the date of its signature by both parties</w:t>
            </w:r>
            <w:r w:rsidRPr="008A60B7">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1594313721"/>
              <w:date w:fullDate="2018-12-31T00:00:00Z">
                <w:dateFormat w:val="dd/MM/yyyy"/>
                <w:lid w:val="fr-FR"/>
                <w:storeMappedDataAs w:val="dateTime"/>
                <w:calendar w:val="gregorian"/>
              </w:date>
            </w:sdtPr>
            <w:sdtEndPr>
              <w:rPr>
                <w:rStyle w:val="Style71"/>
              </w:rPr>
            </w:sdtEndPr>
            <w:sdtContent>
              <w:p w14:paraId="2BA3DBED" w14:textId="77777777" w:rsidR="00F82F91" w:rsidRPr="008A60B7" w:rsidRDefault="00F82F91" w:rsidP="00AA1860">
                <w:pPr>
                  <w:spacing w:before="120" w:after="120"/>
                  <w:rPr>
                    <w:rFonts w:ascii="Arial Narrow" w:hAnsi="Arial Narrow"/>
                    <w:sz w:val="20"/>
                    <w:szCs w:val="20"/>
                  </w:rPr>
                </w:pPr>
                <w:r w:rsidRPr="008A60B7">
                  <w:rPr>
                    <w:rStyle w:val="Style71"/>
                    <w:szCs w:val="20"/>
                    <w:lang w:val="fr-FR"/>
                  </w:rPr>
                  <w:t>31/12/2018</w:t>
                </w:r>
              </w:p>
            </w:sdtContent>
          </w:sdt>
        </w:tc>
      </w:tr>
    </w:tbl>
    <w:p w14:paraId="003370D8" w14:textId="77777777" w:rsidR="00F82F91" w:rsidRPr="008A60B7" w:rsidRDefault="00F82F91" w:rsidP="003F5BE6">
      <w:pPr>
        <w:spacing w:before="60" w:after="120"/>
        <w:ind w:left="-142"/>
        <w:rPr>
          <w:rFonts w:ascii="Arial Narrow" w:hAnsi="Arial Narrow"/>
          <w:b/>
        </w:rPr>
      </w:pPr>
    </w:p>
    <w:p w14:paraId="791E40F4" w14:textId="77777777" w:rsidR="00F82F91" w:rsidRPr="008A60B7" w:rsidRDefault="00F82F91" w:rsidP="003F5BE6">
      <w:pPr>
        <w:spacing w:before="60" w:after="120"/>
        <w:ind w:left="-142"/>
        <w:rPr>
          <w:rFonts w:ascii="Arial Narrow" w:hAnsi="Arial Narrow"/>
          <w:b/>
        </w:rPr>
      </w:pP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tblGrid>
      <w:tr w:rsidR="00F82F91" w:rsidRPr="008A60B7" w14:paraId="5CAF97B7" w14:textId="77777777" w:rsidTr="00AA1860">
        <w:trPr>
          <w:trHeight w:val="688"/>
        </w:trPr>
        <w:tc>
          <w:tcPr>
            <w:tcW w:w="7738" w:type="dxa"/>
            <w:shd w:val="clear" w:color="auto" w:fill="DBE5F1" w:themeFill="accent1" w:themeFillTint="33"/>
            <w:vAlign w:val="center"/>
          </w:tcPr>
          <w:p w14:paraId="611FE330" w14:textId="04249084" w:rsidR="00F82F91" w:rsidRPr="008A60B7" w:rsidRDefault="00F82F91" w:rsidP="00F82F91">
            <w:pPr>
              <w:tabs>
                <w:tab w:val="left" w:pos="0"/>
              </w:tabs>
              <w:spacing w:line="276" w:lineRule="auto"/>
              <w:ind w:left="-142"/>
              <w:jc w:val="center"/>
              <w:rPr>
                <w:rFonts w:ascii="Arial Narrow" w:hAnsi="Arial Narrow"/>
                <w:b/>
                <w:sz w:val="18"/>
                <w:szCs w:val="18"/>
                <w:lang w:eastAsia="en-US"/>
              </w:rPr>
            </w:pPr>
            <w:r w:rsidRPr="008A60B7">
              <w:rPr>
                <w:rFonts w:ascii="Arial Narrow" w:hAnsi="Arial Narrow"/>
                <w:b/>
                <w:sz w:val="18"/>
                <w:szCs w:val="18"/>
                <w:lang w:eastAsia="en-US"/>
              </w:rPr>
              <w:lastRenderedPageBreak/>
              <w:t>LOT 5 - Type(s) of Units  ▼</w:t>
            </w:r>
          </w:p>
        </w:tc>
        <w:tc>
          <w:tcPr>
            <w:tcW w:w="1359" w:type="dxa"/>
            <w:tcBorders>
              <w:bottom w:val="single" w:sz="2" w:space="0" w:color="FF0000"/>
            </w:tcBorders>
            <w:shd w:val="clear" w:color="auto" w:fill="DBE5F1" w:themeFill="accent1" w:themeFillTint="33"/>
            <w:vAlign w:val="center"/>
          </w:tcPr>
          <w:p w14:paraId="1F5B8653" w14:textId="77777777" w:rsidR="00F82F91" w:rsidRPr="008A60B7" w:rsidRDefault="00F82F91" w:rsidP="00AA1860">
            <w:pPr>
              <w:spacing w:line="276" w:lineRule="auto"/>
              <w:ind w:left="-142" w:right="-84"/>
              <w:jc w:val="center"/>
              <w:rPr>
                <w:rFonts w:ascii="Arial Narrow" w:hAnsi="Arial Narrow"/>
                <w:b/>
                <w:sz w:val="18"/>
                <w:szCs w:val="18"/>
                <w:lang w:eastAsia="en-US"/>
              </w:rPr>
            </w:pPr>
            <w:r w:rsidRPr="008A60B7">
              <w:rPr>
                <w:rFonts w:ascii="Arial Narrow" w:hAnsi="Arial Narrow"/>
                <w:b/>
                <w:sz w:val="18"/>
                <w:szCs w:val="18"/>
                <w:lang w:eastAsia="en-US"/>
              </w:rPr>
              <w:t>Unit fee</w:t>
            </w:r>
          </w:p>
          <w:p w14:paraId="153CE87C" w14:textId="77777777" w:rsidR="00F82F91" w:rsidRPr="008A60B7" w:rsidRDefault="00F82F91" w:rsidP="00AA1860">
            <w:pPr>
              <w:spacing w:line="276" w:lineRule="auto"/>
              <w:ind w:left="-142" w:right="-219"/>
              <w:jc w:val="center"/>
              <w:rPr>
                <w:rFonts w:ascii="Arial Narrow" w:hAnsi="Arial Narrow"/>
                <w:b/>
                <w:sz w:val="18"/>
                <w:szCs w:val="18"/>
                <w:lang w:eastAsia="en-US"/>
              </w:rPr>
            </w:pPr>
            <w:r w:rsidRPr="008A60B7">
              <w:rPr>
                <w:rFonts w:ascii="Arial Narrow" w:hAnsi="Arial Narrow"/>
                <w:b/>
                <w:sz w:val="18"/>
                <w:szCs w:val="18"/>
                <w:lang w:eastAsia="en-US"/>
              </w:rPr>
              <w:t>▼</w:t>
            </w:r>
          </w:p>
        </w:tc>
      </w:tr>
      <w:tr w:rsidR="00F82F91" w:rsidRPr="008A60B7" w14:paraId="7193D1AE" w14:textId="77777777" w:rsidTr="00AA1860">
        <w:trPr>
          <w:trHeight w:val="374"/>
        </w:trPr>
        <w:tc>
          <w:tcPr>
            <w:tcW w:w="7738" w:type="dxa"/>
            <w:tcBorders>
              <w:right w:val="single" w:sz="2" w:space="0" w:color="FF0000"/>
            </w:tcBorders>
            <w:shd w:val="clear" w:color="auto" w:fill="F2F2F2" w:themeFill="background1" w:themeFillShade="F2"/>
            <w:vAlign w:val="center"/>
          </w:tcPr>
          <w:p w14:paraId="575C29EF" w14:textId="77777777" w:rsidR="00F82F91" w:rsidRPr="008A60B7" w:rsidRDefault="00F82F91" w:rsidP="00AA1860">
            <w:pPr>
              <w:spacing w:line="276" w:lineRule="auto"/>
              <w:ind w:left="34"/>
              <w:rPr>
                <w:rFonts w:ascii="Arial Narrow" w:hAnsi="Arial Narrow"/>
                <w:sz w:val="18"/>
                <w:szCs w:val="18"/>
                <w:lang w:eastAsia="en-US"/>
              </w:rPr>
            </w:pPr>
            <w:r w:rsidRPr="008A60B7">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C1A998" w14:textId="77777777" w:rsidR="00F82F91" w:rsidRPr="008A60B7" w:rsidRDefault="00F82F91" w:rsidP="00AA1860">
            <w:pPr>
              <w:spacing w:line="276" w:lineRule="auto"/>
              <w:ind w:left="-142" w:right="-91"/>
              <w:jc w:val="center"/>
              <w:rPr>
                <w:rFonts w:ascii="Arial Narrow" w:hAnsi="Arial Narrow"/>
                <w:sz w:val="18"/>
                <w:szCs w:val="18"/>
                <w:lang w:eastAsia="en-US"/>
              </w:rPr>
            </w:pPr>
          </w:p>
        </w:tc>
      </w:tr>
    </w:tbl>
    <w:p w14:paraId="4EDFF985" w14:textId="77777777" w:rsidR="00F82F91" w:rsidRPr="008A60B7" w:rsidRDefault="00F82F91" w:rsidP="00F82F91">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F82F91" w:rsidRPr="008A60B7" w14:paraId="6F17A4E8" w14:textId="77777777" w:rsidTr="00AA1860">
        <w:tc>
          <w:tcPr>
            <w:tcW w:w="8824" w:type="dxa"/>
            <w:shd w:val="clear" w:color="auto" w:fill="DBE5F1" w:themeFill="accent1" w:themeFillTint="33"/>
            <w:vAlign w:val="center"/>
          </w:tcPr>
          <w:p w14:paraId="01744028" w14:textId="77777777" w:rsidR="00F82F91" w:rsidRPr="008A60B7" w:rsidRDefault="00F82F91" w:rsidP="00AA1860">
            <w:pPr>
              <w:spacing w:before="120" w:after="120"/>
              <w:rPr>
                <w:rFonts w:ascii="Arial Narrow" w:hAnsi="Arial Narrow"/>
                <w:sz w:val="20"/>
                <w:szCs w:val="20"/>
              </w:rPr>
            </w:pPr>
            <w:r w:rsidRPr="008A60B7">
              <w:rPr>
                <w:rFonts w:ascii="Arial Narrow" w:hAnsi="Arial Narrow"/>
                <w:sz w:val="20"/>
                <w:szCs w:val="20"/>
              </w:rPr>
              <w:t>This Framework Contract</w:t>
            </w:r>
            <w:r w:rsidRPr="008A60B7">
              <w:rPr>
                <w:rFonts w:ascii="Arial Narrow" w:eastAsia="Calibri" w:hAnsi="Arial Narrow" w:cs="Times New Roman"/>
                <w:sz w:val="20"/>
                <w:szCs w:val="20"/>
                <w:lang w:val="en-US" w:eastAsia="en-US"/>
              </w:rPr>
              <w:t xml:space="preserve"> for this lot takes effect as from the date of its signature by both parties</w:t>
            </w:r>
            <w:r w:rsidRPr="008A60B7">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1328015981"/>
              <w:date w:fullDate="2018-12-31T00:00:00Z">
                <w:dateFormat w:val="dd/MM/yyyy"/>
                <w:lid w:val="fr-FR"/>
                <w:storeMappedDataAs w:val="dateTime"/>
                <w:calendar w:val="gregorian"/>
              </w:date>
            </w:sdtPr>
            <w:sdtEndPr>
              <w:rPr>
                <w:rStyle w:val="Style71"/>
              </w:rPr>
            </w:sdtEndPr>
            <w:sdtContent>
              <w:p w14:paraId="63CDF407" w14:textId="77777777" w:rsidR="00F82F91" w:rsidRPr="008A60B7" w:rsidRDefault="00F82F91" w:rsidP="00AA1860">
                <w:pPr>
                  <w:spacing w:before="120" w:after="120"/>
                  <w:rPr>
                    <w:rFonts w:ascii="Arial Narrow" w:hAnsi="Arial Narrow"/>
                    <w:sz w:val="20"/>
                    <w:szCs w:val="20"/>
                  </w:rPr>
                </w:pPr>
                <w:r w:rsidRPr="008A60B7">
                  <w:rPr>
                    <w:rStyle w:val="Style71"/>
                    <w:szCs w:val="20"/>
                    <w:lang w:val="fr-FR"/>
                  </w:rPr>
                  <w:t>31/12/2018</w:t>
                </w:r>
              </w:p>
            </w:sdtContent>
          </w:sdt>
        </w:tc>
      </w:tr>
    </w:tbl>
    <w:p w14:paraId="0CD02124" w14:textId="77777777" w:rsidR="00F82F91" w:rsidRPr="008A60B7" w:rsidRDefault="00F82F91" w:rsidP="003F5BE6">
      <w:pPr>
        <w:spacing w:before="60" w:after="120"/>
        <w:ind w:left="-142"/>
        <w:rPr>
          <w:rFonts w:ascii="Arial Narrow" w:hAnsi="Arial Narrow"/>
          <w:b/>
        </w:rPr>
      </w:pP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tblGrid>
      <w:tr w:rsidR="00F82F91" w:rsidRPr="008A60B7" w14:paraId="04A0EEBE" w14:textId="77777777" w:rsidTr="00AA1860">
        <w:trPr>
          <w:trHeight w:val="688"/>
        </w:trPr>
        <w:tc>
          <w:tcPr>
            <w:tcW w:w="7738" w:type="dxa"/>
            <w:shd w:val="clear" w:color="auto" w:fill="DBE5F1" w:themeFill="accent1" w:themeFillTint="33"/>
            <w:vAlign w:val="center"/>
          </w:tcPr>
          <w:p w14:paraId="47ADD621" w14:textId="4BD4A4CF" w:rsidR="00F82F91" w:rsidRPr="008A60B7" w:rsidRDefault="00F82F91" w:rsidP="00F82F91">
            <w:pPr>
              <w:tabs>
                <w:tab w:val="left" w:pos="0"/>
              </w:tabs>
              <w:spacing w:line="276" w:lineRule="auto"/>
              <w:ind w:left="-142"/>
              <w:jc w:val="center"/>
              <w:rPr>
                <w:rFonts w:ascii="Arial Narrow" w:hAnsi="Arial Narrow"/>
                <w:b/>
                <w:sz w:val="18"/>
                <w:szCs w:val="18"/>
                <w:lang w:eastAsia="en-US"/>
              </w:rPr>
            </w:pPr>
            <w:r w:rsidRPr="008A60B7">
              <w:rPr>
                <w:rFonts w:ascii="Arial Narrow" w:hAnsi="Arial Narrow"/>
                <w:b/>
                <w:sz w:val="18"/>
                <w:szCs w:val="18"/>
                <w:lang w:eastAsia="en-US"/>
              </w:rPr>
              <w:t>LOT 6 - Type(s) of Units  ▼</w:t>
            </w:r>
          </w:p>
        </w:tc>
        <w:tc>
          <w:tcPr>
            <w:tcW w:w="1359" w:type="dxa"/>
            <w:tcBorders>
              <w:bottom w:val="single" w:sz="2" w:space="0" w:color="FF0000"/>
            </w:tcBorders>
            <w:shd w:val="clear" w:color="auto" w:fill="DBE5F1" w:themeFill="accent1" w:themeFillTint="33"/>
            <w:vAlign w:val="center"/>
          </w:tcPr>
          <w:p w14:paraId="72FC9CC8" w14:textId="77777777" w:rsidR="00F82F91" w:rsidRPr="008A60B7" w:rsidRDefault="00F82F91" w:rsidP="00AA1860">
            <w:pPr>
              <w:spacing w:line="276" w:lineRule="auto"/>
              <w:ind w:left="-142" w:right="-84"/>
              <w:jc w:val="center"/>
              <w:rPr>
                <w:rFonts w:ascii="Arial Narrow" w:hAnsi="Arial Narrow"/>
                <w:b/>
                <w:sz w:val="18"/>
                <w:szCs w:val="18"/>
                <w:lang w:eastAsia="en-US"/>
              </w:rPr>
            </w:pPr>
            <w:r w:rsidRPr="008A60B7">
              <w:rPr>
                <w:rFonts w:ascii="Arial Narrow" w:hAnsi="Arial Narrow"/>
                <w:b/>
                <w:sz w:val="18"/>
                <w:szCs w:val="18"/>
                <w:lang w:eastAsia="en-US"/>
              </w:rPr>
              <w:t>Unit fee</w:t>
            </w:r>
          </w:p>
          <w:p w14:paraId="60179AF7" w14:textId="77777777" w:rsidR="00F82F91" w:rsidRPr="008A60B7" w:rsidRDefault="00F82F91" w:rsidP="00AA1860">
            <w:pPr>
              <w:spacing w:line="276" w:lineRule="auto"/>
              <w:ind w:left="-142" w:right="-219"/>
              <w:jc w:val="center"/>
              <w:rPr>
                <w:rFonts w:ascii="Arial Narrow" w:hAnsi="Arial Narrow"/>
                <w:b/>
                <w:sz w:val="18"/>
                <w:szCs w:val="18"/>
                <w:lang w:eastAsia="en-US"/>
              </w:rPr>
            </w:pPr>
            <w:r w:rsidRPr="008A60B7">
              <w:rPr>
                <w:rFonts w:ascii="Arial Narrow" w:hAnsi="Arial Narrow"/>
                <w:b/>
                <w:sz w:val="18"/>
                <w:szCs w:val="18"/>
                <w:lang w:eastAsia="en-US"/>
              </w:rPr>
              <w:t>▼</w:t>
            </w:r>
          </w:p>
        </w:tc>
      </w:tr>
      <w:tr w:rsidR="00F82F91" w:rsidRPr="008A60B7" w14:paraId="58D3ADCD" w14:textId="77777777" w:rsidTr="00AA1860">
        <w:trPr>
          <w:trHeight w:val="374"/>
        </w:trPr>
        <w:tc>
          <w:tcPr>
            <w:tcW w:w="7738" w:type="dxa"/>
            <w:tcBorders>
              <w:right w:val="single" w:sz="2" w:space="0" w:color="FF0000"/>
            </w:tcBorders>
            <w:shd w:val="clear" w:color="auto" w:fill="F2F2F2" w:themeFill="background1" w:themeFillShade="F2"/>
            <w:vAlign w:val="center"/>
          </w:tcPr>
          <w:p w14:paraId="2CF3AFEA" w14:textId="77777777" w:rsidR="00F82F91" w:rsidRPr="008A60B7" w:rsidRDefault="00F82F91" w:rsidP="00AA1860">
            <w:pPr>
              <w:spacing w:line="276" w:lineRule="auto"/>
              <w:ind w:left="34"/>
              <w:rPr>
                <w:rFonts w:ascii="Arial Narrow" w:hAnsi="Arial Narrow"/>
                <w:sz w:val="18"/>
                <w:szCs w:val="18"/>
                <w:lang w:eastAsia="en-US"/>
              </w:rPr>
            </w:pPr>
            <w:r w:rsidRPr="008A60B7">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B06306" w14:textId="77777777" w:rsidR="00F82F91" w:rsidRPr="008A60B7" w:rsidRDefault="00F82F91" w:rsidP="00AA1860">
            <w:pPr>
              <w:spacing w:line="276" w:lineRule="auto"/>
              <w:ind w:left="-142" w:right="-91"/>
              <w:jc w:val="center"/>
              <w:rPr>
                <w:rFonts w:ascii="Arial Narrow" w:hAnsi="Arial Narrow"/>
                <w:sz w:val="18"/>
                <w:szCs w:val="18"/>
                <w:lang w:eastAsia="en-US"/>
              </w:rPr>
            </w:pPr>
          </w:p>
        </w:tc>
      </w:tr>
    </w:tbl>
    <w:p w14:paraId="4BBF7C65" w14:textId="77777777" w:rsidR="00F82F91" w:rsidRPr="008A60B7" w:rsidRDefault="00F82F91" w:rsidP="00F82F91">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F82F91" w:rsidRPr="008A60B7" w14:paraId="7FA84264" w14:textId="77777777" w:rsidTr="00AA1860">
        <w:tc>
          <w:tcPr>
            <w:tcW w:w="8824" w:type="dxa"/>
            <w:shd w:val="clear" w:color="auto" w:fill="DBE5F1" w:themeFill="accent1" w:themeFillTint="33"/>
            <w:vAlign w:val="center"/>
          </w:tcPr>
          <w:p w14:paraId="0C141040" w14:textId="77777777" w:rsidR="00F82F91" w:rsidRPr="008A60B7" w:rsidRDefault="00F82F91" w:rsidP="00AA1860">
            <w:pPr>
              <w:spacing w:before="120" w:after="120"/>
              <w:rPr>
                <w:rFonts w:ascii="Arial Narrow" w:hAnsi="Arial Narrow"/>
                <w:sz w:val="20"/>
                <w:szCs w:val="20"/>
              </w:rPr>
            </w:pPr>
            <w:r w:rsidRPr="008A60B7">
              <w:rPr>
                <w:rFonts w:ascii="Arial Narrow" w:hAnsi="Arial Narrow"/>
                <w:sz w:val="20"/>
                <w:szCs w:val="20"/>
              </w:rPr>
              <w:t>This Framework Contract</w:t>
            </w:r>
            <w:r w:rsidRPr="008A60B7">
              <w:rPr>
                <w:rFonts w:ascii="Arial Narrow" w:eastAsia="Calibri" w:hAnsi="Arial Narrow" w:cs="Times New Roman"/>
                <w:sz w:val="20"/>
                <w:szCs w:val="20"/>
                <w:lang w:val="en-US" w:eastAsia="en-US"/>
              </w:rPr>
              <w:t xml:space="preserve"> for this lot takes effect as from the date of its signature by both parties</w:t>
            </w:r>
            <w:r w:rsidRPr="008A60B7">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352499605"/>
              <w:date w:fullDate="2018-12-31T00:00:00Z">
                <w:dateFormat w:val="dd/MM/yyyy"/>
                <w:lid w:val="fr-FR"/>
                <w:storeMappedDataAs w:val="dateTime"/>
                <w:calendar w:val="gregorian"/>
              </w:date>
            </w:sdtPr>
            <w:sdtEndPr>
              <w:rPr>
                <w:rStyle w:val="Style71"/>
              </w:rPr>
            </w:sdtEndPr>
            <w:sdtContent>
              <w:p w14:paraId="78C02DC1" w14:textId="77777777" w:rsidR="00F82F91" w:rsidRPr="008A60B7" w:rsidRDefault="00F82F91" w:rsidP="00AA1860">
                <w:pPr>
                  <w:spacing w:before="120" w:after="120"/>
                  <w:rPr>
                    <w:rFonts w:ascii="Arial Narrow" w:hAnsi="Arial Narrow"/>
                    <w:sz w:val="20"/>
                    <w:szCs w:val="20"/>
                  </w:rPr>
                </w:pPr>
                <w:r w:rsidRPr="008A60B7">
                  <w:rPr>
                    <w:rStyle w:val="Style71"/>
                    <w:szCs w:val="20"/>
                    <w:lang w:val="fr-FR"/>
                  </w:rPr>
                  <w:t>31/12/2018</w:t>
                </w:r>
              </w:p>
            </w:sdtContent>
          </w:sdt>
        </w:tc>
      </w:tr>
    </w:tbl>
    <w:p w14:paraId="09C8C01E" w14:textId="77777777" w:rsidR="00F82F91" w:rsidRPr="008A60B7" w:rsidRDefault="00F82F91" w:rsidP="003F5BE6">
      <w:pPr>
        <w:spacing w:before="60" w:after="120"/>
        <w:ind w:left="-142"/>
        <w:rPr>
          <w:rFonts w:ascii="Arial Narrow" w:hAnsi="Arial Narrow"/>
          <w:b/>
        </w:rPr>
      </w:pP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tblGrid>
      <w:tr w:rsidR="00F82F91" w:rsidRPr="008A60B7" w14:paraId="6C259F8A" w14:textId="77777777" w:rsidTr="00AA1860">
        <w:trPr>
          <w:trHeight w:val="688"/>
        </w:trPr>
        <w:tc>
          <w:tcPr>
            <w:tcW w:w="7738" w:type="dxa"/>
            <w:shd w:val="clear" w:color="auto" w:fill="DBE5F1" w:themeFill="accent1" w:themeFillTint="33"/>
            <w:vAlign w:val="center"/>
          </w:tcPr>
          <w:p w14:paraId="41459E53" w14:textId="7A2C1A0F" w:rsidR="00F82F91" w:rsidRPr="008A60B7" w:rsidRDefault="003F5BE6" w:rsidP="00F82F91">
            <w:pPr>
              <w:tabs>
                <w:tab w:val="left" w:pos="0"/>
              </w:tabs>
              <w:spacing w:line="276" w:lineRule="auto"/>
              <w:ind w:left="-142"/>
              <w:jc w:val="center"/>
              <w:rPr>
                <w:rFonts w:ascii="Arial Narrow" w:hAnsi="Arial Narrow"/>
                <w:b/>
                <w:sz w:val="18"/>
                <w:szCs w:val="18"/>
                <w:lang w:eastAsia="en-US"/>
              </w:rPr>
            </w:pPr>
            <w:r w:rsidRPr="008A60B7">
              <w:rPr>
                <w:rFonts w:ascii="Arial Narrow" w:hAnsi="Arial Narrow"/>
                <w:b/>
              </w:rPr>
              <w:br w:type="page"/>
            </w:r>
            <w:r w:rsidR="00F82F91" w:rsidRPr="008A60B7">
              <w:rPr>
                <w:rFonts w:ascii="Arial Narrow" w:hAnsi="Arial Narrow"/>
                <w:b/>
                <w:sz w:val="18"/>
                <w:szCs w:val="18"/>
                <w:lang w:eastAsia="en-US"/>
              </w:rPr>
              <w:t>LOT 7 - Type(s) of Units  ▼</w:t>
            </w:r>
          </w:p>
        </w:tc>
        <w:tc>
          <w:tcPr>
            <w:tcW w:w="1359" w:type="dxa"/>
            <w:tcBorders>
              <w:bottom w:val="single" w:sz="2" w:space="0" w:color="FF0000"/>
            </w:tcBorders>
            <w:shd w:val="clear" w:color="auto" w:fill="DBE5F1" w:themeFill="accent1" w:themeFillTint="33"/>
            <w:vAlign w:val="center"/>
          </w:tcPr>
          <w:p w14:paraId="26D7B550" w14:textId="77777777" w:rsidR="00F82F91" w:rsidRPr="008A60B7" w:rsidRDefault="00F82F91" w:rsidP="00AA1860">
            <w:pPr>
              <w:spacing w:line="276" w:lineRule="auto"/>
              <w:ind w:left="-142" w:right="-84"/>
              <w:jc w:val="center"/>
              <w:rPr>
                <w:rFonts w:ascii="Arial Narrow" w:hAnsi="Arial Narrow"/>
                <w:b/>
                <w:sz w:val="18"/>
                <w:szCs w:val="18"/>
                <w:lang w:eastAsia="en-US"/>
              </w:rPr>
            </w:pPr>
            <w:r w:rsidRPr="008A60B7">
              <w:rPr>
                <w:rFonts w:ascii="Arial Narrow" w:hAnsi="Arial Narrow"/>
                <w:b/>
                <w:sz w:val="18"/>
                <w:szCs w:val="18"/>
                <w:lang w:eastAsia="en-US"/>
              </w:rPr>
              <w:t>Unit fee</w:t>
            </w:r>
          </w:p>
          <w:p w14:paraId="3C538BC4" w14:textId="77777777" w:rsidR="00F82F91" w:rsidRPr="008A60B7" w:rsidRDefault="00F82F91" w:rsidP="00AA1860">
            <w:pPr>
              <w:spacing w:line="276" w:lineRule="auto"/>
              <w:ind w:left="-142" w:right="-219"/>
              <w:jc w:val="center"/>
              <w:rPr>
                <w:rFonts w:ascii="Arial Narrow" w:hAnsi="Arial Narrow"/>
                <w:b/>
                <w:sz w:val="18"/>
                <w:szCs w:val="18"/>
                <w:lang w:eastAsia="en-US"/>
              </w:rPr>
            </w:pPr>
            <w:r w:rsidRPr="008A60B7">
              <w:rPr>
                <w:rFonts w:ascii="Arial Narrow" w:hAnsi="Arial Narrow"/>
                <w:b/>
                <w:sz w:val="18"/>
                <w:szCs w:val="18"/>
                <w:lang w:eastAsia="en-US"/>
              </w:rPr>
              <w:t>▼</w:t>
            </w:r>
          </w:p>
        </w:tc>
      </w:tr>
      <w:tr w:rsidR="00F82F91" w:rsidRPr="008A60B7" w14:paraId="694BD974" w14:textId="77777777" w:rsidTr="00AA1860">
        <w:trPr>
          <w:trHeight w:val="374"/>
        </w:trPr>
        <w:tc>
          <w:tcPr>
            <w:tcW w:w="7738" w:type="dxa"/>
            <w:tcBorders>
              <w:right w:val="single" w:sz="2" w:space="0" w:color="FF0000"/>
            </w:tcBorders>
            <w:shd w:val="clear" w:color="auto" w:fill="F2F2F2" w:themeFill="background1" w:themeFillShade="F2"/>
            <w:vAlign w:val="center"/>
          </w:tcPr>
          <w:p w14:paraId="7A6659F4" w14:textId="77777777" w:rsidR="00F82F91" w:rsidRPr="008A60B7" w:rsidRDefault="00F82F91" w:rsidP="00AA1860">
            <w:pPr>
              <w:spacing w:line="276" w:lineRule="auto"/>
              <w:ind w:left="34"/>
              <w:rPr>
                <w:rFonts w:ascii="Arial Narrow" w:hAnsi="Arial Narrow"/>
                <w:sz w:val="18"/>
                <w:szCs w:val="18"/>
                <w:lang w:eastAsia="en-US"/>
              </w:rPr>
            </w:pPr>
            <w:r w:rsidRPr="008A60B7">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95EA57" w14:textId="77777777" w:rsidR="00F82F91" w:rsidRPr="008A60B7" w:rsidRDefault="00F82F91" w:rsidP="00AA1860">
            <w:pPr>
              <w:spacing w:line="276" w:lineRule="auto"/>
              <w:ind w:left="-142" w:right="-91"/>
              <w:jc w:val="center"/>
              <w:rPr>
                <w:rFonts w:ascii="Arial Narrow" w:hAnsi="Arial Narrow"/>
                <w:sz w:val="18"/>
                <w:szCs w:val="18"/>
                <w:lang w:eastAsia="en-US"/>
              </w:rPr>
            </w:pPr>
          </w:p>
        </w:tc>
      </w:tr>
    </w:tbl>
    <w:p w14:paraId="1DE22CC8" w14:textId="77777777" w:rsidR="00F82F91" w:rsidRPr="008A60B7" w:rsidRDefault="00F82F91" w:rsidP="00F82F91">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F82F91" w:rsidRPr="00AE14CD" w14:paraId="1354E3BB" w14:textId="77777777" w:rsidTr="00AA1860">
        <w:tc>
          <w:tcPr>
            <w:tcW w:w="8824" w:type="dxa"/>
            <w:shd w:val="clear" w:color="auto" w:fill="DBE5F1" w:themeFill="accent1" w:themeFillTint="33"/>
            <w:vAlign w:val="center"/>
          </w:tcPr>
          <w:p w14:paraId="08DCAEE1" w14:textId="77777777" w:rsidR="00F82F91" w:rsidRPr="008A60B7" w:rsidRDefault="00F82F91" w:rsidP="00AA1860">
            <w:pPr>
              <w:spacing w:before="120" w:after="120"/>
              <w:rPr>
                <w:rFonts w:ascii="Arial Narrow" w:hAnsi="Arial Narrow"/>
                <w:sz w:val="20"/>
                <w:szCs w:val="20"/>
              </w:rPr>
            </w:pPr>
            <w:r w:rsidRPr="008A60B7">
              <w:rPr>
                <w:rFonts w:ascii="Arial Narrow" w:hAnsi="Arial Narrow"/>
                <w:sz w:val="20"/>
                <w:szCs w:val="20"/>
              </w:rPr>
              <w:t>This Framework Contract</w:t>
            </w:r>
            <w:r w:rsidRPr="008A60B7">
              <w:rPr>
                <w:rFonts w:ascii="Arial Narrow" w:eastAsia="Calibri" w:hAnsi="Arial Narrow" w:cs="Times New Roman"/>
                <w:sz w:val="20"/>
                <w:szCs w:val="20"/>
                <w:lang w:val="en-US" w:eastAsia="en-US"/>
              </w:rPr>
              <w:t xml:space="preserve"> for this lot takes effect as from the date of its signature by both parties</w:t>
            </w:r>
            <w:r w:rsidRPr="008A60B7">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1848600792"/>
              <w:date w:fullDate="2018-12-31T00:00:00Z">
                <w:dateFormat w:val="dd/MM/yyyy"/>
                <w:lid w:val="fr-FR"/>
                <w:storeMappedDataAs w:val="dateTime"/>
                <w:calendar w:val="gregorian"/>
              </w:date>
            </w:sdtPr>
            <w:sdtEndPr>
              <w:rPr>
                <w:rStyle w:val="Style71"/>
              </w:rPr>
            </w:sdtEndPr>
            <w:sdtContent>
              <w:p w14:paraId="152DA663" w14:textId="77777777" w:rsidR="00F82F91" w:rsidRPr="00802563" w:rsidRDefault="00F82F91" w:rsidP="00AA1860">
                <w:pPr>
                  <w:spacing w:before="120" w:after="120"/>
                  <w:rPr>
                    <w:rFonts w:ascii="Arial Narrow" w:hAnsi="Arial Narrow"/>
                    <w:sz w:val="20"/>
                    <w:szCs w:val="20"/>
                  </w:rPr>
                </w:pPr>
                <w:r w:rsidRPr="008A60B7">
                  <w:rPr>
                    <w:rStyle w:val="Style71"/>
                    <w:szCs w:val="20"/>
                    <w:lang w:val="fr-FR"/>
                  </w:rPr>
                  <w:t>31/12/2018</w:t>
                </w:r>
              </w:p>
            </w:sdtContent>
          </w:sdt>
        </w:tc>
      </w:tr>
    </w:tbl>
    <w:p w14:paraId="09235224" w14:textId="37C38639" w:rsidR="003F5BE6" w:rsidRDefault="003F5BE6" w:rsidP="003F5BE6">
      <w:pPr>
        <w:ind w:left="-142"/>
        <w:rPr>
          <w:rFonts w:ascii="Arial Narrow" w:hAnsi="Arial Narrow"/>
          <w:b/>
        </w:rPr>
      </w:pPr>
    </w:p>
    <w:p w14:paraId="7432E9F4" w14:textId="77777777" w:rsidR="00F82F91" w:rsidRDefault="00F82F91" w:rsidP="002E59DA">
      <w:pPr>
        <w:pBdr>
          <w:bottom w:val="single" w:sz="2" w:space="1" w:color="808080" w:themeColor="background1" w:themeShade="80"/>
        </w:pBdr>
        <w:spacing w:before="60" w:after="120"/>
        <w:rPr>
          <w:rFonts w:ascii="Arial Narrow" w:hAnsi="Arial Narrow"/>
          <w:b/>
        </w:rPr>
      </w:pPr>
      <w:r>
        <w:rPr>
          <w:rFonts w:ascii="Arial Narrow" w:hAnsi="Arial Narrow"/>
          <w:b/>
        </w:rPr>
        <w:br w:type="page"/>
      </w:r>
    </w:p>
    <w:p w14:paraId="3D68B47E" w14:textId="512ADB7B"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F82F9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F82F9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F82F9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F82F9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F82F9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F82F9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F82F91">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F82F9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F82F9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F82F91">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F82F91">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w:t>
      </w:r>
      <w:proofErr w:type="spellStart"/>
      <w:r w:rsidRPr="007D4E81">
        <w:rPr>
          <w:rFonts w:ascii="Arial Narrow" w:hAnsi="Arial Narrow" w:cs="Times New Roman"/>
          <w:sz w:val="18"/>
          <w:szCs w:val="18"/>
          <w:lang w:eastAsia="fr-FR"/>
        </w:rPr>
        <w:t>CoE</w:t>
      </w:r>
      <w:proofErr w:type="spellEnd"/>
      <w:r w:rsidRPr="007D4E81">
        <w:rPr>
          <w:rFonts w:ascii="Arial Narrow" w:hAnsi="Arial Narrow" w:cs="Times New Roman"/>
          <w:sz w:val="18"/>
          <w:szCs w:val="18"/>
          <w:lang w:eastAsia="fr-FR"/>
        </w:rPr>
        <w:t xml:space="preserv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F82F91">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F82F91">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F82F91">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F82F91">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F82F91">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F82F91">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F82F91">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bookmarkEnd w:id="0"/>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0491AAA" w:rsidR="00533AAF" w:rsidRPr="00AE2D2B" w:rsidRDefault="00FE59E4" w:rsidP="004965C8">
          <w:pPr>
            <w:rPr>
              <w:rFonts w:ascii="Arial Narrow" w:hAnsi="Arial Narrow"/>
              <w:caps/>
              <w:color w:val="000000"/>
              <w:sz w:val="18"/>
              <w:szCs w:val="18"/>
              <w:highlight w:val="cyan"/>
            </w:rPr>
          </w:pPr>
          <w:r w:rsidRPr="00BC2A8B">
            <w:rPr>
              <w:rFonts w:ascii="Arial Narrow" w:hAnsi="Arial Narrow"/>
              <w:caps/>
              <w:color w:val="000000" w:themeColor="text1"/>
              <w:sz w:val="18"/>
              <w:szCs w:val="18"/>
            </w:rPr>
            <w:t>4485/2018/10FC</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8A60B7">
          <w:rPr>
            <w:rFonts w:ascii="Arial Narrow" w:hAnsi="Arial Narrow"/>
            <w:bCs/>
            <w:noProof/>
          </w:rPr>
          <w:t>6</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8A60B7">
          <w:rPr>
            <w:rFonts w:ascii="Arial Narrow" w:hAnsi="Arial Narrow"/>
            <w:bCs/>
            <w:noProof/>
          </w:rPr>
          <w:t>9</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23B7F"/>
    <w:multiLevelType w:val="hybridMultilevel"/>
    <w:tmpl w:val="5582E54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E68B4"/>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42427"/>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367B"/>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A60B7"/>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613AA"/>
    <w:rsid w:val="0097037F"/>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17D9"/>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87EA7"/>
    <w:rsid w:val="00BA355F"/>
    <w:rsid w:val="00BA535D"/>
    <w:rsid w:val="00BB11AE"/>
    <w:rsid w:val="00BB66CF"/>
    <w:rsid w:val="00BC2A8B"/>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1A84"/>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2F91"/>
    <w:rsid w:val="00F84B26"/>
    <w:rsid w:val="00FA7021"/>
    <w:rsid w:val="00FA70E6"/>
    <w:rsid w:val="00FB168A"/>
    <w:rsid w:val="00FC453F"/>
    <w:rsid w:val="00FC72C5"/>
    <w:rsid w:val="00FC7A03"/>
    <w:rsid w:val="00FC7E0E"/>
    <w:rsid w:val="00FD24F0"/>
    <w:rsid w:val="00FD4486"/>
    <w:rsid w:val="00FE1164"/>
    <w:rsid w:val="00FE4C32"/>
    <w:rsid w:val="00FE4FEF"/>
    <w:rsid w:val="00FE59E4"/>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0900466-403C-44E5-BBE4-430BE6AD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5644</Words>
  <Characters>32176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FEDORCHUK Orysya</cp:lastModifiedBy>
  <cp:revision>2</cp:revision>
  <cp:lastPrinted>2016-04-12T12:31:00Z</cp:lastPrinted>
  <dcterms:created xsi:type="dcterms:W3CDTF">2018-06-07T07:56:00Z</dcterms:created>
  <dcterms:modified xsi:type="dcterms:W3CDTF">2018-06-07T07:56:00Z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