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D5DB" w14:textId="77777777" w:rsidR="00F76DD3" w:rsidRPr="004F1B0E" w:rsidRDefault="00F76DD3" w:rsidP="00F76DD3">
      <w:pPr>
        <w:pStyle w:val="TKMAINTITLE"/>
        <w:rPr>
          <w:lang w:val="es-ES"/>
        </w:rPr>
      </w:pPr>
      <w:r w:rsidRPr="004F1B0E">
        <w:rPr>
          <w:lang w:val="es-ES"/>
        </w:rPr>
        <w:t xml:space="preserve">8 - </w:t>
      </w:r>
      <w:proofErr w:type="gramStart"/>
      <w:r w:rsidRPr="004F1B0E">
        <w:rPr>
          <w:lang w:val="es-ES"/>
        </w:rPr>
        <w:t>Somalí</w:t>
      </w:r>
      <w:proofErr w:type="gramEnd"/>
      <w:r w:rsidRPr="004F1B0E">
        <w:rPr>
          <w:lang w:val="es-ES"/>
        </w:rPr>
        <w:t>: algunos datos</w:t>
      </w:r>
    </w:p>
    <w:p w14:paraId="35D5EFED" w14:textId="77777777" w:rsidR="00F76DD3" w:rsidRPr="004F1B0E" w:rsidRDefault="00F76DD3" w:rsidP="00F76DD3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"/>
        </w:rPr>
      </w:pPr>
      <w:r w:rsidRPr="004F1B0E">
        <w:rPr>
          <w:lang w:val="es-ES"/>
        </w:rPr>
        <w:t>Finalidad: Dar una breve idea general de uno de los idiomas hablados por un amplio   número de refugiados.</w:t>
      </w:r>
    </w:p>
    <w:p w14:paraId="6B6227DE" w14:textId="77777777" w:rsidR="00F76DD3" w:rsidRPr="004F1B0E" w:rsidRDefault="00F76DD3" w:rsidP="00F76DD3">
      <w:pPr>
        <w:jc w:val="both"/>
      </w:pPr>
      <w:r w:rsidRPr="004F1B0E">
        <w:t xml:space="preserve">Saber cómo funciona el idioma somalí puede </w:t>
      </w:r>
      <w:r>
        <w:t xml:space="preserve">ser útil, </w:t>
      </w:r>
      <w:r w:rsidRPr="004F1B0E">
        <w:t xml:space="preserve">por un lado, para entender los problemas que experimentan quienes lo hablan para aprender otra lengua, y, por otro, </w:t>
      </w:r>
      <w:r>
        <w:t xml:space="preserve">para determinar aquello </w:t>
      </w:r>
      <w:r w:rsidRPr="004F1B0E">
        <w:t>que podría resultarles relativamente fácil. Además, es probable q</w:t>
      </w:r>
      <w:r>
        <w:t>ue los refugiados valoren que les</w:t>
      </w:r>
      <w:r w:rsidRPr="004F1B0E">
        <w:t xml:space="preserve"> pida</w:t>
      </w:r>
      <w:r>
        <w:t>mos</w:t>
      </w:r>
      <w:r w:rsidRPr="004F1B0E">
        <w:t xml:space="preserve"> </w:t>
      </w:r>
      <w:r>
        <w:t xml:space="preserve">su </w:t>
      </w:r>
      <w:r w:rsidRPr="004F1B0E">
        <w:t>ayud</w:t>
      </w:r>
      <w:r>
        <w:t>a</w:t>
      </w:r>
      <w:r w:rsidRPr="004F1B0E">
        <w:t xml:space="preserve"> </w:t>
      </w:r>
      <w:r>
        <w:t>par</w:t>
      </w:r>
      <w:r w:rsidRPr="004F1B0E">
        <w:t>a pronunciar correctamente nombres de personas y lugares</w:t>
      </w:r>
      <w:r>
        <w:t>,</w:t>
      </w:r>
      <w:r w:rsidRPr="004F1B0E">
        <w:t xml:space="preserve"> y que al menos </w:t>
      </w:r>
      <w:r>
        <w:t>intentemos</w:t>
      </w:r>
      <w:r w:rsidRPr="004F1B0E">
        <w:t xml:space="preserve"> utilizar algunas palabras o frases en su idioma (véase “</w:t>
      </w:r>
      <w:hyperlink r:id="rId8" w:history="1">
        <w:r w:rsidRPr="00AA1564">
          <w:rPr>
            <w:rStyle w:val="Lienhypertexte"/>
            <w:rFonts w:cs="Calibri"/>
          </w:rPr>
          <w:t>Lengua de origen</w:t>
        </w:r>
      </w:hyperlink>
      <w:r w:rsidRPr="004F1B0E">
        <w:t xml:space="preserve">"). </w:t>
      </w:r>
      <w:r>
        <w:t xml:space="preserve"> </w:t>
      </w:r>
    </w:p>
    <w:p w14:paraId="2FA06882" w14:textId="77777777" w:rsidR="00F76DD3" w:rsidRPr="004F1B0E" w:rsidRDefault="00F76DD3" w:rsidP="00F76DD3">
      <w:pPr>
        <w:pStyle w:val="TKTITRE1"/>
        <w:rPr>
          <w:lang w:val="es-ES"/>
        </w:rPr>
      </w:pPr>
      <w:r w:rsidRPr="004F1B0E">
        <w:rPr>
          <w:lang w:val="es-ES"/>
        </w:rPr>
        <w:t>Lugares en los que se habla el idioma</w:t>
      </w:r>
    </w:p>
    <w:p w14:paraId="37D61C9E" w14:textId="77777777" w:rsidR="00F76DD3" w:rsidRDefault="00F76DD3" w:rsidP="00F76DD3">
      <w:pPr>
        <w:pStyle w:val="TKTEXTE"/>
      </w:pPr>
      <w:r w:rsidRPr="004F1B0E">
        <w:t xml:space="preserve">El </w:t>
      </w:r>
      <w:proofErr w:type="spellStart"/>
      <w:r w:rsidRPr="004F1B0E">
        <w:t>somalí</w:t>
      </w:r>
      <w:proofErr w:type="spellEnd"/>
      <w:r w:rsidRPr="004F1B0E">
        <w:t xml:space="preserve"> se </w:t>
      </w:r>
      <w:proofErr w:type="spellStart"/>
      <w:r w:rsidRPr="004F1B0E">
        <w:t>habla</w:t>
      </w:r>
      <w:proofErr w:type="spellEnd"/>
      <w:r w:rsidRPr="004F1B0E">
        <w:t xml:space="preserve"> en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Cuerno</w:t>
      </w:r>
      <w:proofErr w:type="spellEnd"/>
      <w:r w:rsidRPr="004F1B0E">
        <w:t xml:space="preserve"> de </w:t>
      </w:r>
      <w:proofErr w:type="spellStart"/>
      <w:r w:rsidRPr="004F1B0E">
        <w:t>África</w:t>
      </w:r>
      <w:proofErr w:type="spellEnd"/>
      <w:r w:rsidRPr="004F1B0E">
        <w:t xml:space="preserve">. Es </w:t>
      </w:r>
      <w:proofErr w:type="spellStart"/>
      <w:r w:rsidRPr="004F1B0E">
        <w:t>común</w:t>
      </w:r>
      <w:proofErr w:type="spellEnd"/>
      <w:r w:rsidRPr="004F1B0E">
        <w:t xml:space="preserve"> en Somalia y, </w:t>
      </w:r>
      <w:proofErr w:type="spellStart"/>
      <w:r w:rsidRPr="004F1B0E">
        <w:t>desde</w:t>
      </w:r>
      <w:proofErr w:type="spellEnd"/>
      <w:r w:rsidRPr="004F1B0E">
        <w:t xml:space="preserve"> 1991, en la </w:t>
      </w:r>
      <w:proofErr w:type="spellStart"/>
      <w:r w:rsidRPr="004F1B0E">
        <w:t>República</w:t>
      </w:r>
      <w:proofErr w:type="spellEnd"/>
      <w:r w:rsidRPr="004F1B0E">
        <w:t xml:space="preserve"> de </w:t>
      </w:r>
      <w:proofErr w:type="spellStart"/>
      <w:r w:rsidRPr="004F1B0E">
        <w:t>Somalilandia</w:t>
      </w:r>
      <w:proofErr w:type="spellEnd"/>
      <w:r w:rsidRPr="004F1B0E">
        <w:t xml:space="preserve"> (</w:t>
      </w:r>
      <w:proofErr w:type="spellStart"/>
      <w:r w:rsidRPr="004F1B0E">
        <w:t>país</w:t>
      </w:r>
      <w:proofErr w:type="spellEnd"/>
      <w:r w:rsidRPr="004F1B0E">
        <w:t xml:space="preserve"> </w:t>
      </w:r>
      <w:proofErr w:type="spellStart"/>
      <w:r w:rsidRPr="004F1B0E">
        <w:t>independiente</w:t>
      </w:r>
      <w:proofErr w:type="spellEnd"/>
      <w:r w:rsidRPr="004F1B0E">
        <w:t xml:space="preserve"> </w:t>
      </w:r>
      <w:r w:rsidRPr="004F1B0E">
        <w:rPr>
          <w:i/>
        </w:rPr>
        <w:t>de facto</w:t>
      </w:r>
      <w:r>
        <w:t xml:space="preserve">, </w:t>
      </w:r>
      <w:proofErr w:type="spellStart"/>
      <w:r w:rsidRPr="004F1B0E">
        <w:t>pero</w:t>
      </w:r>
      <w:proofErr w:type="spellEnd"/>
      <w:r w:rsidRPr="004F1B0E">
        <w:t xml:space="preserve"> </w:t>
      </w:r>
      <w:proofErr w:type="spellStart"/>
      <w:r w:rsidRPr="004F1B0E">
        <w:t>no</w:t>
      </w:r>
      <w:proofErr w:type="spellEnd"/>
      <w:r w:rsidRPr="004F1B0E">
        <w:t xml:space="preserve"> </w:t>
      </w:r>
      <w:proofErr w:type="spellStart"/>
      <w:r w:rsidRPr="004F1B0E">
        <w:t>reconocido</w:t>
      </w:r>
      <w:proofErr w:type="spellEnd"/>
      <w:r w:rsidRPr="004F1B0E">
        <w:t xml:space="preserve"> </w:t>
      </w:r>
      <w:proofErr w:type="spellStart"/>
      <w:r w:rsidRPr="004F1B0E">
        <w:t>internacionalmente</w:t>
      </w:r>
      <w:proofErr w:type="spellEnd"/>
      <w:r w:rsidRPr="004F1B0E">
        <w:t xml:space="preserve">), en </w:t>
      </w:r>
      <w:proofErr w:type="spellStart"/>
      <w:r w:rsidRPr="004F1B0E">
        <w:t>Yibuti</w:t>
      </w:r>
      <w:proofErr w:type="spellEnd"/>
      <w:r w:rsidRPr="004F1B0E">
        <w:t xml:space="preserve">, en Kenia y en </w:t>
      </w:r>
      <w:proofErr w:type="spellStart"/>
      <w:r w:rsidRPr="004F1B0E">
        <w:t>Etiopía</w:t>
      </w:r>
      <w:proofErr w:type="spellEnd"/>
      <w:r w:rsidRPr="004F1B0E">
        <w:t xml:space="preserve">. Esta </w:t>
      </w:r>
      <w:proofErr w:type="spellStart"/>
      <w:r w:rsidRPr="004F1B0E">
        <w:t>división</w:t>
      </w:r>
      <w:proofErr w:type="spellEnd"/>
      <w:r w:rsidRPr="004F1B0E">
        <w:t xml:space="preserve"> de los </w:t>
      </w:r>
      <w:proofErr w:type="spellStart"/>
      <w:r w:rsidRPr="004F1B0E">
        <w:t>hablantes</w:t>
      </w:r>
      <w:proofErr w:type="spellEnd"/>
      <w:r w:rsidRPr="004F1B0E">
        <w:t xml:space="preserve"> de </w:t>
      </w:r>
      <w:proofErr w:type="spellStart"/>
      <w:r w:rsidRPr="004F1B0E">
        <w:t>somalí</w:t>
      </w:r>
      <w:proofErr w:type="spellEnd"/>
      <w:r w:rsidRPr="004F1B0E">
        <w:t xml:space="preserve"> en </w:t>
      </w:r>
      <w:proofErr w:type="spellStart"/>
      <w:r w:rsidRPr="004F1B0E">
        <w:t>cinco</w:t>
      </w:r>
      <w:proofErr w:type="spellEnd"/>
      <w:r w:rsidRPr="004F1B0E">
        <w:t xml:space="preserve"> </w:t>
      </w:r>
      <w:proofErr w:type="spellStart"/>
      <w:r w:rsidRPr="004F1B0E">
        <w:t>países</w:t>
      </w:r>
      <w:proofErr w:type="spellEnd"/>
      <w:r w:rsidRPr="004F1B0E">
        <w:t xml:space="preserve"> y la </w:t>
      </w:r>
      <w:proofErr w:type="spellStart"/>
      <w:r w:rsidRPr="004F1B0E">
        <w:t>actual</w:t>
      </w:r>
      <w:proofErr w:type="spellEnd"/>
      <w:r w:rsidRPr="004F1B0E">
        <w:t xml:space="preserve"> </w:t>
      </w:r>
      <w:proofErr w:type="spellStart"/>
      <w:r w:rsidRPr="004F1B0E">
        <w:t>situación</w:t>
      </w:r>
      <w:proofErr w:type="spellEnd"/>
      <w:r w:rsidRPr="004F1B0E">
        <w:t xml:space="preserve"> </w:t>
      </w:r>
      <w:r>
        <w:t xml:space="preserve">de las </w:t>
      </w:r>
      <w:proofErr w:type="spellStart"/>
      <w:r w:rsidRPr="004F1B0E">
        <w:t>frontera</w:t>
      </w:r>
      <w:r>
        <w:t>s</w:t>
      </w:r>
      <w:proofErr w:type="spellEnd"/>
      <w:r w:rsidRPr="004F1B0E">
        <w:t xml:space="preserve"> es </w:t>
      </w:r>
      <w:proofErr w:type="spellStart"/>
      <w:r>
        <w:t>un</w:t>
      </w:r>
      <w:proofErr w:type="spellEnd"/>
      <w:r>
        <w:t xml:space="preserve"> </w:t>
      </w:r>
      <w:proofErr w:type="spellStart"/>
      <w:r w:rsidRPr="004F1B0E">
        <w:t>legado</w:t>
      </w:r>
      <w:proofErr w:type="spellEnd"/>
      <w:r w:rsidRPr="004F1B0E">
        <w:t xml:space="preserve"> de la </w:t>
      </w:r>
      <w:proofErr w:type="spellStart"/>
      <w:r w:rsidRPr="004F1B0E">
        <w:t>era</w:t>
      </w:r>
      <w:proofErr w:type="spellEnd"/>
      <w:r w:rsidRPr="004F1B0E">
        <w:t xml:space="preserve"> </w:t>
      </w:r>
      <w:proofErr w:type="spellStart"/>
      <w:r w:rsidRPr="004F1B0E">
        <w:t>colonial</w:t>
      </w:r>
      <w:proofErr w:type="spellEnd"/>
      <w:r w:rsidRPr="004F1B0E">
        <w:t xml:space="preserve">. En la </w:t>
      </w:r>
      <w:proofErr w:type="spellStart"/>
      <w:r w:rsidRPr="004F1B0E">
        <w:t>llamada</w:t>
      </w:r>
      <w:proofErr w:type="spellEnd"/>
      <w:r w:rsidRPr="004F1B0E">
        <w:t xml:space="preserve"> </w:t>
      </w:r>
      <w:proofErr w:type="spellStart"/>
      <w:r w:rsidRPr="004F1B0E">
        <w:t>Conferencia</w:t>
      </w:r>
      <w:proofErr w:type="spellEnd"/>
      <w:r w:rsidRPr="004F1B0E">
        <w:t xml:space="preserve"> del </w:t>
      </w:r>
      <w:proofErr w:type="spellStart"/>
      <w:r w:rsidRPr="004F1B0E">
        <w:t>Congo</w:t>
      </w:r>
      <w:proofErr w:type="spellEnd"/>
      <w:r w:rsidRPr="004F1B0E">
        <w:t xml:space="preserve"> de 1884</w:t>
      </w:r>
      <w:r>
        <w:t>-85</w:t>
      </w:r>
      <w:r w:rsidRPr="004F1B0E">
        <w:t xml:space="preserve">, las </w:t>
      </w:r>
      <w:proofErr w:type="spellStart"/>
      <w:r w:rsidRPr="004F1B0E">
        <w:t>zonas</w:t>
      </w:r>
      <w:proofErr w:type="spellEnd"/>
      <w:r w:rsidRPr="004F1B0E">
        <w:t xml:space="preserve"> de </w:t>
      </w:r>
      <w:proofErr w:type="spellStart"/>
      <w:r w:rsidRPr="004F1B0E">
        <w:t>habla</w:t>
      </w:r>
      <w:proofErr w:type="spellEnd"/>
      <w:r w:rsidRPr="004F1B0E">
        <w:t xml:space="preserve"> </w:t>
      </w:r>
      <w:proofErr w:type="spellStart"/>
      <w:r w:rsidRPr="004F1B0E">
        <w:t>somalí</w:t>
      </w:r>
      <w:proofErr w:type="spellEnd"/>
      <w:r w:rsidRPr="004F1B0E">
        <w:t xml:space="preserve"> se </w:t>
      </w:r>
      <w:proofErr w:type="spellStart"/>
      <w:r w:rsidRPr="004F1B0E">
        <w:t>dividieron</w:t>
      </w:r>
      <w:proofErr w:type="spellEnd"/>
      <w:r w:rsidRPr="004F1B0E">
        <w:t xml:space="preserve"> en </w:t>
      </w:r>
      <w:proofErr w:type="spellStart"/>
      <w:r w:rsidRPr="004F1B0E">
        <w:t>cinco</w:t>
      </w:r>
      <w:proofErr w:type="spellEnd"/>
      <w:r w:rsidRPr="004F1B0E">
        <w:t xml:space="preserve"> </w:t>
      </w:r>
      <w:proofErr w:type="spellStart"/>
      <w:r>
        <w:t>regiones</w:t>
      </w:r>
      <w:proofErr w:type="spellEnd"/>
      <w:r>
        <w:t>:</w:t>
      </w:r>
      <w:r w:rsidRPr="004F1B0E">
        <w:t xml:space="preserve"> </w:t>
      </w:r>
      <w:proofErr w:type="spellStart"/>
      <w:r w:rsidRPr="004F1B0E">
        <w:t>África</w:t>
      </w:r>
      <w:proofErr w:type="spellEnd"/>
      <w:r w:rsidRPr="004F1B0E">
        <w:t xml:space="preserve"> Oriental </w:t>
      </w:r>
      <w:proofErr w:type="spellStart"/>
      <w:r w:rsidRPr="004F1B0E">
        <w:t>Británica</w:t>
      </w:r>
      <w:proofErr w:type="spellEnd"/>
      <w:r w:rsidRPr="004F1B0E">
        <w:t xml:space="preserve"> (</w:t>
      </w:r>
      <w:proofErr w:type="spellStart"/>
      <w:r w:rsidRPr="004F1B0E">
        <w:t>actual</w:t>
      </w:r>
      <w:proofErr w:type="spellEnd"/>
      <w:r w:rsidRPr="004F1B0E">
        <w:t xml:space="preserve"> Kenia), </w:t>
      </w:r>
      <w:proofErr w:type="spellStart"/>
      <w:r w:rsidRPr="004F1B0E">
        <w:t>Somalilandia</w:t>
      </w:r>
      <w:proofErr w:type="spellEnd"/>
      <w:r w:rsidRPr="004F1B0E">
        <w:t xml:space="preserve"> </w:t>
      </w:r>
      <w:proofErr w:type="spellStart"/>
      <w:r w:rsidRPr="004F1B0E">
        <w:t>Británica</w:t>
      </w:r>
      <w:proofErr w:type="spellEnd"/>
      <w:r w:rsidRPr="004F1B0E">
        <w:t xml:space="preserve"> (</w:t>
      </w:r>
      <w:proofErr w:type="spellStart"/>
      <w:r w:rsidRPr="004F1B0E">
        <w:t>actual</w:t>
      </w:r>
      <w:proofErr w:type="spellEnd"/>
      <w:r w:rsidRPr="004F1B0E">
        <w:t xml:space="preserve"> </w:t>
      </w:r>
      <w:proofErr w:type="spellStart"/>
      <w:r w:rsidRPr="004F1B0E">
        <w:t>Somalilandia</w:t>
      </w:r>
      <w:proofErr w:type="spellEnd"/>
      <w:r w:rsidRPr="004F1B0E">
        <w:t xml:space="preserve">), </w:t>
      </w:r>
      <w:proofErr w:type="spellStart"/>
      <w:r w:rsidRPr="004F1B0E">
        <w:t>Somalilandia</w:t>
      </w:r>
      <w:proofErr w:type="spellEnd"/>
      <w:r w:rsidRPr="004F1B0E">
        <w:t xml:space="preserve"> Italiana (</w:t>
      </w:r>
      <w:proofErr w:type="spellStart"/>
      <w:r w:rsidRPr="004F1B0E">
        <w:t>actual</w:t>
      </w:r>
      <w:proofErr w:type="spellEnd"/>
      <w:r w:rsidRPr="004F1B0E">
        <w:t xml:space="preserve"> Somalia), </w:t>
      </w:r>
      <w:proofErr w:type="spellStart"/>
      <w:r w:rsidRPr="004F1B0E">
        <w:t>Somalilandia</w:t>
      </w:r>
      <w:proofErr w:type="spellEnd"/>
      <w:r w:rsidRPr="004F1B0E">
        <w:t xml:space="preserve"> </w:t>
      </w:r>
      <w:proofErr w:type="spellStart"/>
      <w:r w:rsidRPr="004F1B0E">
        <w:t>Francesa</w:t>
      </w:r>
      <w:proofErr w:type="spellEnd"/>
      <w:r w:rsidRPr="004F1B0E">
        <w:t xml:space="preserve"> (</w:t>
      </w:r>
      <w:proofErr w:type="spellStart"/>
      <w:r w:rsidRPr="004F1B0E">
        <w:t>actual</w:t>
      </w:r>
      <w:proofErr w:type="spellEnd"/>
      <w:r w:rsidRPr="004F1B0E">
        <w:t xml:space="preserve"> </w:t>
      </w:r>
      <w:proofErr w:type="spellStart"/>
      <w:r w:rsidRPr="004F1B0E">
        <w:t>Yibuti</w:t>
      </w:r>
      <w:proofErr w:type="spellEnd"/>
      <w:r w:rsidRPr="004F1B0E">
        <w:t xml:space="preserve">) y </w:t>
      </w:r>
      <w:proofErr w:type="spellStart"/>
      <w:r w:rsidRPr="004F1B0E">
        <w:t>Abisinia</w:t>
      </w:r>
      <w:proofErr w:type="spellEnd"/>
      <w:r w:rsidRPr="004F1B0E">
        <w:t xml:space="preserve"> (</w:t>
      </w:r>
      <w:proofErr w:type="spellStart"/>
      <w:r w:rsidRPr="004F1B0E">
        <w:t>actual</w:t>
      </w:r>
      <w:proofErr w:type="spellEnd"/>
      <w:r w:rsidRPr="004F1B0E">
        <w:t xml:space="preserve"> </w:t>
      </w:r>
      <w:proofErr w:type="spellStart"/>
      <w:r w:rsidRPr="004F1B0E">
        <w:t>Etiopía</w:t>
      </w:r>
      <w:proofErr w:type="spellEnd"/>
      <w:r w:rsidRPr="004F1B0E">
        <w:t>).</w:t>
      </w:r>
    </w:p>
    <w:p w14:paraId="2C14A7A0" w14:textId="77777777" w:rsidR="00F76DD3" w:rsidRDefault="00F76DD3" w:rsidP="00F76DD3">
      <w:pPr>
        <w:pStyle w:val="TKTEXTE"/>
      </w:pPr>
      <w:proofErr w:type="spellStart"/>
      <w:r w:rsidRPr="004F1B0E">
        <w:t>Además</w:t>
      </w:r>
      <w:proofErr w:type="spellEnd"/>
      <w:r w:rsidRPr="004F1B0E">
        <w:t xml:space="preserve"> de </w:t>
      </w:r>
      <w:proofErr w:type="spellStart"/>
      <w:r w:rsidRPr="004F1B0E">
        <w:t>hablarse</w:t>
      </w:r>
      <w:proofErr w:type="spellEnd"/>
      <w:r w:rsidRPr="004F1B0E">
        <w:t xml:space="preserve"> en </w:t>
      </w:r>
      <w:proofErr w:type="spellStart"/>
      <w:r w:rsidRPr="004F1B0E">
        <w:t>estos</w:t>
      </w:r>
      <w:proofErr w:type="spellEnd"/>
      <w:r w:rsidRPr="004F1B0E">
        <w:t xml:space="preserve"> </w:t>
      </w:r>
      <w:proofErr w:type="spellStart"/>
      <w:r w:rsidRPr="004F1B0E">
        <w:t>países</w:t>
      </w:r>
      <w:proofErr w:type="spellEnd"/>
      <w:r w:rsidRPr="004F1B0E">
        <w:t xml:space="preserve"> </w:t>
      </w:r>
      <w:proofErr w:type="spellStart"/>
      <w:r w:rsidRPr="004F1B0E">
        <w:t>africanos</w:t>
      </w:r>
      <w:proofErr w:type="spellEnd"/>
      <w:r w:rsidRPr="004F1B0E">
        <w:t xml:space="preserve">,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somalí</w:t>
      </w:r>
      <w:proofErr w:type="spellEnd"/>
      <w:r w:rsidRPr="004F1B0E">
        <w:t xml:space="preserve"> es </w:t>
      </w:r>
      <w:proofErr w:type="spellStart"/>
      <w:r w:rsidRPr="004F1B0E">
        <w:t>también</w:t>
      </w:r>
      <w:proofErr w:type="spellEnd"/>
      <w:r w:rsidRPr="004F1B0E">
        <w:t xml:space="preserve">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idioma</w:t>
      </w:r>
      <w:proofErr w:type="spellEnd"/>
      <w:r w:rsidRPr="004F1B0E">
        <w:t xml:space="preserve"> de </w:t>
      </w:r>
      <w:proofErr w:type="spellStart"/>
      <w:r w:rsidRPr="004F1B0E">
        <w:t>minorías</w:t>
      </w:r>
      <w:proofErr w:type="spellEnd"/>
      <w:r w:rsidRPr="004F1B0E">
        <w:t xml:space="preserve"> </w:t>
      </w:r>
      <w:proofErr w:type="spellStart"/>
      <w:r w:rsidRPr="004F1B0E">
        <w:t>somalíes</w:t>
      </w:r>
      <w:proofErr w:type="spellEnd"/>
      <w:r w:rsidRPr="004F1B0E">
        <w:t xml:space="preserve"> en </w:t>
      </w:r>
      <w:proofErr w:type="spellStart"/>
      <w:r w:rsidRPr="004F1B0E">
        <w:t>otros</w:t>
      </w:r>
      <w:proofErr w:type="spellEnd"/>
      <w:r w:rsidRPr="004F1B0E">
        <w:t xml:space="preserve"> </w:t>
      </w:r>
      <w:proofErr w:type="spellStart"/>
      <w:r w:rsidRPr="004F1B0E">
        <w:t>países</w:t>
      </w:r>
      <w:proofErr w:type="spellEnd"/>
      <w:r w:rsidRPr="004F1B0E">
        <w:t xml:space="preserve">. Estas </w:t>
      </w:r>
      <w:proofErr w:type="spellStart"/>
      <w:r w:rsidRPr="004F1B0E">
        <w:t>minorías</w:t>
      </w:r>
      <w:proofErr w:type="spellEnd"/>
      <w:r w:rsidRPr="004F1B0E">
        <w:t xml:space="preserve"> se </w:t>
      </w:r>
      <w:proofErr w:type="spellStart"/>
      <w:r w:rsidRPr="004F1B0E">
        <w:t>desplazaron</w:t>
      </w:r>
      <w:proofErr w:type="spellEnd"/>
      <w:r w:rsidRPr="004F1B0E">
        <w:t xml:space="preserve">, </w:t>
      </w:r>
      <w:proofErr w:type="spellStart"/>
      <w:r w:rsidRPr="004F1B0E">
        <w:t>principalmente</w:t>
      </w:r>
      <w:proofErr w:type="spellEnd"/>
      <w:r w:rsidRPr="004F1B0E">
        <w:t xml:space="preserve">, a </w:t>
      </w:r>
      <w:proofErr w:type="spellStart"/>
      <w:r w:rsidRPr="004F1B0E">
        <w:t>Estados</w:t>
      </w:r>
      <w:proofErr w:type="spellEnd"/>
      <w:r w:rsidRPr="004F1B0E">
        <w:t xml:space="preserve"> </w:t>
      </w:r>
      <w:proofErr w:type="spellStart"/>
      <w:r w:rsidRPr="004F1B0E">
        <w:t>Unidos</w:t>
      </w:r>
      <w:proofErr w:type="spellEnd"/>
      <w:r w:rsidRPr="004F1B0E">
        <w:t xml:space="preserve"> y a Europa </w:t>
      </w:r>
      <w:proofErr w:type="spellStart"/>
      <w:r w:rsidRPr="004F1B0E">
        <w:t>tras</w:t>
      </w:r>
      <w:proofErr w:type="spellEnd"/>
      <w:r w:rsidRPr="004F1B0E">
        <w:t xml:space="preserve"> la </w:t>
      </w:r>
      <w:proofErr w:type="spellStart"/>
      <w:r w:rsidRPr="004F1B0E">
        <w:t>caída</w:t>
      </w:r>
      <w:proofErr w:type="spellEnd"/>
      <w:r w:rsidRPr="004F1B0E">
        <w:t xml:space="preserve"> del </w:t>
      </w:r>
      <w:proofErr w:type="spellStart"/>
      <w:r w:rsidRPr="004F1B0E">
        <w:t>presidente</w:t>
      </w:r>
      <w:proofErr w:type="spellEnd"/>
      <w:r w:rsidRPr="004F1B0E">
        <w:t xml:space="preserve"> Siad Barre en 1991 y </w:t>
      </w:r>
      <w:proofErr w:type="spellStart"/>
      <w:r w:rsidRPr="004F1B0E">
        <w:t>durante</w:t>
      </w:r>
      <w:proofErr w:type="spellEnd"/>
      <w:r w:rsidRPr="004F1B0E">
        <w:t xml:space="preserve"> la </w:t>
      </w:r>
      <w:proofErr w:type="spellStart"/>
      <w:r w:rsidRPr="004F1B0E">
        <w:t>posterior</w:t>
      </w:r>
      <w:proofErr w:type="spellEnd"/>
      <w:r w:rsidRPr="004F1B0E">
        <w:t xml:space="preserve"> </w:t>
      </w:r>
      <w:proofErr w:type="spellStart"/>
      <w:r w:rsidRPr="004F1B0E">
        <w:t>guerra</w:t>
      </w:r>
      <w:proofErr w:type="spellEnd"/>
      <w:r w:rsidRPr="004F1B0E">
        <w:t xml:space="preserve"> </w:t>
      </w:r>
      <w:proofErr w:type="spellStart"/>
      <w:r w:rsidRPr="004F1B0E">
        <w:t>civil</w:t>
      </w:r>
      <w:proofErr w:type="spellEnd"/>
      <w:r w:rsidRPr="004F1B0E">
        <w:t xml:space="preserve">. Se </w:t>
      </w:r>
      <w:proofErr w:type="spellStart"/>
      <w:r w:rsidRPr="004F1B0E">
        <w:t>calcula</w:t>
      </w:r>
      <w:proofErr w:type="spellEnd"/>
      <w:r w:rsidRPr="004F1B0E">
        <w:t xml:space="preserve"> </w:t>
      </w:r>
      <w:proofErr w:type="spellStart"/>
      <w:r w:rsidRPr="004F1B0E">
        <w:t>que</w:t>
      </w:r>
      <w:proofErr w:type="spellEnd"/>
      <w:r w:rsidRPr="004F1B0E">
        <w:t xml:space="preserve"> </w:t>
      </w:r>
      <w:proofErr w:type="spellStart"/>
      <w:r w:rsidRPr="004F1B0E">
        <w:t>unos</w:t>
      </w:r>
      <w:proofErr w:type="spellEnd"/>
      <w:r w:rsidRPr="004F1B0E">
        <w:t xml:space="preserve"> 12 </w:t>
      </w:r>
      <w:proofErr w:type="spellStart"/>
      <w:r w:rsidRPr="004F1B0E">
        <w:t>millones</w:t>
      </w:r>
      <w:proofErr w:type="spellEnd"/>
      <w:r w:rsidRPr="004F1B0E">
        <w:t xml:space="preserve"> de personas </w:t>
      </w:r>
      <w:proofErr w:type="spellStart"/>
      <w:r w:rsidRPr="004F1B0E">
        <w:t>hablan</w:t>
      </w:r>
      <w:proofErr w:type="spellEnd"/>
      <w:r w:rsidRPr="004F1B0E">
        <w:t xml:space="preserve"> </w:t>
      </w:r>
      <w:proofErr w:type="spellStart"/>
      <w:r w:rsidRPr="004F1B0E">
        <w:t>somalí</w:t>
      </w:r>
      <w:proofErr w:type="spellEnd"/>
      <w:r w:rsidRPr="004F1B0E">
        <w:t xml:space="preserve">. Sin </w:t>
      </w:r>
      <w:proofErr w:type="spellStart"/>
      <w:r w:rsidRPr="004F1B0E">
        <w:t>embargo</w:t>
      </w:r>
      <w:proofErr w:type="spellEnd"/>
      <w:r w:rsidRPr="004F1B0E">
        <w:t xml:space="preserve">, es </w:t>
      </w:r>
      <w:proofErr w:type="spellStart"/>
      <w:r w:rsidRPr="004F1B0E">
        <w:t>difícil</w:t>
      </w:r>
      <w:proofErr w:type="spellEnd"/>
      <w:r w:rsidRPr="004F1B0E">
        <w:t xml:space="preserve"> </w:t>
      </w:r>
      <w:proofErr w:type="spellStart"/>
      <w:r w:rsidRPr="004F1B0E">
        <w:t>calcularlo</w:t>
      </w:r>
      <w:proofErr w:type="spellEnd"/>
      <w:r w:rsidRPr="004F1B0E">
        <w:t xml:space="preserve"> </w:t>
      </w:r>
      <w:proofErr w:type="spellStart"/>
      <w:r w:rsidRPr="004F1B0E">
        <w:t>por</w:t>
      </w:r>
      <w:proofErr w:type="spellEnd"/>
      <w:r w:rsidRPr="004F1B0E">
        <w:t xml:space="preserve"> l</w:t>
      </w:r>
      <w:r>
        <w:t>a</w:t>
      </w:r>
      <w:r w:rsidRPr="004F1B0E">
        <w:t xml:space="preserve"> </w:t>
      </w:r>
      <w:proofErr w:type="spellStart"/>
      <w:r w:rsidRPr="004F1B0E">
        <w:t>inestable</w:t>
      </w:r>
      <w:proofErr w:type="spellEnd"/>
      <w:r w:rsidRPr="004F1B0E">
        <w:t xml:space="preserve"> </w:t>
      </w:r>
      <w:proofErr w:type="spellStart"/>
      <w:r w:rsidRPr="004F1B0E">
        <w:t>situación</w:t>
      </w:r>
      <w:proofErr w:type="spellEnd"/>
      <w:r w:rsidRPr="004F1B0E">
        <w:t xml:space="preserve"> en Somalia y la </w:t>
      </w:r>
      <w:proofErr w:type="spellStart"/>
      <w:r w:rsidRPr="004F1B0E">
        <w:t>magnitud</w:t>
      </w:r>
      <w:proofErr w:type="spellEnd"/>
      <w:r w:rsidRPr="004F1B0E">
        <w:t xml:space="preserve"> de la </w:t>
      </w:r>
      <w:proofErr w:type="spellStart"/>
      <w:r w:rsidRPr="004F1B0E">
        <w:t>diáspora</w:t>
      </w:r>
      <w:proofErr w:type="spellEnd"/>
      <w:r w:rsidRPr="004F1B0E">
        <w:t>.</w:t>
      </w:r>
    </w:p>
    <w:p w14:paraId="2F6F70E1" w14:textId="77777777" w:rsidR="00F76DD3" w:rsidRDefault="00F76DD3" w:rsidP="00F76DD3">
      <w:pPr>
        <w:pStyle w:val="TKTEXTE"/>
      </w:pPr>
      <w:r w:rsidRPr="004F1B0E">
        <w:t xml:space="preserve">El </w:t>
      </w:r>
      <w:proofErr w:type="spellStart"/>
      <w:r w:rsidRPr="004F1B0E">
        <w:t>somalí</w:t>
      </w:r>
      <w:proofErr w:type="spellEnd"/>
      <w:r w:rsidRPr="004F1B0E">
        <w:t xml:space="preserve"> </w:t>
      </w:r>
      <w:proofErr w:type="spellStart"/>
      <w:r w:rsidRPr="004F1B0E">
        <w:t>tiene</w:t>
      </w:r>
      <w:proofErr w:type="spellEnd"/>
      <w:r w:rsidRPr="004F1B0E"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préstamos</w:t>
      </w:r>
      <w:proofErr w:type="spellEnd"/>
      <w:r>
        <w:t xml:space="preserve"> de </w:t>
      </w:r>
      <w:proofErr w:type="spellStart"/>
      <w:r w:rsidRPr="004F1B0E">
        <w:t>antiguos</w:t>
      </w:r>
      <w:proofErr w:type="spellEnd"/>
      <w:r w:rsidRPr="004F1B0E">
        <w:t xml:space="preserve"> </w:t>
      </w:r>
      <w:proofErr w:type="spellStart"/>
      <w:r w:rsidRPr="004F1B0E">
        <w:t>idiomas</w:t>
      </w:r>
      <w:proofErr w:type="spellEnd"/>
      <w:r w:rsidRPr="004F1B0E">
        <w:t xml:space="preserve"> </w:t>
      </w:r>
      <w:proofErr w:type="spellStart"/>
      <w:r w:rsidRPr="004F1B0E">
        <w:t>coloniales</w:t>
      </w:r>
      <w:proofErr w:type="spellEnd"/>
      <w:r w:rsidRPr="004F1B0E">
        <w:t xml:space="preserve"> (</w:t>
      </w:r>
      <w:proofErr w:type="spellStart"/>
      <w:r w:rsidRPr="004F1B0E">
        <w:t>especialmente</w:t>
      </w:r>
      <w:proofErr w:type="spellEnd"/>
      <w:r w:rsidRPr="004F1B0E">
        <w:t xml:space="preserve">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italiano</w:t>
      </w:r>
      <w:proofErr w:type="spellEnd"/>
      <w:r w:rsidRPr="004F1B0E">
        <w:t xml:space="preserve"> y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inglés</w:t>
      </w:r>
      <w:proofErr w:type="spellEnd"/>
      <w:r w:rsidRPr="004F1B0E">
        <w:t xml:space="preserve">), </w:t>
      </w:r>
      <w:proofErr w:type="spellStart"/>
      <w:r w:rsidRPr="004F1B0E">
        <w:t>así</w:t>
      </w:r>
      <w:proofErr w:type="spellEnd"/>
      <w:r w:rsidRPr="004F1B0E">
        <w:t xml:space="preserve"> </w:t>
      </w:r>
      <w:proofErr w:type="spellStart"/>
      <w:r w:rsidRPr="004F1B0E">
        <w:t>como</w:t>
      </w:r>
      <w:proofErr w:type="spellEnd"/>
      <w:r w:rsidRPr="004F1B0E">
        <w:t xml:space="preserve"> del </w:t>
      </w:r>
      <w:proofErr w:type="spellStart"/>
      <w:r w:rsidRPr="004F1B0E">
        <w:t>árabe</w:t>
      </w:r>
      <w:proofErr w:type="spellEnd"/>
      <w:r w:rsidRPr="004F1B0E">
        <w:t xml:space="preserve"> y de </w:t>
      </w:r>
      <w:proofErr w:type="spellStart"/>
      <w:r w:rsidRPr="004F1B0E">
        <w:t>otros</w:t>
      </w:r>
      <w:proofErr w:type="spellEnd"/>
      <w:r w:rsidRPr="004F1B0E">
        <w:t xml:space="preserve"> </w:t>
      </w:r>
      <w:proofErr w:type="spellStart"/>
      <w:r w:rsidRPr="004F1B0E">
        <w:t>idiomas</w:t>
      </w:r>
      <w:proofErr w:type="spellEnd"/>
      <w:r w:rsidRPr="004F1B0E">
        <w:t xml:space="preserve"> “</w:t>
      </w:r>
      <w:proofErr w:type="spellStart"/>
      <w:r w:rsidRPr="004F1B0E">
        <w:t>orientales</w:t>
      </w:r>
      <w:proofErr w:type="spellEnd"/>
      <w:r w:rsidRPr="004F1B0E">
        <w:t xml:space="preserve">”. El Reino de </w:t>
      </w:r>
      <w:proofErr w:type="spellStart"/>
      <w:r w:rsidRPr="004F1B0E">
        <w:t>Axum</w:t>
      </w:r>
      <w:proofErr w:type="spellEnd"/>
      <w:r w:rsidRPr="004F1B0E">
        <w:t xml:space="preserve"> (</w:t>
      </w:r>
      <w:proofErr w:type="spellStart"/>
      <w:r w:rsidRPr="004F1B0E">
        <w:t>siglos</w:t>
      </w:r>
      <w:proofErr w:type="spellEnd"/>
      <w:r w:rsidRPr="004F1B0E">
        <w:t xml:space="preserve"> I a VII </w:t>
      </w:r>
      <w:proofErr w:type="spellStart"/>
      <w:r w:rsidRPr="004F1B0E">
        <w:t>d.C.</w:t>
      </w:r>
      <w:proofErr w:type="spellEnd"/>
      <w:r w:rsidRPr="004F1B0E">
        <w:t xml:space="preserve">) se </w:t>
      </w:r>
      <w:proofErr w:type="spellStart"/>
      <w:r w:rsidRPr="004F1B0E">
        <w:t>extendió</w:t>
      </w:r>
      <w:proofErr w:type="spellEnd"/>
      <w:r w:rsidRPr="004F1B0E">
        <w:t xml:space="preserve"> al </w:t>
      </w:r>
      <w:proofErr w:type="spellStart"/>
      <w:r w:rsidRPr="004F1B0E">
        <w:t>noroeste</w:t>
      </w:r>
      <w:proofErr w:type="spellEnd"/>
      <w:r w:rsidRPr="004F1B0E">
        <w:t xml:space="preserve"> de la </w:t>
      </w:r>
      <w:proofErr w:type="spellStart"/>
      <w:r w:rsidRPr="004F1B0E">
        <w:t>actual</w:t>
      </w:r>
      <w:proofErr w:type="spellEnd"/>
      <w:r w:rsidRPr="004F1B0E">
        <w:t xml:space="preserve"> Somalia. Durante </w:t>
      </w:r>
      <w:proofErr w:type="spellStart"/>
      <w:r w:rsidRPr="004F1B0E">
        <w:t>ese</w:t>
      </w:r>
      <w:proofErr w:type="spellEnd"/>
      <w:r w:rsidRPr="004F1B0E">
        <w:t xml:space="preserve"> </w:t>
      </w:r>
      <w:proofErr w:type="spellStart"/>
      <w:r w:rsidRPr="004F1B0E">
        <w:t>período</w:t>
      </w:r>
      <w:proofErr w:type="spellEnd"/>
      <w:r w:rsidRPr="004F1B0E">
        <w:t xml:space="preserve">,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idioma</w:t>
      </w:r>
      <w:proofErr w:type="spellEnd"/>
      <w:r w:rsidRPr="004F1B0E">
        <w:t xml:space="preserve"> </w:t>
      </w:r>
      <w:proofErr w:type="spellStart"/>
      <w:r w:rsidRPr="004F1B0E">
        <w:t>somalí</w:t>
      </w:r>
      <w:proofErr w:type="spellEnd"/>
      <w:r w:rsidRPr="004F1B0E"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expuesto</w:t>
      </w:r>
      <w:proofErr w:type="spellEnd"/>
      <w:r>
        <w:t xml:space="preserve"> a </w:t>
      </w:r>
      <w:proofErr w:type="spellStart"/>
      <w:r w:rsidRPr="004F1B0E">
        <w:t>influencias</w:t>
      </w:r>
      <w:proofErr w:type="spellEnd"/>
      <w:r w:rsidRPr="004F1B0E">
        <w:t xml:space="preserve"> del </w:t>
      </w:r>
      <w:proofErr w:type="spellStart"/>
      <w:r w:rsidRPr="004F1B0E">
        <w:t>árabe</w:t>
      </w:r>
      <w:proofErr w:type="spellEnd"/>
      <w:r w:rsidRPr="004F1B0E">
        <w:t xml:space="preserve"> y del </w:t>
      </w:r>
      <w:proofErr w:type="spellStart"/>
      <w:r w:rsidRPr="004F1B0E">
        <w:t>persa</w:t>
      </w:r>
      <w:proofErr w:type="spellEnd"/>
      <w:r w:rsidRPr="004F1B0E">
        <w:t xml:space="preserve"> </w:t>
      </w:r>
      <w:proofErr w:type="spellStart"/>
      <w:r w:rsidRPr="004F1B0E">
        <w:t>como</w:t>
      </w:r>
      <w:proofErr w:type="spellEnd"/>
      <w:r w:rsidRPr="004F1B0E">
        <w:t xml:space="preserve"> </w:t>
      </w:r>
      <w:proofErr w:type="spellStart"/>
      <w:r w:rsidRPr="004F1B0E">
        <w:t>consecuencia</w:t>
      </w:r>
      <w:proofErr w:type="spellEnd"/>
      <w:r w:rsidRPr="004F1B0E">
        <w:t xml:space="preserve"> del </w:t>
      </w:r>
      <w:proofErr w:type="spellStart"/>
      <w:r w:rsidRPr="004F1B0E">
        <w:t>comercio</w:t>
      </w:r>
      <w:proofErr w:type="spellEnd"/>
      <w:r w:rsidRPr="004F1B0E">
        <w:t xml:space="preserve"> </w:t>
      </w:r>
      <w:proofErr w:type="spellStart"/>
      <w:r w:rsidRPr="004F1B0E">
        <w:t>marítimo</w:t>
      </w:r>
      <w:proofErr w:type="spellEnd"/>
      <w:r w:rsidRPr="004F1B0E">
        <w:t>.</w:t>
      </w:r>
    </w:p>
    <w:p w14:paraId="614A33B7" w14:textId="77777777" w:rsidR="00F76DD3" w:rsidRPr="004F1B0E" w:rsidRDefault="00F76DD3" w:rsidP="00F76DD3">
      <w:pPr>
        <w:pStyle w:val="TKTITRE1"/>
        <w:rPr>
          <w:lang w:val="es-ES"/>
        </w:rPr>
      </w:pPr>
      <w:r w:rsidRPr="004F1B0E">
        <w:rPr>
          <w:lang w:val="es-ES"/>
        </w:rPr>
        <w:t>Algunas particularidades de la grafía somalí</w:t>
      </w:r>
    </w:p>
    <w:p w14:paraId="76AED45C" w14:textId="77777777" w:rsidR="00F76DD3" w:rsidRDefault="00F76DD3" w:rsidP="00F76DD3">
      <w:pPr>
        <w:pStyle w:val="TKTEXTE"/>
      </w:pPr>
      <w:r w:rsidRPr="004F1B0E">
        <w:t xml:space="preserve">En 1972 </w:t>
      </w:r>
      <w:proofErr w:type="spellStart"/>
      <w:r w:rsidRPr="004F1B0E">
        <w:t>un</w:t>
      </w:r>
      <w:proofErr w:type="spellEnd"/>
      <w:r w:rsidRPr="004F1B0E">
        <w:t xml:space="preserve"> </w:t>
      </w:r>
      <w:proofErr w:type="spellStart"/>
      <w:r w:rsidRPr="004F1B0E">
        <w:t>comité</w:t>
      </w:r>
      <w:proofErr w:type="spellEnd"/>
      <w:r w:rsidRPr="004F1B0E">
        <w:t xml:space="preserve"> de </w:t>
      </w:r>
      <w:proofErr w:type="spellStart"/>
      <w:r w:rsidRPr="004F1B0E">
        <w:t>lingüistas</w:t>
      </w:r>
      <w:proofErr w:type="spellEnd"/>
      <w:r w:rsidRPr="004F1B0E">
        <w:t xml:space="preserve"> </w:t>
      </w:r>
      <w:proofErr w:type="spellStart"/>
      <w:r w:rsidRPr="004F1B0E">
        <w:t>internacionales</w:t>
      </w:r>
      <w:proofErr w:type="spellEnd"/>
      <w:r w:rsidRPr="004F1B0E">
        <w:t xml:space="preserve"> </w:t>
      </w:r>
      <w:proofErr w:type="spellStart"/>
      <w:r w:rsidRPr="004F1B0E">
        <w:t>decidió</w:t>
      </w:r>
      <w:proofErr w:type="spellEnd"/>
      <w:r w:rsidRPr="004F1B0E">
        <w:t xml:space="preserve">, fundamentalmente </w:t>
      </w:r>
      <w:proofErr w:type="spellStart"/>
      <w:r w:rsidRPr="004F1B0E">
        <w:t>por</w:t>
      </w:r>
      <w:proofErr w:type="spellEnd"/>
      <w:r w:rsidRPr="004F1B0E">
        <w:t xml:space="preserve"> </w:t>
      </w:r>
      <w:proofErr w:type="spellStart"/>
      <w:r w:rsidRPr="004F1B0E">
        <w:t>motivos</w:t>
      </w:r>
      <w:proofErr w:type="spellEnd"/>
      <w:r w:rsidRPr="004F1B0E">
        <w:t xml:space="preserve"> </w:t>
      </w:r>
      <w:proofErr w:type="spellStart"/>
      <w:r w:rsidRPr="004F1B0E">
        <w:t>prácticos</w:t>
      </w:r>
      <w:proofErr w:type="spellEnd"/>
      <w:r w:rsidRPr="004F1B0E">
        <w:t xml:space="preserve">, </w:t>
      </w:r>
      <w:proofErr w:type="spellStart"/>
      <w:r w:rsidRPr="004F1B0E">
        <w:t>que</w:t>
      </w:r>
      <w:proofErr w:type="spellEnd"/>
      <w:r w:rsidRPr="004F1B0E">
        <w:t xml:space="preserve">, se </w:t>
      </w:r>
      <w:proofErr w:type="spellStart"/>
      <w:r w:rsidRPr="004F1B0E">
        <w:t>utilizara</w:t>
      </w:r>
      <w:proofErr w:type="spellEnd"/>
      <w:r w:rsidRPr="004F1B0E">
        <w:t xml:space="preserve">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alfabeto</w:t>
      </w:r>
      <w:proofErr w:type="spellEnd"/>
      <w:r w:rsidRPr="004F1B0E">
        <w:t xml:space="preserve"> </w:t>
      </w:r>
      <w:proofErr w:type="spellStart"/>
      <w:r w:rsidRPr="004F1B0E">
        <w:t>latino</w:t>
      </w:r>
      <w:proofErr w:type="spellEnd"/>
      <w:r w:rsidRPr="004F1B0E">
        <w:t xml:space="preserve"> </w:t>
      </w:r>
      <w:proofErr w:type="spellStart"/>
      <w:r w:rsidRPr="004F1B0E">
        <w:t>para</w:t>
      </w:r>
      <w:proofErr w:type="spellEnd"/>
      <w:r w:rsidRPr="004F1B0E">
        <w:t xml:space="preserve">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somalí</w:t>
      </w:r>
      <w:proofErr w:type="spellEnd"/>
      <w:r w:rsidRPr="004F1B0E">
        <w:t xml:space="preserve"> </w:t>
      </w:r>
      <w:proofErr w:type="spellStart"/>
      <w:r w:rsidRPr="004F1B0E">
        <w:t>escrito</w:t>
      </w:r>
      <w:proofErr w:type="spellEnd"/>
      <w:r w:rsidRPr="004F1B0E">
        <w:t xml:space="preserve">. </w:t>
      </w:r>
      <w:r>
        <w:t xml:space="preserve">El </w:t>
      </w:r>
      <w:proofErr w:type="spellStart"/>
      <w:r>
        <w:t>somalí</w:t>
      </w:r>
      <w:proofErr w:type="spellEnd"/>
      <w:r>
        <w:t xml:space="preserve"> </w:t>
      </w:r>
      <w:proofErr w:type="spellStart"/>
      <w:r>
        <w:t>no</w:t>
      </w:r>
      <w:proofErr w:type="spellEnd"/>
      <w:r w:rsidRPr="004F1B0E">
        <w:t xml:space="preserve"> </w:t>
      </w:r>
      <w:proofErr w:type="spellStart"/>
      <w:r w:rsidRPr="004F1B0E">
        <w:t>contiene</w:t>
      </w:r>
      <w:proofErr w:type="spellEnd"/>
      <w:r w:rsidRPr="004F1B0E">
        <w:t xml:space="preserve">, sin </w:t>
      </w:r>
      <w:proofErr w:type="spellStart"/>
      <w:r w:rsidRPr="004F1B0E">
        <w:t>embargo</w:t>
      </w:r>
      <w:proofErr w:type="spellEnd"/>
      <w:r w:rsidRPr="004F1B0E">
        <w:t xml:space="preserve">, </w:t>
      </w:r>
      <w:proofErr w:type="spellStart"/>
      <w:r w:rsidRPr="004F1B0E">
        <w:t>ningún</w:t>
      </w:r>
      <w:proofErr w:type="spellEnd"/>
      <w:r w:rsidRPr="004F1B0E">
        <w:t xml:space="preserve"> </w:t>
      </w:r>
      <w:proofErr w:type="spellStart"/>
      <w:r w:rsidRPr="004F1B0E">
        <w:t>carácter</w:t>
      </w:r>
      <w:proofErr w:type="spellEnd"/>
      <w:r w:rsidRPr="004F1B0E">
        <w:t xml:space="preserve"> </w:t>
      </w:r>
      <w:proofErr w:type="spellStart"/>
      <w:r w:rsidRPr="004F1B0E">
        <w:t>especial</w:t>
      </w:r>
      <w:proofErr w:type="spellEnd"/>
      <w:r w:rsidRPr="004F1B0E">
        <w:t xml:space="preserve">, </w:t>
      </w:r>
      <w:proofErr w:type="spellStart"/>
      <w:r w:rsidRPr="004F1B0E">
        <w:t>salvo</w:t>
      </w:r>
      <w:proofErr w:type="spellEnd"/>
      <w:r w:rsidRPr="004F1B0E">
        <w:t xml:space="preserve">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apóstrofe</w:t>
      </w:r>
      <w:proofErr w:type="spellEnd"/>
      <w:r w:rsidRPr="004F1B0E">
        <w:t xml:space="preserve">. El </w:t>
      </w:r>
      <w:proofErr w:type="spellStart"/>
      <w:r w:rsidRPr="004F1B0E">
        <w:t>orden</w:t>
      </w:r>
      <w:proofErr w:type="spellEnd"/>
      <w:r w:rsidRPr="004F1B0E">
        <w:t xml:space="preserve"> de las </w:t>
      </w:r>
      <w:proofErr w:type="spellStart"/>
      <w:r w:rsidRPr="004F1B0E">
        <w:t>letras</w:t>
      </w:r>
      <w:proofErr w:type="spellEnd"/>
      <w:r w:rsidRPr="004F1B0E">
        <w:t xml:space="preserve"> se </w:t>
      </w:r>
      <w:proofErr w:type="spellStart"/>
      <w:r w:rsidRPr="004F1B0E">
        <w:t>basa</w:t>
      </w:r>
      <w:proofErr w:type="spellEnd"/>
      <w:r w:rsidRPr="004F1B0E">
        <w:t xml:space="preserve"> en </w:t>
      </w:r>
      <w:proofErr w:type="spellStart"/>
      <w:r w:rsidRPr="004F1B0E">
        <w:t>el</w:t>
      </w:r>
      <w:proofErr w:type="spellEnd"/>
      <w:r w:rsidRPr="004F1B0E">
        <w:t xml:space="preserve"> del </w:t>
      </w:r>
      <w:proofErr w:type="spellStart"/>
      <w:r w:rsidRPr="004F1B0E">
        <w:t>alfabeto</w:t>
      </w:r>
      <w:proofErr w:type="spellEnd"/>
      <w:r w:rsidRPr="004F1B0E">
        <w:t xml:space="preserve"> </w:t>
      </w:r>
      <w:proofErr w:type="spellStart"/>
      <w:r w:rsidRPr="004F1B0E">
        <w:t>árabe</w:t>
      </w:r>
      <w:proofErr w:type="spellEnd"/>
      <w:r w:rsidRPr="004F1B0E">
        <w:t>.</w:t>
      </w:r>
    </w:p>
    <w:p w14:paraId="2C15C84E" w14:textId="77777777" w:rsidR="00F76DD3" w:rsidRPr="004F1B0E" w:rsidRDefault="00F76DD3" w:rsidP="00F76DD3">
      <w:pPr>
        <w:pStyle w:val="TKTITRE1"/>
        <w:rPr>
          <w:lang w:val="es-ES"/>
        </w:rPr>
      </w:pPr>
      <w:r w:rsidRPr="004F1B0E">
        <w:rPr>
          <w:lang w:val="es-ES"/>
        </w:rPr>
        <w:t>Algunas expresiones en somalí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6"/>
        <w:gridCol w:w="4846"/>
      </w:tblGrid>
      <w:tr w:rsidR="00F76DD3" w:rsidRPr="004F1B0E" w14:paraId="4BF50154" w14:textId="77777777" w:rsidTr="004A00B2">
        <w:trPr>
          <w:trHeight w:val="284"/>
        </w:trPr>
        <w:tc>
          <w:tcPr>
            <w:tcW w:w="5836" w:type="dxa"/>
            <w:shd w:val="clear" w:color="auto" w:fill="auto"/>
          </w:tcPr>
          <w:p w14:paraId="5AB22DFA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>Buenos días</w:t>
            </w:r>
          </w:p>
        </w:tc>
        <w:tc>
          <w:tcPr>
            <w:tcW w:w="4846" w:type="dxa"/>
          </w:tcPr>
          <w:p w14:paraId="009AC144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proofErr w:type="spellStart"/>
            <w:r w:rsidRPr="004F1B0E">
              <w:rPr>
                <w:lang w:val="es-ES"/>
              </w:rPr>
              <w:t>Subax</w:t>
            </w:r>
            <w:proofErr w:type="spellEnd"/>
            <w:r w:rsidRPr="004F1B0E">
              <w:rPr>
                <w:lang w:val="es-ES"/>
              </w:rPr>
              <w:t xml:space="preserve"> </w:t>
            </w:r>
            <w:proofErr w:type="spellStart"/>
            <w:r w:rsidRPr="004F1B0E">
              <w:rPr>
                <w:lang w:val="es-ES"/>
              </w:rPr>
              <w:t>wanaagsan</w:t>
            </w:r>
            <w:proofErr w:type="spellEnd"/>
            <w:r w:rsidRPr="004F1B0E">
              <w:rPr>
                <w:lang w:val="es-ES"/>
              </w:rPr>
              <w:t>!</w:t>
            </w:r>
          </w:p>
        </w:tc>
      </w:tr>
      <w:tr w:rsidR="00F76DD3" w:rsidRPr="004F1B0E" w14:paraId="641C9E1E" w14:textId="77777777" w:rsidTr="004A00B2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14:paraId="1140D321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>Hola (literalmente: ¿Hay paz?)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14:paraId="7EF04F3C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 xml:space="preserve">Ma </w:t>
            </w:r>
            <w:proofErr w:type="spellStart"/>
            <w:r w:rsidRPr="004F1B0E">
              <w:rPr>
                <w:lang w:val="es-ES"/>
              </w:rPr>
              <w:t>nabad</w:t>
            </w:r>
            <w:proofErr w:type="spellEnd"/>
            <w:r w:rsidRPr="004F1B0E">
              <w:rPr>
                <w:lang w:val="es-ES"/>
              </w:rPr>
              <w:t xml:space="preserve"> </w:t>
            </w:r>
            <w:proofErr w:type="spellStart"/>
            <w:r w:rsidRPr="004F1B0E">
              <w:rPr>
                <w:lang w:val="es-ES"/>
              </w:rPr>
              <w:t>baa</w:t>
            </w:r>
            <w:proofErr w:type="spellEnd"/>
            <w:r w:rsidRPr="004F1B0E">
              <w:rPr>
                <w:lang w:val="es-ES"/>
              </w:rPr>
              <w:t>?</w:t>
            </w:r>
          </w:p>
        </w:tc>
      </w:tr>
      <w:tr w:rsidR="00F76DD3" w:rsidRPr="004F1B0E" w14:paraId="472C2765" w14:textId="77777777" w:rsidTr="004A00B2">
        <w:trPr>
          <w:trHeight w:val="284"/>
        </w:trPr>
        <w:tc>
          <w:tcPr>
            <w:tcW w:w="5836" w:type="dxa"/>
            <w:shd w:val="clear" w:color="auto" w:fill="auto"/>
          </w:tcPr>
          <w:p w14:paraId="38EABF56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>Hola (literalmente – Hay paz (en respuesta)</w:t>
            </w:r>
          </w:p>
        </w:tc>
        <w:tc>
          <w:tcPr>
            <w:tcW w:w="4846" w:type="dxa"/>
          </w:tcPr>
          <w:p w14:paraId="20BB294D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proofErr w:type="spellStart"/>
            <w:r w:rsidRPr="004F1B0E">
              <w:rPr>
                <w:lang w:val="es-ES"/>
              </w:rPr>
              <w:t>Waa</w:t>
            </w:r>
            <w:proofErr w:type="spellEnd"/>
            <w:r w:rsidRPr="004F1B0E">
              <w:rPr>
                <w:lang w:val="es-ES"/>
              </w:rPr>
              <w:t xml:space="preserve"> </w:t>
            </w:r>
            <w:proofErr w:type="spellStart"/>
            <w:r w:rsidRPr="004F1B0E">
              <w:rPr>
                <w:lang w:val="es-ES"/>
              </w:rPr>
              <w:t>nabad</w:t>
            </w:r>
            <w:proofErr w:type="spellEnd"/>
          </w:p>
        </w:tc>
      </w:tr>
      <w:tr w:rsidR="00F76DD3" w:rsidRPr="004F1B0E" w14:paraId="57696D3A" w14:textId="77777777" w:rsidTr="004A00B2">
        <w:trPr>
          <w:trHeight w:val="284"/>
        </w:trPr>
        <w:tc>
          <w:tcPr>
            <w:tcW w:w="5836" w:type="dxa"/>
            <w:shd w:val="clear" w:color="auto" w:fill="D9D9D9" w:themeFill="background1" w:themeFillShade="D9"/>
          </w:tcPr>
          <w:p w14:paraId="03F01EEB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>Sí</w:t>
            </w:r>
          </w:p>
        </w:tc>
        <w:tc>
          <w:tcPr>
            <w:tcW w:w="4846" w:type="dxa"/>
            <w:shd w:val="clear" w:color="auto" w:fill="D9D9D9" w:themeFill="background1" w:themeFillShade="D9"/>
          </w:tcPr>
          <w:p w14:paraId="2DDECCF4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proofErr w:type="spellStart"/>
            <w:r w:rsidRPr="004F1B0E">
              <w:rPr>
                <w:lang w:val="es-ES"/>
              </w:rPr>
              <w:t>Haa</w:t>
            </w:r>
            <w:proofErr w:type="spellEnd"/>
          </w:p>
        </w:tc>
      </w:tr>
      <w:tr w:rsidR="00F76DD3" w:rsidRPr="004F1B0E" w14:paraId="40385FAC" w14:textId="77777777" w:rsidTr="004A00B2">
        <w:trPr>
          <w:trHeight w:val="284"/>
        </w:trPr>
        <w:tc>
          <w:tcPr>
            <w:tcW w:w="5836" w:type="dxa"/>
            <w:shd w:val="clear" w:color="auto" w:fill="auto"/>
          </w:tcPr>
          <w:p w14:paraId="029039F1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>No</w:t>
            </w:r>
          </w:p>
        </w:tc>
        <w:tc>
          <w:tcPr>
            <w:tcW w:w="4846" w:type="dxa"/>
          </w:tcPr>
          <w:p w14:paraId="720B8D4B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lang w:val="es-ES"/>
              </w:rPr>
            </w:pPr>
            <w:r w:rsidRPr="004F1B0E">
              <w:rPr>
                <w:lang w:val="es-ES"/>
              </w:rPr>
              <w:t>Maya</w:t>
            </w:r>
          </w:p>
        </w:tc>
      </w:tr>
    </w:tbl>
    <w:p w14:paraId="4DBB29C4" w14:textId="77777777" w:rsidR="00F76DD3" w:rsidRPr="004F1B0E" w:rsidRDefault="00F76DD3" w:rsidP="00F76DD3">
      <w:pPr>
        <w:spacing w:after="160" w:line="259" w:lineRule="auto"/>
        <w:rPr>
          <w:rFonts w:cs="Calibri"/>
          <w:b/>
          <w:sz w:val="28"/>
          <w:szCs w:val="28"/>
        </w:rPr>
      </w:pPr>
      <w:r w:rsidRPr="004F1B0E">
        <w:br w:type="page"/>
      </w:r>
    </w:p>
    <w:p w14:paraId="203E2DB4" w14:textId="77777777" w:rsidR="00F76DD3" w:rsidRPr="004F1B0E" w:rsidRDefault="00F76DD3" w:rsidP="00F76DD3">
      <w:pPr>
        <w:pStyle w:val="TKTITRE1"/>
        <w:rPr>
          <w:lang w:val="es-ES"/>
        </w:rPr>
      </w:pPr>
      <w:r w:rsidRPr="004F1B0E">
        <w:rPr>
          <w:lang w:val="es-ES"/>
        </w:rPr>
        <w:lastRenderedPageBreak/>
        <w:t>Alfabeto y pronunciación</w:t>
      </w:r>
    </w:p>
    <w:p w14:paraId="0C6C22A4" w14:textId="77777777" w:rsidR="00F76DD3" w:rsidRPr="004F1B0E" w:rsidRDefault="00F76DD3" w:rsidP="00F76DD3">
      <w:pPr>
        <w:pStyle w:val="TKTITRE2"/>
        <w:rPr>
          <w:lang w:val="es-ES"/>
        </w:rPr>
      </w:pPr>
      <w:r w:rsidRPr="004F1B0E">
        <w:rPr>
          <w:lang w:val="es-ES"/>
        </w:rPr>
        <w:t xml:space="preserve">Estas son las 26 letras del alfabeto somalí: </w:t>
      </w:r>
    </w:p>
    <w:p w14:paraId="2B79B5A9" w14:textId="77777777" w:rsidR="00F76DD3" w:rsidRPr="004F1B0E" w:rsidRDefault="00F76DD3" w:rsidP="00F76DD3">
      <w:pPr>
        <w:pStyle w:val="TKTEXTE"/>
      </w:pPr>
      <w:r w:rsidRPr="004F1B0E">
        <w:t>B, T, J, X, KH, D, R, S, SH, DH, C, G, F, Q, K, H, L, M, N, W, H, Y, A, E, I, O, U</w:t>
      </w:r>
    </w:p>
    <w:p w14:paraId="773AE431" w14:textId="77777777" w:rsidR="00F76DD3" w:rsidRPr="004F1B0E" w:rsidRDefault="00F76DD3" w:rsidP="00F76DD3">
      <w:pPr>
        <w:pStyle w:val="TKTITRE2"/>
        <w:rPr>
          <w:lang w:val="es-ES"/>
        </w:rPr>
      </w:pPr>
      <w:r w:rsidRPr="004F1B0E">
        <w:rPr>
          <w:lang w:val="es-ES"/>
        </w:rPr>
        <w:t>Algunas particularidades de la pronunciación:</w:t>
      </w:r>
    </w:p>
    <w:p w14:paraId="295116CD" w14:textId="77777777" w:rsidR="00F76DD3" w:rsidRPr="004F1B0E" w:rsidRDefault="00F76DD3" w:rsidP="00F76DD3">
      <w:pPr>
        <w:pStyle w:val="TKTEXTE"/>
      </w:pPr>
      <w:r w:rsidRPr="004F1B0E">
        <w:t>X – /h</w:t>
      </w:r>
    </w:p>
    <w:p w14:paraId="26E478A3" w14:textId="77777777" w:rsidR="00F76DD3" w:rsidRPr="004F1B0E" w:rsidRDefault="00F76DD3" w:rsidP="00F76DD3">
      <w:pPr>
        <w:pStyle w:val="TKTEXTE"/>
      </w:pPr>
      <w:r w:rsidRPr="004F1B0E">
        <w:t>C – /a</w:t>
      </w:r>
    </w:p>
    <w:p w14:paraId="25F4C79A" w14:textId="77777777" w:rsidR="00F76DD3" w:rsidRPr="004F1B0E" w:rsidRDefault="00F76DD3" w:rsidP="00F76DD3">
      <w:pPr>
        <w:pStyle w:val="TKTEXTE"/>
      </w:pPr>
      <w:r w:rsidRPr="004F1B0E">
        <w:t>Q – /k (</w:t>
      </w:r>
      <w:proofErr w:type="spellStart"/>
      <w:r w:rsidRPr="004F1B0E">
        <w:t>gutural</w:t>
      </w:r>
      <w:proofErr w:type="spellEnd"/>
      <w:r w:rsidRPr="004F1B0E">
        <w:t>)</w:t>
      </w:r>
    </w:p>
    <w:p w14:paraId="3A9A363D" w14:textId="77777777" w:rsidR="00F76DD3" w:rsidRDefault="00F76DD3" w:rsidP="00F76DD3">
      <w:pPr>
        <w:pStyle w:val="TKTEXTE"/>
      </w:pPr>
      <w:r w:rsidRPr="004F1B0E">
        <w:t xml:space="preserve">Para los </w:t>
      </w:r>
      <w:proofErr w:type="spellStart"/>
      <w:r w:rsidRPr="004F1B0E">
        <w:t>angloparlantes</w:t>
      </w:r>
      <w:proofErr w:type="spellEnd"/>
      <w:r w:rsidRPr="004F1B0E">
        <w:t xml:space="preserve">, la </w:t>
      </w:r>
      <w:proofErr w:type="spellStart"/>
      <w:r w:rsidRPr="004F1B0E">
        <w:t>letra</w:t>
      </w:r>
      <w:proofErr w:type="spellEnd"/>
      <w:r w:rsidRPr="004F1B0E">
        <w:t xml:space="preserve"> X (</w:t>
      </w:r>
      <w:proofErr w:type="spellStart"/>
      <w:r w:rsidRPr="004F1B0E">
        <w:t>pronunciada</w:t>
      </w:r>
      <w:proofErr w:type="spellEnd"/>
      <w:r w:rsidRPr="004F1B0E">
        <w:t xml:space="preserve"> </w:t>
      </w:r>
      <w:proofErr w:type="spellStart"/>
      <w:r w:rsidRPr="004F1B0E">
        <w:t>como</w:t>
      </w:r>
      <w:proofErr w:type="spellEnd"/>
      <w:r w:rsidRPr="004F1B0E">
        <w:t xml:space="preserve"> “H”) y la </w:t>
      </w:r>
      <w:proofErr w:type="spellStart"/>
      <w:r w:rsidRPr="004F1B0E">
        <w:t>letra</w:t>
      </w:r>
      <w:proofErr w:type="spellEnd"/>
      <w:r w:rsidRPr="004F1B0E">
        <w:t xml:space="preserve"> C (“a” </w:t>
      </w:r>
      <w:proofErr w:type="spellStart"/>
      <w:r w:rsidRPr="004F1B0E">
        <w:t>corta</w:t>
      </w:r>
      <w:proofErr w:type="spellEnd"/>
      <w:r w:rsidRPr="004F1B0E">
        <w:t xml:space="preserve">) </w:t>
      </w:r>
      <w:proofErr w:type="spellStart"/>
      <w:r w:rsidRPr="004F1B0E">
        <w:t>resultan</w:t>
      </w:r>
      <w:proofErr w:type="spellEnd"/>
      <w:r w:rsidRPr="004F1B0E">
        <w:t xml:space="preserve"> </w:t>
      </w:r>
      <w:proofErr w:type="spellStart"/>
      <w:r w:rsidRPr="004F1B0E">
        <w:t>particularmente</w:t>
      </w:r>
      <w:proofErr w:type="spellEnd"/>
      <w:r w:rsidRPr="004F1B0E">
        <w:t xml:space="preserve"> </w:t>
      </w:r>
      <w:proofErr w:type="spellStart"/>
      <w:r w:rsidRPr="004F1B0E">
        <w:t>confusas</w:t>
      </w:r>
      <w:proofErr w:type="spellEnd"/>
      <w:r w:rsidRPr="004F1B0E">
        <w:t xml:space="preserve">. </w:t>
      </w:r>
      <w:proofErr w:type="spellStart"/>
      <w:r w:rsidRPr="004F1B0E">
        <w:t>Por</w:t>
      </w:r>
      <w:proofErr w:type="spellEnd"/>
      <w:r w:rsidRPr="004F1B0E">
        <w:t xml:space="preserve"> </w:t>
      </w:r>
      <w:proofErr w:type="spellStart"/>
      <w:r w:rsidRPr="004F1B0E">
        <w:t>ejemplo</w:t>
      </w:r>
      <w:proofErr w:type="spellEnd"/>
      <w:r w:rsidRPr="004F1B0E">
        <w:t xml:space="preserve">, </w:t>
      </w:r>
      <w:proofErr w:type="spellStart"/>
      <w:r w:rsidRPr="004F1B0E">
        <w:t>el</w:t>
      </w:r>
      <w:proofErr w:type="spellEnd"/>
      <w:r w:rsidRPr="004F1B0E">
        <w:t xml:space="preserve"> </w:t>
      </w:r>
      <w:proofErr w:type="spellStart"/>
      <w:r w:rsidRPr="004F1B0E">
        <w:t>nombre</w:t>
      </w:r>
      <w:proofErr w:type="spellEnd"/>
      <w:r w:rsidRPr="004F1B0E">
        <w:t xml:space="preserve"> Mohamed se </w:t>
      </w:r>
      <w:proofErr w:type="spellStart"/>
      <w:r w:rsidRPr="004F1B0E">
        <w:t>escribe</w:t>
      </w:r>
      <w:proofErr w:type="spellEnd"/>
      <w:r w:rsidRPr="004F1B0E">
        <w:t xml:space="preserve"> </w:t>
      </w:r>
      <w:proofErr w:type="spellStart"/>
      <w:r w:rsidRPr="004F1B0E">
        <w:rPr>
          <w:i/>
        </w:rPr>
        <w:t>Maxamed</w:t>
      </w:r>
      <w:proofErr w:type="spellEnd"/>
      <w:r w:rsidRPr="004F1B0E">
        <w:t xml:space="preserve"> en </w:t>
      </w:r>
      <w:proofErr w:type="spellStart"/>
      <w:r w:rsidRPr="004F1B0E">
        <w:t>somalí</w:t>
      </w:r>
      <w:proofErr w:type="spellEnd"/>
      <w:r w:rsidRPr="004F1B0E">
        <w:t xml:space="preserve">, y Ali, </w:t>
      </w:r>
      <w:r w:rsidRPr="004F1B0E">
        <w:rPr>
          <w:i/>
        </w:rPr>
        <w:t>Cali</w:t>
      </w:r>
      <w:r w:rsidRPr="004F1B0E">
        <w:t>.</w:t>
      </w:r>
    </w:p>
    <w:p w14:paraId="491F8D17" w14:textId="77777777" w:rsidR="00F76DD3" w:rsidRPr="004F1B0E" w:rsidRDefault="00F76DD3" w:rsidP="00F76DD3">
      <w:pPr>
        <w:pStyle w:val="TKTITRE1"/>
        <w:rPr>
          <w:lang w:val="es-ES"/>
        </w:rPr>
      </w:pPr>
      <w:r w:rsidRPr="004F1B0E">
        <w:rPr>
          <w:lang w:val="es-ES"/>
        </w:rPr>
        <w:t>Números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0"/>
        <w:gridCol w:w="2671"/>
      </w:tblGrid>
      <w:tr w:rsidR="00F76DD3" w:rsidRPr="004F1B0E" w14:paraId="7958EF3F" w14:textId="77777777" w:rsidTr="004A00B2">
        <w:trPr>
          <w:trHeight w:val="284"/>
        </w:trPr>
        <w:tc>
          <w:tcPr>
            <w:tcW w:w="2670" w:type="dxa"/>
          </w:tcPr>
          <w:p w14:paraId="5A747768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>1</w:t>
            </w:r>
          </w:p>
        </w:tc>
        <w:tc>
          <w:tcPr>
            <w:tcW w:w="2671" w:type="dxa"/>
          </w:tcPr>
          <w:p w14:paraId="4115B8A2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kow</w:t>
            </w:r>
            <w:proofErr w:type="spellEnd"/>
          </w:p>
        </w:tc>
      </w:tr>
      <w:tr w:rsidR="00F76DD3" w:rsidRPr="004F1B0E" w14:paraId="5D87E582" w14:textId="77777777" w:rsidTr="004A00B2">
        <w:trPr>
          <w:trHeight w:val="284"/>
        </w:trPr>
        <w:tc>
          <w:tcPr>
            <w:tcW w:w="2670" w:type="dxa"/>
            <w:shd w:val="clear" w:color="auto" w:fill="D9D9D9" w:themeFill="background1" w:themeFillShade="D9"/>
          </w:tcPr>
          <w:p w14:paraId="63DF4044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>2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06B15EA0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laba</w:t>
            </w:r>
            <w:proofErr w:type="spellEnd"/>
          </w:p>
        </w:tc>
      </w:tr>
      <w:tr w:rsidR="00F76DD3" w:rsidRPr="004F1B0E" w14:paraId="7B518E11" w14:textId="77777777" w:rsidTr="004A00B2">
        <w:trPr>
          <w:trHeight w:val="284"/>
        </w:trPr>
        <w:tc>
          <w:tcPr>
            <w:tcW w:w="2670" w:type="dxa"/>
          </w:tcPr>
          <w:p w14:paraId="417C8DB5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>3</w:t>
            </w:r>
          </w:p>
        </w:tc>
        <w:tc>
          <w:tcPr>
            <w:tcW w:w="2671" w:type="dxa"/>
          </w:tcPr>
          <w:p w14:paraId="62553EA8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saddex</w:t>
            </w:r>
            <w:proofErr w:type="spellEnd"/>
          </w:p>
        </w:tc>
      </w:tr>
      <w:tr w:rsidR="00F76DD3" w:rsidRPr="004F1B0E" w14:paraId="396AF6F2" w14:textId="77777777" w:rsidTr="004A00B2">
        <w:trPr>
          <w:trHeight w:val="284"/>
        </w:trPr>
        <w:tc>
          <w:tcPr>
            <w:tcW w:w="2670" w:type="dxa"/>
            <w:shd w:val="clear" w:color="auto" w:fill="D9D9D9" w:themeFill="background1" w:themeFillShade="D9"/>
          </w:tcPr>
          <w:p w14:paraId="02C4169E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>4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37A4695D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afar</w:t>
            </w:r>
            <w:proofErr w:type="spellEnd"/>
          </w:p>
        </w:tc>
      </w:tr>
      <w:tr w:rsidR="00F76DD3" w:rsidRPr="004F1B0E" w14:paraId="5A18A7AA" w14:textId="77777777" w:rsidTr="004A00B2">
        <w:trPr>
          <w:trHeight w:val="284"/>
        </w:trPr>
        <w:tc>
          <w:tcPr>
            <w:tcW w:w="2670" w:type="dxa"/>
          </w:tcPr>
          <w:p w14:paraId="57906A72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5 </w:t>
            </w:r>
          </w:p>
        </w:tc>
        <w:tc>
          <w:tcPr>
            <w:tcW w:w="2671" w:type="dxa"/>
          </w:tcPr>
          <w:p w14:paraId="5A506AA8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shan</w:t>
            </w:r>
            <w:proofErr w:type="spellEnd"/>
            <w:r w:rsidRPr="004F1B0E">
              <w:rPr>
                <w:rFonts w:eastAsia="MS MinNew Roman"/>
                <w:lang w:val="es-ES"/>
              </w:rPr>
              <w:t xml:space="preserve"> </w:t>
            </w:r>
          </w:p>
        </w:tc>
      </w:tr>
      <w:tr w:rsidR="00F76DD3" w:rsidRPr="004F1B0E" w14:paraId="52E7E34B" w14:textId="77777777" w:rsidTr="004A00B2">
        <w:trPr>
          <w:trHeight w:val="284"/>
        </w:trPr>
        <w:tc>
          <w:tcPr>
            <w:tcW w:w="2670" w:type="dxa"/>
            <w:shd w:val="clear" w:color="auto" w:fill="D9D9D9" w:themeFill="background1" w:themeFillShade="D9"/>
          </w:tcPr>
          <w:p w14:paraId="7EE50F87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6 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3491A807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lix</w:t>
            </w:r>
            <w:proofErr w:type="spellEnd"/>
            <w:r w:rsidRPr="004F1B0E">
              <w:rPr>
                <w:rFonts w:eastAsia="MS MinNew Roman"/>
                <w:lang w:val="es-ES"/>
              </w:rPr>
              <w:t xml:space="preserve"> </w:t>
            </w:r>
          </w:p>
        </w:tc>
      </w:tr>
      <w:tr w:rsidR="00F76DD3" w:rsidRPr="004F1B0E" w14:paraId="51991581" w14:textId="77777777" w:rsidTr="004A00B2">
        <w:trPr>
          <w:trHeight w:val="284"/>
        </w:trPr>
        <w:tc>
          <w:tcPr>
            <w:tcW w:w="2670" w:type="dxa"/>
          </w:tcPr>
          <w:p w14:paraId="25078A6A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7 </w:t>
            </w:r>
          </w:p>
        </w:tc>
        <w:tc>
          <w:tcPr>
            <w:tcW w:w="2671" w:type="dxa"/>
          </w:tcPr>
          <w:p w14:paraId="2D55DA01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todoba</w:t>
            </w:r>
            <w:proofErr w:type="spellEnd"/>
            <w:r w:rsidRPr="004F1B0E">
              <w:rPr>
                <w:rFonts w:eastAsia="MS MinNew Roman"/>
                <w:lang w:val="es-ES"/>
              </w:rPr>
              <w:t xml:space="preserve"> </w:t>
            </w:r>
          </w:p>
        </w:tc>
      </w:tr>
      <w:tr w:rsidR="00F76DD3" w:rsidRPr="004F1B0E" w14:paraId="7F13D91A" w14:textId="77777777" w:rsidTr="004A00B2">
        <w:trPr>
          <w:trHeight w:val="284"/>
        </w:trPr>
        <w:tc>
          <w:tcPr>
            <w:tcW w:w="2670" w:type="dxa"/>
            <w:shd w:val="clear" w:color="auto" w:fill="D9D9D9" w:themeFill="background1" w:themeFillShade="D9"/>
          </w:tcPr>
          <w:p w14:paraId="78DAD817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8 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7EA0EF93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sideed</w:t>
            </w:r>
            <w:proofErr w:type="spellEnd"/>
            <w:r w:rsidRPr="004F1B0E">
              <w:rPr>
                <w:rFonts w:eastAsia="MS MinNew Roman"/>
                <w:lang w:val="es-ES"/>
              </w:rPr>
              <w:t xml:space="preserve"> </w:t>
            </w:r>
          </w:p>
        </w:tc>
      </w:tr>
      <w:tr w:rsidR="00F76DD3" w:rsidRPr="004F1B0E" w14:paraId="726D9E55" w14:textId="77777777" w:rsidTr="004A00B2">
        <w:trPr>
          <w:trHeight w:val="284"/>
        </w:trPr>
        <w:tc>
          <w:tcPr>
            <w:tcW w:w="2670" w:type="dxa"/>
          </w:tcPr>
          <w:p w14:paraId="377CC0A5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9 </w:t>
            </w:r>
          </w:p>
        </w:tc>
        <w:tc>
          <w:tcPr>
            <w:tcW w:w="2671" w:type="dxa"/>
          </w:tcPr>
          <w:p w14:paraId="47F739B5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proofErr w:type="spellStart"/>
            <w:r w:rsidRPr="004F1B0E">
              <w:rPr>
                <w:rFonts w:eastAsia="MS MinNew Roman"/>
                <w:lang w:val="es-ES"/>
              </w:rPr>
              <w:t>sagal</w:t>
            </w:r>
            <w:proofErr w:type="spellEnd"/>
            <w:r w:rsidRPr="004F1B0E">
              <w:rPr>
                <w:rFonts w:eastAsia="MS MinNew Roman"/>
                <w:lang w:val="es-ES"/>
              </w:rPr>
              <w:t xml:space="preserve"> </w:t>
            </w:r>
          </w:p>
        </w:tc>
      </w:tr>
      <w:tr w:rsidR="00F76DD3" w:rsidRPr="004F1B0E" w14:paraId="7E534883" w14:textId="77777777" w:rsidTr="004A00B2">
        <w:trPr>
          <w:trHeight w:val="284"/>
        </w:trPr>
        <w:tc>
          <w:tcPr>
            <w:tcW w:w="2670" w:type="dxa"/>
            <w:shd w:val="clear" w:color="auto" w:fill="D9D9D9" w:themeFill="background1" w:themeFillShade="D9"/>
          </w:tcPr>
          <w:p w14:paraId="72600AF4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10 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69911804" w14:textId="77777777" w:rsidR="00F76DD3" w:rsidRPr="004F1B0E" w:rsidRDefault="00F76DD3" w:rsidP="004A00B2">
            <w:pPr>
              <w:pStyle w:val="TKTextetableau"/>
              <w:framePr w:hSpace="0" w:wrap="auto" w:vAnchor="margin" w:yAlign="inline"/>
              <w:rPr>
                <w:rFonts w:eastAsia="MS MinNew Roman"/>
                <w:lang w:val="es-ES"/>
              </w:rPr>
            </w:pPr>
            <w:r w:rsidRPr="004F1B0E">
              <w:rPr>
                <w:rFonts w:eastAsia="MS MinNew Roman"/>
                <w:lang w:val="es-ES"/>
              </w:rPr>
              <w:t xml:space="preserve">toban </w:t>
            </w:r>
          </w:p>
        </w:tc>
      </w:tr>
    </w:tbl>
    <w:p w14:paraId="5C11BB7B" w14:textId="77777777" w:rsidR="00F76DD3" w:rsidRPr="00DD7190" w:rsidRDefault="00F76DD3" w:rsidP="00F76DD3">
      <w:pPr>
        <w:pStyle w:val="TKnotes"/>
        <w:jc w:val="both"/>
        <w:rPr>
          <w:lang w:val="es-ES"/>
        </w:rPr>
      </w:pPr>
      <w:r w:rsidRPr="004F1B0E">
        <w:rPr>
          <w:lang w:val="es-ES"/>
        </w:rPr>
        <w:t>Fuente: “</w:t>
      </w:r>
      <w:proofErr w:type="spellStart"/>
      <w:r w:rsidRPr="004F1B0E">
        <w:rPr>
          <w:b/>
          <w:lang w:val="es-ES"/>
        </w:rPr>
        <w:t>Sprachensteckbrief</w:t>
      </w:r>
      <w:proofErr w:type="spellEnd"/>
      <w:r w:rsidRPr="004F1B0E">
        <w:rPr>
          <w:b/>
          <w:lang w:val="es-ES"/>
        </w:rPr>
        <w:t xml:space="preserve"> </w:t>
      </w:r>
      <w:proofErr w:type="spellStart"/>
      <w:r w:rsidRPr="004F1B0E">
        <w:rPr>
          <w:b/>
          <w:lang w:val="es-ES"/>
        </w:rPr>
        <w:t>Somali</w:t>
      </w:r>
      <w:proofErr w:type="spellEnd"/>
      <w:r w:rsidRPr="004F1B0E">
        <w:rPr>
          <w:lang w:val="es-ES"/>
        </w:rPr>
        <w:t xml:space="preserve">”, </w:t>
      </w:r>
      <w:proofErr w:type="spellStart"/>
      <w:r w:rsidRPr="004F1B0E">
        <w:rPr>
          <w:lang w:val="es-ES"/>
        </w:rPr>
        <w:t>Schule</w:t>
      </w:r>
      <w:proofErr w:type="spellEnd"/>
      <w:r w:rsidRPr="004F1B0E">
        <w:rPr>
          <w:lang w:val="es-ES"/>
        </w:rPr>
        <w:t xml:space="preserve"> </w:t>
      </w:r>
      <w:proofErr w:type="spellStart"/>
      <w:r w:rsidRPr="004F1B0E">
        <w:rPr>
          <w:lang w:val="es-ES"/>
        </w:rPr>
        <w:t>Mehrsprachig</w:t>
      </w:r>
      <w:proofErr w:type="spellEnd"/>
      <w:r w:rsidRPr="004F1B0E">
        <w:rPr>
          <w:lang w:val="es-ES"/>
        </w:rPr>
        <w:t xml:space="preserve">, </w:t>
      </w:r>
      <w:proofErr w:type="spellStart"/>
      <w:r w:rsidRPr="004F1B0E">
        <w:rPr>
          <w:lang w:val="es-ES"/>
        </w:rPr>
        <w:t>Eine</w:t>
      </w:r>
      <w:proofErr w:type="spellEnd"/>
      <w:r w:rsidRPr="004F1B0E">
        <w:rPr>
          <w:lang w:val="es-ES"/>
        </w:rPr>
        <w:t xml:space="preserve"> </w:t>
      </w:r>
      <w:proofErr w:type="spellStart"/>
      <w:r w:rsidRPr="004F1B0E">
        <w:rPr>
          <w:lang w:val="es-ES"/>
        </w:rPr>
        <w:t>Information</w:t>
      </w:r>
      <w:proofErr w:type="spellEnd"/>
      <w:r w:rsidRPr="004F1B0E">
        <w:rPr>
          <w:lang w:val="es-ES"/>
        </w:rPr>
        <w:t xml:space="preserve"> des </w:t>
      </w:r>
      <w:proofErr w:type="spellStart"/>
      <w:r w:rsidRPr="004F1B0E">
        <w:rPr>
          <w:lang w:val="es-ES"/>
        </w:rPr>
        <w:t>Bundesministeriums</w:t>
      </w:r>
      <w:proofErr w:type="spellEnd"/>
      <w:r w:rsidRPr="004F1B0E">
        <w:rPr>
          <w:lang w:val="es-ES"/>
        </w:rPr>
        <w:t xml:space="preserve"> </w:t>
      </w:r>
      <w:proofErr w:type="spellStart"/>
      <w:r w:rsidRPr="004F1B0E">
        <w:rPr>
          <w:lang w:val="es-ES"/>
        </w:rPr>
        <w:t>für</w:t>
      </w:r>
      <w:proofErr w:type="spellEnd"/>
      <w:r w:rsidRPr="004F1B0E">
        <w:rPr>
          <w:lang w:val="es-ES"/>
        </w:rPr>
        <w:t xml:space="preserve"> </w:t>
      </w:r>
      <w:proofErr w:type="spellStart"/>
      <w:r w:rsidRPr="004F1B0E">
        <w:rPr>
          <w:lang w:val="es-ES"/>
        </w:rPr>
        <w:t>Unterricht</w:t>
      </w:r>
      <w:proofErr w:type="spellEnd"/>
      <w:r w:rsidRPr="004F1B0E">
        <w:rPr>
          <w:lang w:val="es-ES"/>
        </w:rPr>
        <w:t xml:space="preserve">, </w:t>
      </w:r>
      <w:proofErr w:type="spellStart"/>
      <w:r w:rsidRPr="004F1B0E">
        <w:rPr>
          <w:lang w:val="es-ES"/>
        </w:rPr>
        <w:t>Kunst</w:t>
      </w:r>
      <w:proofErr w:type="spellEnd"/>
      <w:r w:rsidRPr="004F1B0E">
        <w:rPr>
          <w:lang w:val="es-ES"/>
        </w:rPr>
        <w:t xml:space="preserve"> </w:t>
      </w:r>
      <w:proofErr w:type="spellStart"/>
      <w:r w:rsidRPr="004F1B0E">
        <w:rPr>
          <w:lang w:val="es-ES"/>
        </w:rPr>
        <w:t>und</w:t>
      </w:r>
      <w:proofErr w:type="spellEnd"/>
      <w:r w:rsidRPr="004F1B0E">
        <w:rPr>
          <w:lang w:val="es-ES"/>
        </w:rPr>
        <w:t xml:space="preserve"> </w:t>
      </w:r>
      <w:proofErr w:type="spellStart"/>
      <w:r w:rsidRPr="004F1B0E">
        <w:rPr>
          <w:lang w:val="es-ES"/>
        </w:rPr>
        <w:t>Kultur</w:t>
      </w:r>
      <w:proofErr w:type="spellEnd"/>
      <w:r w:rsidRPr="004F1B0E">
        <w:rPr>
          <w:lang w:val="es-ES"/>
        </w:rPr>
        <w:t xml:space="preserve"> – © </w:t>
      </w:r>
      <w:proofErr w:type="spellStart"/>
      <w:r w:rsidRPr="004F1B0E">
        <w:rPr>
          <w:lang w:val="es-ES"/>
        </w:rPr>
        <w:t>Fuad</w:t>
      </w:r>
      <w:proofErr w:type="spellEnd"/>
      <w:r w:rsidRPr="004F1B0E">
        <w:rPr>
          <w:lang w:val="es-ES"/>
        </w:rPr>
        <w:t xml:space="preserve"> Ali Mohamed (traducido al inglés y adaptado).</w:t>
      </w:r>
    </w:p>
    <w:p w14:paraId="2F523B1F" w14:textId="77777777" w:rsidR="00F76DD3" w:rsidRPr="00DD7190" w:rsidRDefault="00F76DD3" w:rsidP="00F76DD3">
      <w:pPr>
        <w:pStyle w:val="TKnotes"/>
        <w:rPr>
          <w:lang w:val="es-ES"/>
        </w:rPr>
      </w:pPr>
    </w:p>
    <w:p w14:paraId="264CE134" w14:textId="77777777" w:rsidR="00914C81" w:rsidRPr="00F76DD3" w:rsidRDefault="00914C81" w:rsidP="00F76DD3"/>
    <w:sectPr w:rsidR="00914C81" w:rsidRPr="00F76DD3" w:rsidSect="00DE2F6C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FC7C" w14:textId="77777777" w:rsidR="00B5194C" w:rsidRDefault="00B5194C" w:rsidP="00C523EA">
      <w:r>
        <w:separator/>
      </w:r>
    </w:p>
  </w:endnote>
  <w:endnote w:type="continuationSeparator" w:id="0">
    <w:p w14:paraId="33B72036" w14:textId="77777777" w:rsidR="00B5194C" w:rsidRDefault="00B5194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AA71A8" w14:paraId="159C08B9" w14:textId="77777777" w:rsidTr="002860CD">
      <w:tc>
        <w:tcPr>
          <w:tcW w:w="1667" w:type="pct"/>
          <w:vAlign w:val="bottom"/>
        </w:tcPr>
        <w:p w14:paraId="65DBA58A" w14:textId="77777777" w:rsidR="00AA71A8" w:rsidRPr="00C84E21" w:rsidRDefault="00AA71A8" w:rsidP="00DD719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366A94D9" w14:textId="77777777" w:rsidR="00AA71A8" w:rsidRPr="00C84E21" w:rsidRDefault="00AA71A8" w:rsidP="00DD719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sz w:val="18"/>
              <w:szCs w:val="18"/>
            </w:rPr>
            <w:t>Estrasburgo</w:t>
          </w:r>
        </w:p>
        <w:p w14:paraId="31DD0A05" w14:textId="77777777" w:rsidR="00AA71A8" w:rsidRPr="00C84E21" w:rsidRDefault="00AA71A8" w:rsidP="00DD719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sz w:val="18"/>
              <w:szCs w:val="18"/>
            </w:rPr>
            <w:t xml:space="preserve"> </w:t>
          </w:r>
        </w:p>
        <w:p w14:paraId="07D63CB5" w14:textId="77777777" w:rsidR="00AA71A8" w:rsidRPr="002D773E" w:rsidRDefault="00AA71A8" w:rsidP="00DD7190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C84E21">
            <w:rPr>
              <w:rFonts w:eastAsia="Calibri" w:cs="Cambria"/>
              <w:b/>
              <w:sz w:val="18"/>
              <w:szCs w:val="18"/>
            </w:rPr>
            <w:t xml:space="preserve">Herramienta </w:t>
          </w:r>
          <w:r w:rsidRPr="002D773E">
            <w:rPr>
              <w:rFonts w:eastAsia="Calibri" w:cs="Cambria"/>
              <w:b/>
              <w:sz w:val="18"/>
              <w:szCs w:val="18"/>
            </w:rPr>
            <w:t>8</w:t>
          </w:r>
        </w:p>
      </w:tc>
      <w:tc>
        <w:tcPr>
          <w:tcW w:w="1667" w:type="pct"/>
          <w:vAlign w:val="bottom"/>
        </w:tcPr>
        <w:p w14:paraId="40E3ABE5" w14:textId="77777777" w:rsidR="00AA71A8" w:rsidRDefault="00AA71A8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proofErr w:type="spellEnd"/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826420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26420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D1C61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826420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26420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26420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D1C61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826420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14:paraId="7946363F" w14:textId="77777777" w:rsidR="00AA71A8" w:rsidRDefault="00AA71A8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722EEA3F" wp14:editId="0CDD7903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07622C" w14:textId="77777777" w:rsidR="00AA71A8" w:rsidRPr="002860CD" w:rsidRDefault="00AA71A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A5D1" w14:textId="77777777" w:rsidR="00B5194C" w:rsidRDefault="00B5194C" w:rsidP="00C523EA">
      <w:r>
        <w:separator/>
      </w:r>
    </w:p>
  </w:footnote>
  <w:footnote w:type="continuationSeparator" w:id="0">
    <w:p w14:paraId="4A3CE7CB" w14:textId="77777777" w:rsidR="00B5194C" w:rsidRDefault="00B5194C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AA71A8" w:rsidRPr="00105AFA" w14:paraId="746E60CD" w14:textId="77777777" w:rsidTr="00DD7190">
      <w:trPr>
        <w:trHeight w:val="1304"/>
      </w:trPr>
      <w:tc>
        <w:tcPr>
          <w:tcW w:w="2228" w:type="dxa"/>
        </w:tcPr>
        <w:p w14:paraId="77D6D713" w14:textId="77777777" w:rsidR="00AA71A8" w:rsidRPr="00CB5C65" w:rsidRDefault="00AA71A8" w:rsidP="000C5F40">
          <w:r w:rsidRPr="00CB5C65">
            <w:rPr>
              <w:noProof/>
              <w:lang w:eastAsia="es-ES"/>
            </w:rPr>
            <w:drawing>
              <wp:inline distT="0" distB="0" distL="0" distR="0" wp14:anchorId="785FFF83" wp14:editId="15DA48FE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0805E80C" w14:textId="77777777" w:rsidR="00AA71A8" w:rsidRDefault="00AA71A8" w:rsidP="008D234E">
          <w:pPr>
            <w:spacing w:line="252" w:lineRule="auto"/>
            <w:jc w:val="center"/>
            <w:rPr>
              <w:rFonts w:eastAsiaTheme="minorHAnsi"/>
              <w:b/>
              <w:lang w:val="es-ES_tradnl"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65A3B673" w14:textId="77777777" w:rsidR="00AA71A8" w:rsidRDefault="00AA71A8" w:rsidP="008D234E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549B4C6B" w14:textId="77777777" w:rsidR="00AA71A8" w:rsidRDefault="00000000" w:rsidP="008D234E">
          <w:pPr>
            <w:spacing w:line="252" w:lineRule="auto"/>
            <w:jc w:val="center"/>
            <w:rPr>
              <w:rFonts w:eastAsiaTheme="minorHAnsi"/>
              <w:color w:val="0000FF"/>
              <w:u w:val="single"/>
              <w:lang w:val="es-ES_tradnl"/>
            </w:rPr>
          </w:pPr>
          <w:hyperlink r:id="rId2" w:history="1">
            <w:r w:rsidR="00AA71A8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64CF7B43" w14:textId="77777777" w:rsidR="00AA71A8" w:rsidRDefault="00AA71A8" w:rsidP="008D234E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s-ES_tradnl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06B8A3BE" w14:textId="77777777" w:rsidR="00AA71A8" w:rsidRDefault="00000000" w:rsidP="008D234E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s-ES_tradnl"/>
            </w:rPr>
          </w:pPr>
          <w:hyperlink r:id="rId3" w:history="1">
            <w:r w:rsidR="00AA71A8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49847BD4" w14:textId="77777777" w:rsidR="00AA71A8" w:rsidRPr="002D773E" w:rsidRDefault="00AA71A8" w:rsidP="00DE2F6C">
    <w:pPr>
      <w:pStyle w:val="En-tte"/>
      <w:tabs>
        <w:tab w:val="clear" w:pos="4536"/>
        <w:tab w:val="clear" w:pos="9072"/>
        <w:tab w:val="left" w:pos="975"/>
      </w:tabs>
      <w:rPr>
        <w:sz w:val="10"/>
        <w:szCs w:val="1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9C13485"/>
    <w:multiLevelType w:val="hybridMultilevel"/>
    <w:tmpl w:val="43767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24566948">
    <w:abstractNumId w:val="2"/>
  </w:num>
  <w:num w:numId="2" w16cid:durableId="787747781">
    <w:abstractNumId w:val="3"/>
  </w:num>
  <w:num w:numId="3" w16cid:durableId="223687118">
    <w:abstractNumId w:val="5"/>
  </w:num>
  <w:num w:numId="4" w16cid:durableId="1269778624">
    <w:abstractNumId w:val="3"/>
  </w:num>
  <w:num w:numId="5" w16cid:durableId="401878244">
    <w:abstractNumId w:val="3"/>
  </w:num>
  <w:num w:numId="6" w16cid:durableId="1365712208">
    <w:abstractNumId w:val="0"/>
  </w:num>
  <w:num w:numId="7" w16cid:durableId="1620575360">
    <w:abstractNumId w:val="3"/>
  </w:num>
  <w:num w:numId="8" w16cid:durableId="78909130">
    <w:abstractNumId w:val="3"/>
  </w:num>
  <w:num w:numId="9" w16cid:durableId="1594819225">
    <w:abstractNumId w:val="6"/>
  </w:num>
  <w:num w:numId="10" w16cid:durableId="489099465">
    <w:abstractNumId w:val="4"/>
  </w:num>
  <w:num w:numId="11" w16cid:durableId="405420300">
    <w:abstractNumId w:val="3"/>
  </w:num>
  <w:num w:numId="12" w16cid:durableId="751659044">
    <w:abstractNumId w:val="3"/>
  </w:num>
  <w:num w:numId="13" w16cid:durableId="977102259">
    <w:abstractNumId w:val="6"/>
  </w:num>
  <w:num w:numId="14" w16cid:durableId="202445624">
    <w:abstractNumId w:val="4"/>
  </w:num>
  <w:num w:numId="15" w16cid:durableId="14130461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1144C"/>
    <w:rsid w:val="00013516"/>
    <w:rsid w:val="000338F0"/>
    <w:rsid w:val="000618A7"/>
    <w:rsid w:val="000937FA"/>
    <w:rsid w:val="000A080D"/>
    <w:rsid w:val="000A50ED"/>
    <w:rsid w:val="000A73D2"/>
    <w:rsid w:val="000C5F40"/>
    <w:rsid w:val="000E706C"/>
    <w:rsid w:val="000F42D6"/>
    <w:rsid w:val="00105AFA"/>
    <w:rsid w:val="00110B4B"/>
    <w:rsid w:val="00126A5E"/>
    <w:rsid w:val="00154B1F"/>
    <w:rsid w:val="00172C07"/>
    <w:rsid w:val="001741D1"/>
    <w:rsid w:val="0017665B"/>
    <w:rsid w:val="0017676C"/>
    <w:rsid w:val="001965B4"/>
    <w:rsid w:val="001A1B4C"/>
    <w:rsid w:val="001B0010"/>
    <w:rsid w:val="001B602D"/>
    <w:rsid w:val="001B71AD"/>
    <w:rsid w:val="001D1C61"/>
    <w:rsid w:val="001F0942"/>
    <w:rsid w:val="0020300A"/>
    <w:rsid w:val="00214CD0"/>
    <w:rsid w:val="00233192"/>
    <w:rsid w:val="0023709F"/>
    <w:rsid w:val="0026293F"/>
    <w:rsid w:val="002860CD"/>
    <w:rsid w:val="002A0CEF"/>
    <w:rsid w:val="002A3476"/>
    <w:rsid w:val="002A678E"/>
    <w:rsid w:val="002C6177"/>
    <w:rsid w:val="002D773E"/>
    <w:rsid w:val="002F2562"/>
    <w:rsid w:val="00303A5A"/>
    <w:rsid w:val="00321CFC"/>
    <w:rsid w:val="00325DF6"/>
    <w:rsid w:val="0035512B"/>
    <w:rsid w:val="003575BD"/>
    <w:rsid w:val="00363CC2"/>
    <w:rsid w:val="0038409C"/>
    <w:rsid w:val="00387BE0"/>
    <w:rsid w:val="003C050D"/>
    <w:rsid w:val="003C32F5"/>
    <w:rsid w:val="003E358D"/>
    <w:rsid w:val="003E64BB"/>
    <w:rsid w:val="003F121D"/>
    <w:rsid w:val="003F7B04"/>
    <w:rsid w:val="0040209F"/>
    <w:rsid w:val="004026EB"/>
    <w:rsid w:val="00460BCC"/>
    <w:rsid w:val="00470AA9"/>
    <w:rsid w:val="0049006B"/>
    <w:rsid w:val="004B5DD8"/>
    <w:rsid w:val="004C1652"/>
    <w:rsid w:val="004E32A8"/>
    <w:rsid w:val="004F1B0E"/>
    <w:rsid w:val="004F2E30"/>
    <w:rsid w:val="00503E91"/>
    <w:rsid w:val="00526886"/>
    <w:rsid w:val="005361E1"/>
    <w:rsid w:val="005713EB"/>
    <w:rsid w:val="005907DF"/>
    <w:rsid w:val="005A0628"/>
    <w:rsid w:val="005B0B06"/>
    <w:rsid w:val="005C2E50"/>
    <w:rsid w:val="005C6517"/>
    <w:rsid w:val="005E38D0"/>
    <w:rsid w:val="005E4CA5"/>
    <w:rsid w:val="00617D74"/>
    <w:rsid w:val="00625E6A"/>
    <w:rsid w:val="006455D0"/>
    <w:rsid w:val="00651E90"/>
    <w:rsid w:val="00655B1E"/>
    <w:rsid w:val="00655CCE"/>
    <w:rsid w:val="00683603"/>
    <w:rsid w:val="006A1A21"/>
    <w:rsid w:val="006C0689"/>
    <w:rsid w:val="006C08C3"/>
    <w:rsid w:val="006C7764"/>
    <w:rsid w:val="006D234F"/>
    <w:rsid w:val="00724C92"/>
    <w:rsid w:val="00734E55"/>
    <w:rsid w:val="0074542C"/>
    <w:rsid w:val="007B4D14"/>
    <w:rsid w:val="007C3B77"/>
    <w:rsid w:val="007D336C"/>
    <w:rsid w:val="008023A0"/>
    <w:rsid w:val="008067EC"/>
    <w:rsid w:val="00826420"/>
    <w:rsid w:val="0083366C"/>
    <w:rsid w:val="008469DE"/>
    <w:rsid w:val="008506D5"/>
    <w:rsid w:val="0087339D"/>
    <w:rsid w:val="00892B00"/>
    <w:rsid w:val="008B45A3"/>
    <w:rsid w:val="008C53DF"/>
    <w:rsid w:val="008D234E"/>
    <w:rsid w:val="008E2782"/>
    <w:rsid w:val="008E6FB9"/>
    <w:rsid w:val="008F0189"/>
    <w:rsid w:val="008F24DC"/>
    <w:rsid w:val="009025F0"/>
    <w:rsid w:val="00914C81"/>
    <w:rsid w:val="0094551C"/>
    <w:rsid w:val="00953DC1"/>
    <w:rsid w:val="0096424B"/>
    <w:rsid w:val="00964E6C"/>
    <w:rsid w:val="00974828"/>
    <w:rsid w:val="00981EF5"/>
    <w:rsid w:val="009A5131"/>
    <w:rsid w:val="009D661A"/>
    <w:rsid w:val="00A03292"/>
    <w:rsid w:val="00A1258A"/>
    <w:rsid w:val="00A57DB1"/>
    <w:rsid w:val="00A63CDF"/>
    <w:rsid w:val="00A67362"/>
    <w:rsid w:val="00A802F2"/>
    <w:rsid w:val="00AA71A8"/>
    <w:rsid w:val="00AB255A"/>
    <w:rsid w:val="00AE657E"/>
    <w:rsid w:val="00AF4A1E"/>
    <w:rsid w:val="00AF56A8"/>
    <w:rsid w:val="00B015F4"/>
    <w:rsid w:val="00B35EFB"/>
    <w:rsid w:val="00B43C75"/>
    <w:rsid w:val="00B5194C"/>
    <w:rsid w:val="00B53E12"/>
    <w:rsid w:val="00B674EB"/>
    <w:rsid w:val="00B720A3"/>
    <w:rsid w:val="00B73A35"/>
    <w:rsid w:val="00B87D33"/>
    <w:rsid w:val="00B94592"/>
    <w:rsid w:val="00B94E15"/>
    <w:rsid w:val="00BA3C32"/>
    <w:rsid w:val="00BB182D"/>
    <w:rsid w:val="00BD2F15"/>
    <w:rsid w:val="00BD72E0"/>
    <w:rsid w:val="00BE6E05"/>
    <w:rsid w:val="00BF2B09"/>
    <w:rsid w:val="00BF66BF"/>
    <w:rsid w:val="00BF71C7"/>
    <w:rsid w:val="00C24B3F"/>
    <w:rsid w:val="00C523EA"/>
    <w:rsid w:val="00C530F7"/>
    <w:rsid w:val="00C622D7"/>
    <w:rsid w:val="00C7477C"/>
    <w:rsid w:val="00C8086F"/>
    <w:rsid w:val="00C83532"/>
    <w:rsid w:val="00CC0991"/>
    <w:rsid w:val="00CF0B90"/>
    <w:rsid w:val="00CF2A2D"/>
    <w:rsid w:val="00CF36D3"/>
    <w:rsid w:val="00D00DA4"/>
    <w:rsid w:val="00D02228"/>
    <w:rsid w:val="00D07616"/>
    <w:rsid w:val="00D2211A"/>
    <w:rsid w:val="00D57D70"/>
    <w:rsid w:val="00D8328F"/>
    <w:rsid w:val="00DA5A92"/>
    <w:rsid w:val="00DD35DF"/>
    <w:rsid w:val="00DD7190"/>
    <w:rsid w:val="00DE2C28"/>
    <w:rsid w:val="00DE2F6C"/>
    <w:rsid w:val="00DE5B7D"/>
    <w:rsid w:val="00DF01CF"/>
    <w:rsid w:val="00DF60EB"/>
    <w:rsid w:val="00E076C3"/>
    <w:rsid w:val="00E1205D"/>
    <w:rsid w:val="00ED4CB7"/>
    <w:rsid w:val="00F07FCA"/>
    <w:rsid w:val="00F260E9"/>
    <w:rsid w:val="00F36542"/>
    <w:rsid w:val="00F40E18"/>
    <w:rsid w:val="00F5126A"/>
    <w:rsid w:val="00F602BD"/>
    <w:rsid w:val="00F76DD3"/>
    <w:rsid w:val="00FB70A6"/>
    <w:rsid w:val="00FC4F80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55209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SS-TITRE2">
    <w:name w:val="TK SS-TITRE 2"/>
    <w:autoRedefine/>
    <w:qFormat/>
    <w:rsid w:val="00BE6E05"/>
    <w:pPr>
      <w:spacing w:before="360" w:after="120" w:line="240" w:lineRule="auto"/>
    </w:pPr>
    <w:rPr>
      <w:rFonts w:ascii="Calibri" w:eastAsia="Times New Roman" w:hAnsi="Calibri" w:cs="Calibri"/>
      <w:b/>
      <w:sz w:val="28"/>
      <w:szCs w:val="28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BF66BF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BF66BF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SS-TITRE21">
    <w:name w:val="TK SS-TITRE 2.1"/>
    <w:basedOn w:val="TKSS-TITRE210"/>
    <w:autoRedefine/>
    <w:qFormat/>
    <w:rsid w:val="00BD2F15"/>
  </w:style>
  <w:style w:type="paragraph" w:customStyle="1" w:styleId="TKTEXTE">
    <w:name w:val="TK TEXTE"/>
    <w:autoRedefine/>
    <w:qFormat/>
    <w:rsid w:val="005B0B06"/>
    <w:pPr>
      <w:spacing w:before="120" w:after="120" w:line="240" w:lineRule="auto"/>
      <w:jc w:val="both"/>
    </w:pPr>
    <w:rPr>
      <w:rFonts w:ascii="Calibri" w:eastAsia="Times New Roman" w:hAnsi="Calibri" w:cs="Calibri"/>
      <w:sz w:val="24"/>
      <w:lang w:val="de-DE"/>
    </w:rPr>
  </w:style>
  <w:style w:type="paragraph" w:customStyle="1" w:styleId="TKbulletpoints">
    <w:name w:val="TK_bullet_points"/>
    <w:next w:val="Normal"/>
    <w:qFormat/>
    <w:rsid w:val="00460BCC"/>
    <w:p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-SS-TITRE2">
    <w:name w:val="TK-SS-TITRE2"/>
    <w:qFormat/>
    <w:rsid w:val="00460BCC"/>
    <w:pPr>
      <w:spacing w:before="240" w:after="240" w:line="240" w:lineRule="auto"/>
    </w:pPr>
    <w:rPr>
      <w:rFonts w:ascii="Calibri" w:eastAsia="Times New Roman" w:hAnsi="Calibri" w:cs="Calibri"/>
      <w:b/>
      <w:i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SS-TITRE210">
    <w:name w:val="TK SS-TITRE 2.1"/>
    <w:basedOn w:val="TKTITRE2"/>
    <w:autoRedefine/>
    <w:qFormat/>
    <w:rsid w:val="003E64BB"/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character" w:styleId="lev">
    <w:name w:val="Strong"/>
    <w:uiPriority w:val="99"/>
    <w:qFormat/>
    <w:rsid w:val="00914C81"/>
    <w:rPr>
      <w:rFonts w:cs="Times New Roman"/>
      <w:b/>
      <w:bCs/>
    </w:rPr>
  </w:style>
  <w:style w:type="character" w:customStyle="1" w:styleId="A5">
    <w:name w:val="A5"/>
    <w:uiPriority w:val="99"/>
    <w:rsid w:val="00914C81"/>
    <w:rPr>
      <w:color w:val="000000"/>
      <w:sz w:val="22"/>
    </w:rPr>
  </w:style>
  <w:style w:type="paragraph" w:customStyle="1" w:styleId="TKnotes">
    <w:name w:val="TK_notes"/>
    <w:qFormat/>
    <w:rsid w:val="00BF66BF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BulletLevel1">
    <w:name w:val="TK Bullet Level1"/>
    <w:next w:val="Normal"/>
    <w:qFormat/>
    <w:rsid w:val="00BF66BF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BF66BF"/>
    <w:pPr>
      <w:ind w:left="1135"/>
    </w:pPr>
  </w:style>
  <w:style w:type="paragraph" w:customStyle="1" w:styleId="TKNbrsLevel2">
    <w:name w:val="TK Nbrs Level2"/>
    <w:qFormat/>
    <w:rsid w:val="00BF66BF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BF66BF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BF66BF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D71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1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190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23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234E"/>
    <w:rPr>
      <w:rFonts w:ascii="Calibri" w:eastAsia="Times New Roman" w:hAnsi="Calibri" w:cs="Times New Roman"/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0A73D2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5144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9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lang-migrants/language-of-origin-/-backgro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B556-2DFB-41F3-8D6C-5F0A4593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9</cp:revision>
  <cp:lastPrinted>2017-03-14T17:41:00Z</cp:lastPrinted>
  <dcterms:created xsi:type="dcterms:W3CDTF">2020-12-16T11:59:00Z</dcterms:created>
  <dcterms:modified xsi:type="dcterms:W3CDTF">2022-12-15T16:41:00Z</dcterms:modified>
</cp:coreProperties>
</file>