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81" w:rsidRDefault="00C10B66" w:rsidP="004026EB">
      <w:pPr>
        <w:pStyle w:val="TKMAINTITLE"/>
      </w:pPr>
      <w:r>
        <w:t>8</w:t>
      </w:r>
      <w:r w:rsidR="0035512B">
        <w:t xml:space="preserve"> – Somali</w:t>
      </w:r>
      <w:r w:rsidR="004F2963">
        <w:rPr>
          <w:rStyle w:val="Marquedecommentaire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="0035512B">
        <w:t xml:space="preserve">: </w:t>
      </w:r>
      <w:r w:rsidR="009D41B7">
        <w:t>einige</w:t>
      </w:r>
      <w:r w:rsidR="0035512B">
        <w:t xml:space="preserve"> Informationen</w:t>
      </w:r>
    </w:p>
    <w:p w:rsidR="009C4408" w:rsidRPr="009C4408" w:rsidRDefault="009C4408" w:rsidP="009C4408">
      <w:pPr>
        <w:jc w:val="center"/>
        <w:rPr>
          <w:sz w:val="32"/>
          <w:szCs w:val="32"/>
        </w:rPr>
      </w:pPr>
      <w:r w:rsidRPr="009C4408">
        <w:rPr>
          <w:sz w:val="32"/>
          <w:szCs w:val="32"/>
        </w:rPr>
        <w:t xml:space="preserve">Somali – </w:t>
      </w:r>
      <w:proofErr w:type="spellStart"/>
      <w:r w:rsidRPr="009C4408">
        <w:rPr>
          <w:sz w:val="32"/>
          <w:szCs w:val="32"/>
        </w:rPr>
        <w:t>Af-Soomaaliga</w:t>
      </w:r>
      <w:proofErr w:type="spellEnd"/>
      <w:r w:rsidRPr="009C4408">
        <w:rPr>
          <w:sz w:val="32"/>
          <w:szCs w:val="32"/>
        </w:rPr>
        <w:t xml:space="preserve"> – das Somalische (formale Variante)</w:t>
      </w:r>
    </w:p>
    <w:p w:rsidR="009C4408" w:rsidRPr="009C4408" w:rsidRDefault="009C4408" w:rsidP="009C4408">
      <w:pPr>
        <w:jc w:val="center"/>
        <w:rPr>
          <w:sz w:val="32"/>
          <w:szCs w:val="32"/>
          <w:lang w:val="fr-FR"/>
        </w:rPr>
      </w:pPr>
      <w:proofErr w:type="spellStart"/>
      <w:r w:rsidRPr="009C4408">
        <w:rPr>
          <w:sz w:val="32"/>
          <w:szCs w:val="32"/>
          <w:lang w:val="fr-FR"/>
        </w:rPr>
        <w:t>Af-Soomaali</w:t>
      </w:r>
      <w:proofErr w:type="spellEnd"/>
      <w:r w:rsidRPr="009C4408">
        <w:rPr>
          <w:sz w:val="32"/>
          <w:szCs w:val="32"/>
          <w:lang w:val="fr-FR"/>
        </w:rPr>
        <w:t xml:space="preserve"> – Somali (</w:t>
      </w:r>
      <w:proofErr w:type="spellStart"/>
      <w:r w:rsidRPr="009C4408">
        <w:rPr>
          <w:sz w:val="32"/>
          <w:szCs w:val="32"/>
          <w:lang w:val="fr-FR"/>
        </w:rPr>
        <w:t>kolloquiale</w:t>
      </w:r>
      <w:proofErr w:type="spellEnd"/>
      <w:r w:rsidRPr="009C4408">
        <w:rPr>
          <w:sz w:val="32"/>
          <w:szCs w:val="32"/>
          <w:lang w:val="fr-FR"/>
        </w:rPr>
        <w:t xml:space="preserve"> Variante)</w:t>
      </w:r>
    </w:p>
    <w:p w:rsidR="00914C81" w:rsidRPr="00DE2C28" w:rsidRDefault="00914C81" w:rsidP="004026EB">
      <w:pPr>
        <w:pStyle w:val="TKAIM"/>
      </w:pPr>
      <w:r>
        <w:t>Ziel:</w:t>
      </w:r>
      <w:r>
        <w:tab/>
        <w:t>Überblick über eine von vielen Flüchtlingen gesprochene Sprache</w:t>
      </w:r>
    </w:p>
    <w:p w:rsidR="00914C81" w:rsidRPr="00497ABA" w:rsidRDefault="00914C81" w:rsidP="005C6517">
      <w:pPr>
        <w:pStyle w:val="TKTEXTE"/>
      </w:pPr>
      <w:r>
        <w:t xml:space="preserve">Ein grundlegender Einblick in die somalische Sprache kann Ihnen dabei helfen zu verstehen, was für </w:t>
      </w:r>
      <w:proofErr w:type="spellStart"/>
      <w:r w:rsidR="00CE3B93">
        <w:t>somalisprachige</w:t>
      </w:r>
      <w:proofErr w:type="spellEnd"/>
      <w:r w:rsidR="00CE3B93">
        <w:t xml:space="preserve"> </w:t>
      </w:r>
      <w:r>
        <w:t xml:space="preserve">Menschen beim Erlernen einer neuen Sprache als besonders herausfordernd und was wiederum als verhältnismäßig </w:t>
      </w:r>
      <w:r w:rsidR="00402CCB">
        <w:t xml:space="preserve">einfach </w:t>
      </w:r>
      <w:r>
        <w:t xml:space="preserve">wahrgenommen werden kann. Zudem werden es einige Flüchtlinge sicher zu schätzen wissen, wenn Sie sie nach der richtigen Aussprache von Personen- und Ortsnamen fragen und versuchen, zumindest einige Wörter und Phrasen in ihren Sprachen zu verwenden (siehe </w:t>
      </w:r>
      <w:r w:rsidRPr="00497ABA">
        <w:t>„</w:t>
      </w:r>
      <w:hyperlink r:id="rId8">
        <w:r w:rsidRPr="00497ABA">
          <w:rPr>
            <w:rStyle w:val="Lienhypertexte"/>
            <w:u w:val="none"/>
          </w:rPr>
          <w:t xml:space="preserve">Language </w:t>
        </w:r>
        <w:proofErr w:type="spellStart"/>
        <w:r w:rsidRPr="00497ABA">
          <w:rPr>
            <w:rStyle w:val="Lienhypertexte"/>
            <w:u w:val="none"/>
          </w:rPr>
          <w:t>of</w:t>
        </w:r>
        <w:proofErr w:type="spellEnd"/>
        <w:r w:rsidRPr="00497ABA">
          <w:rPr>
            <w:rStyle w:val="Lienhypertexte"/>
            <w:u w:val="none"/>
          </w:rPr>
          <w:t xml:space="preserve"> </w:t>
        </w:r>
        <w:proofErr w:type="spellStart"/>
        <w:r w:rsidRPr="00497ABA">
          <w:rPr>
            <w:rStyle w:val="Lienhypertexte"/>
            <w:u w:val="none"/>
          </w:rPr>
          <w:t>origin</w:t>
        </w:r>
        <w:proofErr w:type="spellEnd"/>
      </w:hyperlink>
      <w:r w:rsidRPr="00497ABA">
        <w:t>“).</w:t>
      </w:r>
    </w:p>
    <w:p w:rsidR="00914C81" w:rsidRPr="00DE2C28" w:rsidRDefault="00914C81" w:rsidP="003E64BB">
      <w:pPr>
        <w:pStyle w:val="TKTITRE1"/>
      </w:pPr>
      <w:r>
        <w:t>Wo die Sprache gesprochen wird</w:t>
      </w:r>
    </w:p>
    <w:p w:rsidR="00914C81" w:rsidRPr="00DE2C28" w:rsidRDefault="00914C81" w:rsidP="005C6517">
      <w:pPr>
        <w:pStyle w:val="TKTEXTE"/>
      </w:pPr>
      <w:r>
        <w:t>Somali wird am Horn von Afrika gesproche</w:t>
      </w:r>
      <w:r w:rsidR="008A3406">
        <w:t xml:space="preserve">n. Verbreitet ist es in </w:t>
      </w:r>
      <w:r w:rsidR="008A3406" w:rsidRPr="00AD2C77">
        <w:t>Somalia</w:t>
      </w:r>
      <w:r w:rsidRPr="00AD2C77">
        <w:t xml:space="preserve"> </w:t>
      </w:r>
      <w:r w:rsidR="008A3406" w:rsidRPr="00AD2C77">
        <w:t>und in der</w:t>
      </w:r>
      <w:r w:rsidRPr="00AD2C77">
        <w:t xml:space="preserve"> seit 1991 de facto unabhängigen (international aber nicht anerkannten) Republik Somaliland, </w:t>
      </w:r>
      <w:r w:rsidR="008A3406" w:rsidRPr="00AD2C77">
        <w:t xml:space="preserve">in </w:t>
      </w:r>
      <w:r w:rsidRPr="00AD2C77">
        <w:t>D</w:t>
      </w:r>
      <w:r w:rsidR="00A67F98" w:rsidRPr="00AD2C77">
        <w:t>sch</w:t>
      </w:r>
      <w:r w:rsidR="00A67F98">
        <w:t>i</w:t>
      </w:r>
      <w:r>
        <w:t xml:space="preserve">buti, Kenia und Äthiopien. </w:t>
      </w:r>
      <w:r w:rsidRPr="00AD2C77">
        <w:t xml:space="preserve">Die </w:t>
      </w:r>
      <w:r w:rsidR="008A3406" w:rsidRPr="00AD2C77">
        <w:t>Verteilung von</w:t>
      </w:r>
      <w:r w:rsidRPr="00AD2C77">
        <w:t xml:space="preserve"> Somali</w:t>
      </w:r>
      <w:r w:rsidR="008A3406" w:rsidRPr="00AD2C77">
        <w:t>-Sprechern</w:t>
      </w:r>
      <w:r w:rsidRPr="00AD2C77">
        <w:t xml:space="preserve"> </w:t>
      </w:r>
      <w:r w:rsidR="008A3406" w:rsidRPr="00AD2C77">
        <w:t>auf</w:t>
      </w:r>
      <w:r w:rsidRPr="00AD2C77">
        <w:t xml:space="preserve"> fünf Länder und </w:t>
      </w:r>
      <w:r>
        <w:t xml:space="preserve">die heute gültigen Staatsgrenzen gehen auf die Kolonialzeit zurück. 1884/85 wurden die </w:t>
      </w:r>
      <w:proofErr w:type="spellStart"/>
      <w:r>
        <w:t>somalisprachigen</w:t>
      </w:r>
      <w:proofErr w:type="spellEnd"/>
      <w:r>
        <w:t xml:space="preserve"> Gebiete bei der sogenannten Kongo-Konferenz in fünf Teile geteilt: Britisch-Ostafrika (Kenia), Britisch-Somaliland (Somaliland), Italienisch-Somaliland (Somalia), Französisch-Somaliland (D</w:t>
      </w:r>
      <w:r w:rsidR="00A67F98">
        <w:t>schi</w:t>
      </w:r>
      <w:r>
        <w:t>buti) und Abessinien (Äthiopien).</w:t>
      </w:r>
    </w:p>
    <w:p w:rsidR="00914C81" w:rsidRPr="00DE2C28" w:rsidRDefault="00914C81" w:rsidP="005C6517">
      <w:pPr>
        <w:pStyle w:val="TKTEXTE"/>
      </w:pPr>
      <w:r>
        <w:t xml:space="preserve">Neben den genannten </w:t>
      </w:r>
      <w:r w:rsidRPr="00AD2C77">
        <w:t xml:space="preserve">afrikanischen Ländern, in denen Somali gesprochen wird, ist Somali auch die </w:t>
      </w:r>
      <w:r w:rsidR="00A67F98" w:rsidRPr="00AD2C77">
        <w:t xml:space="preserve">Sprache </w:t>
      </w:r>
      <w:r w:rsidR="008A3406" w:rsidRPr="00AD2C77">
        <w:t>von</w:t>
      </w:r>
      <w:r w:rsidRPr="00AD2C77">
        <w:t xml:space="preserve"> somalischen </w:t>
      </w:r>
      <w:r w:rsidR="008A3406" w:rsidRPr="00AD2C77">
        <w:t>Minderheiten in anderen Ländern</w:t>
      </w:r>
      <w:r w:rsidRPr="00AD2C77">
        <w:t xml:space="preserve">. Diese </w:t>
      </w:r>
      <w:r w:rsidR="008A3406" w:rsidRPr="00AD2C77">
        <w:t xml:space="preserve">sind </w:t>
      </w:r>
      <w:r w:rsidRPr="00AD2C77">
        <w:t xml:space="preserve">nach dem Sturz des Präsidenten Siad Barre im Jahr 1991 und </w:t>
      </w:r>
      <w:r w:rsidR="008A3406" w:rsidRPr="00AD2C77">
        <w:t>während des</w:t>
      </w:r>
      <w:r w:rsidRPr="00AD2C77">
        <w:t xml:space="preserve"> darauffolgenden Bürgerkrieg</w:t>
      </w:r>
      <w:r w:rsidR="008A3406" w:rsidRPr="00AD2C77">
        <w:t>s</w:t>
      </w:r>
      <w:r w:rsidRPr="00AD2C77">
        <w:t xml:space="preserve"> </w:t>
      </w:r>
      <w:r w:rsidR="008A3406" w:rsidRPr="00AD2C77">
        <w:t>in die USA und nach Europa geflüchtet</w:t>
      </w:r>
      <w:r w:rsidRPr="00AD2C77">
        <w:t>. Heute spreche</w:t>
      </w:r>
      <w:r>
        <w:t>n etwa 12 Millionen Menschen Somali. Schätzungen sind allerdings aufgrund der instabilen Lage in Somalia und der zahlenmäßig großen Diaspora schwierig.</w:t>
      </w:r>
    </w:p>
    <w:p w:rsidR="00914C81" w:rsidRPr="00DE2C28" w:rsidRDefault="00561089" w:rsidP="005C6517">
      <w:pPr>
        <w:pStyle w:val="TKTEXTE"/>
      </w:pPr>
      <w:r w:rsidRPr="00AD2C77">
        <w:t>Somali weist viele Lehnwörter aus den</w:t>
      </w:r>
      <w:r w:rsidR="00914C81" w:rsidRPr="00AD2C77">
        <w:t xml:space="preserve"> ehemaligen Kolonialsprachen (insbesondere Italienisch und Englisch) </w:t>
      </w:r>
      <w:r w:rsidRPr="00AD2C77">
        <w:t>sowie</w:t>
      </w:r>
      <w:r w:rsidR="00914C81" w:rsidRPr="00AD2C77">
        <w:t xml:space="preserve"> aus dem Arabischen </w:t>
      </w:r>
      <w:r w:rsidR="00914C81">
        <w:t xml:space="preserve">und anderen „orientalischen“ Sprachen auf. Während der Zeit des Königreichs von </w:t>
      </w:r>
      <w:proofErr w:type="spellStart"/>
      <w:r w:rsidR="00914C81">
        <w:t>Aksum</w:t>
      </w:r>
      <w:proofErr w:type="spellEnd"/>
      <w:r w:rsidR="00914C81">
        <w:t xml:space="preserve"> (1. bis 7. Jahrhundert n. Chr.), das sich bis in den Nordwesten des heutigen Somalia erstreckte, kam die somalische Sprache durch den Seehandel mit arabischen und persischen Einflüssen in Berührung.</w:t>
      </w:r>
    </w:p>
    <w:p w:rsidR="00914C81" w:rsidRPr="00DE2C28" w:rsidRDefault="00914C81" w:rsidP="003E64BB">
      <w:pPr>
        <w:pStyle w:val="TKTITRE1"/>
      </w:pPr>
      <w:r>
        <w:t>Merkmale der somalischen Schrift</w:t>
      </w:r>
    </w:p>
    <w:p w:rsidR="00914C81" w:rsidRPr="00DE2C28" w:rsidRDefault="00914C81" w:rsidP="005C6517">
      <w:pPr>
        <w:pStyle w:val="TKTEXTE"/>
      </w:pPr>
      <w:r>
        <w:t xml:space="preserve">1972 beschloss ein Komitee aus internationalen Sprachwissenschaftlern und </w:t>
      </w:r>
      <w:r w:rsidR="004F038E">
        <w:t>Sprachwissenschaftlerinnen</w:t>
      </w:r>
      <w:r>
        <w:t xml:space="preserve"> v</w:t>
      </w:r>
      <w:r w:rsidR="00E36D74">
        <w:t>or</w:t>
      </w:r>
      <w:r w:rsidR="00094B6F">
        <w:t xml:space="preserve"> </w:t>
      </w:r>
      <w:r>
        <w:t>a</w:t>
      </w:r>
      <w:r w:rsidR="00E36D74">
        <w:t>llem</w:t>
      </w:r>
      <w:r>
        <w:t xml:space="preserve"> aus praktischen Gründen die Verwendung der lateinischen Schrift. Somali beinhaltet jedoch abgesehen vom Apostroph keine Sonderzeichen. Die Reihenfolge der Buchstaben stützt sich auf jene des arabischen Alphabets.</w:t>
      </w:r>
    </w:p>
    <w:p w:rsidR="008C4528" w:rsidRDefault="008C4528">
      <w:pPr>
        <w:spacing w:after="160" w:line="259" w:lineRule="auto"/>
        <w:rPr>
          <w:rFonts w:cs="Calibri"/>
          <w:b/>
          <w:bCs/>
          <w:sz w:val="32"/>
          <w:szCs w:val="32"/>
        </w:rPr>
      </w:pPr>
      <w:r>
        <w:br w:type="page"/>
      </w:r>
    </w:p>
    <w:p w:rsidR="00914C81" w:rsidRPr="00DE2C28" w:rsidRDefault="00914C81" w:rsidP="003E64BB">
      <w:pPr>
        <w:pStyle w:val="TKTITRE1"/>
      </w:pPr>
      <w:bookmarkStart w:id="0" w:name="_GoBack"/>
      <w:bookmarkEnd w:id="0"/>
      <w:r>
        <w:lastRenderedPageBreak/>
        <w:t>Einige Phrasen in Somali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6"/>
        <w:gridCol w:w="4846"/>
      </w:tblGrid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Guten Morgen!</w:t>
            </w:r>
          </w:p>
        </w:tc>
        <w:tc>
          <w:tcPr>
            <w:tcW w:w="4846" w:type="dxa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proofErr w:type="spellStart"/>
            <w:r>
              <w:t>Subax</w:t>
            </w:r>
            <w:proofErr w:type="spellEnd"/>
            <w:r>
              <w:t xml:space="preserve"> </w:t>
            </w:r>
            <w:proofErr w:type="spellStart"/>
            <w:r>
              <w:t>wanaagsan</w:t>
            </w:r>
            <w:proofErr w:type="spellEnd"/>
            <w:r>
              <w:t>!</w:t>
            </w:r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Hallo! (wörtlich: Ist es Frieden?)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 xml:space="preserve">Ma </w:t>
            </w:r>
            <w:proofErr w:type="spellStart"/>
            <w:r>
              <w:t>nabad</w:t>
            </w:r>
            <w:proofErr w:type="spellEnd"/>
            <w:r>
              <w:t xml:space="preserve"> </w:t>
            </w:r>
            <w:proofErr w:type="spellStart"/>
            <w:r>
              <w:t>baa</w:t>
            </w:r>
            <w:proofErr w:type="spellEnd"/>
            <w:r>
              <w:t>?</w:t>
            </w:r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Hallo! (wörtlich: Es ist Frieden; Antwort)</w:t>
            </w:r>
          </w:p>
        </w:tc>
        <w:tc>
          <w:tcPr>
            <w:tcW w:w="4846" w:type="dxa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proofErr w:type="spellStart"/>
            <w:r>
              <w:t>Waa</w:t>
            </w:r>
            <w:proofErr w:type="spellEnd"/>
            <w:r>
              <w:t xml:space="preserve"> </w:t>
            </w:r>
            <w:proofErr w:type="spellStart"/>
            <w:r>
              <w:t>nabad</w:t>
            </w:r>
            <w:proofErr w:type="spellEnd"/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Ja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proofErr w:type="spellStart"/>
            <w:r>
              <w:t>Haa</w:t>
            </w:r>
            <w:proofErr w:type="spellEnd"/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Nein</w:t>
            </w:r>
          </w:p>
        </w:tc>
        <w:tc>
          <w:tcPr>
            <w:tcW w:w="4846" w:type="dxa"/>
          </w:tcPr>
          <w:p w:rsidR="00914C81" w:rsidRPr="00DE2C28" w:rsidRDefault="00914C81" w:rsidP="00DE2C28">
            <w:pPr>
              <w:pStyle w:val="TKTextetableau"/>
              <w:framePr w:hSpace="0" w:wrap="auto" w:vAnchor="margin" w:yAlign="inline"/>
            </w:pPr>
            <w:r>
              <w:t>Maya</w:t>
            </w:r>
          </w:p>
        </w:tc>
      </w:tr>
    </w:tbl>
    <w:p w:rsidR="00914C81" w:rsidRPr="00DE2C28" w:rsidRDefault="00914C81" w:rsidP="003E64BB">
      <w:pPr>
        <w:pStyle w:val="TKTITRE1"/>
      </w:pPr>
      <w:r>
        <w:t>Alphabet und Aussprache</w:t>
      </w:r>
    </w:p>
    <w:p w:rsidR="00914C81" w:rsidRPr="00DE2C28" w:rsidRDefault="00914C81" w:rsidP="003E64BB">
      <w:pPr>
        <w:pStyle w:val="TKTITRE2"/>
      </w:pPr>
      <w:r>
        <w:t>Die 26 Buchstaben des somalischen Alphabets sind:</w:t>
      </w:r>
    </w:p>
    <w:p w:rsidR="00914C81" w:rsidRPr="008C1A5F" w:rsidRDefault="00914C81" w:rsidP="005C6517">
      <w:pPr>
        <w:pStyle w:val="TKTEXTE"/>
        <w:rPr>
          <w:lang w:val="en-US"/>
        </w:rPr>
      </w:pPr>
      <w:r w:rsidRPr="008C1A5F">
        <w:rPr>
          <w:lang w:val="en-US"/>
        </w:rPr>
        <w:t>B, T, J, X, KH, D, R, S, SH, DH, C, G, F, Q, K, H, L, M, N, W, H, Y, A, E, I, O, U</w:t>
      </w:r>
    </w:p>
    <w:p w:rsidR="00914C81" w:rsidRPr="00DE2C28" w:rsidRDefault="00914C81" w:rsidP="003E64BB">
      <w:pPr>
        <w:pStyle w:val="TKTITRE2"/>
      </w:pPr>
      <w:r>
        <w:t>Einige Besonderheiten in der Aussprache:</w:t>
      </w:r>
    </w:p>
    <w:p w:rsidR="00914C81" w:rsidRPr="00DE2C28" w:rsidRDefault="00914C81" w:rsidP="005C6517">
      <w:pPr>
        <w:pStyle w:val="TKTEXTE"/>
      </w:pPr>
      <w:r>
        <w:t>X – /h</w:t>
      </w:r>
    </w:p>
    <w:p w:rsidR="00914C81" w:rsidRPr="00DE2C28" w:rsidRDefault="00914C81" w:rsidP="005C6517">
      <w:pPr>
        <w:pStyle w:val="TKTEXTE"/>
      </w:pPr>
      <w:r>
        <w:t>C – /a</w:t>
      </w:r>
    </w:p>
    <w:p w:rsidR="00914C81" w:rsidRPr="00DE2C28" w:rsidRDefault="00914C81" w:rsidP="005C6517">
      <w:pPr>
        <w:pStyle w:val="TKTEXTE"/>
      </w:pPr>
      <w:r>
        <w:t>Q – /k (</w:t>
      </w:r>
      <w:r w:rsidR="00094B6F">
        <w:t>kehliger Laut</w:t>
      </w:r>
      <w:r>
        <w:t>)</w:t>
      </w:r>
    </w:p>
    <w:p w:rsidR="00914C81" w:rsidRPr="00DE2C28" w:rsidRDefault="00914C81" w:rsidP="005C6517">
      <w:pPr>
        <w:pStyle w:val="TKTEXTE"/>
      </w:pPr>
      <w:r>
        <w:t xml:space="preserve">Für viele Menschen, die zum ersten Mal mit Somali in Berührung kommen, sind insbesondere die Buchstaben X (wird als „H“ ausgesprochen) und C (ein kurzes „A“) verwirrend. Der Name Mohamed wird in Somali </w:t>
      </w:r>
      <w:proofErr w:type="spellStart"/>
      <w:r>
        <w:rPr>
          <w:i/>
        </w:rPr>
        <w:t>Maxamed</w:t>
      </w:r>
      <w:proofErr w:type="spellEnd"/>
      <w:r>
        <w:t xml:space="preserve"> geschrieben, Ali als </w:t>
      </w:r>
      <w:r>
        <w:rPr>
          <w:i/>
        </w:rPr>
        <w:t>Cali</w:t>
      </w:r>
      <w:r>
        <w:t>.</w:t>
      </w:r>
    </w:p>
    <w:p w:rsidR="00914C81" w:rsidRPr="00DE2C28" w:rsidRDefault="00914C81" w:rsidP="003E64BB">
      <w:pPr>
        <w:pStyle w:val="TKTITRE1"/>
      </w:pPr>
      <w:r>
        <w:t>Zahlen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0"/>
        <w:gridCol w:w="2671"/>
      </w:tblGrid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>1</w:t>
            </w:r>
          </w:p>
        </w:tc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kow</w:t>
            </w:r>
            <w:proofErr w:type="spellEnd"/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>2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laba</w:t>
            </w:r>
            <w:proofErr w:type="spellEnd"/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>3</w:t>
            </w:r>
          </w:p>
        </w:tc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saddex</w:t>
            </w:r>
            <w:proofErr w:type="spellEnd"/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>4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afar</w:t>
            </w:r>
            <w:proofErr w:type="spellEnd"/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5 </w:t>
            </w:r>
          </w:p>
        </w:tc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shan</w:t>
            </w:r>
            <w:proofErr w:type="spellEnd"/>
            <w: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6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lix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7 </w:t>
            </w:r>
          </w:p>
        </w:tc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todoba</w:t>
            </w:r>
            <w:proofErr w:type="spellEnd"/>
            <w: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8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sideed</w:t>
            </w:r>
            <w:proofErr w:type="spellEnd"/>
            <w: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9 </w:t>
            </w:r>
          </w:p>
        </w:tc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sagal</w:t>
            </w:r>
            <w:proofErr w:type="spellEnd"/>
            <w: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t xml:space="preserve">10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>
              <w:t>toban</w:t>
            </w:r>
            <w:proofErr w:type="spellEnd"/>
            <w:r>
              <w:t xml:space="preserve"> </w:t>
            </w:r>
          </w:p>
        </w:tc>
      </w:tr>
    </w:tbl>
    <w:p w:rsidR="00AD2C77" w:rsidRDefault="00914C81" w:rsidP="005C6517">
      <w:pPr>
        <w:pStyle w:val="TKnotes"/>
      </w:pPr>
      <w:r>
        <w:t xml:space="preserve">Quelle: „Sprachensteckbrief Somali“, Schule Mehrsprachig, Eine Information des </w:t>
      </w:r>
      <w:r w:rsidR="003C338D" w:rsidRPr="00AD2C77">
        <w:t xml:space="preserve">österreichischen </w:t>
      </w:r>
      <w:r>
        <w:t xml:space="preserve">Bundesministeriums </w:t>
      </w:r>
      <w:proofErr w:type="spellStart"/>
      <w:r>
        <w:t>für</w:t>
      </w:r>
      <w:proofErr w:type="spellEnd"/>
      <w:r>
        <w:t xml:space="preserve"> Unterricht, Kunst und Kultur – © Fuad Ali Mohamed (gekürzt und adaptiert</w:t>
      </w:r>
      <w:r w:rsidR="00AD2C77">
        <w:t>).</w:t>
      </w:r>
    </w:p>
    <w:p w:rsidR="009C4408" w:rsidRDefault="009069A1" w:rsidP="009C4408">
      <w:pPr>
        <w:pStyle w:val="TKnotes"/>
      </w:pPr>
      <w:hyperlink r:id="rId9" w:history="1">
        <w:r w:rsidR="009C4408" w:rsidRPr="00AB392A">
          <w:rPr>
            <w:rStyle w:val="Lienhypertexte"/>
            <w:rFonts w:cs="Calibri"/>
          </w:rPr>
          <w:t>http://www.schule-mehrsprachig.at/fileadmin/schule_mehrsprachig/redaktion/sprachensteckbriefe/pdf/somali.pdf</w:t>
        </w:r>
      </w:hyperlink>
      <w:r w:rsidR="009C4408">
        <w:t xml:space="preserve"> </w:t>
      </w:r>
    </w:p>
    <w:p w:rsidR="009C4408" w:rsidRDefault="009069A1" w:rsidP="005C6517">
      <w:pPr>
        <w:pStyle w:val="TKnotes"/>
      </w:pPr>
      <w:hyperlink r:id="rId10" w:history="1">
        <w:r w:rsidR="009C4408" w:rsidRPr="00AB392A">
          <w:rPr>
            <w:rStyle w:val="Lienhypertexte"/>
            <w:rFonts w:cs="Calibri"/>
          </w:rPr>
          <w:t>http://www.schule-mehrsprachig.at/index.php?id=3</w:t>
        </w:r>
      </w:hyperlink>
      <w:r w:rsidR="009C4408">
        <w:t xml:space="preserve"> </w:t>
      </w:r>
    </w:p>
    <w:sectPr w:rsidR="009C4408" w:rsidSect="00DE2F6C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A1" w:rsidRDefault="009069A1" w:rsidP="00C523EA">
      <w:r>
        <w:separator/>
      </w:r>
    </w:p>
  </w:endnote>
  <w:endnote w:type="continuationSeparator" w:id="0">
    <w:p w:rsidR="009069A1" w:rsidRDefault="009069A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CB5D24" w:rsidTr="002860CD">
      <w:tc>
        <w:tcPr>
          <w:tcW w:w="1667" w:type="pct"/>
          <w:vAlign w:val="bottom"/>
        </w:tcPr>
        <w:p w:rsidR="00CB5D24" w:rsidRDefault="00CB5D24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Programm zur Sprachenpolitik</w:t>
          </w:r>
        </w:p>
        <w:p w:rsidR="00CB5D24" w:rsidRDefault="00CB5D24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Straßburg</w:t>
          </w:r>
        </w:p>
        <w:p w:rsidR="00CB5D24" w:rsidRPr="00FB70A6" w:rsidRDefault="00CB5D24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CB5D24" w:rsidRDefault="00963986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</w:rPr>
            <w:t>Einheit</w:t>
          </w:r>
          <w:r w:rsidR="003D7EA5">
            <w:rPr>
              <w:b/>
              <w:sz w:val="18"/>
            </w:rPr>
            <w:t xml:space="preserve"> 8</w:t>
          </w:r>
        </w:p>
      </w:tc>
      <w:tc>
        <w:tcPr>
          <w:tcW w:w="1667" w:type="pct"/>
          <w:vAlign w:val="bottom"/>
        </w:tcPr>
        <w:p w:rsidR="00CB5D24" w:rsidRDefault="003717EC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CB5D24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8C4528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CB5D24">
            <w:rPr>
              <w:sz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CB5D24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8C4528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  <w:vAlign w:val="bottom"/>
        </w:tcPr>
        <w:p w:rsidR="00CB5D24" w:rsidRDefault="00CB5D24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5D24" w:rsidRPr="002860CD" w:rsidRDefault="00CB5D2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A1" w:rsidRDefault="009069A1" w:rsidP="00C523EA">
      <w:r>
        <w:separator/>
      </w:r>
    </w:p>
  </w:footnote>
  <w:footnote w:type="continuationSeparator" w:id="0">
    <w:p w:rsidR="009069A1" w:rsidRDefault="009069A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B5D24" w:rsidRPr="009D41B7" w:rsidTr="00DE2F6C">
      <w:trPr>
        <w:trHeight w:val="1304"/>
      </w:trPr>
      <w:tc>
        <w:tcPr>
          <w:tcW w:w="2210" w:type="dxa"/>
        </w:tcPr>
        <w:p w:rsidR="00CB5D24" w:rsidRPr="00CB5C65" w:rsidRDefault="00CB5D24" w:rsidP="000C5F40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97ABA" w:rsidRDefault="00497ABA" w:rsidP="002860CD">
          <w:pPr>
            <w:jc w:val="center"/>
            <w:rPr>
              <w:rFonts w:eastAsiaTheme="minorHAnsi"/>
              <w:b/>
            </w:rPr>
          </w:pPr>
          <w:r w:rsidRPr="00497ABA">
            <w:rPr>
              <w:rFonts w:eastAsiaTheme="minorHAnsi"/>
              <w:b/>
            </w:rPr>
            <w:t xml:space="preserve">Sprachunterstützung für erwachsene Flüchtlinge: </w:t>
          </w:r>
          <w:r w:rsidRPr="00497ABA">
            <w:rPr>
              <w:rFonts w:eastAsiaTheme="minorHAnsi"/>
              <w:b/>
              <w:i/>
            </w:rPr>
            <w:t>Handreichungen des Europarats</w:t>
          </w:r>
        </w:p>
        <w:p w:rsidR="00CB5D24" w:rsidRPr="00010EAF" w:rsidRDefault="009069A1" w:rsidP="002860CD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>
            <w:r w:rsidR="00CB5D24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497ABA" w:rsidRDefault="00497ABA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lang w:val="de-DE"/>
            </w:rPr>
          </w:pPr>
          <w:r w:rsidRPr="00497ABA">
            <w:rPr>
              <w:rFonts w:asciiTheme="minorHAnsi" w:eastAsiaTheme="minorHAnsi" w:hAnsiTheme="minorHAnsi" w:cstheme="minorHAnsi"/>
              <w:sz w:val="20"/>
              <w:lang w:val="de-DE"/>
            </w:rPr>
            <w:t>Sprachliche Integration erwachsener Migrantinnen und Migranten (LIAM)</w:t>
          </w:r>
        </w:p>
        <w:p w:rsidR="00CB5D24" w:rsidRPr="00497ABA" w:rsidRDefault="009069A1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de-DE"/>
            </w:rPr>
          </w:pPr>
          <w:hyperlink r:id="rId3">
            <w:r w:rsidR="00CB5D24" w:rsidRPr="00497ABA">
              <w:rPr>
                <w:rStyle w:val="Lienhypertexte"/>
                <w:rFonts w:asciiTheme="minorHAnsi" w:eastAsiaTheme="minorHAnsi" w:hAnsiTheme="minorHAnsi" w:cstheme="minorHAnsi"/>
                <w:sz w:val="20"/>
                <w:lang w:val="de-DE"/>
              </w:rPr>
              <w:t>www.coe.int/lang-migrants</w:t>
            </w:r>
          </w:hyperlink>
        </w:p>
      </w:tc>
    </w:tr>
  </w:tbl>
  <w:p w:rsidR="00CB5D24" w:rsidRPr="00497ABA" w:rsidRDefault="00CB5D24" w:rsidP="00DE2F6C">
    <w:pPr>
      <w:pStyle w:val="En-tte"/>
      <w:tabs>
        <w:tab w:val="clear" w:pos="4536"/>
        <w:tab w:val="clear" w:pos="9072"/>
        <w:tab w:val="left" w:pos="975"/>
      </w:tabs>
      <w:rPr>
        <w:sz w:val="10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144C"/>
    <w:rsid w:val="00013516"/>
    <w:rsid w:val="000338F0"/>
    <w:rsid w:val="000618A7"/>
    <w:rsid w:val="000937FA"/>
    <w:rsid w:val="00094B6F"/>
    <w:rsid w:val="000A080D"/>
    <w:rsid w:val="000C5F40"/>
    <w:rsid w:val="000E706C"/>
    <w:rsid w:val="000F42D6"/>
    <w:rsid w:val="00105AFA"/>
    <w:rsid w:val="00110B4B"/>
    <w:rsid w:val="00126A5E"/>
    <w:rsid w:val="00154B1F"/>
    <w:rsid w:val="00172C07"/>
    <w:rsid w:val="001741D1"/>
    <w:rsid w:val="0017665B"/>
    <w:rsid w:val="0017676C"/>
    <w:rsid w:val="001965B4"/>
    <w:rsid w:val="001A1B4C"/>
    <w:rsid w:val="001B0010"/>
    <w:rsid w:val="001B1D75"/>
    <w:rsid w:val="001B602D"/>
    <w:rsid w:val="001B71AD"/>
    <w:rsid w:val="001F0942"/>
    <w:rsid w:val="0020300A"/>
    <w:rsid w:val="00214CD0"/>
    <w:rsid w:val="00233192"/>
    <w:rsid w:val="0023709F"/>
    <w:rsid w:val="0026293F"/>
    <w:rsid w:val="002860CD"/>
    <w:rsid w:val="002A0CEF"/>
    <w:rsid w:val="002A3476"/>
    <w:rsid w:val="002A678E"/>
    <w:rsid w:val="002C6177"/>
    <w:rsid w:val="002F2562"/>
    <w:rsid w:val="00303A5A"/>
    <w:rsid w:val="00321CFC"/>
    <w:rsid w:val="00325DF6"/>
    <w:rsid w:val="0035512B"/>
    <w:rsid w:val="003575BD"/>
    <w:rsid w:val="00363CC2"/>
    <w:rsid w:val="003717EC"/>
    <w:rsid w:val="0038409C"/>
    <w:rsid w:val="00387BE0"/>
    <w:rsid w:val="003C050D"/>
    <w:rsid w:val="003C32F5"/>
    <w:rsid w:val="003C338D"/>
    <w:rsid w:val="003D7EA5"/>
    <w:rsid w:val="003E358D"/>
    <w:rsid w:val="003E64BB"/>
    <w:rsid w:val="003F121D"/>
    <w:rsid w:val="003F7B04"/>
    <w:rsid w:val="0040209F"/>
    <w:rsid w:val="004026EB"/>
    <w:rsid w:val="00402CCB"/>
    <w:rsid w:val="00460BCC"/>
    <w:rsid w:val="00470AA9"/>
    <w:rsid w:val="0049006B"/>
    <w:rsid w:val="00497ABA"/>
    <w:rsid w:val="004B5DD8"/>
    <w:rsid w:val="004C1652"/>
    <w:rsid w:val="004E32A8"/>
    <w:rsid w:val="004F038E"/>
    <w:rsid w:val="004F2963"/>
    <w:rsid w:val="004F2E30"/>
    <w:rsid w:val="00503E91"/>
    <w:rsid w:val="00526886"/>
    <w:rsid w:val="005361E1"/>
    <w:rsid w:val="00561089"/>
    <w:rsid w:val="005713EB"/>
    <w:rsid w:val="005A0628"/>
    <w:rsid w:val="005C2E50"/>
    <w:rsid w:val="005C6517"/>
    <w:rsid w:val="005E38D0"/>
    <w:rsid w:val="005E4CA5"/>
    <w:rsid w:val="00614889"/>
    <w:rsid w:val="00617D74"/>
    <w:rsid w:val="00625E6A"/>
    <w:rsid w:val="006455D0"/>
    <w:rsid w:val="00651E90"/>
    <w:rsid w:val="00655B1E"/>
    <w:rsid w:val="00655CCE"/>
    <w:rsid w:val="00683603"/>
    <w:rsid w:val="006A1A21"/>
    <w:rsid w:val="006C0689"/>
    <w:rsid w:val="006C08C3"/>
    <w:rsid w:val="006C7764"/>
    <w:rsid w:val="006D234F"/>
    <w:rsid w:val="00724C92"/>
    <w:rsid w:val="00734E55"/>
    <w:rsid w:val="0074542C"/>
    <w:rsid w:val="007B4D14"/>
    <w:rsid w:val="007C3B77"/>
    <w:rsid w:val="007D336C"/>
    <w:rsid w:val="008023A0"/>
    <w:rsid w:val="008067EC"/>
    <w:rsid w:val="00822026"/>
    <w:rsid w:val="0083366C"/>
    <w:rsid w:val="008469DE"/>
    <w:rsid w:val="008506D5"/>
    <w:rsid w:val="0087339D"/>
    <w:rsid w:val="00892B00"/>
    <w:rsid w:val="008A3406"/>
    <w:rsid w:val="008B45A3"/>
    <w:rsid w:val="008C1A5F"/>
    <w:rsid w:val="008C4528"/>
    <w:rsid w:val="008C53DF"/>
    <w:rsid w:val="008D2AA4"/>
    <w:rsid w:val="008E6FB9"/>
    <w:rsid w:val="008F0189"/>
    <w:rsid w:val="008F24DC"/>
    <w:rsid w:val="009025F0"/>
    <w:rsid w:val="009069A1"/>
    <w:rsid w:val="00914C81"/>
    <w:rsid w:val="0094551C"/>
    <w:rsid w:val="00953DC1"/>
    <w:rsid w:val="00963986"/>
    <w:rsid w:val="00963B00"/>
    <w:rsid w:val="00964E6C"/>
    <w:rsid w:val="00972A49"/>
    <w:rsid w:val="009A5131"/>
    <w:rsid w:val="009C4408"/>
    <w:rsid w:val="009D41B7"/>
    <w:rsid w:val="00A03292"/>
    <w:rsid w:val="00A1258A"/>
    <w:rsid w:val="00A57DB1"/>
    <w:rsid w:val="00A67362"/>
    <w:rsid w:val="00A67F98"/>
    <w:rsid w:val="00A73DCE"/>
    <w:rsid w:val="00A802F2"/>
    <w:rsid w:val="00A92D5A"/>
    <w:rsid w:val="00AB255A"/>
    <w:rsid w:val="00AB2B22"/>
    <w:rsid w:val="00AC3473"/>
    <w:rsid w:val="00AD2C77"/>
    <w:rsid w:val="00AE657E"/>
    <w:rsid w:val="00AF4A1E"/>
    <w:rsid w:val="00AF56A8"/>
    <w:rsid w:val="00B35EFB"/>
    <w:rsid w:val="00B43C75"/>
    <w:rsid w:val="00B53E12"/>
    <w:rsid w:val="00B674EB"/>
    <w:rsid w:val="00B73A35"/>
    <w:rsid w:val="00B87D33"/>
    <w:rsid w:val="00B94592"/>
    <w:rsid w:val="00B94E15"/>
    <w:rsid w:val="00BA3C32"/>
    <w:rsid w:val="00BB182D"/>
    <w:rsid w:val="00BD2F15"/>
    <w:rsid w:val="00BD72E0"/>
    <w:rsid w:val="00BE6E05"/>
    <w:rsid w:val="00BF2B09"/>
    <w:rsid w:val="00BF66BF"/>
    <w:rsid w:val="00BF71C7"/>
    <w:rsid w:val="00C10B66"/>
    <w:rsid w:val="00C24B3F"/>
    <w:rsid w:val="00C523EA"/>
    <w:rsid w:val="00C530F7"/>
    <w:rsid w:val="00C622D7"/>
    <w:rsid w:val="00C7477C"/>
    <w:rsid w:val="00C8086F"/>
    <w:rsid w:val="00C83532"/>
    <w:rsid w:val="00CB5D24"/>
    <w:rsid w:val="00CC0991"/>
    <w:rsid w:val="00CE3B93"/>
    <w:rsid w:val="00CF0B90"/>
    <w:rsid w:val="00CF36D3"/>
    <w:rsid w:val="00D00DA4"/>
    <w:rsid w:val="00D02228"/>
    <w:rsid w:val="00D07616"/>
    <w:rsid w:val="00D2211A"/>
    <w:rsid w:val="00D57D70"/>
    <w:rsid w:val="00D76C50"/>
    <w:rsid w:val="00D8328F"/>
    <w:rsid w:val="00DA5A92"/>
    <w:rsid w:val="00DD35DF"/>
    <w:rsid w:val="00DE14E2"/>
    <w:rsid w:val="00DE2C28"/>
    <w:rsid w:val="00DE2F6C"/>
    <w:rsid w:val="00DE5B7D"/>
    <w:rsid w:val="00DF60EB"/>
    <w:rsid w:val="00E076C3"/>
    <w:rsid w:val="00E36D74"/>
    <w:rsid w:val="00E84A8C"/>
    <w:rsid w:val="00E85C5C"/>
    <w:rsid w:val="00EC2D5C"/>
    <w:rsid w:val="00ED4CB7"/>
    <w:rsid w:val="00ED5231"/>
    <w:rsid w:val="00F260E9"/>
    <w:rsid w:val="00F36542"/>
    <w:rsid w:val="00F5126A"/>
    <w:rsid w:val="00F602BD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de-A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TKAIM">
    <w:name w:val="TK AIM"/>
    <w:qFormat/>
    <w:rsid w:val="00BF66BF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BF66BF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autoRedefine/>
    <w:qFormat/>
    <w:rsid w:val="005C6517"/>
    <w:pPr>
      <w:spacing w:before="120" w:after="120" w:line="240" w:lineRule="auto"/>
    </w:pPr>
    <w:rPr>
      <w:rFonts w:ascii="Calibri" w:eastAsia="Times New Roman" w:hAnsi="Calibri" w:cs="Calibri"/>
      <w:sz w:val="24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basedOn w:val="TKTITRE2"/>
    <w:autoRedefine/>
    <w:qFormat/>
    <w:rsid w:val="003E64BB"/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character" w:styleId="lev">
    <w:name w:val="Strong"/>
    <w:uiPriority w:val="99"/>
    <w:qFormat/>
    <w:rsid w:val="00914C81"/>
    <w:rPr>
      <w:rFonts w:cs="Times New Roman"/>
      <w:b/>
      <w:bCs/>
    </w:rPr>
  </w:style>
  <w:style w:type="character" w:customStyle="1" w:styleId="A5">
    <w:name w:val="A5"/>
    <w:uiPriority w:val="99"/>
    <w:rsid w:val="00914C81"/>
    <w:rPr>
      <w:color w:val="000000"/>
      <w:sz w:val="22"/>
    </w:rPr>
  </w:style>
  <w:style w:type="paragraph" w:customStyle="1" w:styleId="TKnotes">
    <w:name w:val="TK_notes"/>
    <w:qFormat/>
    <w:rsid w:val="00BF66BF"/>
    <w:pPr>
      <w:spacing w:before="120" w:after="120" w:line="240" w:lineRule="auto"/>
    </w:pPr>
    <w:rPr>
      <w:rFonts w:ascii="Calibri" w:eastAsia="Times New Roman" w:hAnsi="Calibri" w:cs="Calibri"/>
      <w:sz w:val="20"/>
    </w:rPr>
  </w:style>
  <w:style w:type="paragraph" w:customStyle="1" w:styleId="TKBulletLevel1">
    <w:name w:val="TK Bullet Level1"/>
    <w:next w:val="Normal"/>
    <w:qFormat/>
    <w:rsid w:val="00BF66BF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KBulletLevel2">
    <w:name w:val="TK Bullet Level2"/>
    <w:basedOn w:val="TKBulletLevel1"/>
    <w:qFormat/>
    <w:rsid w:val="00BF66BF"/>
    <w:pPr>
      <w:ind w:left="1135"/>
    </w:pPr>
  </w:style>
  <w:style w:type="paragraph" w:customStyle="1" w:styleId="TKNbrsLevel2">
    <w:name w:val="TK Nbrs Level2"/>
    <w:qFormat/>
    <w:rsid w:val="00BF66BF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TKTITRE2">
    <w:name w:val="TK TITRE 2"/>
    <w:next w:val="Normal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TKTITRE3">
    <w:name w:val="TK TITRE 3"/>
    <w:qFormat/>
    <w:rsid w:val="00BF66BF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paragraph" w:customStyle="1" w:styleId="TKTITRE1">
    <w:name w:val="TK TITRE1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NbrsLevel1">
    <w:name w:val="TK_Nbrs Level1"/>
    <w:qFormat/>
    <w:rsid w:val="00BF66BF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styleId="Commentaire">
    <w:name w:val="annotation text"/>
    <w:link w:val="CommentaireCar"/>
    <w:uiPriority w:val="99"/>
    <w:semiHidden/>
    <w:unhideWhenUsed/>
    <w:rsid w:val="00614889"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6148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A5F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A5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A5F"/>
    <w:rPr>
      <w:rFonts w:ascii="Calibri" w:eastAsia="Times New Roman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E3B9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bodytext">
    <w:name w:val="bodytext"/>
    <w:basedOn w:val="Normal"/>
    <w:rsid w:val="00CB5D24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de-DE" w:eastAsia="de-DE" w:bidi="ar-SA"/>
    </w:rPr>
  </w:style>
  <w:style w:type="character" w:customStyle="1" w:styleId="Erwhnung1">
    <w:name w:val="Erwähnung1"/>
    <w:basedOn w:val="Policepardfaut"/>
    <w:uiPriority w:val="99"/>
    <w:semiHidden/>
    <w:unhideWhenUsed/>
    <w:rsid w:val="00AD2C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language-of-origin-/-backgro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mehrsprachig.at/index.php?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mehrsprachig.at/fileadmin/schule_mehrsprachig/redaktion/sprachensteckbriefe/pdf/somali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AFA2-2E0E-4FC5-848C-E1CCB378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3297</Characters>
  <Application>Microsoft Office Word</Application>
  <DocSecurity>0</DocSecurity>
  <Lines>51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3</cp:revision>
  <cp:lastPrinted>2017-03-14T17:41:00Z</cp:lastPrinted>
  <dcterms:created xsi:type="dcterms:W3CDTF">2017-10-27T07:44:00Z</dcterms:created>
  <dcterms:modified xsi:type="dcterms:W3CDTF">2017-11-09T14:15:00Z</dcterms:modified>
</cp:coreProperties>
</file>