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B1" w:rsidRPr="006927B1" w:rsidRDefault="00B519E6" w:rsidP="006927B1">
      <w:pPr>
        <w:pStyle w:val="TKMAINTITLE"/>
      </w:pPr>
      <w:r>
        <w:t>6</w:t>
      </w:r>
      <w:r w:rsidR="00BA413D">
        <w:t xml:space="preserve"> – Kurdisch </w:t>
      </w:r>
      <w:r w:rsidR="00BA413D">
        <w:rPr>
          <w:noProof/>
          <w:lang w:val="fr-FR" w:eastAsia="fr-FR" w:bidi="ar-SA"/>
        </w:rPr>
        <w:drawing>
          <wp:inline distT="0" distB="0" distL="0" distR="0">
            <wp:extent cx="398583" cy="167148"/>
            <wp:effectExtent l="19050" t="0" r="1467"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9702" cy="167617"/>
                    </a:xfrm>
                    <a:prstGeom prst="rect">
                      <a:avLst/>
                    </a:prstGeom>
                    <a:noFill/>
                    <a:ln w="9525">
                      <a:noFill/>
                      <a:miter lim="800000"/>
                      <a:headEnd/>
                      <a:tailEnd/>
                    </a:ln>
                  </pic:spPr>
                </pic:pic>
              </a:graphicData>
            </a:graphic>
          </wp:inline>
        </w:drawing>
      </w:r>
      <w:r w:rsidR="00BA413D">
        <w:t xml:space="preserve"> : </w:t>
      </w:r>
      <w:r w:rsidR="00AB222D">
        <w:t>einige</w:t>
      </w:r>
      <w:bookmarkStart w:id="0" w:name="_GoBack"/>
      <w:bookmarkEnd w:id="0"/>
      <w:r w:rsidR="00BA413D">
        <w:t xml:space="preserve"> Informationen</w:t>
      </w:r>
    </w:p>
    <w:p w:rsidR="006927B1" w:rsidRPr="007C2FD5" w:rsidRDefault="006927B1" w:rsidP="007C2FD5">
      <w:pPr>
        <w:pStyle w:val="TKAIM"/>
      </w:pPr>
      <w:r>
        <w:t xml:space="preserve">Ziel: </w:t>
      </w:r>
      <w:r>
        <w:tab/>
        <w:t>Überblick über eine von vielen Flüchtlingen gesprochene Sprache</w:t>
      </w:r>
    </w:p>
    <w:p w:rsidR="006927B1" w:rsidRPr="00590524" w:rsidRDefault="006927B1" w:rsidP="00B15AC9">
      <w:pPr>
        <w:pStyle w:val="TKTEXTE"/>
      </w:pPr>
      <w:r>
        <w:t xml:space="preserve">Ein grundlegender Einblick in die kurdische Sprache kann Ihnen dabei helfen zu verstehen, was für </w:t>
      </w:r>
      <w:proofErr w:type="spellStart"/>
      <w:r>
        <w:t>kurdisch</w:t>
      </w:r>
      <w:r w:rsidR="00DD18A1">
        <w:t>s</w:t>
      </w:r>
      <w:r>
        <w:t>prachige</w:t>
      </w:r>
      <w:proofErr w:type="spellEnd"/>
      <w:r>
        <w:t xml:space="preserve"> Menschen beim Erlernen einer neuen Sprache als besonders herausfordernd und was wiederum als verhältnismäßig </w:t>
      </w:r>
      <w:r w:rsidR="00DD18A1">
        <w:t xml:space="preserve">einfach </w:t>
      </w:r>
      <w:r>
        <w:t xml:space="preserve">wahrgenommen werden kann. Zudem werden es einige Flüchtlinge sicher zu schätzen wissen, wenn Sie sie nach der richtigen Aussprache von Personen- und Ortsnamen fragen und versuchen, zumindest einige Wörter und Phrasen in ihrer Sprache zu verwenden (siehe </w:t>
      </w:r>
      <w:r w:rsidR="00590524">
        <w:t>„</w:t>
      </w:r>
      <w:hyperlink r:id="rId9" w:history="1">
        <w:r w:rsidRPr="00590524">
          <w:rPr>
            <w:rStyle w:val="Lienhypertexte"/>
            <w:u w:val="none"/>
          </w:rPr>
          <w:t xml:space="preserve">Language </w:t>
        </w:r>
        <w:proofErr w:type="spellStart"/>
        <w:r w:rsidRPr="00590524">
          <w:rPr>
            <w:rStyle w:val="Lienhypertexte"/>
            <w:u w:val="none"/>
          </w:rPr>
          <w:t>of</w:t>
        </w:r>
        <w:proofErr w:type="spellEnd"/>
        <w:r w:rsidRPr="00590524">
          <w:rPr>
            <w:rStyle w:val="Lienhypertexte"/>
            <w:u w:val="none"/>
          </w:rPr>
          <w:t xml:space="preserve"> </w:t>
        </w:r>
        <w:proofErr w:type="spellStart"/>
        <w:r w:rsidRPr="00590524">
          <w:rPr>
            <w:rStyle w:val="Lienhypertexte"/>
            <w:u w:val="none"/>
          </w:rPr>
          <w:t>origin</w:t>
        </w:r>
        <w:proofErr w:type="spellEnd"/>
      </w:hyperlink>
      <w:r w:rsidRPr="00590524">
        <w:t>“).</w:t>
      </w:r>
    </w:p>
    <w:p w:rsidR="006927B1" w:rsidRPr="006927B1" w:rsidRDefault="006927B1" w:rsidP="00B15AC9">
      <w:pPr>
        <w:pStyle w:val="TKTITRE1"/>
      </w:pPr>
      <w:r>
        <w:t>Wo Kurdisch gesprochen wird</w:t>
      </w:r>
    </w:p>
    <w:p w:rsidR="006927B1" w:rsidRPr="006927B1" w:rsidRDefault="006927B1" w:rsidP="005C6364">
      <w:pPr>
        <w:pStyle w:val="TKTEXTE"/>
      </w:pPr>
      <w:r>
        <w:t xml:space="preserve">Sprachwissenschaftlerinnen und Sprachwissenschaftler sind sich uneinig darüber, ob Kurdisch eine Sprache mit vielen Dialekten ist oder ob es sich dabei um mehrere, eng miteinander verwandte Sprachen handelt. </w:t>
      </w:r>
      <w:proofErr w:type="spellStart"/>
      <w:r>
        <w:t>Kurdischsprachige</w:t>
      </w:r>
      <w:proofErr w:type="spellEnd"/>
      <w:r>
        <w:t xml:space="preserve"> Gebiete erstrecken sich über Teile der Türkei, des Irak, Syriens und des Iran. Schätzungen zufolge sprechen weltweit 20 bis 30 Millionen Menschen Varianten des Kurdischen.</w:t>
      </w:r>
    </w:p>
    <w:p w:rsidR="006927B1" w:rsidRPr="006927B1" w:rsidRDefault="006927B1" w:rsidP="005C6364">
      <w:pPr>
        <w:pStyle w:val="TKTEXTE"/>
      </w:pPr>
      <w:r>
        <w:t>Sowohl Arabisch als auch Kurdisch sind Amtssprachen im Irak. In der autonomen Region Kurdistan (Irak) ist Kurdisch sowohl die Umgangssprache als auch die offizielle Sprache von Behörden und Bildungsinstitutionen. Der Irak ist das einzige Land, in dem Kurdisch eine Amtssprache ist.</w:t>
      </w:r>
    </w:p>
    <w:p w:rsidR="006927B1" w:rsidRPr="006927B1" w:rsidRDefault="006927B1" w:rsidP="00B15AC9">
      <w:pPr>
        <w:pStyle w:val="TKTITRE1"/>
      </w:pPr>
      <w:r>
        <w:t>Kurdische Dialekte</w:t>
      </w:r>
    </w:p>
    <w:p w:rsidR="006927B1" w:rsidRPr="006927B1" w:rsidRDefault="006927B1" w:rsidP="00B15AC9">
      <w:pPr>
        <w:pStyle w:val="TKTEXTE"/>
      </w:pPr>
      <w:r>
        <w:t xml:space="preserve">In der Türkei und in Syrien ist der </w:t>
      </w:r>
      <w:proofErr w:type="spellStart"/>
      <w:r>
        <w:t>Kurmancî</w:t>
      </w:r>
      <w:proofErr w:type="spellEnd"/>
      <w:r>
        <w:t xml:space="preserve">-Dialekt vorherrschend. Darüber hinaus ist in der Türkei auch der Dialekt </w:t>
      </w:r>
      <w:proofErr w:type="spellStart"/>
      <w:r>
        <w:t>Zazakî</w:t>
      </w:r>
      <w:proofErr w:type="spellEnd"/>
      <w:r>
        <w:t xml:space="preserve">, der auch unter den Namen </w:t>
      </w:r>
      <w:proofErr w:type="spellStart"/>
      <w:r>
        <w:t>Dimilkî</w:t>
      </w:r>
      <w:proofErr w:type="spellEnd"/>
      <w:r>
        <w:t xml:space="preserve">, </w:t>
      </w:r>
      <w:proofErr w:type="spellStart"/>
      <w:r>
        <w:t>Kirdkî</w:t>
      </w:r>
      <w:proofErr w:type="spellEnd"/>
      <w:r>
        <w:t xml:space="preserve"> oder </w:t>
      </w:r>
      <w:proofErr w:type="spellStart"/>
      <w:r>
        <w:t>Kîrmancik</w:t>
      </w:r>
      <w:proofErr w:type="spellEnd"/>
      <w:r>
        <w:t xml:space="preserve"> bekannt ist, verbreitet.</w:t>
      </w:r>
    </w:p>
    <w:p w:rsidR="006927B1" w:rsidRPr="006927B1" w:rsidRDefault="006927B1" w:rsidP="00B15AC9">
      <w:pPr>
        <w:pStyle w:val="TKTEXTE"/>
      </w:pPr>
      <w:r>
        <w:t xml:space="preserve">In der autonomen Region Kurdistan (Irak) werden hauptsächlich die beiden Dialekte </w:t>
      </w:r>
      <w:proofErr w:type="spellStart"/>
      <w:r>
        <w:t>Soranî</w:t>
      </w:r>
      <w:proofErr w:type="spellEnd"/>
      <w:r>
        <w:t xml:space="preserve"> </w:t>
      </w:r>
      <w:r w:rsidR="000E1E50" w:rsidRPr="00826A9D">
        <w:t>und</w:t>
      </w:r>
      <w:r w:rsidRPr="00826A9D">
        <w:t xml:space="preserve"> </w:t>
      </w:r>
      <w:proofErr w:type="spellStart"/>
      <w:r>
        <w:t>Badhînî</w:t>
      </w:r>
      <w:proofErr w:type="spellEnd"/>
      <w:r>
        <w:t xml:space="preserve">, eine irakische Variante von </w:t>
      </w:r>
      <w:proofErr w:type="spellStart"/>
      <w:r>
        <w:t>Kurmancî</w:t>
      </w:r>
      <w:proofErr w:type="spellEnd"/>
      <w:r>
        <w:t xml:space="preserve">, gesprochen. Weiter südlich werden Dialekte des </w:t>
      </w:r>
      <w:proofErr w:type="spellStart"/>
      <w:r>
        <w:t>Gûranî</w:t>
      </w:r>
      <w:proofErr w:type="spellEnd"/>
      <w:r>
        <w:t xml:space="preserve"> (</w:t>
      </w:r>
      <w:proofErr w:type="spellStart"/>
      <w:r>
        <w:t>Goranî</w:t>
      </w:r>
      <w:proofErr w:type="spellEnd"/>
      <w:r>
        <w:t xml:space="preserve">) gesprochen, z. B. </w:t>
      </w:r>
      <w:proofErr w:type="spellStart"/>
      <w:r>
        <w:t>Hawramî</w:t>
      </w:r>
      <w:proofErr w:type="spellEnd"/>
      <w:r>
        <w:t xml:space="preserve"> und </w:t>
      </w:r>
      <w:proofErr w:type="spellStart"/>
      <w:r>
        <w:t>Schabakî</w:t>
      </w:r>
      <w:proofErr w:type="spellEnd"/>
      <w:r>
        <w:t xml:space="preserve">, die im Gebiet nordöstlich von </w:t>
      </w:r>
      <w:proofErr w:type="spellStart"/>
      <w:r>
        <w:t>Mossul</w:t>
      </w:r>
      <w:proofErr w:type="spellEnd"/>
      <w:r>
        <w:t xml:space="preserve"> verbreitet sind. Darüber hinaus gibt es zahlreiche weitere Dialekte, die in verschiedenen Regionen gesprochen werden.</w:t>
      </w:r>
    </w:p>
    <w:p w:rsidR="006927B1" w:rsidRPr="006927B1" w:rsidRDefault="006927B1" w:rsidP="00B15AC9">
      <w:pPr>
        <w:pStyle w:val="TKTITRE1"/>
      </w:pPr>
      <w:r>
        <w:t>Medien und Literatur</w:t>
      </w:r>
    </w:p>
    <w:p w:rsidR="006927B1" w:rsidRPr="006927B1" w:rsidRDefault="006927B1" w:rsidP="00B15AC9">
      <w:pPr>
        <w:pStyle w:val="TKTEXTE"/>
      </w:pPr>
      <w:r>
        <w:t xml:space="preserve">Die frühesten Zeugnisse kurdischer Literatur (16./17. Jahrhundert) sind die Gesänge der religiösen Minderheiten der </w:t>
      </w:r>
      <w:proofErr w:type="spellStart"/>
      <w:r>
        <w:t>Êzîdî</w:t>
      </w:r>
      <w:proofErr w:type="spellEnd"/>
      <w:r>
        <w:t xml:space="preserve"> (</w:t>
      </w:r>
      <w:proofErr w:type="spellStart"/>
      <w:r>
        <w:t>Jesiden</w:t>
      </w:r>
      <w:proofErr w:type="spellEnd"/>
      <w:r>
        <w:t xml:space="preserve">) und der </w:t>
      </w:r>
      <w:proofErr w:type="spellStart"/>
      <w:r w:rsidR="000E1E50" w:rsidRPr="00826A9D">
        <w:t>Yarsan</w:t>
      </w:r>
      <w:proofErr w:type="spellEnd"/>
      <w:r w:rsidR="000E1E50">
        <w:t>/</w:t>
      </w:r>
      <w:r>
        <w:t xml:space="preserve">Ahl-e </w:t>
      </w:r>
      <w:proofErr w:type="spellStart"/>
      <w:r>
        <w:t>Haqq</w:t>
      </w:r>
      <w:proofErr w:type="spellEnd"/>
      <w:r>
        <w:t xml:space="preserve">. </w:t>
      </w:r>
    </w:p>
    <w:p w:rsidR="006927B1" w:rsidRPr="006927B1" w:rsidRDefault="006927B1" w:rsidP="00B15AC9">
      <w:pPr>
        <w:pStyle w:val="TKTEXTE"/>
      </w:pPr>
      <w:r>
        <w:t xml:space="preserve">Neben </w:t>
      </w:r>
      <w:proofErr w:type="spellStart"/>
      <w:r>
        <w:t>Kurmancî</w:t>
      </w:r>
      <w:proofErr w:type="spellEnd"/>
      <w:r>
        <w:t xml:space="preserve"> war geschichtlich gesehen </w:t>
      </w:r>
      <w:proofErr w:type="spellStart"/>
      <w:r>
        <w:t>Gûranî</w:t>
      </w:r>
      <w:proofErr w:type="spellEnd"/>
      <w:r>
        <w:t>/</w:t>
      </w:r>
      <w:proofErr w:type="spellStart"/>
      <w:r>
        <w:t>Hawramî</w:t>
      </w:r>
      <w:proofErr w:type="spellEnd"/>
      <w:r>
        <w:t xml:space="preserve"> die wichtigste Sprache der Literatur. In anderen kurdischen Dialekten wurden erst ab dem 19. Jahrhundert literarische Werke verfasst.</w:t>
      </w:r>
    </w:p>
    <w:p w:rsidR="00B15AC9" w:rsidRDefault="006927B1" w:rsidP="00B15AC9">
      <w:pPr>
        <w:pStyle w:val="TKTEXTE"/>
      </w:pPr>
      <w:r>
        <w:t xml:space="preserve">Im 20. Jahrhundert entdeckte eine Generation junger Kurdinnen und Kurden das Kurdische als eine Sprache für die Literatur wieder. Heute werden mehr literarische Werke in </w:t>
      </w:r>
      <w:proofErr w:type="spellStart"/>
      <w:r>
        <w:t>Sorani</w:t>
      </w:r>
      <w:proofErr w:type="spellEnd"/>
      <w:r>
        <w:t xml:space="preserve"> </w:t>
      </w:r>
      <w:proofErr w:type="spellStart"/>
      <w:r>
        <w:t>and</w:t>
      </w:r>
      <w:proofErr w:type="spellEnd"/>
      <w:r>
        <w:t xml:space="preserve"> </w:t>
      </w:r>
      <w:proofErr w:type="spellStart"/>
      <w:r>
        <w:t>Kurmancî</w:t>
      </w:r>
      <w:proofErr w:type="spellEnd"/>
      <w:r>
        <w:t xml:space="preserve"> veröffentlicht als jemals zuvor.</w:t>
      </w:r>
    </w:p>
    <w:p w:rsidR="00B15AC9" w:rsidRDefault="00B15AC9">
      <w:pPr>
        <w:spacing w:after="160" w:line="259" w:lineRule="auto"/>
        <w:rPr>
          <w:rFonts w:cs="Calibri"/>
          <w:szCs w:val="24"/>
        </w:rPr>
      </w:pPr>
      <w:r>
        <w:br w:type="page"/>
      </w:r>
    </w:p>
    <w:p w:rsidR="006927B1" w:rsidRDefault="006927B1" w:rsidP="0014039A">
      <w:pPr>
        <w:pStyle w:val="TKTITRE1"/>
      </w:pPr>
      <w:r>
        <w:lastRenderedPageBreak/>
        <w:t>Einige Phrasen in Kurdisch</w:t>
      </w:r>
    </w:p>
    <w:tbl>
      <w:tblPr>
        <w:tblStyle w:val="Grilledutableau"/>
        <w:tblW w:w="5000" w:type="pct"/>
        <w:tblLook w:val="04A0"/>
      </w:tblPr>
      <w:tblGrid>
        <w:gridCol w:w="2670"/>
        <w:gridCol w:w="2670"/>
        <w:gridCol w:w="2671"/>
        <w:gridCol w:w="2671"/>
      </w:tblGrid>
      <w:tr w:rsidR="00B15AC9" w:rsidRPr="002961C5" w:rsidTr="00FA35F8">
        <w:trPr>
          <w:trHeight w:val="486"/>
        </w:trPr>
        <w:tc>
          <w:tcPr>
            <w:tcW w:w="1250" w:type="pct"/>
            <w:vAlign w:val="center"/>
          </w:tcPr>
          <w:p w:rsidR="00B15AC9" w:rsidRPr="002961C5" w:rsidRDefault="00B15AC9" w:rsidP="00FA35F8">
            <w:pPr>
              <w:pStyle w:val="TKTextetableau"/>
              <w:rPr>
                <w:b/>
                <w:sz w:val="24"/>
                <w:szCs w:val="24"/>
              </w:rPr>
            </w:pPr>
          </w:p>
        </w:tc>
        <w:tc>
          <w:tcPr>
            <w:tcW w:w="1250" w:type="pct"/>
            <w:vAlign w:val="center"/>
          </w:tcPr>
          <w:p w:rsidR="00B15AC9" w:rsidRPr="002961C5" w:rsidRDefault="002944D8" w:rsidP="00FA35F8">
            <w:pPr>
              <w:pStyle w:val="TKTextetableau"/>
              <w:rPr>
                <w:b/>
                <w:sz w:val="24"/>
                <w:szCs w:val="24"/>
              </w:rPr>
            </w:pPr>
            <w:proofErr w:type="spellStart"/>
            <w:r>
              <w:rPr>
                <w:b/>
                <w:sz w:val="24"/>
              </w:rPr>
              <w:t>Soranî</w:t>
            </w:r>
            <w:proofErr w:type="spellEnd"/>
          </w:p>
        </w:tc>
        <w:tc>
          <w:tcPr>
            <w:tcW w:w="1250" w:type="pct"/>
            <w:vAlign w:val="center"/>
          </w:tcPr>
          <w:p w:rsidR="00B15AC9" w:rsidRPr="002961C5" w:rsidRDefault="002944D8" w:rsidP="00FA35F8">
            <w:pPr>
              <w:pStyle w:val="TKTextetableau"/>
              <w:rPr>
                <w:b/>
                <w:sz w:val="24"/>
                <w:szCs w:val="24"/>
              </w:rPr>
            </w:pPr>
            <w:proofErr w:type="spellStart"/>
            <w:r>
              <w:rPr>
                <w:b/>
                <w:sz w:val="24"/>
              </w:rPr>
              <w:t>Zazakî</w:t>
            </w:r>
            <w:proofErr w:type="spellEnd"/>
          </w:p>
        </w:tc>
        <w:tc>
          <w:tcPr>
            <w:tcW w:w="1250" w:type="pct"/>
            <w:vAlign w:val="center"/>
          </w:tcPr>
          <w:p w:rsidR="00B15AC9" w:rsidRPr="002961C5" w:rsidRDefault="002944D8" w:rsidP="00FA35F8">
            <w:pPr>
              <w:pStyle w:val="TKTextetableau"/>
              <w:rPr>
                <w:b/>
                <w:sz w:val="24"/>
                <w:szCs w:val="24"/>
              </w:rPr>
            </w:pPr>
            <w:proofErr w:type="spellStart"/>
            <w:r>
              <w:rPr>
                <w:b/>
                <w:sz w:val="24"/>
              </w:rPr>
              <w:t>Kurmancî</w:t>
            </w:r>
            <w:proofErr w:type="spellEnd"/>
          </w:p>
        </w:tc>
      </w:tr>
      <w:tr w:rsidR="00B15AC9" w:rsidTr="00FA35F8">
        <w:trPr>
          <w:trHeight w:val="851"/>
        </w:trPr>
        <w:tc>
          <w:tcPr>
            <w:tcW w:w="1250" w:type="pct"/>
            <w:shd w:val="clear" w:color="auto" w:fill="D9D9D9" w:themeFill="background1" w:themeFillShade="D9"/>
            <w:vAlign w:val="center"/>
          </w:tcPr>
          <w:p w:rsidR="00B15AC9" w:rsidRDefault="00AC6EAE" w:rsidP="00FA35F8">
            <w:pPr>
              <w:pStyle w:val="TKTextetableau"/>
            </w:pPr>
            <w:r>
              <w:t>Hallo!</w:t>
            </w:r>
          </w:p>
        </w:tc>
        <w:tc>
          <w:tcPr>
            <w:tcW w:w="1250" w:type="pct"/>
            <w:shd w:val="clear" w:color="auto" w:fill="D9D9D9" w:themeFill="background1" w:themeFillShade="D9"/>
            <w:vAlign w:val="center"/>
          </w:tcPr>
          <w:p w:rsidR="00BE7409" w:rsidRDefault="00B15AC9" w:rsidP="00FA35F8">
            <w:pPr>
              <w:pStyle w:val="TKTextetableau"/>
            </w:pPr>
            <w:r>
              <w:rPr>
                <w:noProof/>
                <w:lang w:val="fr-FR" w:eastAsia="fr-FR" w:bidi="ar-SA"/>
              </w:rPr>
              <w:drawing>
                <wp:inline distT="0" distB="0" distL="0" distR="0">
                  <wp:extent cx="619125" cy="189528"/>
                  <wp:effectExtent l="19050" t="0" r="9525" b="0"/>
                  <wp:docPr id="9" name="Bild 3" descr="Mavericks OS:Users:Karla:Desktop:KurdischSZ:good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vericks OS:Users:Karla:Desktop:KurdischSZ:goodday.png"/>
                          <pic:cNvPicPr>
                            <a:picLocks noChangeAspect="1" noChangeArrowheads="1"/>
                          </pic:cNvPicPr>
                        </pic:nvPicPr>
                        <pic:blipFill>
                          <a:blip r:embed="rId10" cstate="print">
                            <a:duotone>
                              <a:prstClr val="black"/>
                              <a:schemeClr val="bg1">
                                <a:lumMod val="75000"/>
                                <a:tint val="45000"/>
                                <a:satMod val="400000"/>
                              </a:schemeClr>
                            </a:duotone>
                          </a:blip>
                          <a:srcRect/>
                          <a:stretch>
                            <a:fillRect/>
                          </a:stretch>
                        </pic:blipFill>
                        <pic:spPr bwMode="auto">
                          <a:xfrm>
                            <a:off x="0" y="0"/>
                            <a:ext cx="619125" cy="189528"/>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inline>
              </w:drawing>
            </w:r>
          </w:p>
          <w:p w:rsidR="00B15AC9" w:rsidRDefault="002944D8" w:rsidP="00FA35F8">
            <w:pPr>
              <w:pStyle w:val="TKTextetableau"/>
            </w:pPr>
            <w:proofErr w:type="spellStart"/>
            <w:r>
              <w:t>Roj</w:t>
            </w:r>
            <w:proofErr w:type="spellEnd"/>
            <w:r>
              <w:t xml:space="preserve"> </w:t>
            </w:r>
            <w:proofErr w:type="spellStart"/>
            <w:r>
              <w:t>baș</w:t>
            </w:r>
            <w:proofErr w:type="spellEnd"/>
            <w:r>
              <w:t>!</w:t>
            </w:r>
          </w:p>
        </w:tc>
        <w:tc>
          <w:tcPr>
            <w:tcW w:w="1250" w:type="pct"/>
            <w:shd w:val="clear" w:color="auto" w:fill="D9D9D9" w:themeFill="background1" w:themeFillShade="D9"/>
            <w:vAlign w:val="center"/>
          </w:tcPr>
          <w:p w:rsidR="00B15AC9" w:rsidRDefault="002944D8" w:rsidP="00FA35F8">
            <w:pPr>
              <w:pStyle w:val="TKTextetableau"/>
            </w:pPr>
            <w:r>
              <w:t xml:space="preserve">Roza </w:t>
            </w:r>
            <w:proofErr w:type="spellStart"/>
            <w:r>
              <w:t>to</w:t>
            </w:r>
            <w:proofErr w:type="spellEnd"/>
            <w:r>
              <w:t xml:space="preserve"> </w:t>
            </w:r>
            <w:proofErr w:type="spellStart"/>
            <w:r>
              <w:t>xêr</w:t>
            </w:r>
            <w:proofErr w:type="spellEnd"/>
            <w:r>
              <w:t xml:space="preserve"> </w:t>
            </w:r>
            <w:proofErr w:type="spellStart"/>
            <w:r>
              <w:t>bo</w:t>
            </w:r>
            <w:proofErr w:type="spellEnd"/>
            <w:r>
              <w:t>!</w:t>
            </w:r>
          </w:p>
        </w:tc>
        <w:tc>
          <w:tcPr>
            <w:tcW w:w="1250" w:type="pct"/>
            <w:shd w:val="clear" w:color="auto" w:fill="D9D9D9" w:themeFill="background1" w:themeFillShade="D9"/>
            <w:vAlign w:val="center"/>
          </w:tcPr>
          <w:p w:rsidR="00B15AC9" w:rsidRDefault="002944D8" w:rsidP="00FA35F8">
            <w:pPr>
              <w:pStyle w:val="TKTextetableau"/>
            </w:pPr>
            <w:proofErr w:type="spellStart"/>
            <w:r>
              <w:t>Roș</w:t>
            </w:r>
            <w:proofErr w:type="spellEnd"/>
            <w:r>
              <w:t xml:space="preserve"> </w:t>
            </w:r>
            <w:proofErr w:type="spellStart"/>
            <w:r>
              <w:t>baș</w:t>
            </w:r>
            <w:proofErr w:type="spellEnd"/>
            <w:r>
              <w:t>!</w:t>
            </w:r>
          </w:p>
        </w:tc>
      </w:tr>
      <w:tr w:rsidR="00B15AC9" w:rsidRPr="00590524" w:rsidTr="00FA35F8">
        <w:trPr>
          <w:trHeight w:val="851"/>
        </w:trPr>
        <w:tc>
          <w:tcPr>
            <w:tcW w:w="1250" w:type="pct"/>
            <w:vAlign w:val="center"/>
          </w:tcPr>
          <w:p w:rsidR="00B15AC9" w:rsidRDefault="00AC6EAE" w:rsidP="00FA35F8">
            <w:pPr>
              <w:pStyle w:val="TKTextetableau"/>
            </w:pPr>
            <w:r>
              <w:t>Wie geht es Ihnen?</w:t>
            </w:r>
          </w:p>
        </w:tc>
        <w:tc>
          <w:tcPr>
            <w:tcW w:w="1250" w:type="pct"/>
            <w:vAlign w:val="center"/>
          </w:tcPr>
          <w:p w:rsidR="00BE7409" w:rsidRDefault="00B15AC9" w:rsidP="00FA35F8">
            <w:pPr>
              <w:pStyle w:val="TKTextetableau"/>
            </w:pPr>
            <w:r>
              <w:rPr>
                <w:noProof/>
                <w:lang w:val="fr-FR" w:eastAsia="fr-FR" w:bidi="ar-SA"/>
              </w:rPr>
              <w:drawing>
                <wp:inline distT="0" distB="0" distL="0" distR="0">
                  <wp:extent cx="790575" cy="167113"/>
                  <wp:effectExtent l="19050" t="0" r="9525" b="0"/>
                  <wp:docPr id="10" name="Bild 13" descr="Mavericks OS:Users:Karla:Desktop:KurdischSZ:HowAreY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Mavericks OS:Users:Karla:Desktop:KurdischSZ:HowAreYou.png"/>
                          <pic:cNvPicPr>
                            <a:picLocks noChangeAspect="1" noChangeArrowheads="1"/>
                          </pic:cNvPicPr>
                        </pic:nvPicPr>
                        <pic:blipFill>
                          <a:blip r:embed="rId11" cstate="print"/>
                          <a:srcRect/>
                          <a:stretch>
                            <a:fillRect/>
                          </a:stretch>
                        </pic:blipFill>
                        <pic:spPr bwMode="auto">
                          <a:xfrm>
                            <a:off x="0" y="0"/>
                            <a:ext cx="790575" cy="167113"/>
                          </a:xfrm>
                          <a:prstGeom prst="rect">
                            <a:avLst/>
                          </a:prstGeom>
                          <a:noFill/>
                          <a:ln w="9525">
                            <a:noFill/>
                            <a:miter lim="800000"/>
                            <a:headEnd/>
                            <a:tailEnd/>
                          </a:ln>
                        </pic:spPr>
                      </pic:pic>
                    </a:graphicData>
                  </a:graphic>
                </wp:inline>
              </w:drawing>
            </w:r>
          </w:p>
          <w:p w:rsidR="00B15AC9" w:rsidRDefault="002944D8" w:rsidP="00FA35F8">
            <w:pPr>
              <w:pStyle w:val="TKTextetableau"/>
            </w:pPr>
            <w:proofErr w:type="spellStart"/>
            <w:r>
              <w:t>Çonî</w:t>
            </w:r>
            <w:proofErr w:type="spellEnd"/>
            <w:r>
              <w:t xml:space="preserve">? </w:t>
            </w:r>
            <w:proofErr w:type="spellStart"/>
            <w:r>
              <w:t>Bașî</w:t>
            </w:r>
            <w:proofErr w:type="spellEnd"/>
            <w:r>
              <w:t>?</w:t>
            </w:r>
          </w:p>
        </w:tc>
        <w:tc>
          <w:tcPr>
            <w:tcW w:w="1250" w:type="pct"/>
            <w:vAlign w:val="center"/>
          </w:tcPr>
          <w:p w:rsidR="00B15AC9" w:rsidRDefault="002944D8" w:rsidP="00FA35F8">
            <w:pPr>
              <w:pStyle w:val="TKTextetableau"/>
            </w:pPr>
            <w:proofErr w:type="spellStart"/>
            <w:r>
              <w:t>Ti</w:t>
            </w:r>
            <w:proofErr w:type="spellEnd"/>
            <w:r>
              <w:t xml:space="preserve"> se </w:t>
            </w:r>
            <w:proofErr w:type="spellStart"/>
            <w:r>
              <w:t>kenî</w:t>
            </w:r>
            <w:proofErr w:type="spellEnd"/>
            <w:r>
              <w:t>?</w:t>
            </w:r>
          </w:p>
        </w:tc>
        <w:tc>
          <w:tcPr>
            <w:tcW w:w="1250" w:type="pct"/>
            <w:vAlign w:val="center"/>
          </w:tcPr>
          <w:p w:rsidR="00B15AC9" w:rsidRPr="00590524" w:rsidRDefault="002944D8" w:rsidP="00FA35F8">
            <w:pPr>
              <w:pStyle w:val="TKTextetableau"/>
              <w:rPr>
                <w:lang w:val="fr-FR"/>
              </w:rPr>
            </w:pPr>
            <w:r w:rsidRPr="00590524">
              <w:rPr>
                <w:lang w:val="fr-FR"/>
              </w:rPr>
              <w:t xml:space="preserve">Tu </w:t>
            </w:r>
            <w:proofErr w:type="spellStart"/>
            <w:r w:rsidRPr="00590524">
              <w:rPr>
                <w:lang w:val="fr-FR"/>
              </w:rPr>
              <w:t>çawa</w:t>
            </w:r>
            <w:proofErr w:type="spellEnd"/>
            <w:r w:rsidRPr="00590524">
              <w:rPr>
                <w:lang w:val="fr-FR"/>
              </w:rPr>
              <w:t xml:space="preserve"> </w:t>
            </w:r>
            <w:proofErr w:type="spellStart"/>
            <w:r w:rsidRPr="00590524">
              <w:rPr>
                <w:lang w:val="fr-FR"/>
              </w:rPr>
              <w:t>yî</w:t>
            </w:r>
            <w:proofErr w:type="spellEnd"/>
            <w:r w:rsidRPr="00590524">
              <w:rPr>
                <w:lang w:val="fr-FR"/>
              </w:rPr>
              <w:t xml:space="preserve">, </w:t>
            </w:r>
            <w:proofErr w:type="spellStart"/>
            <w:r w:rsidRPr="00590524">
              <w:rPr>
                <w:lang w:val="fr-FR"/>
              </w:rPr>
              <w:t>ba</w:t>
            </w:r>
            <w:proofErr w:type="spellEnd"/>
            <w:r w:rsidRPr="00590524">
              <w:rPr>
                <w:lang w:val="fr-FR"/>
              </w:rPr>
              <w:t>ș î?</w:t>
            </w:r>
          </w:p>
        </w:tc>
      </w:tr>
      <w:tr w:rsidR="00B15AC9" w:rsidTr="00FA35F8">
        <w:trPr>
          <w:trHeight w:val="851"/>
        </w:trPr>
        <w:tc>
          <w:tcPr>
            <w:tcW w:w="1250" w:type="pct"/>
            <w:shd w:val="clear" w:color="auto" w:fill="D9D9D9" w:themeFill="background1" w:themeFillShade="D9"/>
            <w:vAlign w:val="center"/>
          </w:tcPr>
          <w:p w:rsidR="00B15AC9" w:rsidRDefault="00AC6EAE" w:rsidP="00FA35F8">
            <w:pPr>
              <w:pStyle w:val="TKTextetableau"/>
            </w:pPr>
            <w:r>
              <w:t>Willkommen!</w:t>
            </w:r>
          </w:p>
        </w:tc>
        <w:tc>
          <w:tcPr>
            <w:tcW w:w="1250" w:type="pct"/>
            <w:shd w:val="clear" w:color="auto" w:fill="D9D9D9" w:themeFill="background1" w:themeFillShade="D9"/>
            <w:vAlign w:val="center"/>
          </w:tcPr>
          <w:p w:rsidR="00BE7409" w:rsidRDefault="00B15AC9" w:rsidP="00FA35F8">
            <w:pPr>
              <w:pStyle w:val="TKTextetableau"/>
            </w:pPr>
            <w:r>
              <w:rPr>
                <w:noProof/>
                <w:lang w:val="fr-FR" w:eastAsia="fr-FR" w:bidi="ar-SA"/>
              </w:rPr>
              <w:drawing>
                <wp:inline distT="0" distB="0" distL="0" distR="0">
                  <wp:extent cx="757809" cy="161925"/>
                  <wp:effectExtent l="19050" t="0" r="4191" b="0"/>
                  <wp:docPr id="11" name="Bild 14" descr="Mavericks OS:Users:Karla:Desktop:KurdischSZ:Willkom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Mavericks OS:Users:Karla:Desktop:KurdischSZ:Willkommen.png"/>
                          <pic:cNvPicPr>
                            <a:picLocks noChangeAspect="1" noChangeArrowheads="1"/>
                          </pic:cNvPicPr>
                        </pic:nvPicPr>
                        <pic:blipFill>
                          <a:blip r:embed="rId12" cstate="print">
                            <a:duotone>
                              <a:prstClr val="black"/>
                              <a:schemeClr val="bg1">
                                <a:lumMod val="75000"/>
                                <a:tint val="45000"/>
                                <a:satMod val="400000"/>
                              </a:schemeClr>
                            </a:duotone>
                          </a:blip>
                          <a:srcRect/>
                          <a:stretch>
                            <a:fillRect/>
                          </a:stretch>
                        </pic:blipFill>
                        <pic:spPr bwMode="auto">
                          <a:xfrm>
                            <a:off x="0" y="0"/>
                            <a:ext cx="757809" cy="161925"/>
                          </a:xfrm>
                          <a:prstGeom prst="rect">
                            <a:avLst/>
                          </a:prstGeom>
                          <a:noFill/>
                          <a:ln w="9525">
                            <a:noFill/>
                            <a:miter lim="800000"/>
                            <a:headEnd/>
                            <a:tailEnd/>
                          </a:ln>
                        </pic:spPr>
                      </pic:pic>
                    </a:graphicData>
                  </a:graphic>
                </wp:inline>
              </w:drawing>
            </w:r>
          </w:p>
          <w:p w:rsidR="00B15AC9" w:rsidRDefault="002944D8" w:rsidP="00FA35F8">
            <w:pPr>
              <w:pStyle w:val="TKTextetableau"/>
            </w:pPr>
            <w:proofErr w:type="spellStart"/>
            <w:r>
              <w:t>Bexêr</w:t>
            </w:r>
            <w:proofErr w:type="spellEnd"/>
            <w:r>
              <w:t xml:space="preserve"> </w:t>
            </w:r>
            <w:proofErr w:type="spellStart"/>
            <w:r>
              <w:t>bên</w:t>
            </w:r>
            <w:proofErr w:type="spellEnd"/>
            <w:r>
              <w:t>!</w:t>
            </w:r>
          </w:p>
        </w:tc>
        <w:tc>
          <w:tcPr>
            <w:tcW w:w="1250" w:type="pct"/>
            <w:shd w:val="clear" w:color="auto" w:fill="D9D9D9" w:themeFill="background1" w:themeFillShade="D9"/>
            <w:vAlign w:val="center"/>
          </w:tcPr>
          <w:p w:rsidR="00B15AC9" w:rsidRDefault="002944D8" w:rsidP="00FA35F8">
            <w:pPr>
              <w:pStyle w:val="TKTextetableau"/>
            </w:pPr>
            <w:proofErr w:type="spellStart"/>
            <w:r>
              <w:t>Xêr</w:t>
            </w:r>
            <w:proofErr w:type="spellEnd"/>
            <w:r>
              <w:t xml:space="preserve"> </w:t>
            </w:r>
            <w:proofErr w:type="spellStart"/>
            <w:r>
              <w:t>ama</w:t>
            </w:r>
            <w:proofErr w:type="spellEnd"/>
            <w:r>
              <w:t>!</w:t>
            </w:r>
          </w:p>
        </w:tc>
        <w:tc>
          <w:tcPr>
            <w:tcW w:w="1250" w:type="pct"/>
            <w:shd w:val="clear" w:color="auto" w:fill="D9D9D9" w:themeFill="background1" w:themeFillShade="D9"/>
            <w:vAlign w:val="center"/>
          </w:tcPr>
          <w:p w:rsidR="00B15AC9" w:rsidRPr="00BE7409" w:rsidRDefault="002944D8" w:rsidP="00FA35F8">
            <w:pPr>
              <w:pStyle w:val="TKTextetableau"/>
            </w:pPr>
            <w:r>
              <w:t xml:space="preserve">Tu bi </w:t>
            </w:r>
            <w:proofErr w:type="spellStart"/>
            <w:r>
              <w:t>xêr</w:t>
            </w:r>
            <w:proofErr w:type="spellEnd"/>
            <w:r>
              <w:t xml:space="preserve"> </w:t>
            </w:r>
            <w:proofErr w:type="spellStart"/>
            <w:r>
              <w:t>hatî</w:t>
            </w:r>
            <w:proofErr w:type="spellEnd"/>
            <w:r>
              <w:t>!</w:t>
            </w:r>
          </w:p>
        </w:tc>
      </w:tr>
      <w:tr w:rsidR="00B15AC9" w:rsidTr="00FA35F8">
        <w:trPr>
          <w:trHeight w:val="851"/>
        </w:trPr>
        <w:tc>
          <w:tcPr>
            <w:tcW w:w="1250" w:type="pct"/>
            <w:vAlign w:val="center"/>
          </w:tcPr>
          <w:p w:rsidR="00B15AC9" w:rsidRDefault="00AC6EAE" w:rsidP="00FA35F8">
            <w:pPr>
              <w:pStyle w:val="TKTextetableau"/>
            </w:pPr>
            <w:r>
              <w:t>Auf Wiedersehen!</w:t>
            </w:r>
          </w:p>
        </w:tc>
        <w:tc>
          <w:tcPr>
            <w:tcW w:w="1250" w:type="pct"/>
            <w:vAlign w:val="center"/>
          </w:tcPr>
          <w:p w:rsidR="00BE7409" w:rsidRDefault="00B15AC9" w:rsidP="00FA35F8">
            <w:pPr>
              <w:pStyle w:val="TKTextetableau"/>
            </w:pPr>
            <w:r>
              <w:rPr>
                <w:noProof/>
                <w:lang w:val="fr-FR" w:eastAsia="fr-FR" w:bidi="ar-SA"/>
              </w:rPr>
              <w:drawing>
                <wp:inline distT="0" distB="0" distL="0" distR="0">
                  <wp:extent cx="650164" cy="180975"/>
                  <wp:effectExtent l="19050" t="0" r="0" b="0"/>
                  <wp:docPr id="12" name="Bild 15" descr="Mavericks OS:Users:Karla:Desktop:goodb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Mavericks OS:Users:Karla:Desktop:goodbye.png"/>
                          <pic:cNvPicPr>
                            <a:picLocks noChangeAspect="1" noChangeArrowheads="1"/>
                          </pic:cNvPicPr>
                        </pic:nvPicPr>
                        <pic:blipFill>
                          <a:blip r:embed="rId13" cstate="print"/>
                          <a:srcRect/>
                          <a:stretch>
                            <a:fillRect/>
                          </a:stretch>
                        </pic:blipFill>
                        <pic:spPr bwMode="auto">
                          <a:xfrm>
                            <a:off x="0" y="0"/>
                            <a:ext cx="674967" cy="187879"/>
                          </a:xfrm>
                          <a:prstGeom prst="rect">
                            <a:avLst/>
                          </a:prstGeom>
                          <a:noFill/>
                          <a:ln w="9525">
                            <a:noFill/>
                            <a:miter lim="800000"/>
                            <a:headEnd/>
                            <a:tailEnd/>
                          </a:ln>
                        </pic:spPr>
                      </pic:pic>
                    </a:graphicData>
                  </a:graphic>
                </wp:inline>
              </w:drawing>
            </w:r>
          </w:p>
          <w:p w:rsidR="00B15AC9" w:rsidRDefault="002944D8" w:rsidP="00FA35F8">
            <w:pPr>
              <w:pStyle w:val="TKTextetableau"/>
            </w:pPr>
            <w:proofErr w:type="spellStart"/>
            <w:r>
              <w:t>Xwa</w:t>
            </w:r>
            <w:proofErr w:type="spellEnd"/>
            <w:r>
              <w:t xml:space="preserve"> </w:t>
            </w:r>
            <w:proofErr w:type="spellStart"/>
            <w:r>
              <w:t>legeḻ</w:t>
            </w:r>
            <w:proofErr w:type="spellEnd"/>
            <w:r>
              <w:t>!</w:t>
            </w:r>
          </w:p>
        </w:tc>
        <w:tc>
          <w:tcPr>
            <w:tcW w:w="1250" w:type="pct"/>
            <w:vAlign w:val="center"/>
          </w:tcPr>
          <w:p w:rsidR="00B15AC9" w:rsidRDefault="002944D8" w:rsidP="00FA35F8">
            <w:pPr>
              <w:pStyle w:val="TKTextetableau"/>
            </w:pPr>
            <w:proofErr w:type="spellStart"/>
            <w:r>
              <w:t>Xatir</w:t>
            </w:r>
            <w:proofErr w:type="spellEnd"/>
            <w:r>
              <w:t xml:space="preserve"> bi </w:t>
            </w:r>
            <w:proofErr w:type="spellStart"/>
            <w:r>
              <w:t>to</w:t>
            </w:r>
            <w:proofErr w:type="spellEnd"/>
            <w:r>
              <w:t>!</w:t>
            </w:r>
          </w:p>
        </w:tc>
        <w:tc>
          <w:tcPr>
            <w:tcW w:w="1250" w:type="pct"/>
            <w:vAlign w:val="center"/>
          </w:tcPr>
          <w:p w:rsidR="00B15AC9" w:rsidRDefault="002944D8" w:rsidP="00FA35F8">
            <w:pPr>
              <w:pStyle w:val="TKTextetableau"/>
            </w:pPr>
            <w:r>
              <w:t xml:space="preserve">Bi </w:t>
            </w:r>
            <w:proofErr w:type="spellStart"/>
            <w:r>
              <w:t>xatirê</w:t>
            </w:r>
            <w:proofErr w:type="spellEnd"/>
            <w:r>
              <w:t xml:space="preserve"> </w:t>
            </w:r>
            <w:proofErr w:type="spellStart"/>
            <w:r>
              <w:t>te</w:t>
            </w:r>
            <w:proofErr w:type="spellEnd"/>
            <w:r>
              <w:t>!</w:t>
            </w:r>
          </w:p>
        </w:tc>
      </w:tr>
    </w:tbl>
    <w:p w:rsidR="006927B1" w:rsidRPr="006927B1" w:rsidRDefault="006927B1" w:rsidP="0014039A">
      <w:pPr>
        <w:pStyle w:val="TKTITRE1"/>
      </w:pPr>
      <w:r>
        <w:t>Die kurdische Schrift</w:t>
      </w:r>
    </w:p>
    <w:p w:rsidR="006927B1" w:rsidRPr="006927B1" w:rsidRDefault="006927B1" w:rsidP="008510B1">
      <w:pPr>
        <w:pStyle w:val="TKTEXTE"/>
      </w:pPr>
      <w:r>
        <w:t xml:space="preserve">Es gibt nicht nur verschiedene kurdische Dialekte, sondern auch unterschiedliche Schreibsysteme. Der Gebrauch des von </w:t>
      </w:r>
      <w:proofErr w:type="spellStart"/>
      <w:r>
        <w:t>Celadet</w:t>
      </w:r>
      <w:proofErr w:type="spellEnd"/>
      <w:r>
        <w:t xml:space="preserve"> Ali </w:t>
      </w:r>
      <w:proofErr w:type="spellStart"/>
      <w:r>
        <w:t>Bedirxan</w:t>
      </w:r>
      <w:proofErr w:type="spellEnd"/>
      <w:r>
        <w:t xml:space="preserve"> entwickelten Alphabets, das auf dem lateinischen Alphabet basiert, ist insbesondere in Syrien und unter Sprechern und Sprecherinnen des türkischen </w:t>
      </w:r>
      <w:proofErr w:type="spellStart"/>
      <w:r>
        <w:t>Kurmancî</w:t>
      </w:r>
      <w:proofErr w:type="spellEnd"/>
      <w:r>
        <w:t xml:space="preserve"> weit verbreitet. Das </w:t>
      </w:r>
      <w:proofErr w:type="spellStart"/>
      <w:r>
        <w:t>Soranî</w:t>
      </w:r>
      <w:proofErr w:type="spellEnd"/>
      <w:r>
        <w:t xml:space="preserve">-Alphabet wird nicht nur für </w:t>
      </w:r>
      <w:proofErr w:type="spellStart"/>
      <w:r>
        <w:t>Soranî</w:t>
      </w:r>
      <w:proofErr w:type="spellEnd"/>
      <w:r>
        <w:t xml:space="preserve">, sondern auch zur Verschriftlichung des </w:t>
      </w:r>
      <w:proofErr w:type="spellStart"/>
      <w:r>
        <w:t>Bahdîni</w:t>
      </w:r>
      <w:proofErr w:type="spellEnd"/>
      <w:r>
        <w:t xml:space="preserve"> (oder </w:t>
      </w:r>
      <w:proofErr w:type="spellStart"/>
      <w:r>
        <w:t>Bahdînanî</w:t>
      </w:r>
      <w:proofErr w:type="spellEnd"/>
      <w:r>
        <w:t>) verwendet. Es basiert auf der arabischen Schrift, die durch zusätzliche Buchstaben erweitert wurde. Obwohl nur ein kleiner Teil von Kurdistan zur ehemaligen Sowjetunion gehörte, war zu dieser Zeit auch die kyrillische Schrift in Gebrauch.</w:t>
      </w:r>
    </w:p>
    <w:p w:rsidR="006927B1" w:rsidRPr="006927B1" w:rsidRDefault="006927B1" w:rsidP="008510B1">
      <w:pPr>
        <w:pStyle w:val="TKTEXTE"/>
      </w:pPr>
      <w:r>
        <w:t xml:space="preserve">Zum Schreiben des </w:t>
      </w:r>
      <w:proofErr w:type="spellStart"/>
      <w:r w:rsidR="000E1E50">
        <w:t>Zazakî</w:t>
      </w:r>
      <w:proofErr w:type="spellEnd"/>
      <w:r w:rsidR="000E1E50">
        <w:t xml:space="preserve"> wird das Alphabet von </w:t>
      </w:r>
      <w:proofErr w:type="spellStart"/>
      <w:r w:rsidR="000E1E50" w:rsidRPr="00826A9D">
        <w:t>Be</w:t>
      </w:r>
      <w:r w:rsidRPr="00826A9D">
        <w:t>di</w:t>
      </w:r>
      <w:r w:rsidR="000E1E50" w:rsidRPr="00826A9D">
        <w:t>r</w:t>
      </w:r>
      <w:r w:rsidRPr="00826A9D">
        <w:t>xan</w:t>
      </w:r>
      <w:proofErr w:type="spellEnd"/>
      <w:r w:rsidRPr="00826A9D">
        <w:t xml:space="preserve"> </w:t>
      </w:r>
      <w:r>
        <w:t xml:space="preserve">sowie das vom Türkischen beeinflusste </w:t>
      </w:r>
      <w:proofErr w:type="spellStart"/>
      <w:r>
        <w:t>Zazakî</w:t>
      </w:r>
      <w:proofErr w:type="spellEnd"/>
      <w:r>
        <w:t xml:space="preserve">-Alphabet verwendet. </w:t>
      </w:r>
      <w:proofErr w:type="spellStart"/>
      <w:r>
        <w:t>Yekgirtú</w:t>
      </w:r>
      <w:proofErr w:type="spellEnd"/>
      <w:r>
        <w:t xml:space="preserve"> war ein Versuch, ein einheitliches Schreibsystem für alle kurdischen Dialekte zu etablieren.</w:t>
      </w:r>
    </w:p>
    <w:p w:rsidR="00010388" w:rsidRDefault="00010388">
      <w:pPr>
        <w:spacing w:after="160" w:line="259" w:lineRule="auto"/>
        <w:rPr>
          <w:rFonts w:cs="Calibri"/>
          <w:b/>
          <w:bCs/>
          <w:sz w:val="32"/>
          <w:szCs w:val="32"/>
        </w:rPr>
      </w:pPr>
      <w:r>
        <w:br w:type="page"/>
      </w:r>
    </w:p>
    <w:p w:rsidR="006927B1" w:rsidRDefault="00E32249" w:rsidP="0014039A">
      <w:pPr>
        <w:pStyle w:val="TKTITRE1"/>
      </w:pPr>
      <w:r>
        <w:lastRenderedPageBreak/>
        <w:t>Zahlen in Kurdisch</w:t>
      </w:r>
    </w:p>
    <w:p w:rsidR="00E32249" w:rsidRPr="00E32249" w:rsidRDefault="00E32249" w:rsidP="00E32249">
      <w:r>
        <w:rPr>
          <w:noProof/>
          <w:lang w:val="fr-FR" w:eastAsia="fr-FR" w:bidi="ar-SA"/>
        </w:rPr>
        <w:drawing>
          <wp:inline distT="0" distB="0" distL="0" distR="0">
            <wp:extent cx="6660000" cy="3093146"/>
            <wp:effectExtent l="19050" t="0" r="7500" b="0"/>
            <wp:docPr id="13" name="Image 6" descr="Mavericks OS:Users:Karla:Desktop:Bildschirmfoto 2016-10-26 um 13.5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vericks OS:Users:Karla:Desktop:Bildschirmfoto 2016-10-26 um 13.57.59.png"/>
                    <pic:cNvPicPr>
                      <a:picLocks noChangeAspect="1" noChangeArrowheads="1"/>
                    </pic:cNvPicPr>
                  </pic:nvPicPr>
                  <pic:blipFill>
                    <a:blip r:embed="rId14" cstate="print"/>
                    <a:srcRect/>
                    <a:stretch>
                      <a:fillRect/>
                    </a:stretch>
                  </pic:blipFill>
                  <pic:spPr bwMode="auto">
                    <a:xfrm>
                      <a:off x="0" y="0"/>
                      <a:ext cx="6660000" cy="3093146"/>
                    </a:xfrm>
                    <a:prstGeom prst="rect">
                      <a:avLst/>
                    </a:prstGeom>
                    <a:noFill/>
                    <a:ln w="9525">
                      <a:noFill/>
                      <a:miter lim="800000"/>
                      <a:headEnd/>
                      <a:tailEnd/>
                    </a:ln>
                  </pic:spPr>
                </pic:pic>
              </a:graphicData>
            </a:graphic>
          </wp:inline>
        </w:drawing>
      </w:r>
    </w:p>
    <w:p w:rsidR="00AD36D4" w:rsidRDefault="006927B1" w:rsidP="00E32249">
      <w:pPr>
        <w:pStyle w:val="TKnotes"/>
      </w:pPr>
      <w:r>
        <w:t xml:space="preserve">Quelle: „Sprachensteckbrief Kurdisch“, Schule Mehrsprachig, Eine Information des </w:t>
      </w:r>
      <w:r w:rsidR="000E1E50" w:rsidRPr="00826A9D">
        <w:t xml:space="preserve">österreichischen </w:t>
      </w:r>
      <w:r>
        <w:t xml:space="preserve">Bundesministeriums </w:t>
      </w:r>
      <w:proofErr w:type="spellStart"/>
      <w:r>
        <w:t>für</w:t>
      </w:r>
      <w:proofErr w:type="spellEnd"/>
      <w:r>
        <w:t xml:space="preserve"> Unterricht, Kunst und Kultur – © Thomas Schmidinger (gekürzt und adaptiert).</w:t>
      </w:r>
    </w:p>
    <w:p w:rsidR="00826A9D" w:rsidRPr="00590524" w:rsidRDefault="00FB43FD" w:rsidP="00E32249">
      <w:pPr>
        <w:pStyle w:val="TKnotes"/>
      </w:pPr>
      <w:hyperlink r:id="rId15" w:history="1">
        <w:r w:rsidR="00826A9D" w:rsidRPr="00590524">
          <w:rPr>
            <w:rStyle w:val="Lienhypertexte"/>
            <w:rFonts w:cs="Calibri"/>
            <w:u w:val="none"/>
          </w:rPr>
          <w:t>http://www.schule-mehrsprachig.at/fileadmin/schule_mehrsprachig/redaktion/sprachensteckbriefe/pdf/kurdisch_neu.pdf</w:t>
        </w:r>
      </w:hyperlink>
      <w:r w:rsidR="00826A9D" w:rsidRPr="00590524">
        <w:t xml:space="preserve"> </w:t>
      </w:r>
    </w:p>
    <w:p w:rsidR="000E1E50" w:rsidRPr="00590524" w:rsidRDefault="00FB43FD" w:rsidP="00E32249">
      <w:pPr>
        <w:pStyle w:val="TKnotes"/>
      </w:pPr>
      <w:hyperlink r:id="rId16" w:history="1">
        <w:r w:rsidR="00826A9D" w:rsidRPr="00590524">
          <w:rPr>
            <w:rStyle w:val="Lienhypertexte"/>
            <w:rFonts w:cs="Calibri"/>
            <w:u w:val="none"/>
          </w:rPr>
          <w:t>http://www.schule-mehrsprachig.at/index.php?id=3</w:t>
        </w:r>
      </w:hyperlink>
      <w:r w:rsidR="00826A9D" w:rsidRPr="00590524">
        <w:t xml:space="preserve"> </w:t>
      </w:r>
    </w:p>
    <w:sectPr w:rsidR="000E1E50" w:rsidRPr="00590524" w:rsidSect="007F5F10">
      <w:headerReference w:type="default" r:id="rId17"/>
      <w:footerReference w:type="default" r:id="rId18"/>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D3A" w:rsidRDefault="00133D3A" w:rsidP="00C523EA">
      <w:r>
        <w:separator/>
      </w:r>
    </w:p>
  </w:endnote>
  <w:endnote w:type="continuationSeparator" w:id="0">
    <w:p w:rsidR="00133D3A" w:rsidRDefault="00133D3A"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rPr>
            <w:t>Programm zur Sprachenpolitik</w:t>
          </w:r>
        </w:p>
        <w:p w:rsidR="00186952" w:rsidRDefault="00186952" w:rsidP="00B33421">
          <w:pPr>
            <w:tabs>
              <w:tab w:val="center" w:pos="4820"/>
            </w:tabs>
            <w:spacing w:before="60"/>
            <w:rPr>
              <w:rFonts w:eastAsia="Calibri" w:cs="Cambria"/>
              <w:sz w:val="18"/>
              <w:szCs w:val="18"/>
            </w:rPr>
          </w:pPr>
          <w:r>
            <w:rPr>
              <w:sz w:val="18"/>
            </w:rPr>
            <w:t>Straßburg</w:t>
          </w:r>
        </w:p>
        <w:p w:rsidR="00186952" w:rsidRPr="00FB70A6" w:rsidRDefault="00186952" w:rsidP="00B33421">
          <w:pPr>
            <w:tabs>
              <w:tab w:val="center" w:pos="4820"/>
            </w:tabs>
            <w:spacing w:before="60"/>
            <w:rPr>
              <w:rFonts w:eastAsia="Calibri" w:cs="Cambria"/>
              <w:sz w:val="18"/>
              <w:szCs w:val="18"/>
            </w:rPr>
          </w:pPr>
        </w:p>
        <w:p w:rsidR="00186952" w:rsidRDefault="00010388" w:rsidP="00B33421">
          <w:pPr>
            <w:tabs>
              <w:tab w:val="center" w:pos="4820"/>
            </w:tabs>
            <w:spacing w:before="60"/>
            <w:rPr>
              <w:rFonts w:eastAsia="Calibri" w:cs="Cambria"/>
              <w:sz w:val="18"/>
              <w:szCs w:val="18"/>
            </w:rPr>
          </w:pPr>
          <w:r>
            <w:rPr>
              <w:b/>
              <w:sz w:val="18"/>
            </w:rPr>
            <w:t>Einheit</w:t>
          </w:r>
          <w:r w:rsidR="00752B39">
            <w:rPr>
              <w:b/>
              <w:sz w:val="18"/>
            </w:rPr>
            <w:t xml:space="preserve"> 6</w:t>
          </w:r>
        </w:p>
      </w:tc>
      <w:tc>
        <w:tcPr>
          <w:tcW w:w="1667" w:type="pct"/>
          <w:vAlign w:val="bottom"/>
        </w:tcPr>
        <w:p w:rsidR="00186952" w:rsidRDefault="00FB43FD"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590524">
            <w:rPr>
              <w:rFonts w:eastAsia="Calibri" w:cs="Cambria"/>
              <w:noProof/>
              <w:sz w:val="18"/>
              <w:szCs w:val="18"/>
            </w:rPr>
            <w:t>2</w:t>
          </w:r>
          <w:r w:rsidRPr="00FB70A6">
            <w:rPr>
              <w:rFonts w:eastAsia="Calibri" w:cs="Cambria"/>
              <w:sz w:val="18"/>
              <w:szCs w:val="18"/>
            </w:rPr>
            <w:fldChar w:fldCharType="end"/>
          </w:r>
          <w:r w:rsidR="00186952">
            <w:rPr>
              <w:sz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590524">
            <w:rPr>
              <w:rFonts w:eastAsia="Calibri" w:cs="Cambria"/>
              <w:noProof/>
              <w:sz w:val="18"/>
              <w:szCs w:val="18"/>
            </w:rPr>
            <w:t>3</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D3A" w:rsidRDefault="00133D3A" w:rsidP="00C523EA">
      <w:r>
        <w:separator/>
      </w:r>
    </w:p>
  </w:footnote>
  <w:footnote w:type="continuationSeparator" w:id="0">
    <w:p w:rsidR="00133D3A" w:rsidRDefault="00133D3A"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AB222D" w:rsidTr="00186952">
      <w:trPr>
        <w:trHeight w:val="1304"/>
      </w:trPr>
      <w:tc>
        <w:tcPr>
          <w:tcW w:w="2210" w:type="dxa"/>
        </w:tcPr>
        <w:p w:rsidR="00186952" w:rsidRPr="00CB5C65" w:rsidRDefault="00186952"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590524" w:rsidRDefault="00590524" w:rsidP="00186952">
          <w:pPr>
            <w:jc w:val="center"/>
            <w:rPr>
              <w:rFonts w:eastAsiaTheme="minorHAnsi"/>
              <w:b/>
            </w:rPr>
          </w:pPr>
          <w:r w:rsidRPr="00590524">
            <w:rPr>
              <w:rFonts w:eastAsiaTheme="minorHAnsi"/>
              <w:b/>
            </w:rPr>
            <w:t xml:space="preserve">Sprachunterstützung für erwachsene Flüchtlinge: </w:t>
          </w:r>
          <w:r w:rsidRPr="00590524">
            <w:rPr>
              <w:rFonts w:eastAsiaTheme="minorHAnsi"/>
              <w:b/>
              <w:i/>
            </w:rPr>
            <w:t>Handreichungen des Europarats</w:t>
          </w:r>
          <w:r w:rsidRPr="00590524">
            <w:rPr>
              <w:rFonts w:eastAsiaTheme="minorHAnsi"/>
              <w:b/>
            </w:rPr>
            <w:t xml:space="preserve"> </w:t>
          </w:r>
        </w:p>
        <w:p w:rsidR="00186952" w:rsidRPr="00010EAF" w:rsidRDefault="00FB43FD" w:rsidP="00186952">
          <w:pPr>
            <w:jc w:val="center"/>
            <w:rPr>
              <w:rFonts w:eastAsiaTheme="minorHAnsi"/>
              <w:color w:val="0000FF"/>
              <w:u w:val="single"/>
            </w:rPr>
          </w:pPr>
          <w:hyperlink r:id="rId2">
            <w:r w:rsidR="00466AC3">
              <w:rPr>
                <w:rStyle w:val="Lienhypertexte"/>
                <w:rFonts w:eastAsiaTheme="minorHAnsi"/>
              </w:rPr>
              <w:t>www.coe.int/lang-refugees</w:t>
            </w:r>
          </w:hyperlink>
        </w:p>
      </w:tc>
      <w:tc>
        <w:tcPr>
          <w:tcW w:w="2711" w:type="dxa"/>
        </w:tcPr>
        <w:p w:rsidR="00186952" w:rsidRPr="00590524" w:rsidRDefault="00590524" w:rsidP="00186952">
          <w:pPr>
            <w:tabs>
              <w:tab w:val="center" w:pos="4607"/>
              <w:tab w:val="right" w:pos="9214"/>
            </w:tabs>
            <w:jc w:val="right"/>
            <w:rPr>
              <w:rFonts w:asciiTheme="minorHAnsi" w:eastAsiaTheme="minorHAnsi" w:hAnsiTheme="minorHAnsi" w:cstheme="minorHAnsi"/>
              <w:sz w:val="20"/>
              <w:szCs w:val="20"/>
              <w:lang w:val="de-DE"/>
            </w:rPr>
          </w:pPr>
          <w:r w:rsidRPr="00590524">
            <w:rPr>
              <w:rFonts w:asciiTheme="minorHAnsi" w:eastAsiaTheme="minorHAnsi" w:hAnsiTheme="minorHAnsi" w:cstheme="minorHAnsi"/>
              <w:sz w:val="20"/>
              <w:lang w:val="de-DE"/>
            </w:rPr>
            <w:t>Sprachliche Integration erwachsener Migrantinnen und Migranten (LIAM)</w:t>
          </w:r>
        </w:p>
        <w:p w:rsidR="00186952" w:rsidRPr="00590524" w:rsidRDefault="00FB43FD"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466AC3" w:rsidRPr="00590524">
              <w:rPr>
                <w:rStyle w:val="Lienhypertexte"/>
                <w:rFonts w:asciiTheme="minorHAnsi" w:eastAsiaTheme="minorHAnsi" w:hAnsiTheme="minorHAnsi" w:cstheme="minorHAnsi"/>
                <w:sz w:val="20"/>
                <w:lang w:val="de-DE"/>
              </w:rPr>
              <w:t>www.coe.int/lang-migrants</w:t>
            </w:r>
          </w:hyperlink>
        </w:p>
      </w:tc>
    </w:tr>
  </w:tbl>
  <w:p w:rsidR="00186952" w:rsidRPr="00590524" w:rsidRDefault="00186952"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450203"/>
    <w:rsid w:val="00004C66"/>
    <w:rsid w:val="00010388"/>
    <w:rsid w:val="00013516"/>
    <w:rsid w:val="00027959"/>
    <w:rsid w:val="000338F0"/>
    <w:rsid w:val="00034AED"/>
    <w:rsid w:val="00037B0E"/>
    <w:rsid w:val="000618A7"/>
    <w:rsid w:val="000937FA"/>
    <w:rsid w:val="00095FD9"/>
    <w:rsid w:val="000A080D"/>
    <w:rsid w:val="000C0318"/>
    <w:rsid w:val="000C5F40"/>
    <w:rsid w:val="000E1E50"/>
    <w:rsid w:val="000E483B"/>
    <w:rsid w:val="000E706C"/>
    <w:rsid w:val="000E7AFD"/>
    <w:rsid w:val="000F42D6"/>
    <w:rsid w:val="00110B4B"/>
    <w:rsid w:val="00113442"/>
    <w:rsid w:val="00121C7F"/>
    <w:rsid w:val="00126A5E"/>
    <w:rsid w:val="00133D3A"/>
    <w:rsid w:val="001347DC"/>
    <w:rsid w:val="0014039A"/>
    <w:rsid w:val="00140B7E"/>
    <w:rsid w:val="00154B1F"/>
    <w:rsid w:val="00172C07"/>
    <w:rsid w:val="001741D1"/>
    <w:rsid w:val="0017676C"/>
    <w:rsid w:val="00186952"/>
    <w:rsid w:val="001965B4"/>
    <w:rsid w:val="001A1B4C"/>
    <w:rsid w:val="001B0010"/>
    <w:rsid w:val="001B602D"/>
    <w:rsid w:val="001B71AD"/>
    <w:rsid w:val="001B71F7"/>
    <w:rsid w:val="001C7918"/>
    <w:rsid w:val="00201D74"/>
    <w:rsid w:val="0020300A"/>
    <w:rsid w:val="00214CD0"/>
    <w:rsid w:val="002274D7"/>
    <w:rsid w:val="00233192"/>
    <w:rsid w:val="00246E8E"/>
    <w:rsid w:val="00254DC5"/>
    <w:rsid w:val="0026293F"/>
    <w:rsid w:val="002860CD"/>
    <w:rsid w:val="002944D8"/>
    <w:rsid w:val="002961C5"/>
    <w:rsid w:val="002A0CEF"/>
    <w:rsid w:val="002A3476"/>
    <w:rsid w:val="002F089F"/>
    <w:rsid w:val="002F2562"/>
    <w:rsid w:val="0030060E"/>
    <w:rsid w:val="00303A5A"/>
    <w:rsid w:val="003128C2"/>
    <w:rsid w:val="00327BBC"/>
    <w:rsid w:val="0033137E"/>
    <w:rsid w:val="003428B9"/>
    <w:rsid w:val="0035492A"/>
    <w:rsid w:val="003575BD"/>
    <w:rsid w:val="00373B9F"/>
    <w:rsid w:val="0037570C"/>
    <w:rsid w:val="0038409C"/>
    <w:rsid w:val="003847AD"/>
    <w:rsid w:val="003B337F"/>
    <w:rsid w:val="003C0495"/>
    <w:rsid w:val="003C050D"/>
    <w:rsid w:val="003C32F5"/>
    <w:rsid w:val="003D394E"/>
    <w:rsid w:val="003E358D"/>
    <w:rsid w:val="003F121D"/>
    <w:rsid w:val="00416E56"/>
    <w:rsid w:val="0043716F"/>
    <w:rsid w:val="00450203"/>
    <w:rsid w:val="00457DD9"/>
    <w:rsid w:val="00460BCC"/>
    <w:rsid w:val="00466AC3"/>
    <w:rsid w:val="00470AA9"/>
    <w:rsid w:val="0048220B"/>
    <w:rsid w:val="0049006B"/>
    <w:rsid w:val="00490099"/>
    <w:rsid w:val="004A486D"/>
    <w:rsid w:val="004B5DD8"/>
    <w:rsid w:val="004C1652"/>
    <w:rsid w:val="004E32A8"/>
    <w:rsid w:val="004F2E30"/>
    <w:rsid w:val="00503E91"/>
    <w:rsid w:val="00507EBE"/>
    <w:rsid w:val="00526886"/>
    <w:rsid w:val="00555D25"/>
    <w:rsid w:val="005713EB"/>
    <w:rsid w:val="00590524"/>
    <w:rsid w:val="00592F6C"/>
    <w:rsid w:val="00593439"/>
    <w:rsid w:val="005C2E50"/>
    <w:rsid w:val="005C6364"/>
    <w:rsid w:val="005E4CA5"/>
    <w:rsid w:val="005F3597"/>
    <w:rsid w:val="00617D74"/>
    <w:rsid w:val="00634900"/>
    <w:rsid w:val="0064154F"/>
    <w:rsid w:val="006455D0"/>
    <w:rsid w:val="00650D33"/>
    <w:rsid w:val="00651E90"/>
    <w:rsid w:val="00655B1E"/>
    <w:rsid w:val="00655CCE"/>
    <w:rsid w:val="006627B2"/>
    <w:rsid w:val="006927B1"/>
    <w:rsid w:val="006A1A21"/>
    <w:rsid w:val="006C0689"/>
    <w:rsid w:val="006C08C3"/>
    <w:rsid w:val="006C7764"/>
    <w:rsid w:val="006D234F"/>
    <w:rsid w:val="006F56BB"/>
    <w:rsid w:val="00705BF1"/>
    <w:rsid w:val="00734E55"/>
    <w:rsid w:val="0074542C"/>
    <w:rsid w:val="007458E1"/>
    <w:rsid w:val="00751F40"/>
    <w:rsid w:val="00752B39"/>
    <w:rsid w:val="00773ACD"/>
    <w:rsid w:val="00786599"/>
    <w:rsid w:val="007B4D14"/>
    <w:rsid w:val="007C2FD5"/>
    <w:rsid w:val="007F5F10"/>
    <w:rsid w:val="0080462C"/>
    <w:rsid w:val="00805257"/>
    <w:rsid w:val="008067EC"/>
    <w:rsid w:val="00826A9D"/>
    <w:rsid w:val="0083366C"/>
    <w:rsid w:val="00837CCB"/>
    <w:rsid w:val="00844534"/>
    <w:rsid w:val="0084639B"/>
    <w:rsid w:val="008469DE"/>
    <w:rsid w:val="008506D5"/>
    <w:rsid w:val="008510B1"/>
    <w:rsid w:val="00885A1F"/>
    <w:rsid w:val="00892B00"/>
    <w:rsid w:val="008B45A3"/>
    <w:rsid w:val="008C53DF"/>
    <w:rsid w:val="008E6FB9"/>
    <w:rsid w:val="008F0189"/>
    <w:rsid w:val="008F1473"/>
    <w:rsid w:val="008F1746"/>
    <w:rsid w:val="008F24DC"/>
    <w:rsid w:val="008F51C9"/>
    <w:rsid w:val="008F5269"/>
    <w:rsid w:val="009025F0"/>
    <w:rsid w:val="0093428B"/>
    <w:rsid w:val="0094551C"/>
    <w:rsid w:val="00953DC1"/>
    <w:rsid w:val="00970C63"/>
    <w:rsid w:val="0097497F"/>
    <w:rsid w:val="00990990"/>
    <w:rsid w:val="009916CE"/>
    <w:rsid w:val="009A4759"/>
    <w:rsid w:val="009A5131"/>
    <w:rsid w:val="009B7F95"/>
    <w:rsid w:val="009C0600"/>
    <w:rsid w:val="009C511B"/>
    <w:rsid w:val="00A03292"/>
    <w:rsid w:val="00A1258A"/>
    <w:rsid w:val="00A229E7"/>
    <w:rsid w:val="00A36998"/>
    <w:rsid w:val="00A37741"/>
    <w:rsid w:val="00A5196F"/>
    <w:rsid w:val="00A6623D"/>
    <w:rsid w:val="00A67362"/>
    <w:rsid w:val="00A7554F"/>
    <w:rsid w:val="00A802F2"/>
    <w:rsid w:val="00A81C9B"/>
    <w:rsid w:val="00AA3C2A"/>
    <w:rsid w:val="00AB222D"/>
    <w:rsid w:val="00AB255A"/>
    <w:rsid w:val="00AC6EAE"/>
    <w:rsid w:val="00AD36D4"/>
    <w:rsid w:val="00AE657E"/>
    <w:rsid w:val="00AF4A1E"/>
    <w:rsid w:val="00AF56A8"/>
    <w:rsid w:val="00B14386"/>
    <w:rsid w:val="00B15AC9"/>
    <w:rsid w:val="00B25C82"/>
    <w:rsid w:val="00B33421"/>
    <w:rsid w:val="00B35EFB"/>
    <w:rsid w:val="00B519E6"/>
    <w:rsid w:val="00B73A35"/>
    <w:rsid w:val="00B85B33"/>
    <w:rsid w:val="00B87D33"/>
    <w:rsid w:val="00B94E15"/>
    <w:rsid w:val="00BA0A0B"/>
    <w:rsid w:val="00BA25B4"/>
    <w:rsid w:val="00BA3C32"/>
    <w:rsid w:val="00BA413D"/>
    <w:rsid w:val="00BB182D"/>
    <w:rsid w:val="00BC0303"/>
    <w:rsid w:val="00BC3EFC"/>
    <w:rsid w:val="00BD2F15"/>
    <w:rsid w:val="00BE6428"/>
    <w:rsid w:val="00BE7409"/>
    <w:rsid w:val="00BF2B09"/>
    <w:rsid w:val="00BF693D"/>
    <w:rsid w:val="00C24B3F"/>
    <w:rsid w:val="00C35A15"/>
    <w:rsid w:val="00C36B49"/>
    <w:rsid w:val="00C478A6"/>
    <w:rsid w:val="00C523EA"/>
    <w:rsid w:val="00C622D7"/>
    <w:rsid w:val="00C702C5"/>
    <w:rsid w:val="00C7477C"/>
    <w:rsid w:val="00C8086F"/>
    <w:rsid w:val="00C94196"/>
    <w:rsid w:val="00CC0991"/>
    <w:rsid w:val="00CD42D1"/>
    <w:rsid w:val="00CF0B90"/>
    <w:rsid w:val="00CF36D3"/>
    <w:rsid w:val="00D00DA4"/>
    <w:rsid w:val="00D07616"/>
    <w:rsid w:val="00D2211A"/>
    <w:rsid w:val="00D427F6"/>
    <w:rsid w:val="00D5533C"/>
    <w:rsid w:val="00D57D70"/>
    <w:rsid w:val="00D61794"/>
    <w:rsid w:val="00D81172"/>
    <w:rsid w:val="00D8328F"/>
    <w:rsid w:val="00D83A78"/>
    <w:rsid w:val="00DA5A92"/>
    <w:rsid w:val="00DC59A0"/>
    <w:rsid w:val="00DD0635"/>
    <w:rsid w:val="00DD18A1"/>
    <w:rsid w:val="00DD35DF"/>
    <w:rsid w:val="00DD53DC"/>
    <w:rsid w:val="00DE5B7D"/>
    <w:rsid w:val="00DF5B76"/>
    <w:rsid w:val="00DF60EB"/>
    <w:rsid w:val="00DF6268"/>
    <w:rsid w:val="00E076C3"/>
    <w:rsid w:val="00E121DA"/>
    <w:rsid w:val="00E21B21"/>
    <w:rsid w:val="00E32249"/>
    <w:rsid w:val="00E53152"/>
    <w:rsid w:val="00E826A8"/>
    <w:rsid w:val="00E84598"/>
    <w:rsid w:val="00E90A39"/>
    <w:rsid w:val="00E969D4"/>
    <w:rsid w:val="00EB3411"/>
    <w:rsid w:val="00ED4CB7"/>
    <w:rsid w:val="00F260E9"/>
    <w:rsid w:val="00F5126A"/>
    <w:rsid w:val="00F87471"/>
    <w:rsid w:val="00F934F1"/>
    <w:rsid w:val="00FA35F8"/>
    <w:rsid w:val="00FB0515"/>
    <w:rsid w:val="00FB1DA7"/>
    <w:rsid w:val="00FB43FD"/>
    <w:rsid w:val="00FB70A6"/>
    <w:rsid w:val="00FC4F80"/>
    <w:rsid w:val="00FD180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de-AT" w:bidi="de-A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link w:val="CommentaireCar"/>
    <w:uiPriority w:val="99"/>
    <w:semiHidden/>
    <w:unhideWhenUsed/>
    <w:rsid w:val="00FB43FD"/>
    <w:pPr>
      <w:spacing w:line="240" w:lineRule="auto"/>
    </w:pPr>
    <w:rPr>
      <w:sz w:val="20"/>
      <w:szCs w:val="20"/>
    </w:rPr>
  </w:style>
  <w:style w:type="character" w:styleId="Marquedecommentaire">
    <w:name w:val="annotation reference"/>
    <w:uiPriority w:val="99"/>
    <w:semiHidden/>
    <w:unhideWhenUsed/>
    <w:rsid w:val="00FB43FD"/>
    <w:rPr>
      <w:sz w:val="16"/>
      <w:szCs w:val="16"/>
    </w:rPr>
  </w:style>
  <w:style w:type="paragraph" w:styleId="Objetducommentaire">
    <w:name w:val="annotation subject"/>
    <w:basedOn w:val="Commentaire"/>
    <w:next w:val="Commentaire"/>
    <w:link w:val="ObjetducommentaireCar"/>
    <w:uiPriority w:val="99"/>
    <w:semiHidden/>
    <w:unhideWhenUsed/>
    <w:rsid w:val="00027959"/>
    <w:pPr>
      <w:spacing w:after="0"/>
    </w:pPr>
    <w:rPr>
      <w:rFonts w:ascii="Calibri" w:eastAsia="Times New Roman" w:hAnsi="Calibri" w:cs="Times New Roman"/>
      <w:b/>
      <w:bCs/>
    </w:rPr>
  </w:style>
  <w:style w:type="character" w:customStyle="1" w:styleId="CommentaireCar">
    <w:name w:val="Commentaire Car"/>
    <w:basedOn w:val="Policepardfaut"/>
    <w:link w:val="Commentaire"/>
    <w:uiPriority w:val="99"/>
    <w:semiHidden/>
    <w:rsid w:val="00027959"/>
    <w:rPr>
      <w:sz w:val="20"/>
      <w:szCs w:val="20"/>
    </w:rPr>
  </w:style>
  <w:style w:type="character" w:customStyle="1" w:styleId="ObjetducommentaireCar">
    <w:name w:val="Objet du commentaire Car"/>
    <w:basedOn w:val="CommentaireCar"/>
    <w:link w:val="Objetducommentaire"/>
    <w:uiPriority w:val="99"/>
    <w:semiHidden/>
    <w:rsid w:val="00027959"/>
    <w:rPr>
      <w:rFonts w:ascii="Calibri" w:eastAsia="Times New Roman" w:hAnsi="Calibri" w:cs="Times New Roman"/>
      <w:b/>
      <w:bCs/>
      <w:sz w:val="20"/>
      <w:szCs w:val="20"/>
    </w:rPr>
  </w:style>
  <w:style w:type="paragraph" w:styleId="Rvision">
    <w:name w:val="Revision"/>
    <w:hidden/>
    <w:uiPriority w:val="99"/>
    <w:semiHidden/>
    <w:rsid w:val="00DD18A1"/>
    <w:pPr>
      <w:spacing w:after="0" w:line="240" w:lineRule="auto"/>
    </w:pPr>
    <w:rPr>
      <w:rFonts w:ascii="Calibri" w:eastAsia="Times New Roman" w:hAnsi="Calibri" w:cs="Times New Roman"/>
      <w:sz w:val="24"/>
    </w:rPr>
  </w:style>
  <w:style w:type="character" w:customStyle="1" w:styleId="Erwhnung1">
    <w:name w:val="Erwähnung1"/>
    <w:basedOn w:val="Policepardfaut"/>
    <w:uiPriority w:val="99"/>
    <w:semiHidden/>
    <w:unhideWhenUsed/>
    <w:rsid w:val="00826A9D"/>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chule-mehrsprachig.at/index.php?id=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chule-mehrsprachig.at/fileadmin/schule_mehrsprachig/redaktion/sprachensteckbriefe/pdf/kurdisch_neu.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e.int/en/web/lang-migrants/language-of-origin-/-background"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C6A0-0AFD-495E-9ED9-9A667506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3</Pages>
  <Words>675</Words>
  <Characters>3716</Characters>
  <Application>Microsoft Office Word</Application>
  <DocSecurity>0</DocSecurity>
  <Lines>30</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2017-03-21T18:43:00Z</cp:lastPrinted>
  <dcterms:created xsi:type="dcterms:W3CDTF">2017-10-23T13:39:00Z</dcterms:created>
  <dcterms:modified xsi:type="dcterms:W3CDTF">2017-10-23T13:39:00Z</dcterms:modified>
</cp:coreProperties>
</file>