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8" w:rsidRPr="00D13597" w:rsidRDefault="00DC3068" w:rsidP="00B80303">
      <w:pPr>
        <w:pStyle w:val="TKMAINTITLE"/>
      </w:pPr>
      <w:r>
        <w:t>52 – Die Angebote von Post und Bank nutzen</w:t>
      </w:r>
    </w:p>
    <w:p w:rsidR="00DC3068" w:rsidRPr="00D13597" w:rsidRDefault="00DC3068" w:rsidP="00D6366B">
      <w:pPr>
        <w:pStyle w:val="TKAIM"/>
      </w:pPr>
      <w:r>
        <w:t>Ziele:</w:t>
      </w:r>
      <w:r>
        <w:tab/>
        <w:t>- Flüchtlinge über die Angebote von Post und Bank informieren</w:t>
      </w:r>
      <w:r>
        <w:br/>
        <w:t>- Flüchtlinge dabei unterstützen, die Angebote von Post und Bank zu nutzen</w:t>
      </w:r>
    </w:p>
    <w:p w:rsidR="00DC3068" w:rsidRPr="00D6366B" w:rsidRDefault="00DC3068" w:rsidP="00D6366B">
      <w:pPr>
        <w:pStyle w:val="TKTITRE1"/>
      </w:pPr>
      <w:r>
        <w:t>Kommunikative Situationen</w:t>
      </w:r>
    </w:p>
    <w:p w:rsidR="00DC3068" w:rsidRPr="00D6366B" w:rsidRDefault="00DC3068" w:rsidP="0016195A">
      <w:pPr>
        <w:pStyle w:val="TKBulletLevel1"/>
      </w:pPr>
      <w:r>
        <w:t>Hinweisschilder verstehen, die sich auf die Angebote von Post und Bank beziehen</w:t>
      </w:r>
    </w:p>
    <w:p w:rsidR="00DC3068" w:rsidRPr="00D6366B" w:rsidRDefault="00DC3068" w:rsidP="0016195A">
      <w:pPr>
        <w:pStyle w:val="TKBulletLevel1"/>
      </w:pPr>
      <w:r>
        <w:t>Einfache Informationen zu den Angeboten von Post und Bank verstehen</w:t>
      </w:r>
    </w:p>
    <w:p w:rsidR="00DC3068" w:rsidRPr="00D6366B" w:rsidRDefault="00DC3068" w:rsidP="0016195A">
      <w:pPr>
        <w:pStyle w:val="TKBulletLevel1"/>
      </w:pPr>
      <w:r>
        <w:t>Einen Geldautomaten</w:t>
      </w:r>
      <w:r w:rsidR="00E52EF5">
        <w:t>/</w:t>
      </w:r>
      <w:proofErr w:type="spellStart"/>
      <w:r w:rsidR="00E52EF5">
        <w:t>Bankomaten</w:t>
      </w:r>
      <w:proofErr w:type="spellEnd"/>
      <w:r>
        <w:t xml:space="preserve"> verwenden</w:t>
      </w:r>
    </w:p>
    <w:p w:rsidR="00DC3068" w:rsidRPr="00D6366B" w:rsidRDefault="00DC3068" w:rsidP="00D6366B">
      <w:pPr>
        <w:pStyle w:val="TKTITRE1"/>
      </w:pPr>
      <w:r>
        <w:t>Materialien</w:t>
      </w:r>
    </w:p>
    <w:p w:rsidR="00DC3068" w:rsidRPr="00D6366B" w:rsidRDefault="00DC3068" w:rsidP="0016195A">
      <w:pPr>
        <w:pStyle w:val="TKBulletLevel1"/>
      </w:pPr>
      <w:r>
        <w:t>Fotos von Orten und Hinweisschildern im Zusammenhang mit den Angeboten von Post und Bank</w:t>
      </w:r>
    </w:p>
    <w:p w:rsidR="00DC3068" w:rsidRPr="00D6366B" w:rsidRDefault="00DC3068" w:rsidP="0016195A">
      <w:pPr>
        <w:pStyle w:val="TKBulletLevel1"/>
      </w:pPr>
      <w:r>
        <w:t>Broschüre</w:t>
      </w:r>
      <w:r w:rsidR="00857891">
        <w:t>n</w:t>
      </w:r>
      <w:r>
        <w:t xml:space="preserve"> oder Informationsbl</w:t>
      </w:r>
      <w:r w:rsidR="00857891">
        <w:t>ä</w:t>
      </w:r>
      <w:r>
        <w:t>tt</w:t>
      </w:r>
      <w:r w:rsidR="00857891">
        <w:t>er</w:t>
      </w:r>
      <w:r>
        <w:t xml:space="preserve"> über eine Bank oder Postfiliale</w:t>
      </w:r>
    </w:p>
    <w:p w:rsidR="00DC3068" w:rsidRPr="00D6366B" w:rsidRDefault="00DC3068" w:rsidP="00D6366B">
      <w:pPr>
        <w:pStyle w:val="TKTITRE1"/>
      </w:pPr>
      <w:r>
        <w:t>Sprachliche Aktivitäten</w:t>
      </w:r>
    </w:p>
    <w:p w:rsidR="00DC3068" w:rsidRPr="00D6366B" w:rsidRDefault="00DC3068" w:rsidP="00D6366B">
      <w:pPr>
        <w:pStyle w:val="TKTITRE3"/>
      </w:pPr>
      <w:r>
        <w:t>Aktivität 1</w:t>
      </w:r>
    </w:p>
    <w:p w:rsidR="00DC3068" w:rsidRPr="00D6366B" w:rsidRDefault="00DC3068" w:rsidP="003A09B8">
      <w:pPr>
        <w:pStyle w:val="TKTEXTE"/>
      </w:pPr>
      <w:r>
        <w:t>Verwenden Sie die Bilder, um:</w:t>
      </w:r>
    </w:p>
    <w:p w:rsidR="00DC3068" w:rsidRPr="00C62EB5" w:rsidRDefault="00DC3068" w:rsidP="003A09B8">
      <w:pPr>
        <w:pStyle w:val="TKBulletLevel1"/>
        <w:rPr>
          <w:i/>
        </w:rPr>
      </w:pPr>
      <w:r>
        <w:t>grundlegende Informationen und Vokabeln</w:t>
      </w:r>
      <w:r w:rsidR="00066403">
        <w:t xml:space="preserve"> zu vermitteln</w:t>
      </w:r>
      <w:r>
        <w:t xml:space="preserve">, um </w:t>
      </w:r>
      <w:r w:rsidR="00857891">
        <w:t xml:space="preserve">Fragen zu </w:t>
      </w:r>
      <w:r>
        <w:t xml:space="preserve">den Angeboten von Post und Bank zu </w:t>
      </w:r>
      <w:r w:rsidR="00857891">
        <w:t>stellen</w:t>
      </w:r>
      <w:r>
        <w:t xml:space="preserve">, z. B. </w:t>
      </w:r>
      <w:r>
        <w:rPr>
          <w:i/>
        </w:rPr>
        <w:t>Wohin müssen Sie gehen, um einen Brief in ein anderes Land zu schicken? Und wo können Sie Geld wechseln?</w:t>
      </w:r>
    </w:p>
    <w:p w:rsidR="00DC3068" w:rsidRPr="00D6366B" w:rsidRDefault="00DC3068" w:rsidP="003A09B8">
      <w:pPr>
        <w:pStyle w:val="TKBulletLevel1"/>
      </w:pPr>
      <w:r>
        <w:t>Flüchtlinge sind vielleicht in der Lage, über diese Dienstleistungen in ihrem eigenen Land zu sprechen.</w:t>
      </w:r>
    </w:p>
    <w:p w:rsidR="00DC3068" w:rsidRPr="00D6366B" w:rsidRDefault="00DC3068" w:rsidP="00D6366B">
      <w:pPr>
        <w:pStyle w:val="TKTITRE3"/>
      </w:pPr>
      <w:r>
        <w:t>Aktivität 2</w:t>
      </w:r>
    </w:p>
    <w:p w:rsidR="00DC3068" w:rsidRPr="00D6366B" w:rsidRDefault="00DC3068" w:rsidP="003A09B8">
      <w:pPr>
        <w:pStyle w:val="TKTEXTE"/>
      </w:pPr>
      <w:r>
        <w:t xml:space="preserve">Verwenden Sie die Bilder, um wichtige Hinweisschilder zu erklären. </w:t>
      </w:r>
    </w:p>
    <w:p w:rsidR="00DC3068" w:rsidRPr="00D6366B" w:rsidRDefault="00DC3068" w:rsidP="003A09B8">
      <w:pPr>
        <w:pStyle w:val="TKBulletLevel1"/>
      </w:pPr>
      <w:r>
        <w:t>Die Flüchtlinge können die Schlüsselwörter und Ausdrücke auf Karten notieren und die gleichen Hinweisschilder auf anderen Bildern lesen (z. B. ein Foto einer Straße mit denselben Schildern)</w:t>
      </w:r>
      <w:r w:rsidR="00066403">
        <w:t>.</w:t>
      </w:r>
    </w:p>
    <w:p w:rsidR="00DC3068" w:rsidRPr="00D6366B" w:rsidRDefault="00DC3068" w:rsidP="003A09B8">
      <w:pPr>
        <w:pStyle w:val="TKBulletLevel1"/>
      </w:pPr>
      <w:r>
        <w:t>Überprüfen Sie ihr Verständnis, indem Sie sie bitten, die Wörter den Bildern und Hinweisschildern zu</w:t>
      </w:r>
      <w:r w:rsidR="00E52EF5">
        <w:t>zuordnen.</w:t>
      </w:r>
    </w:p>
    <w:p w:rsidR="00DC3068" w:rsidRPr="00D6366B" w:rsidRDefault="00DC3068" w:rsidP="00D6366B">
      <w:pPr>
        <w:pStyle w:val="TKTITRE3"/>
      </w:pPr>
      <w:r>
        <w:t>Aktivität 3</w:t>
      </w:r>
    </w:p>
    <w:p w:rsidR="00DC3068" w:rsidRPr="00D6366B" w:rsidRDefault="00E52EF5" w:rsidP="003A09B8">
      <w:pPr>
        <w:pStyle w:val="TKTEXTE"/>
      </w:pPr>
      <w:r>
        <w:t xml:space="preserve">Verteilen </w:t>
      </w:r>
      <w:r w:rsidR="00DC3068">
        <w:t>Sie ein illustriertes Informationsblatt über die Lage und Öffnungszeiten der nächstgelegenen Post- oder Bankfiliale.</w:t>
      </w:r>
    </w:p>
    <w:p w:rsidR="00DC3068" w:rsidRPr="00C62EB5" w:rsidRDefault="00DC3068" w:rsidP="003A09B8">
      <w:pPr>
        <w:pStyle w:val="TKBulletLevel1"/>
        <w:rPr>
          <w:i/>
        </w:rPr>
      </w:pPr>
      <w:r>
        <w:t xml:space="preserve">Überprüfen Sie das Verständnis der Flüchtlinge, indem Sie Fragen stellen wie z. B.: </w:t>
      </w:r>
      <w:r>
        <w:rPr>
          <w:i/>
        </w:rPr>
        <w:t xml:space="preserve">Wo ist die Bank? Ist sie samstags geöffnet? Wann ist die Post geöffnet? Wann schließt die Bank? </w:t>
      </w:r>
      <w:r>
        <w:t xml:space="preserve">Flüchtlinge können </w:t>
      </w:r>
      <w:r w:rsidR="00E52EF5">
        <w:t>dabei</w:t>
      </w:r>
      <w:r>
        <w:t xml:space="preserve"> auch die Wochentage und Uhrzeiten üben (z. B. </w:t>
      </w:r>
      <w:r>
        <w:rPr>
          <w:i/>
        </w:rPr>
        <w:t>Die Bank ist Montag bis Freitag von 9:00 bis 16:30 Uhr geöffnet.</w:t>
      </w:r>
      <w:r>
        <w:t>)</w:t>
      </w:r>
    </w:p>
    <w:p w:rsidR="00DC3068" w:rsidRPr="00D6366B" w:rsidRDefault="00DC3068" w:rsidP="003A09B8">
      <w:pPr>
        <w:pStyle w:val="TKBulletLevel1"/>
      </w:pPr>
      <w:r>
        <w:lastRenderedPageBreak/>
        <w:t xml:space="preserve">Bitten Sie sie dann zu zweit zusammenzuarbeiten und sich gegenseitig Fragen über das Informationsblatt zu beantworten. </w:t>
      </w:r>
    </w:p>
    <w:p w:rsidR="00DC3068" w:rsidRPr="00D6366B" w:rsidRDefault="00DC3068" w:rsidP="003A09B8">
      <w:pPr>
        <w:pStyle w:val="TKBulletLevel1"/>
      </w:pPr>
      <w:r>
        <w:t>Danach sollen die Flüchtlinge die Informationen der ganzen Gruppe mitteilen.</w:t>
      </w:r>
    </w:p>
    <w:p w:rsidR="00DC3068" w:rsidRPr="00D6366B" w:rsidRDefault="00614AAA" w:rsidP="00D6366B">
      <w:pPr>
        <w:pStyle w:val="TKTITRE3"/>
      </w:pPr>
      <w:r>
        <w:t>Aktivität 4</w:t>
      </w:r>
    </w:p>
    <w:p w:rsidR="00DC3068" w:rsidRDefault="00DC3068" w:rsidP="003A09B8">
      <w:pPr>
        <w:pStyle w:val="TKTEXTE"/>
      </w:pPr>
      <w:r>
        <w:t>Die Flüchtlinge stellen sich vor, sie befinden sich vor einer Bank. Noch besser wäre eine gemeinsame Exkursion zu einer Bank- oder Postfiliale oder einem Geschäft, das internationale Geldtransfers vornimmt. Falls dies nicht möglich ist:</w:t>
      </w:r>
    </w:p>
    <w:p w:rsidR="00DC3068" w:rsidRPr="00C62EB5" w:rsidRDefault="00DC3068" w:rsidP="00614AAA">
      <w:pPr>
        <w:pStyle w:val="TKBulletLevel1"/>
        <w:ind w:left="567" w:hanging="283"/>
        <w:rPr>
          <w:i/>
        </w:rPr>
      </w:pPr>
      <w:r>
        <w:t xml:space="preserve">Zeigen Sie Fotos von einem Geldautomaten und fragen Sie: </w:t>
      </w:r>
      <w:r>
        <w:rPr>
          <w:i/>
        </w:rPr>
        <w:t>Wie verwendet man einen Geldautomaten?</w:t>
      </w:r>
    </w:p>
    <w:p w:rsidR="00DC3068" w:rsidRPr="00D6366B" w:rsidRDefault="00DC3068" w:rsidP="00614AAA">
      <w:pPr>
        <w:pStyle w:val="TKBulletLevel1"/>
        <w:ind w:left="567" w:hanging="283"/>
      </w:pPr>
      <w:r>
        <w:t xml:space="preserve">Wenn möglich, zeigen Sie </w:t>
      </w:r>
      <w:proofErr w:type="spellStart"/>
      <w:r>
        <w:t>Screenshots</w:t>
      </w:r>
      <w:proofErr w:type="spellEnd"/>
      <w:r>
        <w:t xml:space="preserve"> von Geldautomaten, die erklären, wie man mithilfe einer Bank- oder Kreditkarte Geld abhebt. Bitten Sie die Flüchtlinge, das Verfahren in einfachen Worten zu erklären, z. B.: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Zuerst muss man die Karte hineinstecken.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Dann wählt man aus, ob man Geld abheben, Guthaben auf das Handy aufladen möchte</w:t>
      </w:r>
      <w:r w:rsidR="007D5AFB">
        <w:rPr>
          <w:i/>
        </w:rPr>
        <w:t xml:space="preserve"> etc</w:t>
      </w:r>
      <w:r>
        <w:rPr>
          <w:i/>
        </w:rPr>
        <w:t>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Danach gibt man den PIN-Code ein und wählt die Summe aus, die man abheben möchte.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Bevor man das Geld erhält, muss man die Karte wieder herausnehmen.</w:t>
      </w:r>
    </w:p>
    <w:p w:rsidR="00DC3068" w:rsidRPr="00D6366B" w:rsidRDefault="00DC3068" w:rsidP="003A09B8">
      <w:pPr>
        <w:pStyle w:val="TKTITRE3"/>
      </w:pPr>
      <w:r>
        <w:t>Aktivität 5</w:t>
      </w:r>
    </w:p>
    <w:p w:rsidR="00DC3068" w:rsidRPr="00D6366B" w:rsidRDefault="00DC3068" w:rsidP="003A09B8">
      <w:pPr>
        <w:pStyle w:val="TKTEXTE"/>
      </w:pPr>
      <w:r>
        <w:t>Flüchtlinge üben sprachliche Ausdrücke, die sie in einer Postfiliale brauchen: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Wie kann ich Ihnen behilflich sein?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</w:t>
      </w:r>
      <w:proofErr w:type="gramStart"/>
      <w:r>
        <w:rPr>
          <w:i/>
        </w:rPr>
        <w:t>Ich</w:t>
      </w:r>
      <w:proofErr w:type="gramEnd"/>
      <w:r>
        <w:rPr>
          <w:i/>
        </w:rPr>
        <w:t xml:space="preserve"> würde </w:t>
      </w:r>
      <w:r w:rsidR="00857891">
        <w:rPr>
          <w:i/>
        </w:rPr>
        <w:t xml:space="preserve">gern </w:t>
      </w:r>
      <w:r>
        <w:rPr>
          <w:i/>
        </w:rPr>
        <w:t>diesen Brief in den Irak schicken.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Gern. Legen Sie ihn bitte auf die Waage. Das macht EUR 3,50, bitte.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OK. Bitte sehr. Wo kann ich ihn aufgeben?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 xml:space="preserve">Werfen Sie ihn in den Briefkasten </w:t>
      </w:r>
      <w:r w:rsidR="009D50E3">
        <w:rPr>
          <w:i/>
        </w:rPr>
        <w:t xml:space="preserve">(gibt es mehrere, dann den, </w:t>
      </w:r>
      <w:r>
        <w:rPr>
          <w:i/>
        </w:rPr>
        <w:t>auf dem „International“ steht</w:t>
      </w:r>
      <w:r w:rsidR="009D50E3">
        <w:rPr>
          <w:i/>
        </w:rPr>
        <w:t>)</w:t>
      </w:r>
      <w:r>
        <w:rPr>
          <w:i/>
        </w:rPr>
        <w:t>.</w:t>
      </w:r>
    </w:p>
    <w:p w:rsidR="00DC306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>OK. Vielen Dank. Auf Wiedersehen!</w:t>
      </w:r>
    </w:p>
    <w:p w:rsidR="00DC3068" w:rsidRPr="00614AAA" w:rsidRDefault="00DC3068" w:rsidP="00614AAA">
      <w:pPr>
        <w:pStyle w:val="TKTITRE3"/>
      </w:pPr>
      <w:r>
        <w:t>Aktivität 6</w:t>
      </w:r>
    </w:p>
    <w:p w:rsidR="00DC3068" w:rsidRDefault="00DC3068" w:rsidP="00C45E85">
      <w:r>
        <w:t>Flüchtlinge üben sprachliche Ausdrücke, die sie für einen internationalen Geldtransfer brauchen</w:t>
      </w:r>
      <w:r w:rsidR="00857891">
        <w:t>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Guten Tag. Ich möchte bitte Geld nach ****** (Ort) schicken.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 xml:space="preserve">Gern. Zuerst müssen Sie bitte dieses Formular ausfüllen. 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Wie lange wird es dauern, bis das Geld in ****** (Ort) ankommt?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proofErr w:type="gramStart"/>
      <w:r>
        <w:rPr>
          <w:i/>
        </w:rPr>
        <w:t>Das</w:t>
      </w:r>
      <w:proofErr w:type="gramEnd"/>
      <w:r>
        <w:rPr>
          <w:i/>
        </w:rPr>
        <w:t xml:space="preserve"> geht mehr oder weniger sofort.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Wie kann ich dafür bezahlen?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>Mit Bargeld oder einer Bankkarte.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Wie kann mein Freund das Geld abheben?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proofErr w:type="gramStart"/>
      <w:r>
        <w:rPr>
          <w:i/>
        </w:rPr>
        <w:t>Sie</w:t>
      </w:r>
      <w:proofErr w:type="gramEnd"/>
      <w:r>
        <w:rPr>
          <w:i/>
        </w:rPr>
        <w:t xml:space="preserve"> müssen Ihrem Freund diesen Sendungscode schicken. </w:t>
      </w:r>
      <w:r w:rsidR="00857891">
        <w:rPr>
          <w:i/>
        </w:rPr>
        <w:t>Mit diesem Code kann er dann das Geld in einer unserer Filialen abheben.</w:t>
      </w:r>
    </w:p>
    <w:p w:rsidR="00DC3068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Das ist gut. Vielen Dank.</w:t>
      </w:r>
    </w:p>
    <w:p w:rsidR="00C308C0" w:rsidRDefault="00C308C0">
      <w:r>
        <w:br w:type="page"/>
      </w:r>
    </w:p>
    <w:p w:rsidR="00DC3068" w:rsidRPr="00D6366B" w:rsidRDefault="00DC3068" w:rsidP="00B170A5">
      <w:pPr>
        <w:pStyle w:val="TKTITRE1"/>
      </w:pPr>
      <w:r>
        <w:lastRenderedPageBreak/>
        <w:t>Ideen für Flüchtlinge mit niedrigem Alphabetisierungsgrad</w:t>
      </w:r>
    </w:p>
    <w:p w:rsidR="00DC3068" w:rsidRPr="00D6366B" w:rsidRDefault="00DC3068" w:rsidP="00614AAA">
      <w:pPr>
        <w:pStyle w:val="TKBulletLevel1"/>
        <w:ind w:left="567" w:hanging="283"/>
      </w:pPr>
      <w:r>
        <w:t>Bitten Sie Flüchtlinge mit niedrigem Alphabetisierungsgrad, einige der Wörter, die in den vorhergehenden Aktivitäten verwendet wurden, auf Karten abzuschreiben.</w:t>
      </w:r>
    </w:p>
    <w:p w:rsidR="00DC3068" w:rsidRPr="00D6366B" w:rsidRDefault="00DC3068" w:rsidP="00614AAA">
      <w:pPr>
        <w:pStyle w:val="TKBulletLevel1"/>
        <w:ind w:left="567" w:hanging="283"/>
      </w:pPr>
      <w:r>
        <w:t>Sie sollen dabei einfache Wörter aus der Broschüre oder den Bildern von Symbolen auswählen und abschreiben.</w:t>
      </w:r>
      <w:bookmarkStart w:id="0" w:name="_GoBack"/>
      <w:bookmarkEnd w:id="0"/>
    </w:p>
    <w:p w:rsidR="00DC3068" w:rsidRPr="00551361" w:rsidRDefault="00DC3068" w:rsidP="00551361">
      <w:pPr>
        <w:pStyle w:val="TKBulletLevel1"/>
        <w:ind w:left="567" w:hanging="283"/>
      </w:pPr>
      <w:r>
        <w:t>Bitten Sie sie außerdem, Schilder und Angaben, die man in Post- und Bankfilialen findet, vorzulesen.</w:t>
      </w:r>
    </w:p>
    <w:p w:rsidR="00DC3068" w:rsidRPr="00D6366B" w:rsidRDefault="00DC3068" w:rsidP="00B170A5">
      <w:pPr>
        <w:pStyle w:val="TKTITRE1"/>
      </w:pPr>
      <w:r>
        <w:t>Beispielmaterialien</w:t>
      </w:r>
    </w:p>
    <w:p w:rsidR="00DC3068" w:rsidRPr="00D6366B" w:rsidRDefault="00DC3068" w:rsidP="00B170A5">
      <w:pPr>
        <w:pStyle w:val="TKTEXTE"/>
      </w:pPr>
      <w:r>
        <w:t>Fotos von Orten und Hinweisschildern im Zusammenhang mit den Angeboten von Post und Bank</w:t>
      </w:r>
    </w:p>
    <w:tbl>
      <w:tblPr>
        <w:tblW w:w="4989" w:type="pct"/>
        <w:tblLook w:val="00A0"/>
      </w:tblPr>
      <w:tblGrid>
        <w:gridCol w:w="5334"/>
        <w:gridCol w:w="5324"/>
      </w:tblGrid>
      <w:tr w:rsidR="00DC3068" w:rsidTr="00551361">
        <w:trPr>
          <w:trHeight w:val="3340"/>
        </w:trPr>
        <w:tc>
          <w:tcPr>
            <w:tcW w:w="522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828925" cy="1790700"/>
                  <wp:effectExtent l="0" t="0" r="952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743200" cy="1800225"/>
                  <wp:effectExtent l="0" t="0" r="0" b="9525"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551361">
        <w:trPr>
          <w:trHeight w:val="3340"/>
        </w:trPr>
        <w:tc>
          <w:tcPr>
            <w:tcW w:w="522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790700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790700"/>
                  <wp:effectExtent l="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551361">
        <w:trPr>
          <w:trHeight w:val="3340"/>
        </w:trPr>
        <w:tc>
          <w:tcPr>
            <w:tcW w:w="522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790700"/>
                  <wp:effectExtent l="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Align w:val="center"/>
          </w:tcPr>
          <w:p w:rsidR="00DC3068" w:rsidRPr="00CE4973" w:rsidRDefault="00FB1B17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771775" cy="1800225"/>
                  <wp:effectExtent l="0" t="0" r="9525" b="952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068" w:rsidRPr="00886BC3" w:rsidRDefault="00DC3068" w:rsidP="00551361">
      <w:pPr>
        <w:rPr>
          <w:noProof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BC" w:rsidRDefault="00B472BC" w:rsidP="00C523EA">
      <w:r>
        <w:separator/>
      </w:r>
    </w:p>
  </w:endnote>
  <w:endnote w:type="continuationSeparator" w:id="0">
    <w:p w:rsidR="00B472BC" w:rsidRDefault="00B472B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E52EF5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C308C0" w:rsidRPr="00C308C0" w:rsidRDefault="00C308C0" w:rsidP="00C308C0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C308C0">
            <w:rPr>
              <w:sz w:val="18"/>
              <w:lang w:val="en-US"/>
            </w:rPr>
            <w:t>Programm</w:t>
          </w:r>
          <w:proofErr w:type="spellEnd"/>
          <w:r w:rsidRPr="00C308C0">
            <w:rPr>
              <w:sz w:val="18"/>
              <w:lang w:val="en-US"/>
            </w:rPr>
            <w:t xml:space="preserve"> </w:t>
          </w:r>
          <w:proofErr w:type="spellStart"/>
          <w:r w:rsidRPr="00C308C0">
            <w:rPr>
              <w:sz w:val="18"/>
              <w:lang w:val="en-US"/>
            </w:rPr>
            <w:t>zur</w:t>
          </w:r>
          <w:proofErr w:type="spellEnd"/>
          <w:r w:rsidRPr="00C308C0">
            <w:rPr>
              <w:sz w:val="18"/>
              <w:lang w:val="en-US"/>
            </w:rPr>
            <w:t xml:space="preserve"> </w:t>
          </w:r>
          <w:proofErr w:type="spellStart"/>
          <w:r w:rsidRPr="00C308C0">
            <w:rPr>
              <w:sz w:val="18"/>
              <w:lang w:val="en-US"/>
            </w:rPr>
            <w:t>Sprachenpolitik</w:t>
          </w:r>
          <w:proofErr w:type="spellEnd"/>
        </w:p>
        <w:p w:rsidR="00E52EF5" w:rsidRDefault="00C308C0" w:rsidP="00C308C0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C308C0">
            <w:rPr>
              <w:sz w:val="18"/>
              <w:lang w:val="en-US"/>
            </w:rPr>
            <w:t>Straßburg</w:t>
          </w:r>
          <w:proofErr w:type="spellEnd"/>
        </w:p>
        <w:p w:rsidR="00C308C0" w:rsidRPr="00E719B1" w:rsidRDefault="00C308C0" w:rsidP="00C308C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/>
            </w:rPr>
          </w:pPr>
        </w:p>
        <w:p w:rsidR="00E52EF5" w:rsidRPr="00E719B1" w:rsidRDefault="00C308C0" w:rsidP="00C308C0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/>
            </w:rPr>
          </w:pPr>
          <w:proofErr w:type="spellStart"/>
          <w:r>
            <w:rPr>
              <w:b/>
              <w:sz w:val="18"/>
              <w:lang w:val="en-US"/>
            </w:rPr>
            <w:t>Einhalt</w:t>
          </w:r>
          <w:proofErr w:type="spellEnd"/>
          <w:r w:rsidR="00E52EF5" w:rsidRPr="00E719B1">
            <w:rPr>
              <w:b/>
              <w:sz w:val="18"/>
              <w:lang w:val="en-US"/>
            </w:rPr>
            <w:t xml:space="preserve">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E52EF5" w:rsidRPr="005A600F" w:rsidRDefault="006C4556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</w:rPr>
          </w:pPr>
          <w:r w:rsidRPr="005A600F">
            <w:rPr>
              <w:rFonts w:cs="Cambria"/>
              <w:sz w:val="18"/>
              <w:szCs w:val="18"/>
            </w:rPr>
            <w:fldChar w:fldCharType="begin"/>
          </w:r>
          <w:r w:rsidR="00E52EF5" w:rsidRPr="005A600F">
            <w:rPr>
              <w:rFonts w:cs="Cambria"/>
              <w:sz w:val="18"/>
              <w:szCs w:val="18"/>
            </w:rPr>
            <w:instrText>PAGE</w:instrText>
          </w:r>
          <w:r w:rsidRPr="005A600F">
            <w:rPr>
              <w:rFonts w:cs="Cambria"/>
              <w:sz w:val="18"/>
              <w:szCs w:val="18"/>
            </w:rPr>
            <w:fldChar w:fldCharType="separate"/>
          </w:r>
          <w:r w:rsidR="00C308C0">
            <w:rPr>
              <w:rFonts w:cs="Cambria"/>
              <w:noProof/>
              <w:sz w:val="18"/>
              <w:szCs w:val="18"/>
            </w:rPr>
            <w:t>3</w:t>
          </w:r>
          <w:r w:rsidRPr="005A600F">
            <w:rPr>
              <w:rFonts w:cs="Cambria"/>
              <w:sz w:val="18"/>
              <w:szCs w:val="18"/>
            </w:rPr>
            <w:fldChar w:fldCharType="end"/>
          </w:r>
          <w:r w:rsidR="00E52EF5">
            <w:rPr>
              <w:sz w:val="18"/>
            </w:rPr>
            <w:t>/</w:t>
          </w:r>
          <w:r w:rsidRPr="005A600F">
            <w:rPr>
              <w:rFonts w:cs="Cambria"/>
              <w:sz w:val="18"/>
              <w:szCs w:val="18"/>
            </w:rPr>
            <w:fldChar w:fldCharType="begin"/>
          </w:r>
          <w:r w:rsidR="00E52EF5" w:rsidRPr="005A600F">
            <w:rPr>
              <w:rFonts w:cs="Cambria"/>
              <w:sz w:val="18"/>
              <w:szCs w:val="18"/>
            </w:rPr>
            <w:instrText>NUMPAGES</w:instrText>
          </w:r>
          <w:r w:rsidRPr="005A600F">
            <w:rPr>
              <w:rFonts w:cs="Cambria"/>
              <w:sz w:val="18"/>
              <w:szCs w:val="18"/>
            </w:rPr>
            <w:fldChar w:fldCharType="separate"/>
          </w:r>
          <w:r w:rsidR="00C308C0">
            <w:rPr>
              <w:rFonts w:cs="Cambria"/>
              <w:noProof/>
              <w:sz w:val="18"/>
              <w:szCs w:val="18"/>
            </w:rPr>
            <w:t>4</w:t>
          </w:r>
          <w:r w:rsidRPr="005A600F">
            <w:rPr>
              <w:rFonts w:cs="Cambria"/>
              <w:sz w:val="18"/>
              <w:szCs w:val="18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E52EF5" w:rsidRPr="005A600F" w:rsidRDefault="00E52EF5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</w:rPr>
          </w:pPr>
          <w:r>
            <w:rPr>
              <w:rFonts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38200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EF5" w:rsidRPr="002860CD" w:rsidRDefault="00E52EF5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BC" w:rsidRDefault="00B472BC" w:rsidP="00C523EA">
      <w:r>
        <w:separator/>
      </w:r>
    </w:p>
  </w:footnote>
  <w:footnote w:type="continuationSeparator" w:id="0">
    <w:p w:rsidR="00B472BC" w:rsidRDefault="00B472BC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E52EF5" w:rsidRPr="00C308C0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E52EF5" w:rsidRPr="00CB5C65" w:rsidRDefault="00E52EF5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62025" cy="695325"/>
                <wp:effectExtent l="0" t="0" r="9525" b="952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C308C0" w:rsidRPr="00C308C0" w:rsidRDefault="00C308C0" w:rsidP="00186952">
          <w:pPr>
            <w:jc w:val="center"/>
            <w:rPr>
              <w:b/>
              <w:i/>
              <w:lang w:val="de-DE"/>
            </w:rPr>
          </w:pPr>
          <w:r w:rsidRPr="00C308C0">
            <w:rPr>
              <w:b/>
              <w:lang w:val="de-DE"/>
            </w:rPr>
            <w:t xml:space="preserve">Sprachunterstützung für erwachsene Flüchtlinge: </w:t>
          </w:r>
          <w:r w:rsidRPr="00C308C0">
            <w:rPr>
              <w:b/>
              <w:i/>
              <w:lang w:val="de-DE"/>
            </w:rPr>
            <w:t>Handreichungen des Europarats</w:t>
          </w:r>
        </w:p>
        <w:p w:rsidR="00E52EF5" w:rsidRPr="00C308C0" w:rsidRDefault="006C4556" w:rsidP="00186952">
          <w:pPr>
            <w:jc w:val="center"/>
            <w:rPr>
              <w:color w:val="0000FF"/>
              <w:u w:val="single"/>
              <w:lang w:val="de-DE"/>
            </w:rPr>
          </w:pPr>
          <w:hyperlink r:id="rId2" w:history="1">
            <w:r w:rsidR="00E52EF5" w:rsidRPr="00C308C0">
              <w:rPr>
                <w:rStyle w:val="Lienhypertexte"/>
                <w:lang w:val="de-D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C308C0" w:rsidRDefault="00C308C0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lang w:val="de-DE"/>
            </w:rPr>
          </w:pPr>
          <w:r w:rsidRPr="00C308C0">
            <w:rPr>
              <w:sz w:val="20"/>
              <w:lang w:val="de-DE"/>
            </w:rPr>
            <w:t>Sprachliche Integration erwachsener Migrantinnen und Migranten (LIAM)</w:t>
          </w:r>
        </w:p>
        <w:p w:rsidR="00E52EF5" w:rsidRPr="00C308C0" w:rsidRDefault="006C455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de-DE"/>
            </w:rPr>
          </w:pPr>
          <w:hyperlink r:id="rId3" w:history="1">
            <w:r w:rsidR="00E52EF5" w:rsidRPr="00C308C0">
              <w:rPr>
                <w:rStyle w:val="Lienhypertexte"/>
                <w:sz w:val="20"/>
                <w:lang w:val="de-DE"/>
              </w:rPr>
              <w:t>www.coe.int/lang-migrants</w:t>
            </w:r>
          </w:hyperlink>
        </w:p>
      </w:tc>
    </w:tr>
  </w:tbl>
  <w:p w:rsidR="00E52EF5" w:rsidRPr="00C308C0" w:rsidRDefault="00E52EF5" w:rsidP="00FB70A6">
    <w:pPr>
      <w:pStyle w:val="En-tte"/>
      <w:rPr>
        <w:sz w:val="10"/>
        <w:szCs w:val="1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618A7"/>
    <w:rsid w:val="000661BC"/>
    <w:rsid w:val="00066403"/>
    <w:rsid w:val="000730E4"/>
    <w:rsid w:val="000937FA"/>
    <w:rsid w:val="00093DD1"/>
    <w:rsid w:val="000954B8"/>
    <w:rsid w:val="000A080D"/>
    <w:rsid w:val="000A4CF5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54B1F"/>
    <w:rsid w:val="0016195A"/>
    <w:rsid w:val="00172C07"/>
    <w:rsid w:val="001741D1"/>
    <w:rsid w:val="0017676C"/>
    <w:rsid w:val="00186952"/>
    <w:rsid w:val="001965B4"/>
    <w:rsid w:val="001A1B4C"/>
    <w:rsid w:val="001A7CE6"/>
    <w:rsid w:val="001B0010"/>
    <w:rsid w:val="001B602D"/>
    <w:rsid w:val="001B71AD"/>
    <w:rsid w:val="001C2C9B"/>
    <w:rsid w:val="001C7918"/>
    <w:rsid w:val="001D7251"/>
    <w:rsid w:val="001E57F8"/>
    <w:rsid w:val="0020300A"/>
    <w:rsid w:val="002078FB"/>
    <w:rsid w:val="00214CD0"/>
    <w:rsid w:val="00225C85"/>
    <w:rsid w:val="00230C28"/>
    <w:rsid w:val="00233192"/>
    <w:rsid w:val="00246E8E"/>
    <w:rsid w:val="00254DC5"/>
    <w:rsid w:val="0026293F"/>
    <w:rsid w:val="002860CD"/>
    <w:rsid w:val="0029174C"/>
    <w:rsid w:val="00296D86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10E6"/>
    <w:rsid w:val="0050334F"/>
    <w:rsid w:val="00503E91"/>
    <w:rsid w:val="00507E2D"/>
    <w:rsid w:val="00510AE8"/>
    <w:rsid w:val="0051537D"/>
    <w:rsid w:val="00526886"/>
    <w:rsid w:val="00542DB8"/>
    <w:rsid w:val="0054564B"/>
    <w:rsid w:val="00551361"/>
    <w:rsid w:val="00555D25"/>
    <w:rsid w:val="005713EB"/>
    <w:rsid w:val="005A600F"/>
    <w:rsid w:val="005C2E50"/>
    <w:rsid w:val="005E4CA5"/>
    <w:rsid w:val="005E654F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20E9"/>
    <w:rsid w:val="00677867"/>
    <w:rsid w:val="006927BF"/>
    <w:rsid w:val="006A1A21"/>
    <w:rsid w:val="006B6385"/>
    <w:rsid w:val="006B7367"/>
    <w:rsid w:val="006C0689"/>
    <w:rsid w:val="006C08C3"/>
    <w:rsid w:val="006C19C6"/>
    <w:rsid w:val="006C455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3ACD"/>
    <w:rsid w:val="007B3F92"/>
    <w:rsid w:val="007B4D14"/>
    <w:rsid w:val="007D5AFB"/>
    <w:rsid w:val="007F0F75"/>
    <w:rsid w:val="007F5F10"/>
    <w:rsid w:val="00802726"/>
    <w:rsid w:val="0080462C"/>
    <w:rsid w:val="00805257"/>
    <w:rsid w:val="008067EC"/>
    <w:rsid w:val="0083366C"/>
    <w:rsid w:val="0083398B"/>
    <w:rsid w:val="00840A58"/>
    <w:rsid w:val="00844534"/>
    <w:rsid w:val="008469DE"/>
    <w:rsid w:val="008506D5"/>
    <w:rsid w:val="00854F5D"/>
    <w:rsid w:val="00857891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9D50E3"/>
    <w:rsid w:val="009E3BD2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925E7"/>
    <w:rsid w:val="00AB255A"/>
    <w:rsid w:val="00AD6FE9"/>
    <w:rsid w:val="00AE657E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472BC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308C0"/>
    <w:rsid w:val="00C45E85"/>
    <w:rsid w:val="00C523EA"/>
    <w:rsid w:val="00C622D7"/>
    <w:rsid w:val="00C62EB5"/>
    <w:rsid w:val="00C7477C"/>
    <w:rsid w:val="00C8086F"/>
    <w:rsid w:val="00CB5C65"/>
    <w:rsid w:val="00CC0991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5A92"/>
    <w:rsid w:val="00DB33D0"/>
    <w:rsid w:val="00DB3E04"/>
    <w:rsid w:val="00DC3068"/>
    <w:rsid w:val="00DC410A"/>
    <w:rsid w:val="00DD0635"/>
    <w:rsid w:val="00DD35DF"/>
    <w:rsid w:val="00DD53DC"/>
    <w:rsid w:val="00DE5B7D"/>
    <w:rsid w:val="00DF37F1"/>
    <w:rsid w:val="00DF4C8F"/>
    <w:rsid w:val="00DF5B76"/>
    <w:rsid w:val="00DF5E24"/>
    <w:rsid w:val="00DF60EB"/>
    <w:rsid w:val="00E076C3"/>
    <w:rsid w:val="00E41A1E"/>
    <w:rsid w:val="00E52EF5"/>
    <w:rsid w:val="00E53152"/>
    <w:rsid w:val="00E57F9A"/>
    <w:rsid w:val="00E719B1"/>
    <w:rsid w:val="00E74E5B"/>
    <w:rsid w:val="00E826A8"/>
    <w:rsid w:val="00E90A39"/>
    <w:rsid w:val="00EA589F"/>
    <w:rsid w:val="00EC3C97"/>
    <w:rsid w:val="00EC6747"/>
    <w:rsid w:val="00EC7BAE"/>
    <w:rsid w:val="00ED00D4"/>
    <w:rsid w:val="00ED4CB7"/>
    <w:rsid w:val="00F260E9"/>
    <w:rsid w:val="00F41208"/>
    <w:rsid w:val="00F5126A"/>
    <w:rsid w:val="00F61A2C"/>
    <w:rsid w:val="00FB0515"/>
    <w:rsid w:val="00FB1B17"/>
    <w:rsid w:val="00FB70A6"/>
    <w:rsid w:val="00FC40D5"/>
    <w:rsid w:val="00FC4F80"/>
    <w:rsid w:val="00FE2BF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de-AT" w:eastAsia="de-AT" w:bidi="de-AT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de-AT" w:eastAsia="de-AT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AT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AT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AT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de-AT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AT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de-AT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de-AT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6C4556"/>
    <w:rPr>
      <w:sz w:val="16"/>
      <w:szCs w:val="16"/>
    </w:rPr>
  </w:style>
  <w:style w:type="paragraph" w:styleId="Commentaire">
    <w:name w:val="annotation text"/>
    <w:link w:val="CommentaireCar"/>
    <w:uiPriority w:val="99"/>
    <w:semiHidden/>
    <w:unhideWhenUsed/>
    <w:rsid w:val="006C4556"/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de-A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de-AT"/>
    </w:rPr>
  </w:style>
  <w:style w:type="paragraph" w:styleId="Rvision">
    <w:name w:val="Revision"/>
    <w:hidden/>
    <w:uiPriority w:val="99"/>
    <w:semiHidden/>
    <w:rsid w:val="00E52EF5"/>
    <w:rPr>
      <w:rFonts w:eastAsia="Times New Roman" w:cs="Times New Roman"/>
      <w:sz w:val="24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50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52 - Using postal and banking services</vt:lpstr>
      <vt:lpstr>52 - Using postal and banking services</vt:lpstr>
    </vt:vector>
  </TitlesOfParts>
  <Company>Council of Europe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utilisateur</cp:lastModifiedBy>
  <cp:revision>2</cp:revision>
  <cp:lastPrinted>2017-03-21T17:43:00Z</cp:lastPrinted>
  <dcterms:created xsi:type="dcterms:W3CDTF">2017-10-26T14:56:00Z</dcterms:created>
  <dcterms:modified xsi:type="dcterms:W3CDTF">2017-10-26T14:56:00Z</dcterms:modified>
</cp:coreProperties>
</file>