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3D5" w:rsidRPr="00E1558B" w:rsidRDefault="00926124" w:rsidP="00C01EE4">
      <w:pPr>
        <w:pStyle w:val="TKMAINTITLE"/>
      </w:pPr>
      <w:r>
        <w:t>5</w:t>
      </w:r>
      <w:r w:rsidR="00AD26C9">
        <w:t xml:space="preserve"> – Arabisch </w:t>
      </w:r>
      <w:r w:rsidR="00AD26C9">
        <w:rPr>
          <w:noProof/>
          <w:lang w:val="fr-FR" w:eastAsia="fr-FR" w:bidi="ar-SA"/>
        </w:rPr>
        <w:drawing>
          <wp:inline distT="0" distB="0" distL="0" distR="0">
            <wp:extent cx="390525" cy="2000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AD26C9">
        <w:t xml:space="preserve"> : </w:t>
      </w:r>
      <w:r w:rsidR="007D6A56">
        <w:t>einige</w:t>
      </w:r>
      <w:r w:rsidR="00AD26C9">
        <w:t xml:space="preserve"> Informationen</w:t>
      </w:r>
    </w:p>
    <w:p w:rsidR="000F23D5" w:rsidRPr="001D6531" w:rsidRDefault="000F23D5" w:rsidP="00C01EE4">
      <w:pPr>
        <w:pStyle w:val="TKAIM"/>
      </w:pPr>
      <w:r>
        <w:t xml:space="preserve">Ziel: </w:t>
      </w:r>
      <w:r>
        <w:tab/>
        <w:t>Überblick über eine von vielen Flüchtlingen gesprochene Sprache</w:t>
      </w:r>
    </w:p>
    <w:p w:rsidR="000F23D5" w:rsidRPr="004A393D" w:rsidRDefault="000F23D5" w:rsidP="00C01EE4">
      <w:pPr>
        <w:pStyle w:val="TKTEXTE"/>
      </w:pPr>
      <w:r>
        <w:t xml:space="preserve">Ein grundlegender Einblick in die arabische Sprache kann Ihnen dabei helfen zu verstehen, was für arabischsprachige Menschen beim Erlernen einer neuen Sprache als besonders herausfordernd und was wiederum als verhältnismäßig </w:t>
      </w:r>
      <w:r w:rsidR="00B421F8">
        <w:t xml:space="preserve">einfach </w:t>
      </w:r>
      <w:r>
        <w:t xml:space="preserve">wahrgenommen werden kann. Zudem werden es einige Flüchtlinge sicher zu schätzen wissen, wenn Sie sie nach der richtigen Aussprache von Personen- und Ortsnamen fragen und versuchen, zumindest einige Wörter und Phrasen in ihrer Sprache zu verwenden (siehe </w:t>
      </w:r>
      <w:r w:rsidRPr="005F0295">
        <w:t>„</w:t>
      </w:r>
      <w:hyperlink r:id="rId9">
        <w:r w:rsidRPr="005F0295">
          <w:rPr>
            <w:rStyle w:val="Lienhypertexte"/>
            <w:u w:val="none"/>
          </w:rPr>
          <w:t>Language of origin</w:t>
        </w:r>
      </w:hyperlink>
      <w:r w:rsidRPr="005F0295">
        <w:t>“). Hocharabisch ist die Amtssprache in 25 Ländern des Nahen Ostens und Nordafrika</w:t>
      </w:r>
      <w:r>
        <w:t xml:space="preserve"> und eine der sechs offiziellen Amtssprachen der Vereinten Nationen. Darüber hinaus gibt es zahlreiche regionale Varianten, wie etwa Daridscha Maghribijja (die Umgangssprache in Marokko) und Ammijja Misrijja (die Umgangssprache in Ägypten).</w:t>
      </w:r>
    </w:p>
    <w:p w:rsidR="000F23D5" w:rsidRPr="00080594" w:rsidRDefault="000F23D5" w:rsidP="00243AB0">
      <w:pPr>
        <w:pStyle w:val="TKTITRE1"/>
      </w:pPr>
      <w:r>
        <w:t>Wo die Sprache gesprochen wird</w:t>
      </w:r>
    </w:p>
    <w:p w:rsidR="000F23D5" w:rsidRPr="000F23D5" w:rsidRDefault="000F23D5" w:rsidP="00C01EE4">
      <w:pPr>
        <w:pStyle w:val="TKTEXTE"/>
      </w:pPr>
      <w:r>
        <w:t>Arabisch ist weltweit die Erstsprache von etwa 280 Millionen Menschen. In den arabischsprachigen Ländern werden verschiedene Dialekte gesprochen. Geografisch erstreckt sich der Gebrauch der Sprache von Ländern nördlich und südlich der Sahara bis zum Nahen Osten, einschließlich de</w:t>
      </w:r>
      <w:r w:rsidR="00B421F8">
        <w:t>s</w:t>
      </w:r>
      <w:r>
        <w:t xml:space="preserve"> Irak und Syrien</w:t>
      </w:r>
      <w:r w:rsidR="00B421F8">
        <w:t>s</w:t>
      </w:r>
      <w:r>
        <w:t>. Auch außerhalb dieser Regionen gibt es viele arabischsprachige Sprachgemeinschaften und arabischsprachige Minderheiten.</w:t>
      </w:r>
    </w:p>
    <w:p w:rsidR="000F23D5" w:rsidRPr="00D03A92" w:rsidRDefault="000F23D5" w:rsidP="00243AB0">
      <w:pPr>
        <w:pStyle w:val="TKTITRE1"/>
      </w:pPr>
      <w:r>
        <w:t>Kunst, Medien und Literatur</w:t>
      </w:r>
    </w:p>
    <w:p w:rsidR="000F23D5" w:rsidRPr="000F23D5" w:rsidRDefault="000F23D5" w:rsidP="00C01EE4">
      <w:pPr>
        <w:pStyle w:val="TKTEXTE"/>
      </w:pPr>
      <w:r>
        <w:t>Besonders wichtig ist der Umstand, dass das klassische Arabisch die Sprache des Korans, des heiligen Buches des Islam, ist. Das im Koran verwendete klassische Arabisch wird immer noch als der Standard für die Schriftsprache angesehen, mündliche Varianten weichen jedoch häufig davon ab, da sich die gesprochene Sprache stetig verändert.</w:t>
      </w:r>
    </w:p>
    <w:p w:rsidR="000F23D5" w:rsidRPr="000F23D5" w:rsidRDefault="000F23D5" w:rsidP="00C01EE4">
      <w:pPr>
        <w:pStyle w:val="TKTEXTE"/>
      </w:pPr>
      <w:r>
        <w:t xml:space="preserve">Es gibt eine reiche Vielfalt arabischsprachiger Lyrik und Prosa, </w:t>
      </w:r>
      <w:r w:rsidR="00045FE7">
        <w:t xml:space="preserve">die zum Großteil jedoch nicht </w:t>
      </w:r>
      <w:r>
        <w:t xml:space="preserve">übersetzt ist. </w:t>
      </w:r>
      <w:r w:rsidR="00E86CC5">
        <w:t>Zudem werden die</w:t>
      </w:r>
      <w:r>
        <w:t xml:space="preserve"> </w:t>
      </w:r>
      <w:r w:rsidR="00045FE7">
        <w:t xml:space="preserve">wenigen </w:t>
      </w:r>
      <w:r>
        <w:t>bestehenden Übersetzungen der großen Bandbreite der arabischspr</w:t>
      </w:r>
      <w:r w:rsidR="009D5B15">
        <w:t>achigen Literatur nicht gerecht</w:t>
      </w:r>
      <w:r>
        <w:t>. Zu (in Europa) bekannten arabischsprachigen Schriftstellern und Dichtern zählen der Nobelpreisträger Nagib Mahfuz (1911–2006) und der Autor Khalil Gibran (1883–1931).</w:t>
      </w:r>
    </w:p>
    <w:p w:rsidR="000F23D5" w:rsidRPr="001D1C51" w:rsidRDefault="000F23D5" w:rsidP="00243AB0">
      <w:pPr>
        <w:pStyle w:val="TKTITRE1"/>
      </w:pPr>
      <w:r>
        <w:t>Lehnwörter aus dem Arabischen</w:t>
      </w:r>
    </w:p>
    <w:p w:rsidR="000F23D5" w:rsidRPr="000F23D5" w:rsidRDefault="000F23D5" w:rsidP="00C01EE4">
      <w:pPr>
        <w:pStyle w:val="TKTEXTE"/>
      </w:pPr>
      <w:r>
        <w:t xml:space="preserve">Beispiele für ursprünglich aus dem Arabischen stammende Wörter, die im </w:t>
      </w:r>
      <w:r w:rsidR="00E86CC5">
        <w:t>Deutschen</w:t>
      </w:r>
      <w:r>
        <w:t xml:space="preserve"> (und anderen Sprachen) häufig verwendet werden:</w:t>
      </w:r>
    </w:p>
    <w:p w:rsidR="000F23D5" w:rsidRPr="002403F5" w:rsidRDefault="00E86CC5" w:rsidP="00723FE1">
      <w:pPr>
        <w:pStyle w:val="TKBulletLevel1"/>
      </w:pPr>
      <w:r>
        <w:t>A</w:t>
      </w:r>
      <w:r w:rsidR="000F23D5">
        <w:t xml:space="preserve">lgebra </w:t>
      </w:r>
      <w:r>
        <w:t>(al-jabr)</w:t>
      </w:r>
    </w:p>
    <w:p w:rsidR="000F23D5" w:rsidRPr="002403F5" w:rsidRDefault="00FB5483" w:rsidP="00723FE1">
      <w:pPr>
        <w:pStyle w:val="TKBulletLevel1"/>
      </w:pPr>
      <w:r>
        <w:t>Baumw</w:t>
      </w:r>
      <w:r w:rsidR="00E86CC5">
        <w:t>olle</w:t>
      </w:r>
      <w:r w:rsidR="000F23D5">
        <w:t xml:space="preserve"> (koton) (</w:t>
      </w:r>
      <w:r w:rsidR="00E86CC5">
        <w:t>vgl. englisch cotton</w:t>
      </w:r>
      <w:r w:rsidR="000F23D5">
        <w:t>)</w:t>
      </w:r>
    </w:p>
    <w:p w:rsidR="000F23D5" w:rsidRPr="002403F5" w:rsidRDefault="00E86CC5" w:rsidP="00723FE1">
      <w:pPr>
        <w:pStyle w:val="TKBulletLevel1"/>
      </w:pPr>
      <w:r>
        <w:t>Zucker (succar)</w:t>
      </w:r>
    </w:p>
    <w:p w:rsidR="000F23D5" w:rsidRPr="002403F5" w:rsidRDefault="00E86CC5" w:rsidP="00723FE1">
      <w:pPr>
        <w:pStyle w:val="TKBulletLevel1"/>
      </w:pPr>
      <w:r>
        <w:t>Gitarre (qithara)</w:t>
      </w:r>
    </w:p>
    <w:p w:rsidR="000F23D5" w:rsidRPr="00723FE1" w:rsidRDefault="00E86CC5" w:rsidP="00723FE1">
      <w:pPr>
        <w:pStyle w:val="TKBulletLevel1"/>
      </w:pPr>
      <w:r>
        <w:t>Zitrone</w:t>
      </w:r>
      <w:r w:rsidR="000F23D5">
        <w:t xml:space="preserve"> (laymoon) (</w:t>
      </w:r>
      <w:r>
        <w:t>vgl. englisch lemon</w:t>
      </w:r>
      <w:r w:rsidR="000F23D5">
        <w:t>)</w:t>
      </w:r>
    </w:p>
    <w:p w:rsidR="000F23D5" w:rsidRPr="00723FE1" w:rsidRDefault="00E86CC5" w:rsidP="00723FE1">
      <w:pPr>
        <w:pStyle w:val="TKBulletLevel1"/>
      </w:pPr>
      <w:r>
        <w:t>Alkoh</w:t>
      </w:r>
      <w:bookmarkStart w:id="0" w:name="_GoBack"/>
      <w:bookmarkEnd w:id="0"/>
      <w:r>
        <w:t>ol (al-kuħuul)</w:t>
      </w:r>
    </w:p>
    <w:p w:rsidR="000F23D5" w:rsidRPr="000F23D5" w:rsidRDefault="000F23D5" w:rsidP="00C01EE4">
      <w:pPr>
        <w:pStyle w:val="TKTEXTE"/>
      </w:pPr>
      <w:r>
        <w:t xml:space="preserve">Auch die </w:t>
      </w:r>
      <w:r w:rsidR="00EB117F">
        <w:t xml:space="preserve">in </w:t>
      </w:r>
      <w:r>
        <w:t xml:space="preserve">europäischen </w:t>
      </w:r>
      <w:r w:rsidR="00EB117F">
        <w:t xml:space="preserve">Sprachen verwendeten </w:t>
      </w:r>
      <w:r>
        <w:t>Zahlen stammen aus dem Arabischen.</w:t>
      </w:r>
    </w:p>
    <w:p w:rsidR="000F23D5" w:rsidRPr="00243AB0" w:rsidRDefault="006C5950" w:rsidP="00243AB0">
      <w:pPr>
        <w:pStyle w:val="TKTITRE1"/>
      </w:pPr>
      <w:r>
        <w:lastRenderedPageBreak/>
        <w:t>Merkmale der arabischen Schrift</w:t>
      </w:r>
    </w:p>
    <w:p w:rsidR="000F23D5" w:rsidRPr="000F23D5" w:rsidRDefault="000F23D5" w:rsidP="00C01EE4">
      <w:pPr>
        <w:pStyle w:val="TKTEXTE"/>
      </w:pPr>
      <w:r>
        <w:t>Die arabische Schrift ist eine Kursivschrift und wird von rechts nach links geschrieben und gelesen. Das arabische Alphabet besteht aus 28 Buchstaben. Im Gegensatz zu Sprachen, die mit lateinischen Buchstaben geschrieben werden, werden im Allgemeinen nur Konsonanten, nicht aber Vokale verschriftlicht.</w:t>
      </w:r>
    </w:p>
    <w:p w:rsidR="000F23D5" w:rsidRDefault="000F23D5" w:rsidP="00243AB0">
      <w:pPr>
        <w:pStyle w:val="TKTITRE1"/>
      </w:pPr>
      <w:r>
        <w:t>Das arabische Alphabet</w:t>
      </w:r>
    </w:p>
    <w:p w:rsidR="00D40399" w:rsidRDefault="00516A0B" w:rsidP="00243AB0">
      <w:pPr>
        <w:pStyle w:val="TKTITRE1"/>
      </w:pPr>
      <w:r>
        <w:rPr>
          <w:noProof/>
          <w:lang w:val="fr-FR" w:eastAsia="fr-FR" w:bidi="ar-SA"/>
        </w:rPr>
        <w:drawing>
          <wp:inline distT="0" distB="0" distL="0" distR="0">
            <wp:extent cx="5695950" cy="314325"/>
            <wp:effectExtent l="19050" t="0" r="0" b="0"/>
            <wp:docPr id="5" name="Bild 1" descr="Mavericks OS:Users:Karla:Desktop:ArabischSZ:arabicalphab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ArabischSZ:arabicalphabet.png"/>
                    <pic:cNvPicPr>
                      <a:picLocks noChangeAspect="1" noChangeArrowheads="1"/>
                    </pic:cNvPicPr>
                  </pic:nvPicPr>
                  <pic:blipFill>
                    <a:blip r:embed="rId10"/>
                    <a:srcRect/>
                    <a:stretch>
                      <a:fillRect/>
                    </a:stretch>
                  </pic:blipFill>
                  <pic:spPr bwMode="auto">
                    <a:xfrm>
                      <a:off x="0" y="0"/>
                      <a:ext cx="5695950" cy="314325"/>
                    </a:xfrm>
                    <a:prstGeom prst="rect">
                      <a:avLst/>
                    </a:prstGeom>
                    <a:noFill/>
                    <a:ln w="9525">
                      <a:noFill/>
                      <a:miter lim="800000"/>
                      <a:headEnd/>
                      <a:tailEnd/>
                    </a:ln>
                  </pic:spPr>
                </pic:pic>
              </a:graphicData>
            </a:graphic>
          </wp:inline>
        </w:drawing>
      </w:r>
    </w:p>
    <w:p w:rsidR="001E2ECF" w:rsidRDefault="001E2ECF" w:rsidP="00243AB0">
      <w:pPr>
        <w:pStyle w:val="TKTITRE1"/>
      </w:pPr>
      <w:r>
        <w:t>Zahlen</w:t>
      </w:r>
    </w:p>
    <w:p w:rsidR="00226BE6" w:rsidRDefault="00226BE6" w:rsidP="00226BE6">
      <w:pPr>
        <w:rPr>
          <w:rFonts w:cs="Calibri"/>
          <w:noProof/>
          <w:sz w:val="18"/>
          <w:szCs w:val="18"/>
        </w:rPr>
      </w:pPr>
      <w:r>
        <w:rPr>
          <w:rFonts w:cs="Calibri"/>
          <w:noProof/>
          <w:sz w:val="18"/>
          <w:szCs w:val="18"/>
          <w:lang w:val="fr-FR" w:eastAsia="fr-FR" w:bidi="ar-SA"/>
        </w:rPr>
        <w:drawing>
          <wp:inline distT="0" distB="0" distL="0" distR="0">
            <wp:extent cx="5753100" cy="1476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D40399" w:rsidRPr="00243AB0" w:rsidRDefault="00D40399" w:rsidP="00243AB0">
      <w:pPr>
        <w:pStyle w:val="TKTITRE1"/>
      </w:pPr>
      <w:r>
        <w:t>Einige Phrasen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6387"/>
      </w:tblGrid>
      <w:tr w:rsidR="005E10BD" w:rsidRPr="00F458BA"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Hallo</w:t>
            </w:r>
            <w:r w:rsidR="005929A4">
              <w:t>!</w:t>
            </w:r>
            <w:r>
              <w:t xml:space="preserve"> (erstes Treffen)</w:t>
            </w:r>
          </w:p>
        </w:tc>
        <w:tc>
          <w:tcPr>
            <w:tcW w:w="2126" w:type="dxa"/>
            <w:shd w:val="clear" w:color="auto" w:fill="auto"/>
          </w:tcPr>
          <w:p w:rsidR="00645219" w:rsidRPr="004A393D" w:rsidRDefault="00016B48" w:rsidP="004A393D">
            <w:pPr>
              <w:pStyle w:val="TKTextetableau"/>
              <w:framePr w:hSpace="0" w:wrap="auto" w:vAnchor="margin" w:yAlign="inline"/>
              <w:rPr>
                <w:szCs w:val="22"/>
              </w:rPr>
            </w:pPr>
            <w:r>
              <w:rPr>
                <w:szCs w:val="22"/>
                <w:rtl/>
                <w:lang w:bidi="ar-SA"/>
              </w:rPr>
              <w:t>السلام عليكم</w:t>
            </w:r>
          </w:p>
        </w:tc>
        <w:tc>
          <w:tcPr>
            <w:tcW w:w="6387" w:type="dxa"/>
            <w:shd w:val="clear" w:color="auto" w:fill="auto"/>
          </w:tcPr>
          <w:p w:rsidR="00645219" w:rsidRPr="004A393D" w:rsidRDefault="00645219" w:rsidP="005E10BD">
            <w:pPr>
              <w:pStyle w:val="TKTextetableau"/>
              <w:framePr w:hSpace="0" w:wrap="auto" w:vAnchor="margin" w:yAlign="inline"/>
              <w:rPr>
                <w:szCs w:val="22"/>
              </w:rPr>
            </w:pPr>
            <w:r>
              <w:t>assalamu a’alaikum (Friede sei mit dir)</w:t>
            </w:r>
          </w:p>
        </w:tc>
      </w:tr>
      <w:tr w:rsidR="005E10BD" w:rsidRPr="00F458BA"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Auf Wiedersehen</w:t>
            </w:r>
            <w:r w:rsidR="005929A4">
              <w:t>!</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rPr>
                <w:szCs w:val="22"/>
                <w:rtl/>
                <w:lang w:bidi="ar-SA"/>
              </w:rPr>
              <w:t>مع السلامة</w:t>
            </w:r>
          </w:p>
        </w:tc>
        <w:tc>
          <w:tcPr>
            <w:tcW w:w="6387" w:type="dxa"/>
            <w:shd w:val="clear" w:color="auto" w:fill="D9D9D9"/>
          </w:tcPr>
          <w:p w:rsidR="00645219" w:rsidRPr="004A393D" w:rsidRDefault="00645219" w:rsidP="005929A4">
            <w:pPr>
              <w:pStyle w:val="TKTextetableau"/>
              <w:framePr w:hSpace="0" w:wrap="auto" w:vAnchor="margin" w:yAlign="inline"/>
              <w:rPr>
                <w:szCs w:val="22"/>
              </w:rPr>
            </w:pPr>
            <w:r>
              <w:t>maʕ as-salaama! (</w:t>
            </w:r>
            <w:r w:rsidR="005929A4">
              <w:t>Verabschiedung</w:t>
            </w:r>
            <w:r>
              <w:t>)</w:t>
            </w:r>
          </w:p>
        </w:tc>
      </w:tr>
      <w:tr w:rsidR="005E10BD" w:rsidRPr="00226BE6"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Auf Wiedersehen!</w:t>
            </w:r>
          </w:p>
        </w:tc>
        <w:tc>
          <w:tcPr>
            <w:tcW w:w="2126" w:type="dxa"/>
            <w:shd w:val="clear" w:color="auto" w:fill="auto"/>
          </w:tcPr>
          <w:p w:rsidR="00645219" w:rsidRPr="004A393D" w:rsidRDefault="00016B48" w:rsidP="004A393D">
            <w:pPr>
              <w:pStyle w:val="TKTextetableau"/>
              <w:framePr w:hSpace="0" w:wrap="auto" w:vAnchor="margin" w:yAlign="inline"/>
              <w:rPr>
                <w:szCs w:val="22"/>
              </w:rPr>
            </w:pPr>
            <w:r>
              <w:rPr>
                <w:szCs w:val="22"/>
                <w:rtl/>
                <w:lang w:bidi="ar-SA"/>
              </w:rPr>
              <w:t>الله يسلمك، الله يسلمكم</w:t>
            </w:r>
          </w:p>
        </w:tc>
        <w:tc>
          <w:tcPr>
            <w:tcW w:w="6387" w:type="dxa"/>
            <w:shd w:val="clear" w:color="auto" w:fill="auto"/>
          </w:tcPr>
          <w:p w:rsidR="00645219" w:rsidRPr="004A393D" w:rsidRDefault="00645219" w:rsidP="005929A4">
            <w:pPr>
              <w:pStyle w:val="TKTextetableau"/>
              <w:framePr w:hSpace="0" w:wrap="auto" w:vAnchor="margin" w:yAlign="inline"/>
              <w:rPr>
                <w:szCs w:val="22"/>
              </w:rPr>
            </w:pPr>
            <w:r>
              <w:t>allaah jusallimuka! (M.); allaah jusallimuki! (F.); allaah jusallimkum! (Pl.) (Erwiderung)</w:t>
            </w:r>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Wie geht es Ihnen?</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rPr>
                <w:szCs w:val="22"/>
                <w:rtl/>
                <w:lang w:bidi="ar-SA"/>
              </w:rPr>
              <w:t>كيف الحال؟</w:t>
            </w:r>
          </w:p>
        </w:tc>
        <w:tc>
          <w:tcPr>
            <w:tcW w:w="6387" w:type="dxa"/>
            <w:shd w:val="clear" w:color="auto" w:fill="D9D9D9"/>
          </w:tcPr>
          <w:p w:rsidR="00645219" w:rsidRPr="004A393D" w:rsidRDefault="00645219" w:rsidP="005E10BD">
            <w:pPr>
              <w:pStyle w:val="TKTextetableau"/>
              <w:framePr w:hSpace="0" w:wrap="auto" w:vAnchor="margin" w:yAlign="inline"/>
              <w:rPr>
                <w:szCs w:val="22"/>
              </w:rPr>
            </w:pPr>
            <w:r>
              <w:t>kayf il-ħaal?</w:t>
            </w:r>
          </w:p>
        </w:tc>
      </w:tr>
      <w:tr w:rsidR="005E10BD" w:rsidRPr="00645219"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Ja</w:t>
            </w:r>
          </w:p>
        </w:tc>
        <w:tc>
          <w:tcPr>
            <w:tcW w:w="2126" w:type="dxa"/>
            <w:shd w:val="clear" w:color="auto" w:fill="auto"/>
          </w:tcPr>
          <w:p w:rsidR="00645219" w:rsidRPr="004A393D" w:rsidRDefault="00016B48" w:rsidP="004A393D">
            <w:pPr>
              <w:pStyle w:val="TKTextetableau"/>
              <w:framePr w:hSpace="0" w:wrap="auto" w:vAnchor="margin" w:yAlign="inline"/>
              <w:rPr>
                <w:szCs w:val="22"/>
              </w:rPr>
            </w:pPr>
            <w:r>
              <w:rPr>
                <w:szCs w:val="22"/>
                <w:rtl/>
                <w:lang w:bidi="ar-SA"/>
              </w:rPr>
              <w:t>نعم</w:t>
            </w:r>
          </w:p>
        </w:tc>
        <w:tc>
          <w:tcPr>
            <w:tcW w:w="6387" w:type="dxa"/>
            <w:shd w:val="clear" w:color="auto" w:fill="auto"/>
          </w:tcPr>
          <w:p w:rsidR="00645219" w:rsidRPr="004A393D" w:rsidRDefault="00645219" w:rsidP="005E10BD">
            <w:pPr>
              <w:pStyle w:val="TKTextetableau"/>
              <w:framePr w:hSpace="0" w:wrap="auto" w:vAnchor="margin" w:yAlign="inline"/>
              <w:rPr>
                <w:szCs w:val="22"/>
              </w:rPr>
            </w:pPr>
            <w:r>
              <w:t>naʕm</w:t>
            </w:r>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Nein</w:t>
            </w:r>
          </w:p>
        </w:tc>
        <w:tc>
          <w:tcPr>
            <w:tcW w:w="2126" w:type="dxa"/>
            <w:shd w:val="clear" w:color="auto" w:fill="D9D9D9"/>
          </w:tcPr>
          <w:p w:rsidR="00645219" w:rsidRPr="004A393D" w:rsidRDefault="00645219" w:rsidP="004A393D">
            <w:pPr>
              <w:pStyle w:val="TKTextetableau"/>
              <w:framePr w:hSpace="0" w:wrap="auto" w:vAnchor="margin" w:yAlign="inline"/>
              <w:rPr>
                <w:szCs w:val="22"/>
              </w:rPr>
            </w:pPr>
            <w:r>
              <w:rPr>
                <w:szCs w:val="22"/>
                <w:rtl/>
                <w:lang w:bidi="ar-SA"/>
              </w:rPr>
              <w:t>لا</w:t>
            </w:r>
          </w:p>
        </w:tc>
        <w:tc>
          <w:tcPr>
            <w:tcW w:w="6387" w:type="dxa"/>
            <w:shd w:val="clear" w:color="auto" w:fill="D9D9D9"/>
          </w:tcPr>
          <w:p w:rsidR="00645219" w:rsidRPr="004A393D" w:rsidRDefault="00645219" w:rsidP="005E10BD">
            <w:pPr>
              <w:pStyle w:val="TKTextetableau"/>
              <w:framePr w:hSpace="0" w:wrap="auto" w:vAnchor="margin" w:yAlign="inline"/>
              <w:rPr>
                <w:szCs w:val="22"/>
              </w:rPr>
            </w:pPr>
            <w:r>
              <w:t>la</w:t>
            </w:r>
          </w:p>
        </w:tc>
      </w:tr>
      <w:tr w:rsidR="005E10BD" w:rsidRPr="00F458BA"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Bitte</w:t>
            </w:r>
          </w:p>
        </w:tc>
        <w:tc>
          <w:tcPr>
            <w:tcW w:w="2126" w:type="dxa"/>
            <w:shd w:val="clear" w:color="auto" w:fill="auto"/>
          </w:tcPr>
          <w:p w:rsidR="00645219" w:rsidRPr="004A393D" w:rsidRDefault="00016B48" w:rsidP="004A393D">
            <w:pPr>
              <w:pStyle w:val="TKTextetableau"/>
              <w:framePr w:hSpace="0" w:wrap="auto" w:vAnchor="margin" w:yAlign="inline"/>
              <w:rPr>
                <w:szCs w:val="22"/>
              </w:rPr>
            </w:pPr>
            <w:r>
              <w:rPr>
                <w:szCs w:val="22"/>
                <w:rtl/>
                <w:lang w:bidi="ar-SA"/>
              </w:rPr>
              <w:t>من فضلك، من فضلكم</w:t>
            </w:r>
          </w:p>
        </w:tc>
        <w:tc>
          <w:tcPr>
            <w:tcW w:w="6387" w:type="dxa"/>
            <w:shd w:val="clear" w:color="auto" w:fill="auto"/>
          </w:tcPr>
          <w:p w:rsidR="00645219" w:rsidRPr="00412D6F" w:rsidRDefault="00645219" w:rsidP="005E10BD">
            <w:pPr>
              <w:pStyle w:val="TKTextetableau"/>
              <w:framePr w:hSpace="0" w:wrap="auto" w:vAnchor="margin" w:yAlign="inline"/>
              <w:rPr>
                <w:szCs w:val="22"/>
              </w:rPr>
            </w:pPr>
            <w:r>
              <w:t>min fadʕlika (M.); min fadʕliki (F.); min fadʕlikum (Pl.)</w:t>
            </w:r>
          </w:p>
        </w:tc>
      </w:tr>
      <w:tr w:rsidR="005E10BD" w:rsidRPr="00645219"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Danke</w:t>
            </w:r>
          </w:p>
        </w:tc>
        <w:tc>
          <w:tcPr>
            <w:tcW w:w="2126" w:type="dxa"/>
            <w:shd w:val="clear" w:color="auto" w:fill="D9D9D9"/>
          </w:tcPr>
          <w:p w:rsidR="00645219" w:rsidRPr="004A393D" w:rsidRDefault="00016B48" w:rsidP="004A393D">
            <w:pPr>
              <w:pStyle w:val="TKTextetableau"/>
              <w:framePr w:hSpace="0" w:wrap="auto" w:vAnchor="margin" w:yAlign="inline"/>
              <w:rPr>
                <w:szCs w:val="22"/>
              </w:rPr>
            </w:pPr>
            <w:r>
              <w:rPr>
                <w:szCs w:val="22"/>
                <w:rtl/>
                <w:lang w:bidi="ar-SA"/>
              </w:rPr>
              <w:t>شكرا</w:t>
            </w:r>
          </w:p>
        </w:tc>
        <w:tc>
          <w:tcPr>
            <w:tcW w:w="6387" w:type="dxa"/>
            <w:shd w:val="clear" w:color="auto" w:fill="D9D9D9"/>
          </w:tcPr>
          <w:p w:rsidR="00645219" w:rsidRPr="004A393D" w:rsidRDefault="00645219" w:rsidP="005E10BD">
            <w:pPr>
              <w:pStyle w:val="TKTextetableau"/>
              <w:framePr w:hSpace="0" w:wrap="auto" w:vAnchor="margin" w:yAlign="inline"/>
              <w:rPr>
                <w:szCs w:val="22"/>
              </w:rPr>
            </w:pPr>
            <w:r>
              <w:t>šukran</w:t>
            </w:r>
          </w:p>
        </w:tc>
      </w:tr>
      <w:tr w:rsidR="005E10BD" w:rsidRPr="00645219" w:rsidTr="00241062">
        <w:tc>
          <w:tcPr>
            <w:tcW w:w="2093" w:type="dxa"/>
            <w:shd w:val="clear" w:color="auto" w:fill="auto"/>
          </w:tcPr>
          <w:p w:rsidR="00645219" w:rsidRPr="004A393D" w:rsidRDefault="00645219" w:rsidP="005E10BD">
            <w:pPr>
              <w:pStyle w:val="TKTextetableau"/>
              <w:framePr w:hSpace="0" w:wrap="auto" w:vAnchor="margin" w:yAlign="inline"/>
              <w:rPr>
                <w:szCs w:val="22"/>
              </w:rPr>
            </w:pPr>
            <w:r>
              <w:t>Gern geschehen</w:t>
            </w:r>
            <w:r w:rsidR="005929A4">
              <w:t>.</w:t>
            </w:r>
          </w:p>
        </w:tc>
        <w:tc>
          <w:tcPr>
            <w:tcW w:w="2126" w:type="dxa"/>
            <w:shd w:val="clear" w:color="auto" w:fill="auto"/>
          </w:tcPr>
          <w:p w:rsidR="00645219" w:rsidRPr="004A393D" w:rsidRDefault="00016B48" w:rsidP="004A393D">
            <w:pPr>
              <w:pStyle w:val="TKTextetableau"/>
              <w:framePr w:hSpace="0" w:wrap="auto" w:vAnchor="margin" w:yAlign="inline"/>
              <w:rPr>
                <w:szCs w:val="22"/>
              </w:rPr>
            </w:pPr>
            <w:r>
              <w:rPr>
                <w:szCs w:val="22"/>
                <w:rtl/>
                <w:lang w:bidi="ar-SA"/>
              </w:rPr>
              <w:t>عفوا</w:t>
            </w:r>
          </w:p>
        </w:tc>
        <w:tc>
          <w:tcPr>
            <w:tcW w:w="6387" w:type="dxa"/>
            <w:shd w:val="clear" w:color="auto" w:fill="auto"/>
          </w:tcPr>
          <w:p w:rsidR="00645219" w:rsidRPr="004A393D" w:rsidRDefault="00645219" w:rsidP="005E10BD">
            <w:pPr>
              <w:pStyle w:val="TKTextetableau"/>
              <w:framePr w:hSpace="0" w:wrap="auto" w:vAnchor="margin" w:yAlign="inline"/>
              <w:rPr>
                <w:szCs w:val="22"/>
              </w:rPr>
            </w:pPr>
            <w:r>
              <w:t>ʕafwan</w:t>
            </w:r>
          </w:p>
        </w:tc>
      </w:tr>
      <w:tr w:rsidR="005E10BD" w:rsidRPr="005E10BD" w:rsidTr="00241062">
        <w:tc>
          <w:tcPr>
            <w:tcW w:w="2093" w:type="dxa"/>
            <w:shd w:val="clear" w:color="auto" w:fill="D9D9D9"/>
          </w:tcPr>
          <w:p w:rsidR="00645219" w:rsidRPr="004A393D" w:rsidRDefault="00645219" w:rsidP="005E10BD">
            <w:pPr>
              <w:pStyle w:val="TKTextetableau"/>
              <w:framePr w:hSpace="0" w:wrap="auto" w:vAnchor="margin" w:yAlign="inline"/>
              <w:rPr>
                <w:szCs w:val="22"/>
              </w:rPr>
            </w:pPr>
            <w:r>
              <w:t>Entschuldigung!</w:t>
            </w:r>
          </w:p>
        </w:tc>
        <w:tc>
          <w:tcPr>
            <w:tcW w:w="2126" w:type="dxa"/>
            <w:shd w:val="clear" w:color="auto" w:fill="D9D9D9"/>
          </w:tcPr>
          <w:p w:rsidR="00645219" w:rsidRPr="004A393D" w:rsidRDefault="00645219" w:rsidP="004A393D">
            <w:pPr>
              <w:pStyle w:val="TKTextetableau"/>
              <w:framePr w:hSpace="0" w:wrap="auto" w:vAnchor="margin" w:yAlign="inline"/>
              <w:rPr>
                <w:szCs w:val="22"/>
              </w:rPr>
            </w:pPr>
            <w:r>
              <w:rPr>
                <w:szCs w:val="22"/>
                <w:rtl/>
                <w:lang w:bidi="ar-SA"/>
              </w:rPr>
              <w:t>أنا آسف</w:t>
            </w:r>
          </w:p>
        </w:tc>
        <w:tc>
          <w:tcPr>
            <w:tcW w:w="6387" w:type="dxa"/>
            <w:shd w:val="clear" w:color="auto" w:fill="D9D9D9"/>
          </w:tcPr>
          <w:p w:rsidR="00645219" w:rsidRPr="004A393D" w:rsidRDefault="00645219" w:rsidP="005E10BD">
            <w:pPr>
              <w:pStyle w:val="TKTextetableau"/>
              <w:framePr w:hSpace="0" w:wrap="auto" w:vAnchor="margin" w:yAlign="inline"/>
              <w:rPr>
                <w:szCs w:val="22"/>
                <w:rtl/>
              </w:rPr>
            </w:pPr>
            <w:r>
              <w:t>ana asif</w:t>
            </w:r>
          </w:p>
        </w:tc>
      </w:tr>
    </w:tbl>
    <w:p w:rsidR="0023376E" w:rsidRDefault="001E2ECF" w:rsidP="00846992">
      <w:pPr>
        <w:pStyle w:val="TKnotes"/>
      </w:pPr>
      <w:r>
        <w:t>Quelle: „</w:t>
      </w:r>
      <w:r>
        <w:rPr>
          <w:b/>
        </w:rPr>
        <w:t>Sprachensteckbrief Arabisch</w:t>
      </w:r>
      <w:r>
        <w:t xml:space="preserve">“, Schule Mehrsprachig, Eine Information des </w:t>
      </w:r>
      <w:r w:rsidR="00D26C4C" w:rsidRPr="00E62F7C">
        <w:t xml:space="preserve">österreichischen </w:t>
      </w:r>
      <w:r>
        <w:t xml:space="preserve">Bundesministeriums für Unterricht, Kunst und Kultur – © </w:t>
      </w:r>
      <w:r w:rsidRPr="00B279A2">
        <w:t>Dina el Zarka</w:t>
      </w:r>
      <w:r>
        <w:t xml:space="preserve"> (gekürzt und adaptiert).</w:t>
      </w:r>
    </w:p>
    <w:p w:rsidR="001E2ECF" w:rsidRPr="005F0295" w:rsidRDefault="001D2093" w:rsidP="00846992">
      <w:pPr>
        <w:pStyle w:val="TKnotes"/>
        <w:rPr>
          <w:rStyle w:val="Lienhypertexte"/>
          <w:u w:val="none"/>
        </w:rPr>
      </w:pPr>
      <w:hyperlink r:id="rId12" w:history="1">
        <w:r w:rsidR="00E62F7C" w:rsidRPr="005F0295">
          <w:rPr>
            <w:rStyle w:val="Lienhypertexte"/>
            <w:rFonts w:cs="Calibri"/>
            <w:u w:val="none"/>
          </w:rPr>
          <w:t>http://www.schule-mehrsprachig.at/fileadmin/schule_mehrsprachig/redaktion/sprachensteckbriefe/pdf/arabisch.pdf</w:t>
        </w:r>
      </w:hyperlink>
      <w:r w:rsidR="00E62F7C" w:rsidRPr="005F0295">
        <w:t xml:space="preserve"> </w:t>
      </w:r>
    </w:p>
    <w:p w:rsidR="00D26C4C" w:rsidRPr="005F0295" w:rsidRDefault="001D2093" w:rsidP="00846992">
      <w:pPr>
        <w:pStyle w:val="TKnotes"/>
      </w:pPr>
      <w:hyperlink r:id="rId13" w:history="1">
        <w:r w:rsidR="00E62F7C" w:rsidRPr="005F0295">
          <w:rPr>
            <w:rStyle w:val="Lienhypertexte"/>
            <w:rFonts w:cs="Calibri"/>
            <w:u w:val="none"/>
          </w:rPr>
          <w:t>http://www.schule-mehrsprachig.at/index.php?id=3</w:t>
        </w:r>
      </w:hyperlink>
      <w:r w:rsidR="00E62F7C" w:rsidRPr="005F0295">
        <w:t xml:space="preserve"> </w:t>
      </w:r>
    </w:p>
    <w:p w:rsidR="00235F7A" w:rsidRPr="005F0295" w:rsidRDefault="001D2093" w:rsidP="00846992">
      <w:pPr>
        <w:pStyle w:val="TKnotes"/>
      </w:pPr>
      <w:hyperlink r:id="rId14" w:history="1">
        <w:r w:rsidR="00235F7A" w:rsidRPr="005F0295">
          <w:rPr>
            <w:rStyle w:val="Lienhypertexte"/>
            <w:rFonts w:cs="Calibri"/>
            <w:u w:val="none"/>
          </w:rPr>
          <w:t>www.worldatlas.com/articles/arabic-speaking-countries.html</w:t>
        </w:r>
      </w:hyperlink>
    </w:p>
    <w:p w:rsidR="00235F7A" w:rsidRPr="00E62F7C" w:rsidRDefault="00235F7A" w:rsidP="00846992">
      <w:pPr>
        <w:pStyle w:val="TKnotes"/>
        <w:rPr>
          <w:sz w:val="22"/>
          <w:rtl/>
        </w:rPr>
      </w:pPr>
    </w:p>
    <w:sectPr w:rsidR="00235F7A" w:rsidRPr="00E62F7C" w:rsidSect="006C5950">
      <w:headerReference w:type="default" r:id="rId15"/>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93" w:rsidRDefault="001D2093" w:rsidP="00C523EA">
      <w:r>
        <w:separator/>
      </w:r>
    </w:p>
  </w:endnote>
  <w:endnote w:type="continuationSeparator" w:id="0">
    <w:p w:rsidR="001D2093" w:rsidRDefault="001D209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3490"/>
      <w:gridCol w:w="3489"/>
      <w:gridCol w:w="3487"/>
    </w:tblGrid>
    <w:tr w:rsidR="002860CD" w:rsidTr="00077D22">
      <w:tc>
        <w:tcPr>
          <w:tcW w:w="1667" w:type="pct"/>
          <w:shd w:val="clear" w:color="auto" w:fill="auto"/>
          <w:vAlign w:val="bottom"/>
        </w:tcPr>
        <w:p w:rsidR="002860CD" w:rsidRPr="00077D22" w:rsidRDefault="009D5B15" w:rsidP="00077D22">
          <w:pPr>
            <w:tabs>
              <w:tab w:val="center" w:pos="4820"/>
            </w:tabs>
            <w:spacing w:before="60"/>
            <w:rPr>
              <w:rFonts w:eastAsia="Calibri" w:cs="Cambria"/>
              <w:sz w:val="18"/>
              <w:szCs w:val="18"/>
            </w:rPr>
          </w:pPr>
          <w:r>
            <w:rPr>
              <w:sz w:val="18"/>
            </w:rPr>
            <w:t>Programm</w:t>
          </w:r>
          <w:r w:rsidR="002860CD">
            <w:rPr>
              <w:sz w:val="18"/>
            </w:rPr>
            <w:t xml:space="preserve"> </w:t>
          </w:r>
          <w:r>
            <w:rPr>
              <w:sz w:val="18"/>
            </w:rPr>
            <w:t>zur</w:t>
          </w:r>
          <w:r w:rsidR="002860CD">
            <w:rPr>
              <w:sz w:val="18"/>
            </w:rPr>
            <w:t xml:space="preserve"> Sprachenpolitik</w:t>
          </w:r>
        </w:p>
        <w:p w:rsidR="002860CD" w:rsidRPr="00077D22" w:rsidRDefault="002860CD" w:rsidP="00077D22">
          <w:pPr>
            <w:tabs>
              <w:tab w:val="center" w:pos="4820"/>
            </w:tabs>
            <w:spacing w:before="60"/>
            <w:rPr>
              <w:rFonts w:eastAsia="Calibri" w:cs="Cambria"/>
              <w:sz w:val="18"/>
              <w:szCs w:val="18"/>
            </w:rPr>
          </w:pPr>
          <w:r>
            <w:rPr>
              <w:sz w:val="18"/>
            </w:rPr>
            <w:t>Straßburg</w:t>
          </w:r>
        </w:p>
        <w:p w:rsidR="002860CD" w:rsidRPr="00077D22" w:rsidRDefault="002860CD" w:rsidP="00077D22">
          <w:pPr>
            <w:tabs>
              <w:tab w:val="center" w:pos="4820"/>
            </w:tabs>
            <w:spacing w:before="60"/>
            <w:rPr>
              <w:rFonts w:eastAsia="Calibri" w:cs="Cambria"/>
              <w:sz w:val="18"/>
              <w:szCs w:val="18"/>
            </w:rPr>
          </w:pPr>
        </w:p>
        <w:p w:rsidR="002860CD" w:rsidRPr="00077D22" w:rsidRDefault="00372C92" w:rsidP="00077D22">
          <w:pPr>
            <w:tabs>
              <w:tab w:val="center" w:pos="4820"/>
            </w:tabs>
            <w:spacing w:before="60"/>
            <w:rPr>
              <w:rFonts w:eastAsia="Calibri" w:cs="Cambria"/>
              <w:sz w:val="18"/>
              <w:szCs w:val="18"/>
            </w:rPr>
          </w:pPr>
          <w:r>
            <w:rPr>
              <w:b/>
              <w:sz w:val="18"/>
            </w:rPr>
            <w:t>E</w:t>
          </w:r>
          <w:r w:rsidR="009D5B15">
            <w:rPr>
              <w:b/>
              <w:sz w:val="18"/>
            </w:rPr>
            <w:t>inheit</w:t>
          </w:r>
          <w:r w:rsidR="00AD26C9">
            <w:rPr>
              <w:b/>
              <w:sz w:val="18"/>
            </w:rPr>
            <w:t xml:space="preserve"> </w:t>
          </w:r>
          <w:r w:rsidR="00EE4ED5">
            <w:rPr>
              <w:b/>
              <w:sz w:val="18"/>
            </w:rPr>
            <w:t>5</w:t>
          </w:r>
        </w:p>
      </w:tc>
      <w:tc>
        <w:tcPr>
          <w:tcW w:w="1667" w:type="pct"/>
          <w:shd w:val="clear" w:color="auto" w:fill="auto"/>
          <w:vAlign w:val="bottom"/>
        </w:tcPr>
        <w:p w:rsidR="002860CD" w:rsidRPr="00077D22" w:rsidRDefault="007F238A" w:rsidP="00077D22">
          <w:pPr>
            <w:tabs>
              <w:tab w:val="center" w:pos="4820"/>
            </w:tabs>
            <w:spacing w:before="60"/>
            <w:jc w:val="center"/>
            <w:rPr>
              <w:rFonts w:eastAsia="Calibri" w:cs="Cambria"/>
              <w:sz w:val="18"/>
              <w:szCs w:val="18"/>
            </w:rPr>
          </w:pPr>
          <w:r w:rsidRPr="00077D22">
            <w:rPr>
              <w:rFonts w:eastAsia="Calibri" w:cs="Cambria"/>
              <w:sz w:val="18"/>
              <w:szCs w:val="18"/>
            </w:rPr>
            <w:fldChar w:fldCharType="begin"/>
          </w:r>
          <w:r w:rsidR="005E10BD">
            <w:rPr>
              <w:rFonts w:eastAsia="Calibri" w:cs="Cambria"/>
              <w:sz w:val="18"/>
              <w:szCs w:val="18"/>
            </w:rPr>
            <w:instrText>PAGE</w:instrText>
          </w:r>
          <w:r w:rsidRPr="00077D22">
            <w:rPr>
              <w:rFonts w:eastAsia="Calibri" w:cs="Cambria"/>
              <w:sz w:val="18"/>
              <w:szCs w:val="18"/>
            </w:rPr>
            <w:fldChar w:fldCharType="separate"/>
          </w:r>
          <w:r w:rsidR="00BD201F">
            <w:rPr>
              <w:rFonts w:eastAsia="Calibri" w:cs="Cambria"/>
              <w:noProof/>
              <w:sz w:val="18"/>
              <w:szCs w:val="18"/>
            </w:rPr>
            <w:t>2</w:t>
          </w:r>
          <w:r w:rsidRPr="00077D22">
            <w:rPr>
              <w:rFonts w:eastAsia="Calibri" w:cs="Cambria"/>
              <w:sz w:val="18"/>
              <w:szCs w:val="18"/>
            </w:rPr>
            <w:fldChar w:fldCharType="end"/>
          </w:r>
          <w:r w:rsidR="002860CD">
            <w:rPr>
              <w:sz w:val="18"/>
            </w:rPr>
            <w:t>/</w:t>
          </w:r>
          <w:r w:rsidRPr="00077D22">
            <w:rPr>
              <w:rFonts w:eastAsia="Calibri" w:cs="Cambria"/>
              <w:sz w:val="18"/>
              <w:szCs w:val="18"/>
            </w:rPr>
            <w:fldChar w:fldCharType="begin"/>
          </w:r>
          <w:r w:rsidR="005E10BD">
            <w:rPr>
              <w:rFonts w:eastAsia="Calibri" w:cs="Cambria"/>
              <w:sz w:val="18"/>
              <w:szCs w:val="18"/>
            </w:rPr>
            <w:instrText>NUMPAGES</w:instrText>
          </w:r>
          <w:r w:rsidRPr="00077D22">
            <w:rPr>
              <w:rFonts w:eastAsia="Calibri" w:cs="Cambria"/>
              <w:sz w:val="18"/>
              <w:szCs w:val="18"/>
            </w:rPr>
            <w:fldChar w:fldCharType="separate"/>
          </w:r>
          <w:r w:rsidR="00BD201F">
            <w:rPr>
              <w:rFonts w:eastAsia="Calibri" w:cs="Cambria"/>
              <w:noProof/>
              <w:sz w:val="18"/>
              <w:szCs w:val="18"/>
            </w:rPr>
            <w:t>2</w:t>
          </w:r>
          <w:r w:rsidRPr="00077D22">
            <w:rPr>
              <w:rFonts w:eastAsia="Calibri" w:cs="Cambria"/>
              <w:sz w:val="18"/>
              <w:szCs w:val="18"/>
            </w:rPr>
            <w:fldChar w:fldCharType="end"/>
          </w:r>
        </w:p>
      </w:tc>
      <w:tc>
        <w:tcPr>
          <w:tcW w:w="1667" w:type="pct"/>
          <w:shd w:val="clear" w:color="auto" w:fill="auto"/>
          <w:vAlign w:val="bottom"/>
        </w:tcPr>
        <w:p w:rsidR="002860CD" w:rsidRPr="00077D22" w:rsidRDefault="00516A0B" w:rsidP="00077D22">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anchor distT="0" distB="0" distL="114300" distR="114300" simplePos="0" relativeHeight="251658240" behindDoc="0" locked="0" layoutInCell="1" allowOverlap="1">
                <wp:simplePos x="0" y="0"/>
                <wp:positionH relativeFrom="column">
                  <wp:posOffset>1283335</wp:posOffset>
                </wp:positionH>
                <wp:positionV relativeFrom="paragraph">
                  <wp:posOffset>-36195</wp:posOffset>
                </wp:positionV>
                <wp:extent cx="933450" cy="742950"/>
                <wp:effectExtent l="0" t="0" r="0" b="0"/>
                <wp:wrapSquare wrapText="bothSides"/>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933450" cy="742950"/>
                        </a:xfrm>
                        <a:prstGeom prst="rect">
                          <a:avLst/>
                        </a:prstGeom>
                        <a:noFill/>
                        <a:ln w="9525">
                          <a:noFill/>
                          <a:miter lim="800000"/>
                          <a:headEnd/>
                          <a:tailEnd/>
                        </a:ln>
                      </pic:spPr>
                    </pic:pic>
                  </a:graphicData>
                </a:graphic>
              </wp:anchor>
            </w:drawing>
          </w:r>
        </w:p>
      </w:tc>
    </w:tr>
  </w:tbl>
  <w:p w:rsidR="002860CD" w:rsidRPr="002860CD" w:rsidRDefault="002860CD"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93" w:rsidRDefault="001D2093" w:rsidP="00C523EA">
      <w:r>
        <w:separator/>
      </w:r>
    </w:p>
  </w:footnote>
  <w:footnote w:type="continuationSeparator" w:id="0">
    <w:p w:rsidR="001D2093" w:rsidRDefault="001D209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4A0" w:firstRow="1" w:lastRow="0" w:firstColumn="1" w:lastColumn="0" w:noHBand="0" w:noVBand="1"/>
    </w:tblPr>
    <w:tblGrid>
      <w:gridCol w:w="2228"/>
      <w:gridCol w:w="5722"/>
      <w:gridCol w:w="2732"/>
    </w:tblGrid>
    <w:tr w:rsidR="002860CD" w:rsidRPr="007D6A56" w:rsidTr="006C5950">
      <w:trPr>
        <w:trHeight w:val="1304"/>
      </w:trPr>
      <w:tc>
        <w:tcPr>
          <w:tcW w:w="2210" w:type="dxa"/>
        </w:tcPr>
        <w:p w:rsidR="002860CD" w:rsidRPr="00CB5C65" w:rsidRDefault="00516A0B" w:rsidP="000C5F40">
          <w:r>
            <w:rPr>
              <w:noProof/>
              <w:lang w:val="fr-FR" w:eastAsia="fr-FR" w:bidi="ar-SA"/>
            </w:rPr>
            <w:drawing>
              <wp:inline distT="0" distB="0" distL="0" distR="0">
                <wp:extent cx="981075" cy="7143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5F0295" w:rsidRDefault="005F0295" w:rsidP="002860CD">
          <w:pPr>
            <w:jc w:val="center"/>
            <w:rPr>
              <w:b/>
            </w:rPr>
          </w:pPr>
          <w:r w:rsidRPr="005F0295">
            <w:rPr>
              <w:b/>
            </w:rPr>
            <w:t xml:space="preserve">Sprachunterstützung für erwachsene Flüchtlinge: </w:t>
          </w:r>
          <w:r w:rsidRPr="005F0295">
            <w:rPr>
              <w:b/>
              <w:i/>
            </w:rPr>
            <w:t>Handreichungen des Europarats</w:t>
          </w:r>
          <w:r w:rsidRPr="005F0295">
            <w:rPr>
              <w:b/>
            </w:rPr>
            <w:t xml:space="preserve"> </w:t>
          </w:r>
        </w:p>
        <w:p w:rsidR="002860CD" w:rsidRPr="00077D22" w:rsidRDefault="001D2093" w:rsidP="002860CD">
          <w:pPr>
            <w:jc w:val="center"/>
            <w:rPr>
              <w:rFonts w:eastAsia="Calibri"/>
              <w:color w:val="0000FF"/>
              <w:u w:val="single"/>
            </w:rPr>
          </w:pPr>
          <w:hyperlink r:id="rId2">
            <w:r w:rsidR="000B5D89">
              <w:rPr>
                <w:rStyle w:val="Lienhypertexte"/>
              </w:rPr>
              <w:t>www.coe.int/lang-refugees</w:t>
            </w:r>
          </w:hyperlink>
        </w:p>
      </w:tc>
      <w:tc>
        <w:tcPr>
          <w:tcW w:w="2711" w:type="dxa"/>
        </w:tcPr>
        <w:p w:rsidR="005F0295" w:rsidRDefault="005F0295" w:rsidP="002860CD">
          <w:pPr>
            <w:tabs>
              <w:tab w:val="center" w:pos="4607"/>
              <w:tab w:val="right" w:pos="9214"/>
            </w:tabs>
            <w:jc w:val="right"/>
            <w:rPr>
              <w:sz w:val="20"/>
              <w:lang w:val="de-DE"/>
            </w:rPr>
          </w:pPr>
          <w:r w:rsidRPr="005F0295">
            <w:rPr>
              <w:sz w:val="20"/>
              <w:lang w:val="de-DE"/>
            </w:rPr>
            <w:t>Sprachliche Integration erwachsener Migrantinnen und Migranten (LIAM)</w:t>
          </w:r>
        </w:p>
        <w:p w:rsidR="002860CD" w:rsidRPr="005F0295" w:rsidRDefault="001D2093" w:rsidP="002860CD">
          <w:pPr>
            <w:tabs>
              <w:tab w:val="center" w:pos="4607"/>
              <w:tab w:val="right" w:pos="9214"/>
            </w:tabs>
            <w:jc w:val="right"/>
            <w:rPr>
              <w:rFonts w:ascii="Calibri Light" w:eastAsia="Calibri" w:hAnsi="Calibri Light" w:cs="Calibri Light"/>
              <w:color w:val="0000FF"/>
              <w:u w:val="single"/>
              <w:lang w:val="de-DE"/>
            </w:rPr>
          </w:pPr>
          <w:hyperlink r:id="rId3">
            <w:r w:rsidR="000B5D89" w:rsidRPr="005F0295">
              <w:rPr>
                <w:rStyle w:val="Lienhypertexte"/>
                <w:sz w:val="20"/>
                <w:lang w:val="de-DE"/>
              </w:rPr>
              <w:t>www.coe.int/lang-migrants</w:t>
            </w:r>
          </w:hyperlink>
        </w:p>
      </w:tc>
    </w:tr>
  </w:tbl>
  <w:p w:rsidR="002860CD" w:rsidRPr="005F0295" w:rsidRDefault="002860CD"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avericks OS:Users:Karla:Desktop:ArabischSZ:thankyou.png" style="width:151.5pt;height:79.5pt;visibility:visible" o:bullet="t">
        <v:imagedata r:id="rId1" o:title="thankyou"/>
      </v:shape>
    </w:pict>
  </w:numPicBullet>
  <w:numPicBullet w:numPicBulletId="1">
    <w:pict>
      <v:shape id="_x0000_i1032" type="#_x0000_t75" alt="Mavericks OS:Users:Karla:Desktop:ArabischSZ:no.png" style="width:50.25pt;height:64.5pt;visibility:visible" o:bullet="t">
        <v:imagedata r:id="rId2" o:title="no"/>
      </v:shape>
    </w:pict>
  </w:numPicBullet>
  <w:numPicBullet w:numPicBulletId="2">
    <w:pict>
      <v:shape id="_x0000_i1033" type="#_x0000_t75" alt="Mavericks OS:Users:Karla:Desktop:ArabischSZ:youarewelcome.png" style="width:129.75pt;height:79.5pt;visibility:visible" o:bullet="t">
        <v:imagedata r:id="rId3" o:title="youarewelcome"/>
      </v:shape>
    </w:pict>
  </w:numPicBullet>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13516"/>
    <w:rsid w:val="00016B48"/>
    <w:rsid w:val="000338F0"/>
    <w:rsid w:val="00045FE7"/>
    <w:rsid w:val="000618A7"/>
    <w:rsid w:val="00077D22"/>
    <w:rsid w:val="000937FA"/>
    <w:rsid w:val="000A080D"/>
    <w:rsid w:val="000B5D89"/>
    <w:rsid w:val="000C5F40"/>
    <w:rsid w:val="000D2B03"/>
    <w:rsid w:val="000E706C"/>
    <w:rsid w:val="000F23D5"/>
    <w:rsid w:val="000F42D6"/>
    <w:rsid w:val="00110B4B"/>
    <w:rsid w:val="00126A5E"/>
    <w:rsid w:val="00126BFB"/>
    <w:rsid w:val="001415CD"/>
    <w:rsid w:val="00154B1F"/>
    <w:rsid w:val="00172C07"/>
    <w:rsid w:val="001741D1"/>
    <w:rsid w:val="0017676C"/>
    <w:rsid w:val="001965B4"/>
    <w:rsid w:val="001A1B4C"/>
    <w:rsid w:val="001B0010"/>
    <w:rsid w:val="001B602D"/>
    <w:rsid w:val="001B71AD"/>
    <w:rsid w:val="001B7A97"/>
    <w:rsid w:val="001D2093"/>
    <w:rsid w:val="001E2ECF"/>
    <w:rsid w:val="0020300A"/>
    <w:rsid w:val="00214CD0"/>
    <w:rsid w:val="00226BE6"/>
    <w:rsid w:val="00233192"/>
    <w:rsid w:val="0023376E"/>
    <w:rsid w:val="00235F7A"/>
    <w:rsid w:val="002403F5"/>
    <w:rsid w:val="00241062"/>
    <w:rsid w:val="00243AB0"/>
    <w:rsid w:val="0026293F"/>
    <w:rsid w:val="002860CD"/>
    <w:rsid w:val="0029647E"/>
    <w:rsid w:val="002A0CEF"/>
    <w:rsid w:val="002A3476"/>
    <w:rsid w:val="002F2562"/>
    <w:rsid w:val="002F4950"/>
    <w:rsid w:val="00303A5A"/>
    <w:rsid w:val="003575BD"/>
    <w:rsid w:val="00372C92"/>
    <w:rsid w:val="003760DB"/>
    <w:rsid w:val="0038409C"/>
    <w:rsid w:val="003C050D"/>
    <w:rsid w:val="003C32F5"/>
    <w:rsid w:val="003E358D"/>
    <w:rsid w:val="003F121D"/>
    <w:rsid w:val="00412D6F"/>
    <w:rsid w:val="00443D61"/>
    <w:rsid w:val="00460BCC"/>
    <w:rsid w:val="00470AA9"/>
    <w:rsid w:val="0049006B"/>
    <w:rsid w:val="004A393D"/>
    <w:rsid w:val="004B5DD8"/>
    <w:rsid w:val="004C1652"/>
    <w:rsid w:val="004E32A8"/>
    <w:rsid w:val="004F2E30"/>
    <w:rsid w:val="00503E91"/>
    <w:rsid w:val="00516A0B"/>
    <w:rsid w:val="00526886"/>
    <w:rsid w:val="005713EB"/>
    <w:rsid w:val="005929A4"/>
    <w:rsid w:val="005C01E7"/>
    <w:rsid w:val="005C2B33"/>
    <w:rsid w:val="005C2E50"/>
    <w:rsid w:val="005E10BD"/>
    <w:rsid w:val="005E2B58"/>
    <w:rsid w:val="005E4CA5"/>
    <w:rsid w:val="005F0295"/>
    <w:rsid w:val="005F4030"/>
    <w:rsid w:val="00601D44"/>
    <w:rsid w:val="00607A27"/>
    <w:rsid w:val="00617D74"/>
    <w:rsid w:val="006306CD"/>
    <w:rsid w:val="006317DF"/>
    <w:rsid w:val="00645219"/>
    <w:rsid w:val="006455D0"/>
    <w:rsid w:val="00651E90"/>
    <w:rsid w:val="00655B1E"/>
    <w:rsid w:val="00655CCE"/>
    <w:rsid w:val="0065685B"/>
    <w:rsid w:val="00683603"/>
    <w:rsid w:val="006A1A21"/>
    <w:rsid w:val="006C0689"/>
    <w:rsid w:val="006C08C3"/>
    <w:rsid w:val="006C5950"/>
    <w:rsid w:val="006C7764"/>
    <w:rsid w:val="006D234F"/>
    <w:rsid w:val="006D33E1"/>
    <w:rsid w:val="006D7CF7"/>
    <w:rsid w:val="00707228"/>
    <w:rsid w:val="00723FE1"/>
    <w:rsid w:val="007276FA"/>
    <w:rsid w:val="00734E55"/>
    <w:rsid w:val="00740091"/>
    <w:rsid w:val="0074542C"/>
    <w:rsid w:val="0079574D"/>
    <w:rsid w:val="007B4D14"/>
    <w:rsid w:val="007C1607"/>
    <w:rsid w:val="007C7B9A"/>
    <w:rsid w:val="007D336C"/>
    <w:rsid w:val="007D6A56"/>
    <w:rsid w:val="007F238A"/>
    <w:rsid w:val="008067EC"/>
    <w:rsid w:val="0083366C"/>
    <w:rsid w:val="00846992"/>
    <w:rsid w:val="008469DE"/>
    <w:rsid w:val="008506D5"/>
    <w:rsid w:val="00854880"/>
    <w:rsid w:val="008602DA"/>
    <w:rsid w:val="00892B00"/>
    <w:rsid w:val="008B45A3"/>
    <w:rsid w:val="008C53DF"/>
    <w:rsid w:val="008E1AF3"/>
    <w:rsid w:val="008E6FB9"/>
    <w:rsid w:val="008F0189"/>
    <w:rsid w:val="008F1F8E"/>
    <w:rsid w:val="008F24DC"/>
    <w:rsid w:val="009025F0"/>
    <w:rsid w:val="009179CE"/>
    <w:rsid w:val="00926124"/>
    <w:rsid w:val="00932547"/>
    <w:rsid w:val="0094551C"/>
    <w:rsid w:val="00953DC1"/>
    <w:rsid w:val="00964CF6"/>
    <w:rsid w:val="009A5131"/>
    <w:rsid w:val="009D5B15"/>
    <w:rsid w:val="00A03292"/>
    <w:rsid w:val="00A1258A"/>
    <w:rsid w:val="00A14BBC"/>
    <w:rsid w:val="00A45420"/>
    <w:rsid w:val="00A67362"/>
    <w:rsid w:val="00A802F2"/>
    <w:rsid w:val="00AA4F44"/>
    <w:rsid w:val="00AB255A"/>
    <w:rsid w:val="00AB4109"/>
    <w:rsid w:val="00AD26C9"/>
    <w:rsid w:val="00AE657E"/>
    <w:rsid w:val="00AF4A1E"/>
    <w:rsid w:val="00AF56A8"/>
    <w:rsid w:val="00B0717A"/>
    <w:rsid w:val="00B279A2"/>
    <w:rsid w:val="00B35EFB"/>
    <w:rsid w:val="00B421F8"/>
    <w:rsid w:val="00B5563F"/>
    <w:rsid w:val="00B576B0"/>
    <w:rsid w:val="00B73A35"/>
    <w:rsid w:val="00B7762A"/>
    <w:rsid w:val="00B87D33"/>
    <w:rsid w:val="00B94E15"/>
    <w:rsid w:val="00BA3C32"/>
    <w:rsid w:val="00BB182D"/>
    <w:rsid w:val="00BB32A7"/>
    <w:rsid w:val="00BC4609"/>
    <w:rsid w:val="00BD201F"/>
    <w:rsid w:val="00BD2F15"/>
    <w:rsid w:val="00BD7295"/>
    <w:rsid w:val="00BE6E05"/>
    <w:rsid w:val="00BF2B09"/>
    <w:rsid w:val="00BF66D2"/>
    <w:rsid w:val="00BF71C7"/>
    <w:rsid w:val="00C01EE4"/>
    <w:rsid w:val="00C24B3F"/>
    <w:rsid w:val="00C523EA"/>
    <w:rsid w:val="00C622D7"/>
    <w:rsid w:val="00C7477C"/>
    <w:rsid w:val="00C8086F"/>
    <w:rsid w:val="00C8676A"/>
    <w:rsid w:val="00CC0991"/>
    <w:rsid w:val="00CF0B90"/>
    <w:rsid w:val="00CF36D3"/>
    <w:rsid w:val="00D00DA4"/>
    <w:rsid w:val="00D07616"/>
    <w:rsid w:val="00D2211A"/>
    <w:rsid w:val="00D26C4C"/>
    <w:rsid w:val="00D40399"/>
    <w:rsid w:val="00D57D70"/>
    <w:rsid w:val="00D81571"/>
    <w:rsid w:val="00D8328F"/>
    <w:rsid w:val="00DA5A92"/>
    <w:rsid w:val="00DC3C0C"/>
    <w:rsid w:val="00DD35DF"/>
    <w:rsid w:val="00DE5B7D"/>
    <w:rsid w:val="00DF516C"/>
    <w:rsid w:val="00DF60EB"/>
    <w:rsid w:val="00E076C3"/>
    <w:rsid w:val="00E62DA2"/>
    <w:rsid w:val="00E62F7C"/>
    <w:rsid w:val="00E86CC5"/>
    <w:rsid w:val="00EB117F"/>
    <w:rsid w:val="00ED4CB7"/>
    <w:rsid w:val="00EE4ED5"/>
    <w:rsid w:val="00EE6FA7"/>
    <w:rsid w:val="00F260E9"/>
    <w:rsid w:val="00F458BA"/>
    <w:rsid w:val="00F5126A"/>
    <w:rsid w:val="00FB5483"/>
    <w:rsid w:val="00FB70A6"/>
    <w:rsid w:val="00FC4F80"/>
    <w:rsid w:val="00FF63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de-AT"/>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AB0"/>
    <w:rPr>
      <w:rFonts w:eastAsia="Times New Roman"/>
      <w:sz w:val="24"/>
      <w:szCs w:val="22"/>
    </w:rPr>
  </w:style>
  <w:style w:type="paragraph" w:styleId="Titre1">
    <w:name w:val="heading 1"/>
    <w:next w:val="Normal"/>
    <w:link w:val="Titre1Car"/>
    <w:autoRedefine/>
    <w:uiPriority w:val="99"/>
    <w:qFormat/>
    <w:rsid w:val="000618A7"/>
    <w:pPr>
      <w:keepNext/>
      <w:keepLines/>
      <w:spacing w:before="240" w:after="240"/>
      <w:jc w:val="center"/>
      <w:outlineLvl w:val="0"/>
    </w:pPr>
    <w:rPr>
      <w:rFonts w:ascii="Calibri Light" w:eastAsia="Times New Roman"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table" w:customStyle="1" w:styleId="TOOLKITTable">
    <w:name w:val="TOOLKIT_Table"/>
    <w:basedOn w:val="TableauNormal"/>
    <w:uiPriority w:val="99"/>
    <w:rsid w:val="00BB182D"/>
    <w:rPr>
      <w:sz w:val="24"/>
    </w:rPr>
    <w:tblPr>
      <w:tblStyleRowBandSize w:val="1"/>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40399"/>
    <w:pPr>
      <w:framePr w:hSpace="141" w:wrap="around" w:vAnchor="text" w:hAnchor="text" w:y="1"/>
    </w:pPr>
    <w:rPr>
      <w:rFonts w:eastAsia="Times New Roman" w:cs="Calibri"/>
      <w:sz w:val="22"/>
      <w:szCs w:val="24"/>
    </w:rPr>
  </w:style>
  <w:style w:type="paragraph" w:customStyle="1" w:styleId="TKAIM">
    <w:name w:val="TK AIM"/>
    <w:qFormat/>
    <w:rsid w:val="0079574D"/>
    <w:pPr>
      <w:shd w:val="clear" w:color="auto" w:fill="DDDDDD"/>
      <w:tabs>
        <w:tab w:val="left" w:pos="709"/>
      </w:tabs>
      <w:spacing w:before="480" w:after="480"/>
      <w:ind w:left="709" w:hanging="709"/>
    </w:pPr>
    <w:rPr>
      <w:b/>
      <w:sz w:val="28"/>
      <w:szCs w:val="32"/>
    </w:rPr>
  </w:style>
  <w:style w:type="paragraph" w:customStyle="1" w:styleId="TKMAINTITLE">
    <w:name w:val="TK MAIN TITLE"/>
    <w:basedOn w:val="Normal"/>
    <w:qFormat/>
    <w:rsid w:val="0079574D"/>
    <w:pPr>
      <w:spacing w:before="120" w:after="120"/>
      <w:jc w:val="center"/>
    </w:pPr>
    <w:rPr>
      <w:rFonts w:eastAsia="Calibri" w:cs="Calibri"/>
      <w:b/>
      <w:bCs/>
      <w:color w:val="2F5496"/>
      <w:sz w:val="40"/>
      <w:szCs w:val="40"/>
    </w:rPr>
  </w:style>
  <w:style w:type="paragraph" w:customStyle="1" w:styleId="TKTEXTE">
    <w:name w:val="TK TEXTE"/>
    <w:autoRedefine/>
    <w:qFormat/>
    <w:rsid w:val="00460BCC"/>
    <w:pPr>
      <w:spacing w:before="120" w:after="120"/>
    </w:pPr>
    <w:rPr>
      <w:rFonts w:eastAsia="Times New Roman" w:cs="Calibri"/>
      <w:sz w:val="24"/>
      <w:szCs w:val="24"/>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character" w:styleId="Lienhypertextesuivivisit">
    <w:name w:val="FollowedHyperlink"/>
    <w:uiPriority w:val="99"/>
    <w:semiHidden/>
    <w:unhideWhenUsed/>
    <w:rsid w:val="009025F0"/>
    <w:rPr>
      <w:color w:val="954F72"/>
      <w:u w:val="single"/>
    </w:rPr>
  </w:style>
  <w:style w:type="paragraph" w:customStyle="1" w:styleId="TKBulletLevel1">
    <w:name w:val="TK Bullet Level1"/>
    <w:next w:val="Normal"/>
    <w:qFormat/>
    <w:rsid w:val="00723FE1"/>
    <w:pPr>
      <w:numPr>
        <w:numId w:val="8"/>
      </w:numPr>
      <w:tabs>
        <w:tab w:val="left" w:pos="567"/>
      </w:tabs>
      <w:spacing w:before="60" w:after="60"/>
      <w:ind w:left="568" w:hanging="284"/>
    </w:pPr>
    <w:rPr>
      <w:rFonts w:cs="Calibri"/>
      <w:sz w:val="24"/>
      <w:szCs w:val="24"/>
    </w:rPr>
  </w:style>
  <w:style w:type="paragraph" w:customStyle="1" w:styleId="TKnotes">
    <w:name w:val="TK_notes"/>
    <w:qFormat/>
    <w:rsid w:val="0079574D"/>
    <w:pPr>
      <w:spacing w:before="120" w:after="120"/>
    </w:pPr>
    <w:rPr>
      <w:rFonts w:eastAsia="Times New Roman" w:cs="Calibri"/>
      <w:szCs w:val="22"/>
    </w:rPr>
  </w:style>
  <w:style w:type="paragraph" w:customStyle="1" w:styleId="TKTITRE1">
    <w:name w:val="TK TITRE1"/>
    <w:qFormat/>
    <w:rsid w:val="0079574D"/>
    <w:pPr>
      <w:spacing w:before="120" w:after="120"/>
    </w:pPr>
    <w:rPr>
      <w:rFonts w:eastAsia="Times New Roman" w:cs="Calibri"/>
      <w:b/>
      <w:bCs/>
      <w:sz w:val="32"/>
      <w:szCs w:val="32"/>
    </w:rPr>
  </w:style>
  <w:style w:type="paragraph" w:customStyle="1" w:styleId="TKTITRE2">
    <w:name w:val="TK TITRE 2"/>
    <w:next w:val="Normal"/>
    <w:qFormat/>
    <w:rsid w:val="0079574D"/>
    <w:pPr>
      <w:spacing w:before="120" w:after="120"/>
    </w:pPr>
    <w:rPr>
      <w:rFonts w:eastAsia="Times New Roman" w:cs="Calibri"/>
      <w:b/>
      <w:bCs/>
      <w:sz w:val="28"/>
      <w:szCs w:val="28"/>
    </w:rPr>
  </w:style>
  <w:style w:type="paragraph" w:customStyle="1" w:styleId="TKBulletLevel2">
    <w:name w:val="TK Bullet Level2"/>
    <w:basedOn w:val="TKBulletLevel1"/>
    <w:qFormat/>
    <w:rsid w:val="0079574D"/>
    <w:pPr>
      <w:ind w:left="1135"/>
    </w:pPr>
  </w:style>
  <w:style w:type="paragraph" w:customStyle="1" w:styleId="TKNbrsLevel2">
    <w:name w:val="TK Nbrs Level2"/>
    <w:qFormat/>
    <w:rsid w:val="0079574D"/>
    <w:pPr>
      <w:numPr>
        <w:numId w:val="9"/>
      </w:numPr>
      <w:spacing w:before="60" w:after="60"/>
    </w:pPr>
    <w:rPr>
      <w:sz w:val="24"/>
      <w:szCs w:val="24"/>
    </w:rPr>
  </w:style>
  <w:style w:type="paragraph" w:customStyle="1" w:styleId="TKTITRE3">
    <w:name w:val="TK TITRE 3"/>
    <w:qFormat/>
    <w:rsid w:val="0079574D"/>
    <w:pPr>
      <w:spacing w:before="120" w:after="120"/>
    </w:pPr>
    <w:rPr>
      <w:rFonts w:cs="Calibri"/>
      <w:i/>
      <w:iCs/>
      <w:noProof/>
      <w:sz w:val="24"/>
      <w:szCs w:val="24"/>
      <w:u w:val="single"/>
    </w:rPr>
  </w:style>
  <w:style w:type="paragraph" w:customStyle="1" w:styleId="TKNbrsLevel1">
    <w:name w:val="TK_Nbrs Level1"/>
    <w:qFormat/>
    <w:rsid w:val="0079574D"/>
    <w:pPr>
      <w:numPr>
        <w:numId w:val="10"/>
      </w:numPr>
      <w:spacing w:before="60" w:after="60"/>
    </w:pPr>
    <w:rPr>
      <w:rFonts w:eastAsia="Times New Roman" w:cs="Calibri"/>
      <w:sz w:val="24"/>
      <w:szCs w:val="24"/>
    </w:rPr>
  </w:style>
  <w:style w:type="paragraph" w:styleId="Textedebulles">
    <w:name w:val="Balloon Text"/>
    <w:basedOn w:val="Normal"/>
    <w:link w:val="TextedebullesCar"/>
    <w:uiPriority w:val="99"/>
    <w:semiHidden/>
    <w:unhideWhenUsed/>
    <w:rsid w:val="005F4030"/>
    <w:rPr>
      <w:rFonts w:ascii="Tahoma" w:hAnsi="Tahoma" w:cs="Tahoma"/>
      <w:sz w:val="16"/>
      <w:szCs w:val="16"/>
    </w:rPr>
  </w:style>
  <w:style w:type="character" w:customStyle="1" w:styleId="TextedebullesCar">
    <w:name w:val="Texte de bulles Car"/>
    <w:basedOn w:val="Policepardfaut"/>
    <w:link w:val="Textedebulles"/>
    <w:uiPriority w:val="99"/>
    <w:semiHidden/>
    <w:rsid w:val="005F4030"/>
    <w:rPr>
      <w:rFonts w:ascii="Tahoma" w:eastAsia="Times New Roman" w:hAnsi="Tahoma" w:cs="Tahoma"/>
      <w:sz w:val="16"/>
      <w:szCs w:val="16"/>
      <w:lang w:eastAsia="de-AT"/>
    </w:rPr>
  </w:style>
  <w:style w:type="character" w:customStyle="1" w:styleId="Erwhnung1">
    <w:name w:val="Erwähnung1"/>
    <w:basedOn w:val="Policepardfaut"/>
    <w:uiPriority w:val="99"/>
    <w:semiHidden/>
    <w:unhideWhenUsed/>
    <w:rsid w:val="00226BE6"/>
    <w:rPr>
      <w:color w:val="2B579A"/>
      <w:shd w:val="clear" w:color="auto" w:fill="E6E6E6"/>
    </w:rPr>
  </w:style>
  <w:style w:type="paragraph" w:styleId="Commentaire">
    <w:name w:val="annotation text"/>
    <w:link w:val="CommentaireCar"/>
    <w:uiPriority w:val="99"/>
    <w:semiHidden/>
    <w:unhideWhenUsed/>
    <w:rsid w:val="007F238A"/>
  </w:style>
  <w:style w:type="character" w:styleId="Marquedecommentaire">
    <w:name w:val="annotation reference"/>
    <w:uiPriority w:val="99"/>
    <w:semiHidden/>
    <w:unhideWhenUsed/>
    <w:rsid w:val="007F238A"/>
    <w:rPr>
      <w:sz w:val="16"/>
      <w:szCs w:val="16"/>
    </w:rPr>
  </w:style>
  <w:style w:type="paragraph" w:styleId="Objetducommentaire">
    <w:name w:val="annotation subject"/>
    <w:basedOn w:val="Commentaire"/>
    <w:next w:val="Commentaire"/>
    <w:link w:val="ObjetducommentaireCar"/>
    <w:uiPriority w:val="99"/>
    <w:semiHidden/>
    <w:unhideWhenUsed/>
    <w:rsid w:val="009D5B15"/>
    <w:rPr>
      <w:rFonts w:eastAsia="Times New Roman"/>
      <w:b/>
      <w:bCs/>
    </w:rPr>
  </w:style>
  <w:style w:type="character" w:customStyle="1" w:styleId="CommentaireCar">
    <w:name w:val="Commentaire Car"/>
    <w:basedOn w:val="Policepardfaut"/>
    <w:link w:val="Commentaire"/>
    <w:uiPriority w:val="99"/>
    <w:semiHidden/>
    <w:rsid w:val="009D5B15"/>
  </w:style>
  <w:style w:type="character" w:customStyle="1" w:styleId="ObjetducommentaireCar">
    <w:name w:val="Objet du commentaire Car"/>
    <w:basedOn w:val="CommentaireCar"/>
    <w:link w:val="Objetducommentaire"/>
    <w:uiPriority w:val="99"/>
    <w:semiHidden/>
    <w:rsid w:val="009D5B15"/>
    <w:rPr>
      <w:rFonts w:eastAsia="Times New Roman"/>
      <w:b/>
      <w:bCs/>
    </w:rPr>
  </w:style>
  <w:style w:type="paragraph" w:styleId="Rvision">
    <w:name w:val="Revision"/>
    <w:hidden/>
    <w:uiPriority w:val="71"/>
    <w:rsid w:val="00BB32A7"/>
    <w:rPr>
      <w:rFonts w:eastAsia="Times New Roman"/>
      <w:sz w:val="24"/>
      <w:szCs w:val="22"/>
    </w:rPr>
  </w:style>
  <w:style w:type="character" w:customStyle="1" w:styleId="Erwhnung2">
    <w:name w:val="Erwähnung2"/>
    <w:basedOn w:val="Policepardfaut"/>
    <w:uiPriority w:val="99"/>
    <w:semiHidden/>
    <w:unhideWhenUsed/>
    <w:rsid w:val="00E62F7C"/>
    <w:rPr>
      <w:color w:val="2B579A"/>
      <w:shd w:val="clear" w:color="auto" w:fill="E6E6E6"/>
    </w:rPr>
  </w:style>
  <w:style w:type="character" w:customStyle="1" w:styleId="Mention1">
    <w:name w:val="Mention1"/>
    <w:basedOn w:val="Policepardfaut"/>
    <w:uiPriority w:val="99"/>
    <w:semiHidden/>
    <w:unhideWhenUsed/>
    <w:rsid w:val="00235F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76276">
      <w:bodyDiv w:val="1"/>
      <w:marLeft w:val="0"/>
      <w:marRight w:val="0"/>
      <w:marTop w:val="0"/>
      <w:marBottom w:val="0"/>
      <w:divBdr>
        <w:top w:val="none" w:sz="0" w:space="0" w:color="auto"/>
        <w:left w:val="none" w:sz="0" w:space="0" w:color="auto"/>
        <w:bottom w:val="none" w:sz="0" w:space="0" w:color="auto"/>
        <w:right w:val="none" w:sz="0" w:space="0" w:color="auto"/>
      </w:divBdr>
    </w:div>
    <w:div w:id="867379578">
      <w:bodyDiv w:val="1"/>
      <w:marLeft w:val="0"/>
      <w:marRight w:val="0"/>
      <w:marTop w:val="0"/>
      <w:marBottom w:val="0"/>
      <w:divBdr>
        <w:top w:val="none" w:sz="0" w:space="0" w:color="auto"/>
        <w:left w:val="none" w:sz="0" w:space="0" w:color="auto"/>
        <w:bottom w:val="none" w:sz="0" w:space="0" w:color="auto"/>
        <w:right w:val="none" w:sz="0" w:space="0" w:color="auto"/>
      </w:divBdr>
    </w:div>
    <w:div w:id="1090201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chule-mehrsprachig.at/index.php?id=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mehrsprachig.at/fileadmin/schule_mehrsprachig/redaktion/sprachensteckbriefe/pdf/arabisc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oe.int/en/web/lang-migrants/language-of-origin-/-background" TargetMode="External"/><Relationship Id="rId14" Type="http://schemas.openxmlformats.org/officeDocument/2006/relationships/hyperlink" Target="http://www.worldatlas.com/articles/arabic-speaking-countri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F5CD-F473-46BE-A5C9-3B8CD0D3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3570</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4210</CharactersWithSpaces>
  <SharedDoc>false</SharedDoc>
  <HLinks>
    <vt:vector size="18" baseType="variant">
      <vt:variant>
        <vt:i4>7667807</vt:i4>
      </vt:variant>
      <vt:variant>
        <vt:i4>0</vt:i4>
      </vt:variant>
      <vt:variant>
        <vt:i4>0</vt:i4>
      </vt:variant>
      <vt:variant>
        <vt:i4>5</vt:i4>
      </vt:variant>
      <vt:variant>
        <vt:lpwstr>http://www.coe.int/en/web/lang-migrants/language-of-origin-/-background</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3</cp:revision>
  <cp:lastPrinted>2017-04-28T08:44:00Z</cp:lastPrinted>
  <dcterms:created xsi:type="dcterms:W3CDTF">2017-10-23T13:31:00Z</dcterms:created>
  <dcterms:modified xsi:type="dcterms:W3CDTF">2017-11-02T10:51:00Z</dcterms:modified>
</cp:coreProperties>
</file>