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C7A" w:rsidRPr="00A33EDE" w:rsidRDefault="00844BDE" w:rsidP="00844BDE">
      <w:pPr>
        <w:pStyle w:val="TKMAINTITLE"/>
      </w:pPr>
      <w:r>
        <w:t>11 – Wie Flüchtlinge Sprachen verwenden und lernen</w:t>
      </w:r>
    </w:p>
    <w:p w:rsidR="00184C7A" w:rsidRPr="00A33EDE" w:rsidRDefault="00844BDE" w:rsidP="00844BDE">
      <w:pPr>
        <w:pStyle w:val="TKAIM"/>
      </w:pPr>
      <w:r>
        <w:t>Ziel:</w:t>
      </w:r>
      <w:r>
        <w:tab/>
        <w:t>Vorstellung der Konzepte Mehrsprachigkeit und Sprach</w:t>
      </w:r>
      <w:r w:rsidR="003A75FD">
        <w:t>en</w:t>
      </w:r>
      <w:r>
        <w:t xml:space="preserve">repertoire und Einladung zur Reflexion über Faktoren, die für </w:t>
      </w:r>
      <w:r w:rsidR="00F65009">
        <w:t xml:space="preserve">einen </w:t>
      </w:r>
      <w:r>
        <w:t>erfolgreichen Spracherwerb ausschlaggebend sind</w:t>
      </w:r>
    </w:p>
    <w:p w:rsidR="00184C7A" w:rsidRPr="00A33EDE" w:rsidRDefault="00184C7A" w:rsidP="002C5D04">
      <w:pPr>
        <w:pStyle w:val="TKTITRE1"/>
      </w:pPr>
      <w:r>
        <w:t>Einführung</w:t>
      </w:r>
    </w:p>
    <w:p w:rsidR="00184C7A" w:rsidRPr="00A33EDE" w:rsidRDefault="00184C7A" w:rsidP="00844BDE">
      <w:pPr>
        <w:pStyle w:val="TKTEXTE"/>
      </w:pPr>
      <w:r>
        <w:t xml:space="preserve">Die Arbeit des Europarats im Bereich der sprachlichen Bildung basiert auf dem Prinzip der </w:t>
      </w:r>
      <w:hyperlink r:id="rId8">
        <w:r w:rsidRPr="00211559">
          <w:rPr>
            <w:rStyle w:val="Lienhypertexte"/>
            <w:u w:val="none"/>
          </w:rPr>
          <w:t>Mehrsprachigkeit</w:t>
        </w:r>
      </w:hyperlink>
      <w:r w:rsidRPr="00211559">
        <w:t>, demzufolge alle Menschen fähig sind, mehr als eine Sprache zu erlernen und zu</w:t>
      </w:r>
      <w:r>
        <w:t xml:space="preserve"> </w:t>
      </w:r>
      <w:r w:rsidR="002457D8">
        <w:t>gebrauchen</w:t>
      </w:r>
      <w:r>
        <w:t xml:space="preserve">. Die </w:t>
      </w:r>
      <w:r>
        <w:rPr>
          <w:b/>
        </w:rPr>
        <w:t>mehrsprachige Kompetenz</w:t>
      </w:r>
      <w:r>
        <w:t xml:space="preserve"> einer Person ist ein Abbild ihres sprachlichen Repertoires, also der Sprachen, die sie im Laufe ihres Lebens erworben hat und auf unterschiedliche Arten für verschiedene Zwecke verwendet. Eine Person beherrscht üblicherweise nicht alle ihre Sprachen gleich gut; in manchen kann ihr das Verständnis schriftlicher Texte </w:t>
      </w:r>
      <w:r w:rsidR="002457D8">
        <w:t xml:space="preserve">leichter </w:t>
      </w:r>
      <w:r>
        <w:t xml:space="preserve">fallen als die mündliche Kommunikation, in wieder anderen beschränken sich die Kenntnisse vielleicht auf einfachste mündliche Kommunikation. Das </w:t>
      </w:r>
      <w:r w:rsidRPr="00211559">
        <w:t xml:space="preserve">Sprachenporträt (siehe </w:t>
      </w:r>
      <w:r w:rsidR="00CD7D9E" w:rsidRPr="00211559">
        <w:t xml:space="preserve">Einheit 16 – </w:t>
      </w:r>
      <w:r w:rsidR="00CD7D9E" w:rsidRPr="00211559">
        <w:rPr>
          <w:i/>
        </w:rPr>
        <w:t>Das Sprachenporträt für Freiwillige</w:t>
      </w:r>
      <w:r w:rsidR="00CD7D9E" w:rsidRPr="00211559">
        <w:t xml:space="preserve"> und </w:t>
      </w:r>
      <w:r w:rsidRPr="00211559">
        <w:t>Einh</w:t>
      </w:r>
      <w:r w:rsidRPr="00061EE6">
        <w:t xml:space="preserve">eit 38 – </w:t>
      </w:r>
      <w:hyperlink r:id="rId9" w:history="1">
        <w:r w:rsidRPr="001D30D0">
          <w:rPr>
            <w:rStyle w:val="Lienhypertexte"/>
            <w:rFonts w:cs="Calibri"/>
            <w:i/>
            <w:iCs/>
            <w:u w:val="none"/>
          </w:rPr>
          <w:t>Mein Sprachenporträt: Reflexionsübung für Flüchtlinge</w:t>
        </w:r>
      </w:hyperlink>
      <w:r w:rsidRPr="00061EE6">
        <w:t xml:space="preserve">) stellt </w:t>
      </w:r>
      <w:r w:rsidRPr="00211559">
        <w:t>eine gute Möglichkeit dar, unsere mehrsprachige</w:t>
      </w:r>
      <w:r>
        <w:t xml:space="preserve"> Kompetenz bzw. unser Sprachenrepertoire zu erkunden und zu reflektieren.</w:t>
      </w:r>
    </w:p>
    <w:p w:rsidR="00184C7A" w:rsidRPr="00A33EDE" w:rsidRDefault="00184C7A" w:rsidP="002C5D04">
      <w:pPr>
        <w:pStyle w:val="TKTITRE1"/>
      </w:pPr>
      <w:r>
        <w:t>Die Mehrsprachigkeit erwachsener Flüchtlinge</w:t>
      </w:r>
    </w:p>
    <w:p w:rsidR="00184C7A" w:rsidRPr="00A33EDE" w:rsidRDefault="00184C7A" w:rsidP="00844BDE">
      <w:pPr>
        <w:pStyle w:val="TKTEXTE"/>
      </w:pPr>
      <w:r>
        <w:t>Viele erwachsene Flüchtlinge sprechen mehrere Sprachen. Sie stammen aus mehrsprachigen Gesellschaften, in denen die Menschen es gewohnt sind, in zwei oder mehr Sprachen miteinander zu sprechen, sie haben eine oder mehr</w:t>
      </w:r>
      <w:r w:rsidR="00B46B23">
        <w:t>ere</w:t>
      </w:r>
      <w:r>
        <w:t xml:space="preserve"> Fremdsprachen in der Schule erlernt und oft haben sie eine lange Zeit als Migrantinnen und Migranten in einem anderen Land verbracht und</w:t>
      </w:r>
      <w:r w:rsidR="004E42E4">
        <w:t xml:space="preserve"> es gelernt,</w:t>
      </w:r>
      <w:r>
        <w:t xml:space="preserve"> auch die Sprachen der Transitländer auf ihrem Fluchtweg </w:t>
      </w:r>
      <w:r w:rsidR="004E42E4">
        <w:t>zu benutzen</w:t>
      </w:r>
      <w:r>
        <w:t xml:space="preserve">. Sie haben also einen sehr vielfältigen und weitreichenden Erfahrungsschatz als Anwender und Lernende von Sprachen, allerdings ist es dabei häufig sehr schwierig, zwischen </w:t>
      </w:r>
      <w:r w:rsidR="004E42E4">
        <w:t xml:space="preserve">Sprachenlernen </w:t>
      </w:r>
      <w:r>
        <w:t xml:space="preserve">und </w:t>
      </w:r>
      <w:r w:rsidR="004E42E4">
        <w:t xml:space="preserve">Sprachgebrauch </w:t>
      </w:r>
      <w:r>
        <w:t>zu unterscheiden. Gleichzeitig sollte auch nicht übersehen werden, dass viele Flüchtlinge nur eine Sprache erworben haben, was besonders dann der Fall ist, wenn sie ihr bisheriges Leben hauptsächlich im Herkunftsland verbracht haben.</w:t>
      </w:r>
    </w:p>
    <w:p w:rsidR="00184C7A" w:rsidRPr="00A33EDE" w:rsidRDefault="00184C7A" w:rsidP="002C5D04">
      <w:pPr>
        <w:pStyle w:val="TKTITRE1"/>
      </w:pPr>
      <w:r>
        <w:t>Das Sprachenrepertoire von Flüchtlingen berücksichtigen</w:t>
      </w:r>
    </w:p>
    <w:p w:rsidR="001D30D0" w:rsidRDefault="00184C7A" w:rsidP="001D30D0">
      <w:pPr>
        <w:pStyle w:val="TKTEXTE"/>
      </w:pPr>
      <w:r>
        <w:t xml:space="preserve">Diese Überlegungen sollten Sie </w:t>
      </w:r>
      <w:r w:rsidR="004E42E4">
        <w:t>bedenken</w:t>
      </w:r>
      <w:r>
        <w:t xml:space="preserve">, wenn Sie sich auf die sprachliche Unterstützung von erwachsenen Flüchtlingen vorbereiten. Unabhängig von der Bandbreite ihres sprachlichen Repertoires wissen </w:t>
      </w:r>
      <w:r w:rsidR="004E42E4">
        <w:t xml:space="preserve">Flüchtlinge </w:t>
      </w:r>
      <w:r>
        <w:t xml:space="preserve">(auch wenn sie sich </w:t>
      </w:r>
      <w:r w:rsidR="004E42E4">
        <w:t xml:space="preserve">dessen </w:t>
      </w:r>
      <w:r>
        <w:t xml:space="preserve">nicht immer bewusst sind), wie Sprachen grundsätzlich funktionieren und wie sie in unterschiedlichen Situationen kommunizieren können. </w:t>
      </w:r>
      <w:r w:rsidR="00C80B29">
        <w:t>Ihnen ist</w:t>
      </w:r>
      <w:r>
        <w:t xml:space="preserve"> wahrscheinlich </w:t>
      </w:r>
      <w:r w:rsidR="00C80B29">
        <w:t>bewusst, wie wichtig eine</w:t>
      </w:r>
      <w:r>
        <w:t xml:space="preserve"> verständliche Aussprache</w:t>
      </w:r>
      <w:r w:rsidR="00C80B29">
        <w:t xml:space="preserve"> ist</w:t>
      </w:r>
      <w:r>
        <w:t>, die für Erwachsene oft zu den schwierigsten Aspekten im Spracherwerb zähl</w:t>
      </w:r>
      <w:r w:rsidR="009B6BA3">
        <w:t>t</w:t>
      </w:r>
      <w:r>
        <w:t>. Und wenn sie in einer Alphabetschrift lesen und schreiben können, wissen sie, dass Sprachen aus Wörtern, Phrasen und Sätzen bestehen. Wenn sie zudem eine oder mehrere Fremdsprachen in der Schule gelernt haben, können gute oder schlechte Erinnerungen an diesen Sprachunterricht ihren Erwerb einer neuen Sprache beeinflussen.</w:t>
      </w:r>
    </w:p>
    <w:p w:rsidR="001D30D0" w:rsidRDefault="001D30D0">
      <w:pPr>
        <w:spacing w:after="160" w:line="259" w:lineRule="auto"/>
        <w:rPr>
          <w:rFonts w:cs="Calibri"/>
          <w:szCs w:val="24"/>
        </w:rPr>
      </w:pPr>
      <w:r>
        <w:br w:type="page"/>
      </w:r>
    </w:p>
    <w:p w:rsidR="00184C7A" w:rsidRPr="00A33EDE" w:rsidRDefault="00184C7A" w:rsidP="002C5D04">
      <w:pPr>
        <w:pStyle w:val="TKTITRE1"/>
      </w:pPr>
      <w:r>
        <w:lastRenderedPageBreak/>
        <w:t>Faktoren, die den Erfolg beim Erlernen einer neuen Sprache beeinflussen</w:t>
      </w:r>
    </w:p>
    <w:p w:rsidR="00DD35EE" w:rsidRPr="00A33EDE" w:rsidRDefault="00184C7A" w:rsidP="008A3D76">
      <w:pPr>
        <w:pStyle w:val="TKTEXTE"/>
      </w:pPr>
      <w:r>
        <w:t xml:space="preserve">Wie erfolgreich Flüchtlinge beim Erlernen einer neuen Sprache sind, hängt von vielen sowohl internen als auch externen Faktoren ab. Einige dieser Faktoren finden Sie in der </w:t>
      </w:r>
      <w:r w:rsidR="003A75FD">
        <w:t xml:space="preserve">nachfolgenden </w:t>
      </w:r>
      <w:r>
        <w:t xml:space="preserve">Tabelle. Wählen Sie die Faktoren aus, die Ihrer Meinung nach </w:t>
      </w:r>
      <w:r w:rsidR="00C80B29">
        <w:t>von Ihnen beeinflusst werden können</w:t>
      </w:r>
      <w:r>
        <w:t>, und verwenden Sie die Kommentarspalte um festzuhalten, wie Sie mit diesem Faktor umgehen würden.</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1510"/>
        <w:gridCol w:w="4365"/>
      </w:tblGrid>
      <w:tr w:rsidR="00184C7A" w:rsidRPr="00A33EDE" w:rsidTr="008A3D76">
        <w:trPr>
          <w:trHeight w:val="907"/>
        </w:trPr>
        <w:tc>
          <w:tcPr>
            <w:tcW w:w="2250" w:type="pct"/>
            <w:vAlign w:val="center"/>
          </w:tcPr>
          <w:p w:rsidR="00184C7A" w:rsidRPr="00A33EDE" w:rsidRDefault="00184C7A" w:rsidP="00513DB8">
            <w:pPr>
              <w:pStyle w:val="TKTextetableau"/>
              <w:framePr w:hSpace="0" w:wrap="auto" w:vAnchor="margin" w:yAlign="inline"/>
              <w:rPr>
                <w:rFonts w:eastAsia="MS Mincho"/>
              </w:rPr>
            </w:pPr>
          </w:p>
        </w:tc>
        <w:tc>
          <w:tcPr>
            <w:tcW w:w="707" w:type="pct"/>
            <w:vAlign w:val="center"/>
          </w:tcPr>
          <w:p w:rsidR="00184C7A" w:rsidRPr="00A33EDE" w:rsidRDefault="00184C7A" w:rsidP="00513DB8">
            <w:pPr>
              <w:pStyle w:val="TKTextetableau"/>
              <w:framePr w:hSpace="0" w:wrap="auto" w:vAnchor="margin" w:yAlign="inline"/>
              <w:jc w:val="center"/>
              <w:rPr>
                <w:rFonts w:eastAsia="MS Mincho"/>
                <w:b/>
              </w:rPr>
            </w:pPr>
            <w:r>
              <w:rPr>
                <w:b/>
              </w:rPr>
              <w:t xml:space="preserve">Können Sie beeinflussen? </w:t>
            </w:r>
            <w:r>
              <w:rPr>
                <w:rFonts w:eastAsia="MS Mincho"/>
                <w:b/>
              </w:rPr>
              <w:br/>
            </w:r>
            <w:r>
              <w:rPr>
                <w:b/>
              </w:rPr>
              <w:t>(</w:t>
            </w:r>
            <w:r w:rsidRPr="00A33EDE">
              <w:rPr>
                <w:rFonts w:eastAsia="MS Mincho"/>
                <w:b/>
              </w:rPr>
              <w:sym w:font="Wingdings" w:char="F0FC"/>
            </w:r>
            <w:r>
              <w:rPr>
                <w:b/>
              </w:rPr>
              <w:t xml:space="preserve"> oder X)</w:t>
            </w:r>
          </w:p>
        </w:tc>
        <w:tc>
          <w:tcPr>
            <w:tcW w:w="2043" w:type="pct"/>
            <w:vAlign w:val="center"/>
          </w:tcPr>
          <w:p w:rsidR="00184C7A" w:rsidRPr="00A33EDE" w:rsidRDefault="00184C7A" w:rsidP="00513DB8">
            <w:pPr>
              <w:pStyle w:val="TKTextetableau"/>
              <w:framePr w:hSpace="0" w:wrap="auto" w:vAnchor="margin" w:yAlign="inline"/>
              <w:jc w:val="center"/>
              <w:rPr>
                <w:rFonts w:eastAsia="MS Mincho"/>
                <w:b/>
              </w:rPr>
            </w:pPr>
            <w:r>
              <w:rPr>
                <w:b/>
              </w:rPr>
              <w:t>Kommentare</w:t>
            </w:r>
          </w:p>
        </w:tc>
      </w:tr>
      <w:tr w:rsidR="00184C7A" w:rsidRPr="00A33EDE" w:rsidTr="001D30D0">
        <w:trPr>
          <w:trHeight w:val="851"/>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t>Frühere Lernerfahrungen</w:t>
            </w:r>
          </w:p>
        </w:tc>
        <w:tc>
          <w:tcPr>
            <w:tcW w:w="707"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43"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040AA8" w:rsidTr="001D30D0">
        <w:trPr>
          <w:trHeight w:val="851"/>
        </w:trPr>
        <w:tc>
          <w:tcPr>
            <w:tcW w:w="2250" w:type="pct"/>
            <w:vAlign w:val="center"/>
          </w:tcPr>
          <w:p w:rsidR="00184C7A" w:rsidRPr="00A33EDE" w:rsidRDefault="00184C7A" w:rsidP="00513DB8">
            <w:pPr>
              <w:pStyle w:val="TKTextetableau"/>
              <w:framePr w:hSpace="0" w:wrap="auto" w:vAnchor="margin" w:yAlign="inline"/>
              <w:rPr>
                <w:rFonts w:eastAsia="MS Mincho"/>
              </w:rPr>
            </w:pPr>
            <w:r>
              <w:t>Gesundheit und Wohlbefinden, einschließlich Gemütsverfassung</w:t>
            </w:r>
          </w:p>
        </w:tc>
        <w:tc>
          <w:tcPr>
            <w:tcW w:w="707" w:type="pct"/>
            <w:vAlign w:val="center"/>
          </w:tcPr>
          <w:p w:rsidR="00184C7A" w:rsidRPr="00A33EDE" w:rsidRDefault="00184C7A" w:rsidP="00513DB8">
            <w:pPr>
              <w:pStyle w:val="TKTextetableau"/>
              <w:framePr w:hSpace="0" w:wrap="auto" w:vAnchor="margin" w:yAlign="inline"/>
              <w:rPr>
                <w:rFonts w:eastAsia="MS Mincho"/>
              </w:rPr>
            </w:pPr>
          </w:p>
        </w:tc>
        <w:tc>
          <w:tcPr>
            <w:tcW w:w="2043" w:type="pct"/>
            <w:vAlign w:val="center"/>
          </w:tcPr>
          <w:p w:rsidR="00184C7A" w:rsidRPr="00A33EDE" w:rsidRDefault="00184C7A" w:rsidP="00513DB8">
            <w:pPr>
              <w:pStyle w:val="TKTextetableau"/>
              <w:framePr w:hSpace="0" w:wrap="auto" w:vAnchor="margin" w:yAlign="inline"/>
              <w:rPr>
                <w:rFonts w:eastAsia="MS Mincho"/>
              </w:rPr>
            </w:pPr>
          </w:p>
        </w:tc>
      </w:tr>
      <w:tr w:rsidR="00184C7A" w:rsidRPr="00040AA8" w:rsidTr="001D30D0">
        <w:trPr>
          <w:trHeight w:val="851"/>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t>Häufigkeit des Kontakts mit der neuen Sprache</w:t>
            </w:r>
          </w:p>
        </w:tc>
        <w:tc>
          <w:tcPr>
            <w:tcW w:w="707"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43"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A33EDE" w:rsidTr="001D30D0">
        <w:trPr>
          <w:trHeight w:val="851"/>
        </w:trPr>
        <w:tc>
          <w:tcPr>
            <w:tcW w:w="2250" w:type="pct"/>
            <w:vAlign w:val="center"/>
          </w:tcPr>
          <w:p w:rsidR="00184C7A" w:rsidRPr="00A33EDE" w:rsidRDefault="00184C7A" w:rsidP="00513DB8">
            <w:pPr>
              <w:pStyle w:val="TKTextetableau"/>
              <w:framePr w:hSpace="0" w:wrap="auto" w:vAnchor="margin" w:yAlign="inline"/>
              <w:rPr>
                <w:rFonts w:eastAsia="MS Mincho"/>
              </w:rPr>
            </w:pPr>
            <w:r>
              <w:t>Alter</w:t>
            </w:r>
          </w:p>
        </w:tc>
        <w:tc>
          <w:tcPr>
            <w:tcW w:w="707" w:type="pct"/>
            <w:vAlign w:val="center"/>
          </w:tcPr>
          <w:p w:rsidR="00184C7A" w:rsidRPr="00A33EDE" w:rsidRDefault="00184C7A" w:rsidP="00513DB8">
            <w:pPr>
              <w:pStyle w:val="TKTextetableau"/>
              <w:framePr w:hSpace="0" w:wrap="auto" w:vAnchor="margin" w:yAlign="inline"/>
              <w:rPr>
                <w:rFonts w:eastAsia="MS Mincho"/>
              </w:rPr>
            </w:pPr>
          </w:p>
        </w:tc>
        <w:tc>
          <w:tcPr>
            <w:tcW w:w="2043" w:type="pct"/>
            <w:vAlign w:val="center"/>
          </w:tcPr>
          <w:p w:rsidR="00184C7A" w:rsidRPr="00A33EDE" w:rsidRDefault="00184C7A" w:rsidP="00513DB8">
            <w:pPr>
              <w:pStyle w:val="TKTextetableau"/>
              <w:framePr w:hSpace="0" w:wrap="auto" w:vAnchor="margin" w:yAlign="inline"/>
              <w:rPr>
                <w:rFonts w:eastAsia="MS Mincho"/>
              </w:rPr>
            </w:pPr>
          </w:p>
        </w:tc>
      </w:tr>
      <w:tr w:rsidR="00184C7A" w:rsidRPr="00A33EDE" w:rsidTr="001D30D0">
        <w:trPr>
          <w:trHeight w:val="851"/>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t>Eingesetzte Lernmethoden</w:t>
            </w:r>
          </w:p>
        </w:tc>
        <w:tc>
          <w:tcPr>
            <w:tcW w:w="707"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43"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040AA8" w:rsidTr="001D30D0">
        <w:trPr>
          <w:trHeight w:val="851"/>
        </w:trPr>
        <w:tc>
          <w:tcPr>
            <w:tcW w:w="2250" w:type="pct"/>
            <w:vAlign w:val="center"/>
          </w:tcPr>
          <w:p w:rsidR="00184C7A" w:rsidRPr="00A33EDE" w:rsidRDefault="00184C7A" w:rsidP="00513DB8">
            <w:pPr>
              <w:pStyle w:val="TKTextetableau"/>
              <w:framePr w:hSpace="0" w:wrap="auto" w:vAnchor="margin" w:yAlign="inline"/>
              <w:rPr>
                <w:rFonts w:eastAsia="MS Mincho"/>
              </w:rPr>
            </w:pPr>
            <w:r>
              <w:t>Persönliche Erfahrungen mit dem Erwerb einer neuen Sprache</w:t>
            </w:r>
          </w:p>
        </w:tc>
        <w:tc>
          <w:tcPr>
            <w:tcW w:w="707" w:type="pct"/>
            <w:vAlign w:val="center"/>
          </w:tcPr>
          <w:p w:rsidR="00184C7A" w:rsidRPr="00A33EDE" w:rsidRDefault="00184C7A" w:rsidP="00513DB8">
            <w:pPr>
              <w:pStyle w:val="TKTextetableau"/>
              <w:framePr w:hSpace="0" w:wrap="auto" w:vAnchor="margin" w:yAlign="inline"/>
              <w:rPr>
                <w:rFonts w:eastAsia="MS Mincho"/>
              </w:rPr>
            </w:pPr>
          </w:p>
        </w:tc>
        <w:tc>
          <w:tcPr>
            <w:tcW w:w="2043" w:type="pct"/>
            <w:vAlign w:val="center"/>
          </w:tcPr>
          <w:p w:rsidR="00184C7A" w:rsidRPr="00A33EDE" w:rsidRDefault="00184C7A" w:rsidP="00513DB8">
            <w:pPr>
              <w:pStyle w:val="TKTextetableau"/>
              <w:framePr w:hSpace="0" w:wrap="auto" w:vAnchor="margin" w:yAlign="inline"/>
              <w:rPr>
                <w:rFonts w:eastAsia="MS Mincho"/>
              </w:rPr>
            </w:pPr>
          </w:p>
        </w:tc>
      </w:tr>
      <w:tr w:rsidR="00184C7A" w:rsidRPr="00A33EDE" w:rsidTr="001D30D0">
        <w:trPr>
          <w:trHeight w:val="851"/>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t>Zeitliche Einschränkung</w:t>
            </w:r>
          </w:p>
        </w:tc>
        <w:tc>
          <w:tcPr>
            <w:tcW w:w="707"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43"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A33EDE" w:rsidTr="001D30D0">
        <w:trPr>
          <w:trHeight w:val="851"/>
        </w:trPr>
        <w:tc>
          <w:tcPr>
            <w:tcW w:w="2250" w:type="pct"/>
            <w:vAlign w:val="center"/>
          </w:tcPr>
          <w:p w:rsidR="00184C7A" w:rsidRPr="00A33EDE" w:rsidRDefault="00184C7A" w:rsidP="00513DB8">
            <w:pPr>
              <w:pStyle w:val="TKTextetableau"/>
              <w:framePr w:hSpace="0" w:wrap="auto" w:vAnchor="margin" w:yAlign="inline"/>
              <w:rPr>
                <w:rFonts w:eastAsia="MS Mincho"/>
              </w:rPr>
            </w:pPr>
            <w:r>
              <w:t>Motivation</w:t>
            </w:r>
          </w:p>
        </w:tc>
        <w:tc>
          <w:tcPr>
            <w:tcW w:w="707" w:type="pct"/>
            <w:vAlign w:val="center"/>
          </w:tcPr>
          <w:p w:rsidR="00184C7A" w:rsidRPr="00A33EDE" w:rsidRDefault="00184C7A" w:rsidP="00513DB8">
            <w:pPr>
              <w:pStyle w:val="TKTextetableau"/>
              <w:framePr w:hSpace="0" w:wrap="auto" w:vAnchor="margin" w:yAlign="inline"/>
              <w:rPr>
                <w:rFonts w:eastAsia="MS Mincho"/>
              </w:rPr>
            </w:pPr>
          </w:p>
        </w:tc>
        <w:tc>
          <w:tcPr>
            <w:tcW w:w="2043" w:type="pct"/>
            <w:vAlign w:val="center"/>
          </w:tcPr>
          <w:p w:rsidR="00184C7A" w:rsidRPr="00A33EDE" w:rsidRDefault="00184C7A" w:rsidP="00513DB8">
            <w:pPr>
              <w:pStyle w:val="TKTextetableau"/>
              <w:framePr w:hSpace="0" w:wrap="auto" w:vAnchor="margin" w:yAlign="inline"/>
              <w:rPr>
                <w:rFonts w:eastAsia="MS Mincho"/>
              </w:rPr>
            </w:pPr>
          </w:p>
        </w:tc>
      </w:tr>
      <w:tr w:rsidR="00184C7A" w:rsidRPr="00A33EDE" w:rsidTr="001D30D0">
        <w:trPr>
          <w:trHeight w:val="851"/>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t>Soziale Faktoren</w:t>
            </w:r>
          </w:p>
        </w:tc>
        <w:tc>
          <w:tcPr>
            <w:tcW w:w="707"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43"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A33EDE" w:rsidTr="001D30D0">
        <w:trPr>
          <w:trHeight w:val="851"/>
        </w:trPr>
        <w:tc>
          <w:tcPr>
            <w:tcW w:w="2250" w:type="pct"/>
            <w:vAlign w:val="center"/>
          </w:tcPr>
          <w:p w:rsidR="00184C7A" w:rsidRPr="00A33EDE" w:rsidRDefault="00184C7A" w:rsidP="00513DB8">
            <w:pPr>
              <w:pStyle w:val="TKTextetableau"/>
              <w:framePr w:hSpace="0" w:wrap="auto" w:vAnchor="margin" w:yAlign="inline"/>
              <w:rPr>
                <w:rFonts w:eastAsia="MS Mincho"/>
              </w:rPr>
            </w:pPr>
            <w:r>
              <w:t>Verfügbarkeit von Kinderbetreuung</w:t>
            </w:r>
          </w:p>
        </w:tc>
        <w:tc>
          <w:tcPr>
            <w:tcW w:w="707" w:type="pct"/>
            <w:vAlign w:val="center"/>
          </w:tcPr>
          <w:p w:rsidR="00184C7A" w:rsidRPr="00A33EDE" w:rsidRDefault="00184C7A" w:rsidP="00513DB8">
            <w:pPr>
              <w:pStyle w:val="TKTextetableau"/>
              <w:framePr w:hSpace="0" w:wrap="auto" w:vAnchor="margin" w:yAlign="inline"/>
              <w:rPr>
                <w:rFonts w:eastAsia="MS Mincho"/>
              </w:rPr>
            </w:pPr>
          </w:p>
        </w:tc>
        <w:tc>
          <w:tcPr>
            <w:tcW w:w="2043" w:type="pct"/>
            <w:vAlign w:val="center"/>
          </w:tcPr>
          <w:p w:rsidR="00184C7A" w:rsidRPr="00A33EDE" w:rsidRDefault="00184C7A" w:rsidP="00513DB8">
            <w:pPr>
              <w:pStyle w:val="TKTextetableau"/>
              <w:framePr w:hSpace="0" w:wrap="auto" w:vAnchor="margin" w:yAlign="inline"/>
              <w:rPr>
                <w:rFonts w:eastAsia="MS Mincho"/>
              </w:rPr>
            </w:pPr>
          </w:p>
        </w:tc>
      </w:tr>
      <w:tr w:rsidR="00184C7A" w:rsidRPr="00A33EDE" w:rsidTr="001D30D0">
        <w:trPr>
          <w:trHeight w:val="851"/>
        </w:trPr>
        <w:tc>
          <w:tcPr>
            <w:tcW w:w="2250"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r>
              <w:t>Möglichkeit, Lernaktivitäten zu personalisieren</w:t>
            </w:r>
          </w:p>
        </w:tc>
        <w:tc>
          <w:tcPr>
            <w:tcW w:w="707"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c>
          <w:tcPr>
            <w:tcW w:w="2043" w:type="pct"/>
            <w:shd w:val="clear" w:color="auto" w:fill="D9D9D9" w:themeFill="background1" w:themeFillShade="D9"/>
            <w:vAlign w:val="center"/>
          </w:tcPr>
          <w:p w:rsidR="00184C7A" w:rsidRPr="00A33EDE" w:rsidRDefault="00184C7A" w:rsidP="00513DB8">
            <w:pPr>
              <w:pStyle w:val="TKTextetableau"/>
              <w:framePr w:hSpace="0" w:wrap="auto" w:vAnchor="margin" w:yAlign="inline"/>
              <w:rPr>
                <w:rFonts w:eastAsia="MS Mincho"/>
              </w:rPr>
            </w:pPr>
          </w:p>
        </w:tc>
      </w:tr>
      <w:tr w:rsidR="00184C7A" w:rsidRPr="00A33EDE" w:rsidTr="001D30D0">
        <w:trPr>
          <w:trHeight w:val="851"/>
        </w:trPr>
        <w:tc>
          <w:tcPr>
            <w:tcW w:w="2250" w:type="pct"/>
            <w:vAlign w:val="center"/>
          </w:tcPr>
          <w:p w:rsidR="00184C7A" w:rsidRPr="00A33EDE" w:rsidRDefault="00184C7A" w:rsidP="00513DB8">
            <w:pPr>
              <w:pStyle w:val="TKTextetableau"/>
              <w:framePr w:hSpace="0" w:wrap="auto" w:vAnchor="margin" w:yAlign="inline"/>
              <w:rPr>
                <w:rFonts w:eastAsia="MS Mincho"/>
              </w:rPr>
            </w:pPr>
            <w:r>
              <w:t>Kosten</w:t>
            </w:r>
          </w:p>
        </w:tc>
        <w:tc>
          <w:tcPr>
            <w:tcW w:w="707" w:type="pct"/>
            <w:vAlign w:val="center"/>
          </w:tcPr>
          <w:p w:rsidR="00184C7A" w:rsidRPr="00A33EDE" w:rsidRDefault="00184C7A" w:rsidP="00513DB8">
            <w:pPr>
              <w:pStyle w:val="TKTextetableau"/>
              <w:framePr w:hSpace="0" w:wrap="auto" w:vAnchor="margin" w:yAlign="inline"/>
              <w:rPr>
                <w:rFonts w:eastAsia="MS Mincho"/>
              </w:rPr>
            </w:pPr>
          </w:p>
        </w:tc>
        <w:tc>
          <w:tcPr>
            <w:tcW w:w="2043" w:type="pct"/>
            <w:vAlign w:val="center"/>
          </w:tcPr>
          <w:p w:rsidR="00184C7A" w:rsidRPr="00A33EDE" w:rsidRDefault="00184C7A" w:rsidP="00513DB8">
            <w:pPr>
              <w:pStyle w:val="TKTextetableau"/>
              <w:framePr w:hSpace="0" w:wrap="auto" w:vAnchor="margin" w:yAlign="inline"/>
              <w:rPr>
                <w:rFonts w:eastAsia="MS Mincho"/>
              </w:rPr>
            </w:pPr>
          </w:p>
        </w:tc>
      </w:tr>
    </w:tbl>
    <w:p w:rsidR="005A0EA0" w:rsidRDefault="005A0EA0" w:rsidP="005A0EA0">
      <w:pPr>
        <w:pStyle w:val="TKTITRE2"/>
        <w:spacing w:before="0"/>
      </w:pPr>
    </w:p>
    <w:p w:rsidR="00184C7A" w:rsidRPr="00A33EDE" w:rsidRDefault="00AE7ED9" w:rsidP="005A0EA0">
      <w:pPr>
        <w:pStyle w:val="TKTITRE2"/>
        <w:spacing w:before="0" w:after="0"/>
      </w:pPr>
      <w:r>
        <w:lastRenderedPageBreak/>
        <w:t>Inwieweit</w:t>
      </w:r>
      <w:r w:rsidR="00184C7A">
        <w:t xml:space="preserve"> decken sich Ihre Kommentare mit den folgenden Überlegungen?</w:t>
      </w:r>
    </w:p>
    <w:p w:rsidR="00184C7A" w:rsidRPr="00A33EDE" w:rsidRDefault="00184C7A" w:rsidP="005A0EA0">
      <w:pPr>
        <w:pStyle w:val="TKTEXTE"/>
        <w:spacing w:before="60"/>
      </w:pPr>
      <w:r>
        <w:t xml:space="preserve">Auch wenn Sie keinen Einfluss auf </w:t>
      </w:r>
      <w:r>
        <w:rPr>
          <w:b/>
        </w:rPr>
        <w:t>frühere Lernerfahrungen</w:t>
      </w:r>
      <w:r>
        <w:t xml:space="preserve"> haben, können Sie diesen Faktor berücksichtigen, wenn Sie Gruppen bilden oder wenn Sie erfahrenere Lernende bitten, Personen mit weniger Erfahrung zu unterstützen.</w:t>
      </w:r>
    </w:p>
    <w:p w:rsidR="00184C7A" w:rsidRPr="00A33EDE" w:rsidRDefault="00184C7A" w:rsidP="005A0EA0">
      <w:pPr>
        <w:pStyle w:val="TKTEXTE"/>
        <w:spacing w:before="60"/>
      </w:pPr>
      <w:r>
        <w:t xml:space="preserve">Die Faktoren </w:t>
      </w:r>
      <w:r>
        <w:rPr>
          <w:b/>
        </w:rPr>
        <w:t>Wohlbefinden und Gemütsverfassung</w:t>
      </w:r>
      <w:r>
        <w:t xml:space="preserve"> sind ebenfalls außerhalb Ihres Einflussbereichs, doch Sie sollten diese bedenken, wenn Sie für die Situation Ihrer Gruppe angemessene Themen auswählen, Ihren Lernenden Zeit zum Gespräch untereinander geben oder mit Ihnen Ausflüge zu für sie interessanten Orten unternehmen.</w:t>
      </w:r>
    </w:p>
    <w:p w:rsidR="00184C7A" w:rsidRPr="00211559" w:rsidRDefault="00184C7A" w:rsidP="002C5D04">
      <w:pPr>
        <w:pStyle w:val="TKTEXTE"/>
      </w:pPr>
      <w:r>
        <w:t xml:space="preserve">Die </w:t>
      </w:r>
      <w:r>
        <w:rPr>
          <w:b/>
        </w:rPr>
        <w:t>Häufigkeit des Kontakts mit der neuen Sprache</w:t>
      </w:r>
      <w:r>
        <w:t xml:space="preserve"> ist ein Punkt, den Sie beeinflussen können und sollen. Für Sprachlernende ist es sehr wichtig, so oft wie möglich diese Sprache zu hören und sie selbst einzusetzen. Hier kann es hilfreich sein, Ausflüge in der Umgebung zu organisieren (Vorschläge dazu finden </w:t>
      </w:r>
      <w:r w:rsidRPr="00211559">
        <w:t xml:space="preserve">Sie etwa in den Einheiten 40 bis 54 im Abschnitt „Szenarien“ und in den Einheiten 56 – </w:t>
      </w:r>
      <w:hyperlink r:id="rId10" w:history="1">
        <w:r w:rsidRPr="001D30D0">
          <w:rPr>
            <w:rStyle w:val="Lienhypertexte"/>
            <w:rFonts w:cs="Calibri"/>
            <w:i/>
            <w:iCs/>
            <w:u w:val="none"/>
          </w:rPr>
          <w:t>Aktivitäten zur Sprachunterstützung in der Gemeinde oder dem Bezirk planen</w:t>
        </w:r>
      </w:hyperlink>
      <w:r w:rsidRPr="00061EE6">
        <w:t xml:space="preserve"> und 57 –</w:t>
      </w:r>
      <w:hyperlink r:id="rId11" w:history="1">
        <w:r w:rsidR="001D30D0" w:rsidRPr="001D30D0">
          <w:rPr>
            <w:rStyle w:val="Lienhypertexte"/>
            <w:rFonts w:cs="Calibri"/>
            <w:i/>
            <w:iCs/>
            <w:u w:val="none"/>
          </w:rPr>
          <w:t>Sp</w:t>
        </w:r>
        <w:r w:rsidRPr="001D30D0">
          <w:rPr>
            <w:rStyle w:val="Lienhypertexte"/>
            <w:rFonts w:cs="Calibri"/>
            <w:i/>
            <w:iCs/>
            <w:u w:val="none"/>
          </w:rPr>
          <w:t>rache in realen Situationen üben</w:t>
        </w:r>
      </w:hyperlink>
      <w:r w:rsidRPr="00061EE6">
        <w:t>).</w:t>
      </w:r>
    </w:p>
    <w:p w:rsidR="00184C7A" w:rsidRPr="00A33EDE" w:rsidRDefault="00184C7A" w:rsidP="005A0EA0">
      <w:pPr>
        <w:pStyle w:val="TKTEXTE"/>
        <w:spacing w:before="60" w:after="60"/>
      </w:pPr>
      <w:r>
        <w:t xml:space="preserve">Das </w:t>
      </w:r>
      <w:r>
        <w:rPr>
          <w:b/>
        </w:rPr>
        <w:t>Alter</w:t>
      </w:r>
      <w:r>
        <w:t xml:space="preserve"> der Lernenden in Ihrer Gruppe können Sie nicht beeinflussen, Sie können aber versuchen, sich einerseits den größeren Erfahrungsschatz </w:t>
      </w:r>
      <w:r w:rsidR="00C80B29">
        <w:t xml:space="preserve">von älteren Personen </w:t>
      </w:r>
      <w:r>
        <w:t>mit Sprachen und andererseits Englisch als Lingua franca, das jüngere Menschen häufig besser beherrschen, zunutze zu machen. Bitten Sie Ihre Lernenden, ihre Erfahrungen und ihr Wissen zur gegenseitigen Unterstützung anzuwenden.</w:t>
      </w:r>
    </w:p>
    <w:p w:rsidR="000167C6" w:rsidRPr="00A33EDE" w:rsidRDefault="00184C7A" w:rsidP="005A0EA0">
      <w:pPr>
        <w:pStyle w:val="TKTEXTE"/>
        <w:spacing w:before="60" w:after="60"/>
      </w:pPr>
      <w:r>
        <w:t xml:space="preserve">Diese Materialien wurden entwickelt, um Sie bei der Steuerung der </w:t>
      </w:r>
      <w:r>
        <w:rPr>
          <w:b/>
        </w:rPr>
        <w:t>eingesetzten Lernmethoden</w:t>
      </w:r>
      <w:r>
        <w:t xml:space="preserve"> zu unterstützen. Versuchen Sie herauszufinden, ob alle Ihre Lernenden auf die eingesetzten Methoden positiv reagieren oder ob es besser wäre, sie in Gruppen einzuteilen und unterschiedliche Methoden einzusetzen. Es gibt z. B. Lernende, die Aktivitäten mit detaillierten Anweisungen bevorzugen, während andere stärker von Übungen mit mehr Flexibilität profitieren. Sie können eine Auswahl an Texten anbieten und die Gruppe fragen, wer nicht in der gesamten Gruppe, sondern lieber in Paaren oder Kleingruppen arbeiten möchte, und die Aktivitäten dann dementsprechend strukturieren. Je besser Sie die Mitglieder Ihre Gruppe kennenlernen, umso gezielter können Sie die Methoden auf deren Bedürfnisse abstimmen.</w:t>
      </w:r>
    </w:p>
    <w:p w:rsidR="00184C7A" w:rsidRPr="00A33EDE" w:rsidRDefault="00184C7A" w:rsidP="005A0EA0">
      <w:pPr>
        <w:pStyle w:val="TKTEXTE"/>
        <w:spacing w:before="60" w:after="60"/>
      </w:pPr>
      <w:r>
        <w:t xml:space="preserve">Erwägen Sie auch die anderen Faktoren in der Tabelle und diskutieren Sie sie nach Möglichkeit mit anderen Freiwilligen. Flüchtlinge sind in einer Lebenssituation, in der sie zum Gebrauch der Sprache des Aufenthaltslandes gezwungen sind: Sie brauchen ein gewisses Maß an sprachlicher und kommunikativer Kompetenz, um im neuen Land </w:t>
      </w:r>
      <w:r w:rsidR="00323F40">
        <w:t>zu überleben</w:t>
      </w:r>
      <w:r>
        <w:t xml:space="preserve">, das Asylverfahren zu verfolgen und Nahrung und Unterkunft zu finden. Doch ist eine solche Ausgangssituation motivierend? Falls nicht, was kann dann motivierend sein? Wenn Sie eine gemeinsame Sprache mit </w:t>
      </w:r>
      <w:r w:rsidR="00323F40">
        <w:t xml:space="preserve">einigen </w:t>
      </w:r>
      <w:r>
        <w:t xml:space="preserve">Flüchtlingen haben, verwenden Sie diese um herauszufinden, was ihrer Meinung nach motivierend wirken würde. </w:t>
      </w:r>
      <w:r w:rsidR="009F0819" w:rsidRPr="009F0819">
        <w:t>Kann fehlende Kinderbetreuung sprachliche Unterstützung erschweren?</w:t>
      </w:r>
      <w:r>
        <w:t xml:space="preserve"> Wenn ja, können Sie hier irgendetwas unternehmen? Und so weiter.</w:t>
      </w:r>
    </w:p>
    <w:p w:rsidR="00184C7A" w:rsidRPr="00A33EDE" w:rsidRDefault="00184C7A" w:rsidP="005A0EA0">
      <w:pPr>
        <w:pStyle w:val="TKTEXTE"/>
        <w:spacing w:before="60" w:after="60"/>
      </w:pPr>
      <w:r>
        <w:t xml:space="preserve">Die Webseite des Europarats zur </w:t>
      </w:r>
      <w:r>
        <w:rPr>
          <w:i/>
        </w:rPr>
        <w:t xml:space="preserve">Sprachlichen Integration erwachsener </w:t>
      </w:r>
      <w:r w:rsidR="00695D0B">
        <w:rPr>
          <w:i/>
        </w:rPr>
        <w:t>Migrantinnen und Migranten</w:t>
      </w:r>
      <w:r>
        <w:rPr>
          <w:i/>
        </w:rPr>
        <w:t xml:space="preserve"> </w:t>
      </w:r>
      <w:r w:rsidRPr="00211559">
        <w:t xml:space="preserve">(LIAM) weist auch einen Abschnitt mit </w:t>
      </w:r>
      <w:hyperlink r:id="rId12">
        <w:r w:rsidRPr="00211559">
          <w:rPr>
            <w:rStyle w:val="Lienhypertexte"/>
            <w:u w:val="none"/>
          </w:rPr>
          <w:t>Schlüsselbegriffen</w:t>
        </w:r>
      </w:hyperlink>
      <w:r w:rsidRPr="00211559">
        <w:t xml:space="preserve"> auf, wo Sie weiterführende Informationen finden,</w:t>
      </w:r>
      <w:r>
        <w:t xml:space="preserve"> beispielsweise zu den Themen</w:t>
      </w:r>
    </w:p>
    <w:p w:rsidR="00184C7A" w:rsidRPr="00A33EDE" w:rsidRDefault="00184C7A" w:rsidP="005A0EA0">
      <w:pPr>
        <w:pStyle w:val="TKBulletLevel1"/>
        <w:spacing w:before="0" w:after="0"/>
        <w:ind w:left="851" w:hanging="284"/>
      </w:pPr>
      <w:r>
        <w:t>Alphabetisierung/Lese- und Schreibfähigkeit</w:t>
      </w:r>
    </w:p>
    <w:p w:rsidR="00184C7A" w:rsidRPr="00A33EDE" w:rsidRDefault="00184C7A" w:rsidP="005A0EA0">
      <w:pPr>
        <w:pStyle w:val="TKBulletLevel1"/>
        <w:spacing w:before="0" w:after="0"/>
        <w:ind w:left="851" w:hanging="284"/>
      </w:pPr>
      <w:r>
        <w:t>Kompetenz/mehrsprachige Kompetenz</w:t>
      </w:r>
    </w:p>
    <w:p w:rsidR="00184C7A" w:rsidRPr="00A33EDE" w:rsidRDefault="00184C7A" w:rsidP="005A0EA0">
      <w:pPr>
        <w:pStyle w:val="TKBulletLevel1"/>
        <w:spacing w:before="0" w:after="0"/>
        <w:ind w:left="851" w:hanging="284"/>
      </w:pPr>
      <w:r>
        <w:t>Erstsprache</w:t>
      </w:r>
    </w:p>
    <w:p w:rsidR="00184C7A" w:rsidRPr="00A33EDE" w:rsidRDefault="00184C7A" w:rsidP="005A0EA0">
      <w:pPr>
        <w:pStyle w:val="TKBulletLevel1"/>
        <w:spacing w:before="0" w:after="0"/>
        <w:ind w:left="851" w:hanging="284"/>
      </w:pPr>
      <w:r>
        <w:t>Informelles Lernen</w:t>
      </w:r>
    </w:p>
    <w:p w:rsidR="00184C7A" w:rsidRPr="00A33EDE" w:rsidRDefault="00184C7A" w:rsidP="005A0EA0">
      <w:pPr>
        <w:pStyle w:val="TKBulletLevel1"/>
        <w:spacing w:before="0" w:after="0"/>
        <w:ind w:left="851" w:hanging="284"/>
      </w:pPr>
      <w:r>
        <w:t>Sprachbedürfnisse</w:t>
      </w:r>
      <w:bookmarkStart w:id="0" w:name="_GoBack"/>
      <w:bookmarkEnd w:id="0"/>
    </w:p>
    <w:p w:rsidR="00184C7A" w:rsidRPr="00A33EDE" w:rsidRDefault="00184C7A" w:rsidP="005A0EA0">
      <w:pPr>
        <w:pStyle w:val="TKBulletLevel1"/>
        <w:spacing w:before="0" w:after="0"/>
        <w:ind w:left="851" w:hanging="284"/>
      </w:pPr>
      <w:r>
        <w:t>Gefährdete Gruppen</w:t>
      </w:r>
    </w:p>
    <w:p w:rsidR="00503E91" w:rsidRPr="00A33EDE" w:rsidRDefault="00184C7A" w:rsidP="005A0EA0">
      <w:pPr>
        <w:pStyle w:val="TKBulletLevel1"/>
        <w:spacing w:before="0" w:after="0"/>
        <w:ind w:left="851" w:hanging="284"/>
      </w:pPr>
      <w:r>
        <w:t>etc.</w:t>
      </w:r>
    </w:p>
    <w:sectPr w:rsidR="00503E91" w:rsidRPr="00A33EDE" w:rsidSect="002A69DD">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58" w:rsidRDefault="00B53F58" w:rsidP="00C523EA">
      <w:r>
        <w:separator/>
      </w:r>
    </w:p>
  </w:endnote>
  <w:endnote w:type="continuationSeparator" w:id="0">
    <w:p w:rsidR="00B53F58" w:rsidRDefault="00B53F5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90"/>
      <w:gridCol w:w="3489"/>
      <w:gridCol w:w="3487"/>
    </w:tblGrid>
    <w:tr w:rsidR="00C80B29">
      <w:tc>
        <w:tcPr>
          <w:tcW w:w="1667" w:type="pct"/>
          <w:vAlign w:val="bottom"/>
        </w:tcPr>
        <w:p w:rsidR="00211559" w:rsidRPr="00211559" w:rsidRDefault="00211559" w:rsidP="00211559">
          <w:pPr>
            <w:tabs>
              <w:tab w:val="center" w:pos="4820"/>
            </w:tabs>
            <w:spacing w:before="60"/>
            <w:rPr>
              <w:sz w:val="18"/>
              <w:lang w:val="de-DE"/>
            </w:rPr>
          </w:pPr>
          <w:r w:rsidRPr="00211559">
            <w:rPr>
              <w:sz w:val="18"/>
              <w:lang w:val="de-DE"/>
            </w:rPr>
            <w:t>Programm zur Sprachenpolitik</w:t>
          </w:r>
        </w:p>
        <w:p w:rsidR="00C80B29" w:rsidRDefault="00211559" w:rsidP="00211559">
          <w:pPr>
            <w:tabs>
              <w:tab w:val="center" w:pos="4820"/>
            </w:tabs>
            <w:spacing w:before="60"/>
            <w:rPr>
              <w:sz w:val="18"/>
              <w:lang w:val="de-DE"/>
            </w:rPr>
          </w:pPr>
          <w:r w:rsidRPr="00211559">
            <w:rPr>
              <w:sz w:val="18"/>
              <w:lang w:val="de-DE"/>
            </w:rPr>
            <w:t>Straßburg</w:t>
          </w:r>
        </w:p>
        <w:p w:rsidR="00211559" w:rsidRPr="00211559" w:rsidRDefault="00211559" w:rsidP="00211559">
          <w:pPr>
            <w:tabs>
              <w:tab w:val="center" w:pos="4820"/>
            </w:tabs>
            <w:spacing w:before="60"/>
            <w:rPr>
              <w:rFonts w:eastAsia="Calibri" w:cs="Cambria"/>
              <w:sz w:val="18"/>
              <w:szCs w:val="18"/>
              <w:lang w:val="de-DE"/>
            </w:rPr>
          </w:pPr>
        </w:p>
        <w:p w:rsidR="00C80B29" w:rsidRPr="00211559" w:rsidRDefault="00211559" w:rsidP="002860CD">
          <w:pPr>
            <w:tabs>
              <w:tab w:val="center" w:pos="4820"/>
            </w:tabs>
            <w:spacing w:before="60"/>
            <w:rPr>
              <w:rFonts w:eastAsia="Calibri" w:cs="Cambria"/>
              <w:sz w:val="18"/>
              <w:szCs w:val="18"/>
              <w:lang w:val="de-DE"/>
            </w:rPr>
          </w:pPr>
          <w:r>
            <w:rPr>
              <w:b/>
              <w:sz w:val="18"/>
              <w:lang w:val="de-DE"/>
            </w:rPr>
            <w:t>Einhait</w:t>
          </w:r>
          <w:r w:rsidR="00C80B29" w:rsidRPr="00211559">
            <w:rPr>
              <w:b/>
              <w:sz w:val="18"/>
              <w:lang w:val="de-DE"/>
            </w:rPr>
            <w:t xml:space="preserve"> 11</w:t>
          </w:r>
        </w:p>
      </w:tc>
      <w:tc>
        <w:tcPr>
          <w:tcW w:w="1667" w:type="pct"/>
          <w:vAlign w:val="bottom"/>
        </w:tcPr>
        <w:p w:rsidR="00C80B29" w:rsidRDefault="0087344E" w:rsidP="002860CD">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C80B29" w:rsidRPr="00FB70A6">
            <w:rPr>
              <w:rFonts w:eastAsia="Calibri" w:cs="Cambria"/>
              <w:sz w:val="18"/>
              <w:szCs w:val="18"/>
            </w:rPr>
            <w:instrText>PAGE</w:instrText>
          </w:r>
          <w:r w:rsidRPr="00FB70A6">
            <w:rPr>
              <w:rFonts w:eastAsia="Calibri" w:cs="Cambria"/>
              <w:sz w:val="18"/>
              <w:szCs w:val="18"/>
            </w:rPr>
            <w:fldChar w:fldCharType="separate"/>
          </w:r>
          <w:r w:rsidR="005A0EA0">
            <w:rPr>
              <w:rFonts w:eastAsia="Calibri" w:cs="Cambria"/>
              <w:noProof/>
              <w:sz w:val="18"/>
              <w:szCs w:val="18"/>
            </w:rPr>
            <w:t>1</w:t>
          </w:r>
          <w:r w:rsidRPr="00FB70A6">
            <w:rPr>
              <w:rFonts w:eastAsia="Calibri" w:cs="Cambria"/>
              <w:sz w:val="18"/>
              <w:szCs w:val="18"/>
            </w:rPr>
            <w:fldChar w:fldCharType="end"/>
          </w:r>
          <w:r w:rsidR="00C80B29">
            <w:rPr>
              <w:sz w:val="18"/>
            </w:rPr>
            <w:t>/</w:t>
          </w:r>
          <w:r w:rsidRPr="00FB70A6">
            <w:rPr>
              <w:rFonts w:eastAsia="Calibri" w:cs="Cambria"/>
              <w:sz w:val="18"/>
              <w:szCs w:val="18"/>
            </w:rPr>
            <w:fldChar w:fldCharType="begin"/>
          </w:r>
          <w:r w:rsidR="00C80B29" w:rsidRPr="00FB70A6">
            <w:rPr>
              <w:rFonts w:eastAsia="Calibri" w:cs="Cambria"/>
              <w:sz w:val="18"/>
              <w:szCs w:val="18"/>
            </w:rPr>
            <w:instrText>NUMPAGES</w:instrText>
          </w:r>
          <w:r w:rsidRPr="00FB70A6">
            <w:rPr>
              <w:rFonts w:eastAsia="Calibri" w:cs="Cambria"/>
              <w:sz w:val="18"/>
              <w:szCs w:val="18"/>
            </w:rPr>
            <w:fldChar w:fldCharType="separate"/>
          </w:r>
          <w:r w:rsidR="005A0EA0">
            <w:rPr>
              <w:rFonts w:eastAsia="Calibri" w:cs="Cambria"/>
              <w:noProof/>
              <w:sz w:val="18"/>
              <w:szCs w:val="18"/>
            </w:rPr>
            <w:t>3</w:t>
          </w:r>
          <w:r w:rsidRPr="00FB70A6">
            <w:rPr>
              <w:rFonts w:eastAsia="Calibri" w:cs="Cambria"/>
              <w:sz w:val="18"/>
              <w:szCs w:val="18"/>
            </w:rPr>
            <w:fldChar w:fldCharType="end"/>
          </w:r>
        </w:p>
      </w:tc>
      <w:tc>
        <w:tcPr>
          <w:tcW w:w="1667" w:type="pct"/>
          <w:vAlign w:val="bottom"/>
        </w:tcPr>
        <w:p w:rsidR="00C80B29" w:rsidRDefault="00C80B29" w:rsidP="002860CD">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35200" cy="666000"/>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35200" cy="666000"/>
                        </a:xfrm>
                        <a:prstGeom prst="rect">
                          <a:avLst/>
                        </a:prstGeom>
                        <a:noFill/>
                        <a:ln w="9525">
                          <a:noFill/>
                          <a:miter lim="800000"/>
                          <a:headEnd/>
                          <a:tailEnd/>
                        </a:ln>
                      </pic:spPr>
                    </pic:pic>
                  </a:graphicData>
                </a:graphic>
              </wp:inline>
            </w:drawing>
          </w:r>
        </w:p>
      </w:tc>
    </w:tr>
  </w:tbl>
  <w:p w:rsidR="00C80B29" w:rsidRPr="002860CD" w:rsidRDefault="00C80B29"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58" w:rsidRDefault="00B53F58" w:rsidP="00C523EA">
      <w:r>
        <w:separator/>
      </w:r>
    </w:p>
  </w:footnote>
  <w:footnote w:type="continuationSeparator" w:id="0">
    <w:p w:rsidR="00B53F58" w:rsidRDefault="00B53F58"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4A0" w:firstRow="1" w:lastRow="0" w:firstColumn="1" w:lastColumn="0" w:noHBand="0" w:noVBand="1"/>
    </w:tblPr>
    <w:tblGrid>
      <w:gridCol w:w="2228"/>
      <w:gridCol w:w="5722"/>
      <w:gridCol w:w="2732"/>
    </w:tblGrid>
    <w:tr w:rsidR="00C80B29" w:rsidRPr="00211559">
      <w:trPr>
        <w:trHeight w:val="1304"/>
      </w:trPr>
      <w:tc>
        <w:tcPr>
          <w:tcW w:w="2210" w:type="dxa"/>
        </w:tcPr>
        <w:p w:rsidR="00C80B29" w:rsidRPr="00CB5C65" w:rsidRDefault="00C80B29" w:rsidP="000C5F40">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211559" w:rsidRDefault="00211559" w:rsidP="002860CD">
          <w:pPr>
            <w:jc w:val="center"/>
            <w:rPr>
              <w:rFonts w:eastAsiaTheme="minorHAnsi"/>
              <w:b/>
              <w:lang w:val="de-DE"/>
            </w:rPr>
          </w:pPr>
          <w:r w:rsidRPr="00211559">
            <w:rPr>
              <w:rFonts w:eastAsiaTheme="minorHAnsi"/>
              <w:b/>
              <w:lang w:val="de-DE"/>
            </w:rPr>
            <w:t xml:space="preserve">Sprachunterstützung für erwachsene Flüchtlinge: </w:t>
          </w:r>
          <w:r w:rsidRPr="00211559">
            <w:rPr>
              <w:rFonts w:eastAsiaTheme="minorHAnsi"/>
              <w:b/>
              <w:i/>
              <w:lang w:val="de-DE"/>
            </w:rPr>
            <w:t>Handreichungen des Europarats</w:t>
          </w:r>
        </w:p>
        <w:p w:rsidR="00C80B29" w:rsidRPr="00211559" w:rsidRDefault="00B53F58" w:rsidP="002860CD">
          <w:pPr>
            <w:jc w:val="center"/>
            <w:rPr>
              <w:rFonts w:eastAsiaTheme="minorHAnsi"/>
              <w:color w:val="0000FF"/>
              <w:u w:val="single"/>
              <w:lang w:val="de-DE"/>
            </w:rPr>
          </w:pPr>
          <w:hyperlink r:id="rId2">
            <w:r w:rsidR="00C80B29" w:rsidRPr="00211559">
              <w:rPr>
                <w:rStyle w:val="Lienhypertexte"/>
                <w:rFonts w:eastAsiaTheme="minorHAnsi"/>
                <w:lang w:val="de-DE"/>
              </w:rPr>
              <w:t>www.coe.int/lang-refugees</w:t>
            </w:r>
          </w:hyperlink>
        </w:p>
      </w:tc>
      <w:tc>
        <w:tcPr>
          <w:tcW w:w="2711" w:type="dxa"/>
        </w:tcPr>
        <w:p w:rsidR="00211559" w:rsidRDefault="00211559" w:rsidP="002860CD">
          <w:pPr>
            <w:tabs>
              <w:tab w:val="center" w:pos="4607"/>
              <w:tab w:val="right" w:pos="9214"/>
            </w:tabs>
            <w:jc w:val="right"/>
            <w:rPr>
              <w:rFonts w:asciiTheme="minorHAnsi" w:eastAsiaTheme="minorHAnsi" w:hAnsiTheme="minorHAnsi" w:cstheme="minorHAnsi"/>
              <w:sz w:val="20"/>
              <w:lang w:val="de-DE"/>
            </w:rPr>
          </w:pPr>
          <w:r w:rsidRPr="00211559">
            <w:rPr>
              <w:rFonts w:asciiTheme="minorHAnsi" w:eastAsiaTheme="minorHAnsi" w:hAnsiTheme="minorHAnsi" w:cstheme="minorHAnsi"/>
              <w:sz w:val="20"/>
              <w:lang w:val="de-DE"/>
            </w:rPr>
            <w:t>Sprachliche Integration erwachsener Migrantinnen und Migranten (LIAM)</w:t>
          </w:r>
        </w:p>
        <w:p w:rsidR="00C80B29" w:rsidRPr="00211559" w:rsidRDefault="00B53F58" w:rsidP="002860CD">
          <w:pPr>
            <w:tabs>
              <w:tab w:val="center" w:pos="4607"/>
              <w:tab w:val="right" w:pos="9214"/>
            </w:tabs>
            <w:jc w:val="right"/>
            <w:rPr>
              <w:rFonts w:asciiTheme="majorHAnsi" w:eastAsiaTheme="minorHAnsi" w:hAnsiTheme="majorHAnsi" w:cstheme="majorHAnsi"/>
              <w:color w:val="0000FF"/>
              <w:u w:val="single"/>
              <w:lang w:val="de-DE"/>
            </w:rPr>
          </w:pPr>
          <w:hyperlink r:id="rId3">
            <w:r w:rsidR="00C80B29" w:rsidRPr="00211559">
              <w:rPr>
                <w:rStyle w:val="Lienhypertexte"/>
                <w:rFonts w:asciiTheme="minorHAnsi" w:eastAsiaTheme="minorHAnsi" w:hAnsiTheme="minorHAnsi" w:cstheme="minorHAnsi"/>
                <w:sz w:val="20"/>
                <w:lang w:val="de-DE"/>
              </w:rPr>
              <w:t>www.coe.int/lang-migrants</w:t>
            </w:r>
          </w:hyperlink>
        </w:p>
      </w:tc>
    </w:tr>
  </w:tbl>
  <w:p w:rsidR="00C80B29" w:rsidRPr="00211559" w:rsidRDefault="00C80B29"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D8D"/>
    <w:multiLevelType w:val="hybridMultilevel"/>
    <w:tmpl w:val="DF96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572764"/>
    <w:multiLevelType w:val="hybridMultilevel"/>
    <w:tmpl w:val="B40E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2"/>
  </w:num>
  <w:num w:numId="2">
    <w:abstractNumId w:val="4"/>
  </w:num>
  <w:num w:numId="3">
    <w:abstractNumId w:val="6"/>
  </w:num>
  <w:num w:numId="4">
    <w:abstractNumId w:val="0"/>
  </w:num>
  <w:num w:numId="5">
    <w:abstractNumId w:val="3"/>
  </w:num>
  <w:num w:numId="6">
    <w:abstractNumId w:val="4"/>
  </w:num>
  <w:num w:numId="7">
    <w:abstractNumId w:val="4"/>
  </w:num>
  <w:num w:numId="8">
    <w:abstractNumId w:val="1"/>
  </w:num>
  <w:num w:numId="9">
    <w:abstractNumId w:val="4"/>
  </w:num>
  <w:num w:numId="10">
    <w:abstractNumId w:val="4"/>
  </w:num>
  <w:num w:numId="11">
    <w:abstractNumId w:val="7"/>
  </w:num>
  <w:num w:numId="12">
    <w:abstractNumId w:val="5"/>
  </w:num>
  <w:num w:numId="13">
    <w:abstractNumId w:val="4"/>
  </w:num>
  <w:num w:numId="14">
    <w:abstractNumId w:val="4"/>
  </w:num>
  <w:num w:numId="15">
    <w:abstractNumId w:val="7"/>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B182D"/>
    <w:rsid w:val="00004020"/>
    <w:rsid w:val="00013516"/>
    <w:rsid w:val="000167C6"/>
    <w:rsid w:val="000338F0"/>
    <w:rsid w:val="000362D8"/>
    <w:rsid w:val="00040AA8"/>
    <w:rsid w:val="000618A7"/>
    <w:rsid w:val="00061EE6"/>
    <w:rsid w:val="000632A5"/>
    <w:rsid w:val="00063727"/>
    <w:rsid w:val="00076F2F"/>
    <w:rsid w:val="000806DE"/>
    <w:rsid w:val="000937FA"/>
    <w:rsid w:val="000A080D"/>
    <w:rsid w:val="000A5892"/>
    <w:rsid w:val="000C5F40"/>
    <w:rsid w:val="000D404C"/>
    <w:rsid w:val="000E2DC4"/>
    <w:rsid w:val="000E706C"/>
    <w:rsid w:val="000F42D6"/>
    <w:rsid w:val="00110B4B"/>
    <w:rsid w:val="00125099"/>
    <w:rsid w:val="00126A5E"/>
    <w:rsid w:val="00154B1F"/>
    <w:rsid w:val="001556A4"/>
    <w:rsid w:val="00163495"/>
    <w:rsid w:val="00172C07"/>
    <w:rsid w:val="001741D1"/>
    <w:rsid w:val="0017676C"/>
    <w:rsid w:val="0018102A"/>
    <w:rsid w:val="00184C7A"/>
    <w:rsid w:val="001965B4"/>
    <w:rsid w:val="001A1B4C"/>
    <w:rsid w:val="001B0010"/>
    <w:rsid w:val="001B602D"/>
    <w:rsid w:val="001B71AD"/>
    <w:rsid w:val="001D30D0"/>
    <w:rsid w:val="00201622"/>
    <w:rsid w:val="0020300A"/>
    <w:rsid w:val="00211559"/>
    <w:rsid w:val="00214CD0"/>
    <w:rsid w:val="00233192"/>
    <w:rsid w:val="00236006"/>
    <w:rsid w:val="002457D8"/>
    <w:rsid w:val="0026293F"/>
    <w:rsid w:val="002860CD"/>
    <w:rsid w:val="002A0CEF"/>
    <w:rsid w:val="002A19BE"/>
    <w:rsid w:val="002A3476"/>
    <w:rsid w:val="002A69DD"/>
    <w:rsid w:val="002C5D04"/>
    <w:rsid w:val="002E2408"/>
    <w:rsid w:val="002F2562"/>
    <w:rsid w:val="00303A5A"/>
    <w:rsid w:val="00323F40"/>
    <w:rsid w:val="003575BD"/>
    <w:rsid w:val="0038409C"/>
    <w:rsid w:val="003A75FD"/>
    <w:rsid w:val="003B65E2"/>
    <w:rsid w:val="003B79BB"/>
    <w:rsid w:val="003C050D"/>
    <w:rsid w:val="003C32F5"/>
    <w:rsid w:val="003D7F7D"/>
    <w:rsid w:val="003E358D"/>
    <w:rsid w:val="003F121D"/>
    <w:rsid w:val="004201D7"/>
    <w:rsid w:val="00422B5F"/>
    <w:rsid w:val="00460BCC"/>
    <w:rsid w:val="00470AA9"/>
    <w:rsid w:val="0049006B"/>
    <w:rsid w:val="004A18E7"/>
    <w:rsid w:val="004B5DD8"/>
    <w:rsid w:val="004C1652"/>
    <w:rsid w:val="004C20CE"/>
    <w:rsid w:val="004E32A8"/>
    <w:rsid w:val="004E42E4"/>
    <w:rsid w:val="004F2E30"/>
    <w:rsid w:val="00503E91"/>
    <w:rsid w:val="00505136"/>
    <w:rsid w:val="00513DB8"/>
    <w:rsid w:val="00526886"/>
    <w:rsid w:val="00531391"/>
    <w:rsid w:val="00570186"/>
    <w:rsid w:val="005713EB"/>
    <w:rsid w:val="00591A66"/>
    <w:rsid w:val="005A0EA0"/>
    <w:rsid w:val="005A47A9"/>
    <w:rsid w:val="005A63CE"/>
    <w:rsid w:val="005C2E50"/>
    <w:rsid w:val="005E4CA5"/>
    <w:rsid w:val="00617D74"/>
    <w:rsid w:val="00627F47"/>
    <w:rsid w:val="006455D0"/>
    <w:rsid w:val="006507EF"/>
    <w:rsid w:val="00651E90"/>
    <w:rsid w:val="00655B1E"/>
    <w:rsid w:val="00655CCE"/>
    <w:rsid w:val="00683603"/>
    <w:rsid w:val="0068580D"/>
    <w:rsid w:val="00695D0B"/>
    <w:rsid w:val="006A1A21"/>
    <w:rsid w:val="006C0689"/>
    <w:rsid w:val="006C08C3"/>
    <w:rsid w:val="006C7764"/>
    <w:rsid w:val="006D234F"/>
    <w:rsid w:val="00734E55"/>
    <w:rsid w:val="0074542C"/>
    <w:rsid w:val="00783522"/>
    <w:rsid w:val="007A2110"/>
    <w:rsid w:val="007B4D14"/>
    <w:rsid w:val="007D336C"/>
    <w:rsid w:val="008067EC"/>
    <w:rsid w:val="0083366C"/>
    <w:rsid w:val="00844BDE"/>
    <w:rsid w:val="008469DE"/>
    <w:rsid w:val="008506D5"/>
    <w:rsid w:val="00852F72"/>
    <w:rsid w:val="0087344E"/>
    <w:rsid w:val="00892B00"/>
    <w:rsid w:val="008A3D76"/>
    <w:rsid w:val="008B45A3"/>
    <w:rsid w:val="008C53DF"/>
    <w:rsid w:val="008D20FF"/>
    <w:rsid w:val="008E3894"/>
    <w:rsid w:val="008E6FB9"/>
    <w:rsid w:val="008F0189"/>
    <w:rsid w:val="008F24DC"/>
    <w:rsid w:val="009025F0"/>
    <w:rsid w:val="009150FB"/>
    <w:rsid w:val="0092623A"/>
    <w:rsid w:val="0094232D"/>
    <w:rsid w:val="0094551C"/>
    <w:rsid w:val="00953DC1"/>
    <w:rsid w:val="009A5131"/>
    <w:rsid w:val="009B6BA3"/>
    <w:rsid w:val="009F0819"/>
    <w:rsid w:val="00A03292"/>
    <w:rsid w:val="00A1258A"/>
    <w:rsid w:val="00A33EDE"/>
    <w:rsid w:val="00A65C9F"/>
    <w:rsid w:val="00A67362"/>
    <w:rsid w:val="00A802F2"/>
    <w:rsid w:val="00A80BBB"/>
    <w:rsid w:val="00A86871"/>
    <w:rsid w:val="00AA2B3C"/>
    <w:rsid w:val="00AB255A"/>
    <w:rsid w:val="00AE657E"/>
    <w:rsid w:val="00AE7ED9"/>
    <w:rsid w:val="00AF4A1E"/>
    <w:rsid w:val="00AF56A8"/>
    <w:rsid w:val="00B14F63"/>
    <w:rsid w:val="00B25239"/>
    <w:rsid w:val="00B35EFB"/>
    <w:rsid w:val="00B4405D"/>
    <w:rsid w:val="00B46B23"/>
    <w:rsid w:val="00B523AD"/>
    <w:rsid w:val="00B5256A"/>
    <w:rsid w:val="00B53F58"/>
    <w:rsid w:val="00B66043"/>
    <w:rsid w:val="00B73A35"/>
    <w:rsid w:val="00B86747"/>
    <w:rsid w:val="00B87D33"/>
    <w:rsid w:val="00B94E15"/>
    <w:rsid w:val="00BA3C32"/>
    <w:rsid w:val="00BA5566"/>
    <w:rsid w:val="00BA57C4"/>
    <w:rsid w:val="00BB182D"/>
    <w:rsid w:val="00BD2F15"/>
    <w:rsid w:val="00BD624A"/>
    <w:rsid w:val="00BD6CCA"/>
    <w:rsid w:val="00BE6E05"/>
    <w:rsid w:val="00BF2B09"/>
    <w:rsid w:val="00BF71C7"/>
    <w:rsid w:val="00C0792B"/>
    <w:rsid w:val="00C24B3F"/>
    <w:rsid w:val="00C523EA"/>
    <w:rsid w:val="00C622D7"/>
    <w:rsid w:val="00C7298E"/>
    <w:rsid w:val="00C7477C"/>
    <w:rsid w:val="00C8086F"/>
    <w:rsid w:val="00C80B29"/>
    <w:rsid w:val="00CC0991"/>
    <w:rsid w:val="00CD02DA"/>
    <w:rsid w:val="00CD7D9E"/>
    <w:rsid w:val="00CF0B90"/>
    <w:rsid w:val="00CF36D3"/>
    <w:rsid w:val="00D00DA4"/>
    <w:rsid w:val="00D07616"/>
    <w:rsid w:val="00D2211A"/>
    <w:rsid w:val="00D317C5"/>
    <w:rsid w:val="00D509F9"/>
    <w:rsid w:val="00D5539C"/>
    <w:rsid w:val="00D57D70"/>
    <w:rsid w:val="00D61311"/>
    <w:rsid w:val="00D65DEF"/>
    <w:rsid w:val="00D74472"/>
    <w:rsid w:val="00D8328F"/>
    <w:rsid w:val="00DA5A92"/>
    <w:rsid w:val="00DD35DF"/>
    <w:rsid w:val="00DD35EE"/>
    <w:rsid w:val="00DE081E"/>
    <w:rsid w:val="00DE5B7D"/>
    <w:rsid w:val="00DF60EB"/>
    <w:rsid w:val="00E076C3"/>
    <w:rsid w:val="00E1589B"/>
    <w:rsid w:val="00E46EBE"/>
    <w:rsid w:val="00EB5AA4"/>
    <w:rsid w:val="00ED4CB7"/>
    <w:rsid w:val="00F260E9"/>
    <w:rsid w:val="00F40F79"/>
    <w:rsid w:val="00F5126A"/>
    <w:rsid w:val="00F65009"/>
    <w:rsid w:val="00FA13F3"/>
    <w:rsid w:val="00FA17F2"/>
    <w:rsid w:val="00FA2867"/>
    <w:rsid w:val="00FB70A6"/>
    <w:rsid w:val="00FC4F80"/>
    <w:rsid w:val="00FE12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A0D4E53"/>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D04"/>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SS-TITRE2">
    <w:name w:val="TK SS-TITRE 2"/>
    <w:autoRedefine/>
    <w:qFormat/>
    <w:rsid w:val="00BE6E05"/>
    <w:pPr>
      <w:spacing w:before="360" w:after="120" w:line="240" w:lineRule="auto"/>
    </w:pPr>
    <w:rPr>
      <w:rFonts w:ascii="Calibri" w:eastAsia="Times New Roman" w:hAnsi="Calibri" w:cs="Calibri"/>
      <w:b/>
      <w:sz w:val="28"/>
      <w:szCs w:val="28"/>
    </w:rPr>
  </w:style>
  <w:style w:type="paragraph" w:customStyle="1" w:styleId="TK-SS-TITRE22">
    <w:name w:val="TK-SS-TITRE 2.2"/>
    <w:autoRedefine/>
    <w:qFormat/>
    <w:rsid w:val="002860CD"/>
    <w:pPr>
      <w:spacing w:before="180" w:after="60" w:line="240" w:lineRule="auto"/>
    </w:pPr>
    <w:rPr>
      <w:rFonts w:ascii="Calibri" w:eastAsia="Calibri" w:hAnsi="Calibri" w:cs="Times New Roman"/>
      <w:i/>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basedOn w:val="TableauNormal"/>
    <w:uiPriority w:val="99"/>
    <w:rsid w:val="00BB182D"/>
    <w:pPr>
      <w:spacing w:after="0" w:line="240" w:lineRule="auto"/>
    </w:pPr>
    <w:rPr>
      <w:sz w:val="24"/>
    </w:rPr>
    <w:tblPr>
      <w:tblStyleRow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57" w:type="dxa"/>
        <w:left w:w="57" w:type="dxa"/>
        <w:bottom w:w="57" w:type="dxa"/>
        <w:right w:w="57" w:type="dxa"/>
      </w:tblCellMar>
    </w:tblPr>
    <w:trPr>
      <w:cantSplit/>
    </w:trPr>
    <w:tcPr>
      <w:shd w:val="clear" w:color="auto" w:fill="auto"/>
    </w:tcPr>
  </w:style>
  <w:style w:type="table" w:customStyle="1" w:styleId="TableToolkit">
    <w:name w:val="Table_Toolkit"/>
    <w:basedOn w:val="TOOLKITTable"/>
    <w:uiPriority w:val="99"/>
    <w:rsid w:val="00F260E9"/>
    <w:tblPr/>
    <w:tcPr>
      <w:shd w:val="clear" w:color="auto" w:fill="auto"/>
    </w:tcPr>
  </w:style>
  <w:style w:type="paragraph" w:customStyle="1" w:styleId="TKTextetableau">
    <w:name w:val="TK Texte tableau"/>
    <w:qFormat/>
    <w:rsid w:val="00D00DA4"/>
    <w:pPr>
      <w:framePr w:hSpace="141" w:wrap="around" w:vAnchor="text" w:hAnchor="text" w:y="1"/>
      <w:spacing w:after="0" w:line="240" w:lineRule="auto"/>
    </w:pPr>
    <w:rPr>
      <w:rFonts w:ascii="Calibri" w:eastAsia="Times New Roman" w:hAnsi="Calibri" w:cs="Times New Roman"/>
      <w:szCs w:val="24"/>
    </w:rPr>
  </w:style>
  <w:style w:type="paragraph" w:customStyle="1" w:styleId="TKAIM">
    <w:name w:val="TK AIM"/>
    <w:qFormat/>
    <w:rsid w:val="00236006"/>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236006"/>
    <w:pPr>
      <w:spacing w:before="120" w:after="120"/>
      <w:jc w:val="center"/>
    </w:pPr>
    <w:rPr>
      <w:rFonts w:eastAsia="Calibri" w:cs="Calibri"/>
      <w:b/>
      <w:bCs/>
      <w:color w:val="2F5496" w:themeColor="accent1" w:themeShade="BF"/>
      <w:sz w:val="40"/>
      <w:szCs w:val="40"/>
    </w:rPr>
  </w:style>
  <w:style w:type="paragraph" w:customStyle="1" w:styleId="TKSS-TITRE21">
    <w:name w:val="TK SS-TITRE 2.1"/>
    <w:basedOn w:val="TKSS-TITRE210"/>
    <w:autoRedefine/>
    <w:qFormat/>
    <w:rsid w:val="00BD2F15"/>
  </w:style>
  <w:style w:type="paragraph" w:customStyle="1" w:styleId="TKTEXTE">
    <w:name w:val="TK TEXTE"/>
    <w:qFormat/>
    <w:rsid w:val="00460BCC"/>
    <w:pPr>
      <w:spacing w:before="120" w:after="120" w:line="240" w:lineRule="auto"/>
    </w:pPr>
    <w:rPr>
      <w:rFonts w:ascii="Calibri" w:eastAsia="Times New Roman" w:hAnsi="Calibri" w:cs="Calibri"/>
      <w:sz w:val="24"/>
      <w:szCs w:val="24"/>
    </w:rPr>
  </w:style>
  <w:style w:type="paragraph" w:customStyle="1" w:styleId="TKbulletpoints">
    <w:name w:val="TK_bullet_points"/>
    <w:next w:val="Normal"/>
    <w:qFormat/>
    <w:rsid w:val="00460BCC"/>
    <w:pPr>
      <w:tabs>
        <w:tab w:val="left" w:pos="567"/>
      </w:tabs>
      <w:spacing w:after="0" w:line="240" w:lineRule="auto"/>
    </w:pPr>
    <w:rPr>
      <w:rFonts w:ascii="Calibri" w:eastAsia="Calibri" w:hAnsi="Calibri" w:cs="Times New Roman"/>
      <w:sz w:val="24"/>
      <w:szCs w:val="24"/>
    </w:rPr>
  </w:style>
  <w:style w:type="paragraph" w:customStyle="1" w:styleId="TK-SS-TITRE2">
    <w:name w:val="TK-SS-TITRE2"/>
    <w:qFormat/>
    <w:rsid w:val="00460BCC"/>
    <w:pPr>
      <w:spacing w:before="240" w:after="240" w:line="240" w:lineRule="auto"/>
    </w:pPr>
    <w:rPr>
      <w:rFonts w:ascii="Calibri" w:eastAsia="Times New Roman" w:hAnsi="Calibri" w:cs="Calibri"/>
      <w:b/>
      <w:i/>
      <w:sz w:val="28"/>
      <w:szCs w:val="28"/>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SS-TITRE210">
    <w:name w:val="TK SS-TITRE 2.1"/>
    <w:next w:val="TKSS-TITRE21"/>
    <w:autoRedefine/>
    <w:qFormat/>
    <w:rsid w:val="002860CD"/>
    <w:pPr>
      <w:spacing w:before="160" w:line="240" w:lineRule="auto"/>
    </w:pPr>
    <w:rPr>
      <w:rFonts w:ascii="Calibri" w:eastAsia="Times New Roman" w:hAnsi="Calibri" w:cs="Calibri"/>
      <w:b/>
      <w:sz w:val="26"/>
      <w:szCs w:val="26"/>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styleId="Paragraphedeliste">
    <w:name w:val="List Paragraph"/>
    <w:basedOn w:val="Normal"/>
    <w:uiPriority w:val="34"/>
    <w:qFormat/>
    <w:rsid w:val="00184C7A"/>
    <w:pPr>
      <w:spacing w:after="200" w:line="276" w:lineRule="auto"/>
      <w:ind w:left="720"/>
      <w:contextualSpacing/>
    </w:pPr>
  </w:style>
  <w:style w:type="paragraph" w:styleId="Commentaire">
    <w:name w:val="annotation text"/>
    <w:basedOn w:val="Normal"/>
    <w:link w:val="CommentaireCar"/>
    <w:uiPriority w:val="99"/>
    <w:semiHidden/>
    <w:unhideWhenUsed/>
    <w:rsid w:val="00D5539C"/>
    <w:rPr>
      <w:sz w:val="20"/>
      <w:szCs w:val="20"/>
    </w:rPr>
  </w:style>
  <w:style w:type="character" w:customStyle="1" w:styleId="CommentaireCar">
    <w:name w:val="Commentaire Car"/>
    <w:basedOn w:val="Policepardfaut"/>
    <w:link w:val="Commentaire"/>
    <w:uiPriority w:val="99"/>
    <w:rsid w:val="00184C7A"/>
    <w:rPr>
      <w:rFonts w:ascii="Calibri" w:eastAsia="Times New Roman" w:hAnsi="Calibri" w:cs="Times New Roman"/>
      <w:sz w:val="20"/>
      <w:szCs w:val="20"/>
      <w:lang w:val="de-AT" w:eastAsia="de-AT"/>
    </w:rPr>
  </w:style>
  <w:style w:type="paragraph" w:customStyle="1" w:styleId="TKBulletLevel1">
    <w:name w:val="TK Bullet Level1"/>
    <w:next w:val="Normal"/>
    <w:qFormat/>
    <w:rsid w:val="00236006"/>
    <w:pPr>
      <w:numPr>
        <w:numId w:val="14"/>
      </w:numPr>
      <w:tabs>
        <w:tab w:val="left" w:pos="567"/>
      </w:tabs>
      <w:spacing w:before="60" w:after="60" w:line="240" w:lineRule="auto"/>
    </w:pPr>
    <w:rPr>
      <w:rFonts w:ascii="Calibri" w:eastAsia="Calibri" w:hAnsi="Calibri" w:cs="Calibri"/>
      <w:sz w:val="24"/>
      <w:szCs w:val="24"/>
    </w:rPr>
  </w:style>
  <w:style w:type="paragraph" w:customStyle="1" w:styleId="TKBulletLevel2">
    <w:name w:val="TK Bullet Level2"/>
    <w:basedOn w:val="TKBulletLevel1"/>
    <w:qFormat/>
    <w:rsid w:val="00236006"/>
    <w:pPr>
      <w:ind w:left="1135"/>
    </w:pPr>
  </w:style>
  <w:style w:type="paragraph" w:customStyle="1" w:styleId="TKNbrsLevel2">
    <w:name w:val="TK Nbrs Level2"/>
    <w:qFormat/>
    <w:rsid w:val="00236006"/>
    <w:pPr>
      <w:numPr>
        <w:numId w:val="15"/>
      </w:numPr>
      <w:spacing w:before="60" w:after="60" w:line="240" w:lineRule="auto"/>
    </w:pPr>
    <w:rPr>
      <w:rFonts w:ascii="Calibri" w:eastAsia="Calibri" w:hAnsi="Calibri" w:cs="Times New Roman"/>
      <w:sz w:val="24"/>
      <w:szCs w:val="24"/>
    </w:rPr>
  </w:style>
  <w:style w:type="paragraph" w:customStyle="1" w:styleId="TKTITRE2">
    <w:name w:val="TK TITRE 2"/>
    <w:next w:val="Normal"/>
    <w:qFormat/>
    <w:rsid w:val="00236006"/>
    <w:pPr>
      <w:spacing w:before="120" w:after="120" w:line="240" w:lineRule="auto"/>
    </w:pPr>
    <w:rPr>
      <w:rFonts w:ascii="Calibri" w:eastAsia="Times New Roman" w:hAnsi="Calibri" w:cs="Calibri"/>
      <w:b/>
      <w:bCs/>
      <w:sz w:val="28"/>
      <w:szCs w:val="28"/>
    </w:rPr>
  </w:style>
  <w:style w:type="paragraph" w:customStyle="1" w:styleId="TKTITRE3">
    <w:name w:val="TK TITRE 3"/>
    <w:qFormat/>
    <w:rsid w:val="00236006"/>
    <w:pPr>
      <w:spacing w:before="120" w:after="120" w:line="240" w:lineRule="auto"/>
    </w:pPr>
    <w:rPr>
      <w:rFonts w:ascii="Calibri" w:eastAsia="Calibri" w:hAnsi="Calibri" w:cs="Calibri"/>
      <w:i/>
      <w:iCs/>
      <w:noProof/>
      <w:sz w:val="24"/>
      <w:szCs w:val="24"/>
      <w:u w:val="single"/>
    </w:rPr>
  </w:style>
  <w:style w:type="paragraph" w:customStyle="1" w:styleId="TKTITRE1">
    <w:name w:val="TK TITRE1"/>
    <w:qFormat/>
    <w:rsid w:val="00236006"/>
    <w:pPr>
      <w:spacing w:before="120" w:after="120" w:line="240" w:lineRule="auto"/>
    </w:pPr>
    <w:rPr>
      <w:rFonts w:ascii="Calibri" w:eastAsia="Times New Roman" w:hAnsi="Calibri" w:cs="Calibri"/>
      <w:b/>
      <w:bCs/>
      <w:sz w:val="32"/>
      <w:szCs w:val="32"/>
    </w:rPr>
  </w:style>
  <w:style w:type="paragraph" w:customStyle="1" w:styleId="TKNbrsLevel1">
    <w:name w:val="TK_Nbrs Level1"/>
    <w:qFormat/>
    <w:rsid w:val="00236006"/>
    <w:pPr>
      <w:numPr>
        <w:numId w:val="16"/>
      </w:numPr>
      <w:spacing w:before="60" w:after="60" w:line="240" w:lineRule="auto"/>
    </w:pPr>
    <w:rPr>
      <w:rFonts w:ascii="Calibri" w:eastAsia="Times New Roman" w:hAnsi="Calibri" w:cs="Calibri"/>
      <w:sz w:val="24"/>
      <w:szCs w:val="24"/>
    </w:rPr>
  </w:style>
  <w:style w:type="paragraph" w:customStyle="1" w:styleId="TKnotes">
    <w:name w:val="TK_notes"/>
    <w:qFormat/>
    <w:rsid w:val="00236006"/>
    <w:pPr>
      <w:spacing w:before="120" w:after="120" w:line="240" w:lineRule="auto"/>
    </w:pPr>
    <w:rPr>
      <w:rFonts w:ascii="Calibri" w:eastAsia="Times New Roman" w:hAnsi="Calibri" w:cs="Calibri"/>
      <w:sz w:val="20"/>
    </w:rPr>
  </w:style>
  <w:style w:type="character" w:styleId="Marquedecommentaire">
    <w:name w:val="annotation reference"/>
    <w:basedOn w:val="Policepardfaut"/>
    <w:uiPriority w:val="99"/>
    <w:semiHidden/>
    <w:unhideWhenUsed/>
    <w:rsid w:val="00D5539C"/>
    <w:rPr>
      <w:sz w:val="16"/>
      <w:szCs w:val="16"/>
    </w:rPr>
  </w:style>
  <w:style w:type="paragraph" w:styleId="Objetducommentaire">
    <w:name w:val="annotation subject"/>
    <w:basedOn w:val="Commentaire"/>
    <w:next w:val="Commentaire"/>
    <w:link w:val="ObjetducommentaireCar"/>
    <w:uiPriority w:val="99"/>
    <w:semiHidden/>
    <w:unhideWhenUsed/>
    <w:rsid w:val="00BA57C4"/>
    <w:rPr>
      <w:b/>
      <w:bCs/>
      <w:sz w:val="24"/>
      <w:szCs w:val="22"/>
    </w:rPr>
  </w:style>
  <w:style w:type="character" w:customStyle="1" w:styleId="ObjetducommentaireCar">
    <w:name w:val="Objet du commentaire Car"/>
    <w:basedOn w:val="CommentaireCar"/>
    <w:link w:val="Objetducommentaire"/>
    <w:uiPriority w:val="99"/>
    <w:semiHidden/>
    <w:rsid w:val="00BA57C4"/>
    <w:rPr>
      <w:rFonts w:ascii="Calibri" w:eastAsia="Times New Roman" w:hAnsi="Calibri" w:cs="Times New Roman"/>
      <w:b/>
      <w:bCs/>
      <w:sz w:val="24"/>
      <w:szCs w:val="20"/>
      <w:lang w:val="de-AT" w:eastAsia="de-AT"/>
    </w:rPr>
  </w:style>
  <w:style w:type="paragraph" w:styleId="Rvision">
    <w:name w:val="Revision"/>
    <w:hidden/>
    <w:uiPriority w:val="99"/>
    <w:semiHidden/>
    <w:rsid w:val="00F65009"/>
    <w:pPr>
      <w:spacing w:after="0" w:line="240" w:lineRule="auto"/>
    </w:pPr>
    <w:rPr>
      <w:rFonts w:ascii="Calibri" w:eastAsia="Times New Roman" w:hAnsi="Calibri" w:cs="Times New Roman"/>
      <w:sz w:val="24"/>
    </w:rPr>
  </w:style>
  <w:style w:type="paragraph" w:styleId="Notedebasdepage">
    <w:name w:val="footnote text"/>
    <w:basedOn w:val="Normal"/>
    <w:link w:val="NotedebasdepageCar"/>
    <w:uiPriority w:val="99"/>
    <w:unhideWhenUsed/>
    <w:rsid w:val="00C80B29"/>
    <w:rPr>
      <w:szCs w:val="24"/>
    </w:rPr>
  </w:style>
  <w:style w:type="character" w:customStyle="1" w:styleId="NotedebasdepageCar">
    <w:name w:val="Note de bas de page Car"/>
    <w:basedOn w:val="Policepardfaut"/>
    <w:link w:val="Notedebasdepage"/>
    <w:uiPriority w:val="99"/>
    <w:rsid w:val="00C80B29"/>
    <w:rPr>
      <w:rFonts w:ascii="Calibri" w:eastAsia="Times New Roman" w:hAnsi="Calibri" w:cs="Times New Roman"/>
      <w:sz w:val="24"/>
      <w:szCs w:val="24"/>
    </w:rPr>
  </w:style>
  <w:style w:type="character" w:styleId="Appelnotedebasdep">
    <w:name w:val="footnote reference"/>
    <w:basedOn w:val="Policepardfaut"/>
    <w:uiPriority w:val="99"/>
    <w:unhideWhenUsed/>
    <w:rsid w:val="00C80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it/web/lang-migrants/repertoire-langu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int/en/web/lang-migrants/key-te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einheit-57-sprache-in-realen-situationen-uben-sprachunterstutzung-fur-/16807617a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m.coe.int/einheit-56-aktivitaten-zur-sprachunterstutzung-in-der-gemeinde-oder-de/16807617a5" TargetMode="External"/><Relationship Id="rId4" Type="http://schemas.openxmlformats.org/officeDocument/2006/relationships/settings" Target="settings.xml"/><Relationship Id="rId9" Type="http://schemas.openxmlformats.org/officeDocument/2006/relationships/hyperlink" Target="http://rm.coe.int/einheit-38-mein-sprachenportrat-reflexionsubung-fur-fluchtlinge-sprach/168076178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8AEE-8153-4475-B70F-9F2028A5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1222</Words>
  <Characters>6721</Characters>
  <Application>Microsoft Office Word</Application>
  <DocSecurity>0</DocSecurity>
  <Lines>56</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5</cp:revision>
  <cp:lastPrinted>2017-03-14T17:41:00Z</cp:lastPrinted>
  <dcterms:created xsi:type="dcterms:W3CDTF">2017-10-23T14:09:00Z</dcterms:created>
  <dcterms:modified xsi:type="dcterms:W3CDTF">2017-11-07T12:47:00Z</dcterms:modified>
</cp:coreProperties>
</file>