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A" w:rsidRPr="00901F96" w:rsidRDefault="0007336A">
      <w:pPr>
        <w:rPr>
          <w:lang w:val="uk-UA"/>
        </w:rPr>
      </w:pPr>
    </w:p>
    <w:p w:rsidR="0007336A" w:rsidRPr="00901F96" w:rsidRDefault="00512FEA" w:rsidP="0007336A">
      <w:pPr>
        <w:rPr>
          <w:lang w:val="uk-UA"/>
        </w:rPr>
      </w:pPr>
      <w:r w:rsidRPr="00901F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2F5A3" wp14:editId="1B964BCE">
                <wp:simplePos x="0" y="0"/>
                <wp:positionH relativeFrom="column">
                  <wp:posOffset>4499454</wp:posOffset>
                </wp:positionH>
                <wp:positionV relativeFrom="paragraph">
                  <wp:posOffset>115570</wp:posOffset>
                </wp:positionV>
                <wp:extent cx="15240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6A" w:rsidRPr="00512FEA" w:rsidRDefault="0007336A" w:rsidP="00AD23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pt;margin-top:9.1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pL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" filled="f" stroked="f">
                <v:textbox>
                  <w:txbxContent>
                    <w:p w:rsidR="0007336A" w:rsidRPr="00512FEA" w:rsidRDefault="0007336A" w:rsidP="00AD23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36A" w:rsidRPr="00901F96" w:rsidRDefault="0007336A" w:rsidP="0007336A">
      <w:pPr>
        <w:rPr>
          <w:lang w:val="uk-UA"/>
        </w:rPr>
      </w:pPr>
    </w:p>
    <w:p w:rsidR="005301AE" w:rsidRPr="00901F96" w:rsidRDefault="005301AE" w:rsidP="0007336A">
      <w:pPr>
        <w:rPr>
          <w:lang w:val="uk-UA"/>
        </w:rPr>
      </w:pPr>
    </w:p>
    <w:p w:rsidR="005301AE" w:rsidRPr="00901F96" w:rsidRDefault="005301AE" w:rsidP="005301AE">
      <w:pPr>
        <w:jc w:val="center"/>
        <w:rPr>
          <w:b/>
          <w:color w:val="000000" w:themeColor="text1"/>
          <w:lang w:val="uk-UA"/>
        </w:rPr>
      </w:pPr>
      <w:r w:rsidRPr="00901F96">
        <w:rPr>
          <w:b/>
          <w:color w:val="000000" w:themeColor="text1"/>
          <w:lang w:val="uk-UA"/>
        </w:rPr>
        <w:t>ТЕХНІЧНЕ ЗАВДАННЯ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51"/>
        <w:gridCol w:w="7896"/>
      </w:tblGrid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Тендер №</w:t>
            </w:r>
          </w:p>
        </w:tc>
        <w:tc>
          <w:tcPr>
            <w:tcW w:w="7896" w:type="dxa"/>
          </w:tcPr>
          <w:p w:rsidR="005301AE" w:rsidRPr="00901F96" w:rsidRDefault="00533E69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8419/2017/1 від 3 травня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2017 р. </w:t>
            </w: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7896" w:type="dxa"/>
          </w:tcPr>
          <w:p w:rsidR="005301AE" w:rsidRPr="00901F96" w:rsidRDefault="005301AE" w:rsidP="00533E69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Організація </w:t>
            </w:r>
            <w:r w:rsidR="00533E69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каскадних тренінгів для юристів – працівників  бюро правової допомоги та працівників відділів представництва  місцевих центрів з надання безоплатної вторинної правової допомоги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Місце </w:t>
            </w:r>
            <w:r w:rsidR="00533E69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та дати 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7896" w:type="dxa"/>
          </w:tcPr>
          <w:p w:rsidR="005301AE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Кривий Ріг (1 тренінг – 03/06/2017)</w:t>
            </w:r>
          </w:p>
          <w:p w:rsidR="00533E69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Дніпро (4 тренінги – 03/06/2017, 17/06/2017, 24/06/2017, 01/07/2017)</w:t>
            </w:r>
          </w:p>
          <w:p w:rsidR="00533E69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Біла церква ( 1 тренінг – 10/06/2017)</w:t>
            </w:r>
          </w:p>
          <w:p w:rsidR="00533E69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Київ (3 трені</w:t>
            </w:r>
            <w:r w:rsidR="00DA4D4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нги – 24/06/2017, 24/06/2017, 08</w:t>
            </w:r>
            <w:bookmarkStart w:id="0" w:name="_GoBack"/>
            <w:bookmarkEnd w:id="0"/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/07/2017)</w:t>
            </w:r>
          </w:p>
          <w:p w:rsidR="00533E69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Севєродонецьк (1 тренінг – 10/06/2017)</w:t>
            </w:r>
          </w:p>
          <w:p w:rsidR="00533E69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Святогірськ ( 1 тренінг – 17/06/2017)</w:t>
            </w: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896" w:type="dxa"/>
          </w:tcPr>
          <w:p w:rsidR="005301AE" w:rsidRPr="00901F96" w:rsidRDefault="00533E69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03/06/2017 </w:t>
            </w:r>
            <w:r w:rsidR="006B59C2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B59C2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08/07/2017</w:t>
            </w: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Детальний опис послуг</w:t>
            </w:r>
          </w:p>
        </w:tc>
        <w:tc>
          <w:tcPr>
            <w:tcW w:w="7896" w:type="dxa"/>
          </w:tcPr>
          <w:p w:rsidR="005301AE" w:rsidRPr="00901F96" w:rsidRDefault="006B59C2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Проект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Ради Європи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«Посилення захисту прав внутрішньо переміщених осіб в Україні»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(надалі «Проект»), що здійснюється в рамках Плану Дій Ради Європи для України на 2015-2017 роки, спрямовує свою діяльність на вдосконалення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існуючої системи </w:t>
            </w:r>
            <w:r w:rsidR="00532354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механізмів</w:t>
            </w:r>
            <w:r w:rsidR="00BA785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захисту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прав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внутрішньо переміщених осіб (ВПО) у відповідності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 європейськими та </w:t>
            </w:r>
            <w:r w:rsidR="00532354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міжнародними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стандартами.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 рамках діяльності Проекту, Рада Європи доручає Постачальнику послуг організувати 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11 каскадних тренінгів для юристів – працівників  бюро правової допомоги та працівників відділів представництва  місцевих центрів з надання безоплатної вторинної правової допомоги в період липень – червень 2017р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shd w:val="clear" w:color="auto" w:fill="1F497D" w:themeFill="text2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D34D5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учасників: </w:t>
            </w:r>
            <w:r w:rsidR="00532354" w:rsidRPr="00DA4D4C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22 </w:t>
            </w:r>
            <w:r w:rsidR="0053235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особи на кожному трен</w:t>
            </w:r>
            <w:r w:rsidR="0053235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інгу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Тривалість: </w:t>
            </w:r>
            <w:r w:rsidR="005D34D5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11 одноденних тренінгів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 послуг має запропонувати повний пакет послуг з організації проведення заходу, що включає наступне: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C00000"/>
                <w:sz w:val="24"/>
                <w:szCs w:val="24"/>
                <w:lang w:val="uk-UA"/>
              </w:rPr>
              <w:t>ВАЖЛИВО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Постачальник послуг має запропонувати в своїх пропозиціях варіанти місця проведення 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тренінгів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, які відповідають наступним вимогам та загальним критеріям: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Форум буде проводитися в готелі/готельному комплексі категорії 3-4*, який може 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забезпечити мешкання учасників, місце для проведення </w:t>
            </w:r>
            <w:r w:rsidR="005D34D5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конференції, мати можливість забезпечити харчування.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одночасно приймати до 100-120 осіб протягом 4 днів та забезпечити відповідні розміщення, харчування, та відмінні конференц-послуги. На час проведення</w:t>
            </w:r>
            <w:r w:rsidR="001C21C0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готель має надати конференц залу для 25 осіб з розсадкою окремими столами по 4-5 осіб, ресторан для обіду, місце для кава брейків.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Готель/Готельний комплекс має бути (бажано) розташований в </w:t>
            </w:r>
            <w:r w:rsidR="001C21C0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центрі міста.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Наявність інфраструктури громадського транспорту бажана, але не є головним критерієм у визначенні місця проведення заходу.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a. Готель/Готельний комплекс (проживання та проведення </w:t>
            </w:r>
            <w:r w:rsidR="001C21C0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тренінгів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). </w:t>
            </w:r>
          </w:p>
          <w:p w:rsidR="005301AE" w:rsidRPr="00901F96" w:rsidRDefault="001C21C0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Номери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 (вартість номеру має включати сніданок) категорії стандарт повинні мати сучасну сантехніку, кондиціонер, Вай-Фай та телевізор в кімнаті, бути сучасного дизайну та комфортні (не радянських часів). Вартість проживання буде сплачуватися Постачальником послуг, якщо співробітниками Проекту не буде додатково зазначено інше.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б. Харчування.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Готель/готельний комплекс мають забезпечити </w:t>
            </w:r>
            <w:r w:rsidR="001C21C0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кава-брейки, вечері, обіди згідно дат тп кількості учасників, зазначених в  формі для коншторису.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  <w:p w:rsidR="005301AE" w:rsidRPr="00901F96" w:rsidRDefault="005301AE" w:rsidP="001C21C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1C21C0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обіди (суп, салат, основне блюдо, 1 напій на особу)</w:t>
            </w:r>
          </w:p>
          <w:p w:rsidR="001C21C0" w:rsidRDefault="001C21C0" w:rsidP="001C21C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 вече</w:t>
            </w:r>
            <w:r w:rsidR="00901F96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ря (салат, основне блюдо, 1 напій на особу)</w:t>
            </w:r>
          </w:p>
          <w:p w:rsidR="00901F96" w:rsidRDefault="00901F96" w:rsidP="001C21C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 стандартна кава пауза (кава/чай, випічка або печиво)</w:t>
            </w:r>
          </w:p>
          <w:p w:rsidR="00901F96" w:rsidRPr="00901F96" w:rsidRDefault="00901F96" w:rsidP="001C21C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 посилена кава-пауза (з канапе, випічкою, чаєм, кавою)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 мінеральна вода (без газу, 0,5л п</w:t>
            </w:r>
            <w:r w:rsid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ластик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) має стояти кожен день на столах разом із стаканами в кожному конференц-залі. (з розрахунку приблизно 2 бутилки на особу/на день).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в. Оренда конференц-зали та технічне обладнання.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Готель/готельний комплекс на час проведення </w:t>
            </w:r>
            <w:r w:rsid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тренінгів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має забезпечити наявність наступних коференц-послуг:</w:t>
            </w:r>
          </w:p>
          <w:p w:rsidR="005301AE" w:rsidRDefault="005301AE" w:rsidP="005301AE">
            <w:pPr>
              <w:numPr>
                <w:ilvl w:val="0"/>
                <w:numId w:val="10"/>
              </w:numPr>
              <w:ind w:left="39" w:firstLine="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1 простора конференц-зала з меблями (столи та стільці), в якій можуть розміститися </w:t>
            </w:r>
            <w:r w:rsid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25 осіб за окремими столами по 4-5 осіб кожний + президія,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гарним Вай-Файєм та кондиціонерами;</w:t>
            </w:r>
          </w:p>
          <w:p w:rsidR="003A5E75" w:rsidRPr="00901F96" w:rsidRDefault="003A5E75" w:rsidP="005301AE">
            <w:pPr>
              <w:numPr>
                <w:ilvl w:val="0"/>
                <w:numId w:val="10"/>
              </w:numPr>
              <w:ind w:left="39" w:firstLine="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Очікується, що готель/готельний комплекс має в розпорядженні сучасні меблі (пересувні та/або модульні столи та стільці) у достатній кількості для розміщення до </w:t>
            </w:r>
            <w:r w:rsidR="003A5E7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25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осіб одночасно.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Коференц-послуги також включають в себе оренду проектора, екрану,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>ноутбука, пульта перемикання презентацій</w:t>
            </w:r>
            <w:r w:rsidR="003A5E7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фліпчарта з папером та маркерами для кожного заходу.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3A5E75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Г.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Повернення витрат на проїзд учасників.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Сума повернення витрат на проїзд учасникам семінару виплачується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готівкою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Постачальником послуг </w:t>
            </w:r>
            <w:r w:rsidR="003A5E7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протягом заходу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кожному учаснику індивідуально відповідно до фактично понесених витрат під підпис (за оригіналами квитків, що надаватимуться учасниками).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Важливо.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Комісія за компенсацію проїзду учасникам в готівці (якщо є) має не перевищувати 20% та внесена окремим рядком в пропозиціях. Якщо ці витрати не були враховані Постачальником послуг в поданих на участь в тендері пропозиціях та були фактично понесені, Рада Європи відмовляється приймати будь-які претен</w:t>
            </w:r>
            <w:r w:rsidR="003A5E75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ії щодо компенсації цих витрат на стадії фінальних розрахунків з Постачальником послуг. 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3A5E75" w:rsidRDefault="003A5E7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Супровід під час семінару</w:t>
            </w:r>
            <w:r w:rsidR="005301AE"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3A5E75" w:rsidRDefault="003A5E75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забезпечити присутність 1-2 представників компанії під час тренінгів.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Менеджери-представники Постачальника послуг, що супроводжуватимуть захід,  мають бути належним чином вдягнуті (діловий стиль) та бути постійно присутніми на місці під час тривалості заходу. Менеджери відповідають за організацію іменних табличок в президію, реєстрацію учасників, складання та роздавання папок з матеріалами Проекту учасникам,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відмічання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присутності уч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асників кожного дня на семінарі;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зробити розрахунки сум компенсації проїзду кожного учасника та видати їх учасникам в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день заходу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; забезпечувати технічну та організаційну підтримку команді Проекту впродовж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тренінгів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виконувати будь-які завдання або прохання від команди Проекту, які можуть виникнути вже на місці. Вказівники до зали, де проходитиме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тренінг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(в готелі) а також місце реєстрації мають бути належним чином оформлені відповідними табличками з інформацією та логотипами Ради Європи та Конгресу.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представники Постачальника послуг мають обов’язково прибути на місце проведення семінару заздалегідь (м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ати достатньо часу) до початку тренінгу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пересвідчитися та перевірити з готелем усі замовлені послуги. Представники Постачальника послуг залишаються на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місці до офіційного завершення тренінгу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, складають усі матеріали, які потрібно буде повернути назад в офіс Ради Європи в м. Києві.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 також має забезпечити доставку матеріалів проекту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 офісу Ради Європи в Україні (адреса: вул. Іллінська 8, м. Київ, Поділ) до місця проведення заходу та назад в офіс.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Повний перелік очікуваних послуг зазначений у ДОДАТКУ ІІ 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Provisional budget template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до Тендера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8419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/2017/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1 від 3 травня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2017 р.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Оплата</w:t>
            </w:r>
          </w:p>
        </w:tc>
        <w:tc>
          <w:tcPr>
            <w:tcW w:w="7896" w:type="dxa"/>
          </w:tcPr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 виконання Постачальником послуг усіх зобов’язань за контрактом, Рада Європи зобов’язується сплатити Постачальнику послуг суму в ЄВРО або гривнях наступним чином: </w:t>
            </w:r>
          </w:p>
          <w:p w:rsidR="005301AE" w:rsidRPr="00901F96" w:rsidRDefault="005301AE" w:rsidP="005301A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Авансовий платіж в розмірі не більше </w:t>
            </w:r>
            <w:r w:rsidR="00943A6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60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% від загальної вартості послуг, зазначених в контракті;</w:t>
            </w:r>
          </w:p>
          <w:p w:rsidR="005301AE" w:rsidRPr="00901F96" w:rsidRDefault="005301AE" w:rsidP="005301A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Залишок в сумі фактично понесених витрат на проведення заходу буде сплачено протягом 60 календарних днів з дати отримання послуг за контрактом (що зазначені у Додатку ІІ) та їх прийняття Радою Європи та надання відповідного рахунку.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Виключні критерії відбору Постачальників послуг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96" w:type="dxa"/>
          </w:tcPr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мають відповідати наступним критеріям: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Не відбувати покарання за рішенням суду за одним або кількома звинуваченнями, а саме: участь в кримінальних справах, корупційних схемах, шахрайстві, відмиванні грошей,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є в стані банкрутства, ліквідації, закінчення діяльності, неплатоспроможності або заборгованості перед кредиторами та не знаходиться у будь-якій іншій ситуації, що є наслідком цих станів;</w:t>
            </w:r>
          </w:p>
          <w:p w:rsidR="005301AE" w:rsidRPr="00901F96" w:rsidRDefault="005301AE" w:rsidP="005301AE">
            <w:pPr>
              <w:ind w:left="720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отримували рішення суду з «рес юді ката»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5301AE" w:rsidRPr="00901F96" w:rsidRDefault="005301AE" w:rsidP="005301AE">
            <w:pPr>
              <w:ind w:left="720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сумлінно виконують усі зобов’язання щодо усіх державних сплат податків, внесків, відрахувань, тощо у відповідності до законодавства країни, в якій учасник тендеру зареєстрований. 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Критерії відбору Постачальників послуг</w:t>
            </w:r>
          </w:p>
        </w:tc>
        <w:tc>
          <w:tcPr>
            <w:tcW w:w="7896" w:type="dxa"/>
          </w:tcPr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мають відповідати наступним критеріям відбору: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Мати підтверджений досвіт в організації проведення схожих заходів та надання високоякісних послуг з організації подібних заходів (не менше 1 календарного року);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Операційні, 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фінансові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спроможності компанії, а також відповідну кількість співробітників офісу, що свідчить про достатню кількість людських ресурсів, необхідних для проведення заходу.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Критерії оцінки пропозицій від Постачальників послуг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96" w:type="dxa"/>
          </w:tcPr>
          <w:p w:rsidR="005301AE" w:rsidRPr="00901F96" w:rsidRDefault="005301AE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та їх надані пропозиції будуть оцінюватися за наступними критеріями: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Запропоновані варіанти готелів/готельних комплексів для проведення Форуму мають повністю відповідати критеріям та вимогам, що вказані у ТЗ;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Постачальники послуг мають надати цінові пропозиції та рахунки з цінами, 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що вже включають усі додаткові витрати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(комісійні, розмір гонорару або будь-які інші податки не мають бути вказані окремими рядками в пропозиціях). </w:t>
            </w:r>
          </w:p>
          <w:p w:rsidR="005301AE" w:rsidRPr="00901F96" w:rsidRDefault="005301AE" w:rsidP="005301AE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 випадку, якщо Постачальник послуг є платником ПДВ, ПДВ має бути вказаний окремим рядком наступним чином:</w:t>
            </w:r>
          </w:p>
          <w:p w:rsidR="005301AE" w:rsidRPr="00901F96" w:rsidRDefault="005301AE" w:rsidP="005301AE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                      </w:t>
            </w:r>
          </w:p>
          <w:p w:rsidR="005301AE" w:rsidRPr="00901F96" w:rsidRDefault="005301AE" w:rsidP="005301AE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Загальна ціна без ПДВ ………………..XXX</w:t>
            </w:r>
          </w:p>
          <w:p w:rsidR="005301AE" w:rsidRPr="00901F96" w:rsidRDefault="005301AE" w:rsidP="005301AE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ПДВ20% ……………………………………….XXX</w:t>
            </w:r>
          </w:p>
          <w:p w:rsidR="005301AE" w:rsidRPr="00901F96" w:rsidRDefault="005301AE" w:rsidP="005301AE">
            <w:pPr>
              <w:ind w:left="1422"/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Загальна ціна, включаючи ПДВ …XXX</w:t>
            </w:r>
          </w:p>
          <w:p w:rsidR="005301AE" w:rsidRPr="00901F96" w:rsidRDefault="005301AE" w:rsidP="005301AE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Має бути раціональний баланс між якістю та вартістю послуг, що пропонуються кожним запропонованим готелем;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Повністю заповнені усі необхідні документи, а також правильні та точні розрахунки вартості послуг кожної пропозиції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Повністю заповнена Аплікаційна форма та акуратно та правильно заповнена розрахована вартість послуг в кожній пропозиції</w:t>
            </w:r>
          </w:p>
          <w:p w:rsidR="005301AE" w:rsidRPr="00901F96" w:rsidRDefault="005301AE" w:rsidP="005301AE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ind w:left="720"/>
              <w:contextualSpacing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Постачальник послуг має надіслати кожну пропозицію в 2-х форматах: сканована пропозиція в форматі пдв (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на фірмовому бланку, з датою, підписом відповідальної особи, та печаткою організаціі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) та Excel (де вказані розрахунки відповідно до формул, зазначених в 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Provisional Budget Template)</w:t>
            </w: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Усі пропозиції мають бути надіслані до вказаного строку подання. </w:t>
            </w:r>
          </w:p>
          <w:p w:rsidR="005301AE" w:rsidRPr="00901F96" w:rsidRDefault="005301AE" w:rsidP="005301A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Попередній досвід співпраці з Радою Європи є бажаним. </w:t>
            </w: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Тендер опубліковано</w:t>
            </w:r>
          </w:p>
        </w:tc>
        <w:tc>
          <w:tcPr>
            <w:tcW w:w="7896" w:type="dxa"/>
          </w:tcPr>
          <w:p w:rsidR="005301AE" w:rsidRPr="00901F96" w:rsidRDefault="00943A64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3 травня </w:t>
            </w:r>
            <w:r w:rsidR="005301AE"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2017 р.  </w:t>
            </w:r>
          </w:p>
        </w:tc>
      </w:tr>
      <w:tr w:rsidR="005301AE" w:rsidRPr="00901F96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Результати буде повідомлено </w:t>
            </w:r>
          </w:p>
        </w:tc>
        <w:tc>
          <w:tcPr>
            <w:tcW w:w="7896" w:type="dxa"/>
          </w:tcPr>
          <w:p w:rsidR="005301AE" w:rsidRPr="00901F96" w:rsidRDefault="005301AE" w:rsidP="00943A6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943A6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травня 2017 р.   </w:t>
            </w:r>
          </w:p>
        </w:tc>
      </w:tr>
      <w:tr w:rsidR="005301AE" w:rsidRPr="00DA4D4C" w:rsidTr="00533E69">
        <w:tc>
          <w:tcPr>
            <w:tcW w:w="1851" w:type="dxa"/>
          </w:tcPr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Документи для подання для участі в тендері</w:t>
            </w:r>
          </w:p>
        </w:tc>
        <w:tc>
          <w:tcPr>
            <w:tcW w:w="7896" w:type="dxa"/>
          </w:tcPr>
          <w:p w:rsidR="005301AE" w:rsidRPr="00901F96" w:rsidRDefault="005301AE" w:rsidP="005301AE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 xml:space="preserve">Усі пропозиції мають бути надіслані електронною поштою на </w:t>
            </w:r>
            <w:hyperlink r:id="rId9" w:history="1">
              <w:r w:rsidRPr="00901F96">
                <w:rPr>
                  <w:rFonts w:cs="Arial"/>
                  <w:color w:val="0000FF" w:themeColor="hyperlink"/>
                  <w:sz w:val="24"/>
                  <w:szCs w:val="24"/>
                  <w:u w:val="single"/>
                  <w:lang w:val="uk-UA"/>
                </w:rPr>
                <w:t>kyiv@coe.int</w:t>
              </w:r>
            </w:hyperlink>
            <w:r w:rsidRPr="00901F96">
              <w:rPr>
                <w:rFonts w:cs="Arial"/>
                <w:sz w:val="24"/>
                <w:szCs w:val="24"/>
                <w:lang w:val="uk-UA"/>
              </w:rPr>
              <w:t xml:space="preserve">; в темі листа обов’язково вказати </w:t>
            </w:r>
            <w:r w:rsidRPr="00901F96">
              <w:rPr>
                <w:rFonts w:cs="Arial"/>
                <w:b/>
                <w:color w:val="FF0000"/>
                <w:sz w:val="24"/>
                <w:szCs w:val="24"/>
                <w:lang w:val="uk-UA"/>
              </w:rPr>
              <w:t xml:space="preserve">TENDER </w:t>
            </w:r>
            <w:r w:rsidR="00943A64">
              <w:rPr>
                <w:rFonts w:cs="Arial"/>
                <w:b/>
                <w:color w:val="FF0000"/>
                <w:sz w:val="24"/>
                <w:szCs w:val="24"/>
                <w:lang w:val="uk-UA"/>
              </w:rPr>
              <w:t xml:space="preserve">8419/2017/1 </w:t>
            </w:r>
            <w:r w:rsidRPr="00901F96">
              <w:rPr>
                <w:rFonts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Pr="00901F96">
              <w:rPr>
                <w:rFonts w:cs="Arial"/>
                <w:sz w:val="24"/>
                <w:szCs w:val="24"/>
                <w:lang w:val="uk-UA"/>
              </w:rPr>
              <w:t>до</w:t>
            </w:r>
            <w:r w:rsidRPr="00901F96">
              <w:rPr>
                <w:rFonts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943A64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  <w:r w:rsidRPr="00901F96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травня 2017 р. до 23:59 за Київським часом. Цей строк є обов’язковим для дотримання усіма учасниками.</w:t>
            </w:r>
          </w:p>
          <w:p w:rsidR="005301AE" w:rsidRPr="00901F96" w:rsidRDefault="005301AE" w:rsidP="005301AE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Наступні документи мають бути надіслані кожним учасником тендеру: </w:t>
            </w:r>
          </w:p>
          <w:p w:rsidR="005301AE" w:rsidRPr="00901F96" w:rsidRDefault="005301AE" w:rsidP="005301AE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APPENDIX I Tender Application Form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8419/201/1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(аплікаційна 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форма, яка має бути повністю заповлена); </w:t>
            </w:r>
          </w:p>
          <w:p w:rsidR="005301AE" w:rsidRPr="00901F96" w:rsidRDefault="005301AE" w:rsidP="00532354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uk-UA"/>
              </w:rPr>
              <w:t>APPENDIX II Provisional budget template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(Комерційна пропозиція в форматі Excel). Вартість усіх зазначених послуг має бути вказана обов’язково. Комерційна пропозиція має бути надана в двох форматах: в сканованому PDF та в форматі ел. таблички Excel. Кожен документ, що подається в форматі PDF 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має бути на фірмовому бланку учасника тендеру, містити підпис, печатку, дату подання та ім’я та прізвище відповідальної особи</w:t>
            </w: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. Наданий розрахунок має відображати вартість послуг в ЄВРО та гривнях з розрахунку курсу обміну валют Ради Європи, а саме:  </w:t>
            </w:r>
            <w:r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1ЄВРО = </w:t>
            </w:r>
            <w:r w:rsidR="00532354"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28,598728</w:t>
            </w:r>
            <w:r w:rsid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Грн станом на </w:t>
            </w:r>
            <w:r w:rsidR="00532354"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28</w:t>
            </w:r>
            <w:r w:rsidR="00943A64"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/</w:t>
            </w:r>
            <w:r w:rsidR="00532354"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04/</w:t>
            </w:r>
            <w:r w:rsidRPr="0053235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2017 р.</w:t>
            </w:r>
          </w:p>
          <w:p w:rsidR="005301AE" w:rsidRPr="00901F96" w:rsidRDefault="005301AE" w:rsidP="005301AE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5301AE" w:rsidRPr="00901F96" w:rsidRDefault="005301AE" w:rsidP="005301A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901F96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Якщо у Вас виникнуть будь-які питання, будь ласка, звертайтеся </w:t>
            </w:r>
            <w:r w:rsidR="00943A64" w:rsidRP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звертатись до асистентів проекту, </w:t>
            </w:r>
            <w:r w:rsid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43A64" w:rsidRPr="00943A64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Анни Портнової (електронна пошта anna.portnova@coe.int) та Ольги Бучми  olha.buchma@coe.int, або за телефоном +38.044.303.99.14 (внт.145)</w:t>
            </w:r>
          </w:p>
        </w:tc>
      </w:tr>
    </w:tbl>
    <w:p w:rsidR="005301AE" w:rsidRPr="00901F96" w:rsidRDefault="005301AE" w:rsidP="005301AE">
      <w:pPr>
        <w:ind w:firstLine="720"/>
        <w:rPr>
          <w:lang w:val="uk-UA"/>
        </w:rPr>
      </w:pPr>
    </w:p>
    <w:sectPr w:rsidR="005301AE" w:rsidRPr="00901F96" w:rsidSect="006B12E7">
      <w:headerReference w:type="default" r:id="rId10"/>
      <w:pgSz w:w="12240" w:h="15840"/>
      <w:pgMar w:top="1701" w:right="18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34" w:rsidRDefault="00C23B34" w:rsidP="00C23B34">
      <w:pPr>
        <w:spacing w:after="0" w:line="240" w:lineRule="auto"/>
      </w:pPr>
      <w:r>
        <w:separator/>
      </w:r>
    </w:p>
  </w:endnote>
  <w:endnote w:type="continuationSeparator" w:id="0">
    <w:p w:rsidR="00C23B34" w:rsidRDefault="00C23B34" w:rsidP="00C2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34" w:rsidRDefault="00C23B34" w:rsidP="00C23B34">
      <w:pPr>
        <w:spacing w:after="0" w:line="240" w:lineRule="auto"/>
      </w:pPr>
      <w:r>
        <w:separator/>
      </w:r>
    </w:p>
  </w:footnote>
  <w:footnote w:type="continuationSeparator" w:id="0">
    <w:p w:rsidR="00C23B34" w:rsidRDefault="00C23B34" w:rsidP="00C2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4F81BD" w:themeColor="accent1"/>
        <w:lang w:val="ru-RU"/>
      </w:rPr>
      <w:alias w:val="Title"/>
      <w:id w:val="-1049988732"/>
      <w:placeholder>
        <w:docPart w:val="799C59DC22724336B4F40197F8AD9E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3B34" w:rsidRPr="00DD1C49" w:rsidRDefault="00AF662D" w:rsidP="006B12E7">
        <w:pPr>
          <w:pStyle w:val="Header"/>
          <w:tabs>
            <w:tab w:val="clear" w:pos="9360"/>
          </w:tabs>
          <w:ind w:right="2556"/>
          <w:rPr>
            <w:rFonts w:asciiTheme="majorHAnsi" w:eastAsiaTheme="majorEastAsia" w:hAnsiTheme="majorHAnsi" w:cstheme="majorBidi"/>
            <w:b/>
            <w:color w:val="4F81BD" w:themeColor="accent1"/>
            <w:lang w:val="ru-RU"/>
          </w:rPr>
        </w:pPr>
        <w:r w:rsidRPr="00DA4D4C">
          <w:rPr>
            <w:rFonts w:asciiTheme="majorHAnsi" w:eastAsiaTheme="majorEastAsia" w:hAnsiTheme="majorHAnsi" w:cstheme="majorBidi"/>
            <w:b/>
            <w:color w:val="4F81BD" w:themeColor="accent1"/>
            <w:lang w:val="ru-RU"/>
          </w:rPr>
          <w:t>ОФІС РАДИ ЄВРОПИ В УКРАЇНІ                                                              ПРОЕКТ «ПОСИЛЕННЯ ЗАХИСТУ ПРАВ ЛЮДИНИ                     ВНУТРІШНЬО ПЕРЕМІЩЕНИХ ОСІБ В УКРАЇНІ»</w:t>
        </w:r>
      </w:p>
    </w:sdtContent>
  </w:sdt>
  <w:p w:rsidR="00C23B34" w:rsidRPr="00DA4D4C" w:rsidRDefault="005301AE" w:rsidP="00C23B34">
    <w:pPr>
      <w:pStyle w:val="Header"/>
      <w:rPr>
        <w:lang w:val="ru-RU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A7E11" wp14:editId="005345DF">
              <wp:simplePos x="0" y="0"/>
              <wp:positionH relativeFrom="leftMargin">
                <wp:posOffset>568960</wp:posOffset>
              </wp:positionH>
              <wp:positionV relativeFrom="page">
                <wp:posOffset>361950</wp:posOffset>
              </wp:positionV>
              <wp:extent cx="90805" cy="517525"/>
              <wp:effectExtent l="0" t="0" r="23495" b="1587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17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72" o:spid="_x0000_s1026" style="position:absolute;margin-left:44.8pt;margin-top:28.5pt;width:7.1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" fillcolor="#4f81bd [3204]" strokecolor="#76923c [2406]">
              <w10:wrap anchorx="margin" anchory="page"/>
            </v:rect>
          </w:pict>
        </mc:Fallback>
      </mc:AlternateContent>
    </w:r>
    <w:r w:rsidR="006B12E7">
      <w:rPr>
        <w:noProof/>
      </w:rPr>
      <w:drawing>
        <wp:anchor distT="0" distB="0" distL="114300" distR="114300" simplePos="0" relativeHeight="251662336" behindDoc="0" locked="0" layoutInCell="1" allowOverlap="1" wp14:anchorId="2A027717" wp14:editId="3B9F8552">
          <wp:simplePos x="0" y="0"/>
          <wp:positionH relativeFrom="margin">
            <wp:posOffset>4418330</wp:posOffset>
          </wp:positionH>
          <wp:positionV relativeFrom="margin">
            <wp:posOffset>-1128395</wp:posOffset>
          </wp:positionV>
          <wp:extent cx="1533525" cy="1238250"/>
          <wp:effectExtent l="0" t="0" r="0" b="0"/>
          <wp:wrapSquare wrapText="bothSides"/>
          <wp:docPr id="2" name="Picture 2" descr="D:\Сорока Юлія\открытки\Логотипи\COE-Logo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Сорока Юлія\открытки\Логотипи\COE-Logo-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B34" w:rsidRPr="0007336A">
      <w:rPr>
        <w:rFonts w:asciiTheme="majorHAnsi" w:eastAsiaTheme="majorEastAsia" w:hAnsiTheme="majorHAnsi" w:cstheme="majorBidi"/>
        <w:noProof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25A"/>
    <w:multiLevelType w:val="hybridMultilevel"/>
    <w:tmpl w:val="89B0C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64BA"/>
    <w:multiLevelType w:val="hybridMultilevel"/>
    <w:tmpl w:val="070CB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3C10"/>
    <w:multiLevelType w:val="hybridMultilevel"/>
    <w:tmpl w:val="C6D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3FE2"/>
    <w:multiLevelType w:val="hybridMultilevel"/>
    <w:tmpl w:val="2F9E4338"/>
    <w:lvl w:ilvl="0" w:tplc="4560E8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1064F"/>
    <w:multiLevelType w:val="hybridMultilevel"/>
    <w:tmpl w:val="141E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509"/>
    <w:multiLevelType w:val="hybridMultilevel"/>
    <w:tmpl w:val="7A7EC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34"/>
    <w:rsid w:val="00041E9C"/>
    <w:rsid w:val="0007336A"/>
    <w:rsid w:val="00151328"/>
    <w:rsid w:val="001C21C0"/>
    <w:rsid w:val="00277BC2"/>
    <w:rsid w:val="002A531E"/>
    <w:rsid w:val="00321BFF"/>
    <w:rsid w:val="003A03A8"/>
    <w:rsid w:val="003A5E75"/>
    <w:rsid w:val="003D3FB4"/>
    <w:rsid w:val="00493F44"/>
    <w:rsid w:val="0050167E"/>
    <w:rsid w:val="00512FEA"/>
    <w:rsid w:val="005301AE"/>
    <w:rsid w:val="00532354"/>
    <w:rsid w:val="00533E69"/>
    <w:rsid w:val="005D34D5"/>
    <w:rsid w:val="006B12E7"/>
    <w:rsid w:val="006B59C2"/>
    <w:rsid w:val="00735F3E"/>
    <w:rsid w:val="00901F96"/>
    <w:rsid w:val="00943A64"/>
    <w:rsid w:val="00AF662D"/>
    <w:rsid w:val="00BA7855"/>
    <w:rsid w:val="00C23B34"/>
    <w:rsid w:val="00D47294"/>
    <w:rsid w:val="00DA4D4C"/>
    <w:rsid w:val="00DD1C49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34"/>
  </w:style>
  <w:style w:type="paragraph" w:styleId="Footer">
    <w:name w:val="footer"/>
    <w:basedOn w:val="Normal"/>
    <w:link w:val="FooterChar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3B34"/>
  </w:style>
  <w:style w:type="character" w:customStyle="1" w:styleId="Heading1Char">
    <w:name w:val="Heading 1 Char"/>
    <w:basedOn w:val="DefaultParagraphFont"/>
    <w:link w:val="Heading1"/>
    <w:uiPriority w:val="9"/>
    <w:rsid w:val="00C2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7336A"/>
    <w:rPr>
      <w:rFonts w:eastAsiaTheme="minorEastAsia"/>
      <w:lang w:eastAsia="ja-JP"/>
    </w:rPr>
  </w:style>
  <w:style w:type="character" w:styleId="Hyperlink">
    <w:name w:val="Hyperlink"/>
    <w:rsid w:val="0007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294"/>
    <w:pPr>
      <w:ind w:left="720"/>
      <w:contextualSpacing/>
    </w:pPr>
  </w:style>
  <w:style w:type="table" w:styleId="TableGrid">
    <w:name w:val="Table Grid"/>
    <w:basedOn w:val="TableNormal"/>
    <w:uiPriority w:val="59"/>
    <w:rsid w:val="005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34"/>
  </w:style>
  <w:style w:type="paragraph" w:styleId="Footer">
    <w:name w:val="footer"/>
    <w:basedOn w:val="Normal"/>
    <w:link w:val="FooterChar"/>
    <w:unhideWhenUsed/>
    <w:rsid w:val="00C2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3B34"/>
  </w:style>
  <w:style w:type="character" w:customStyle="1" w:styleId="Heading1Char">
    <w:name w:val="Heading 1 Char"/>
    <w:basedOn w:val="DefaultParagraphFont"/>
    <w:link w:val="Heading1"/>
    <w:uiPriority w:val="9"/>
    <w:rsid w:val="00C2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7336A"/>
    <w:rPr>
      <w:rFonts w:eastAsiaTheme="minorEastAsia"/>
      <w:lang w:eastAsia="ja-JP"/>
    </w:rPr>
  </w:style>
  <w:style w:type="character" w:styleId="Hyperlink">
    <w:name w:val="Hyperlink"/>
    <w:rsid w:val="0007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294"/>
    <w:pPr>
      <w:ind w:left="720"/>
      <w:contextualSpacing/>
    </w:pPr>
  </w:style>
  <w:style w:type="table" w:styleId="TableGrid">
    <w:name w:val="Table Grid"/>
    <w:basedOn w:val="TableNormal"/>
    <w:uiPriority w:val="59"/>
    <w:rsid w:val="0053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yiv@coe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C59DC22724336B4F40197F8AD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2DB2-1A92-461C-B38E-24F08D800735}"/>
      </w:docPartPr>
      <w:docPartBody>
        <w:p w:rsidR="00923D07" w:rsidRDefault="00D71AB3" w:rsidP="00D71AB3">
          <w:pPr>
            <w:pStyle w:val="799C59DC22724336B4F40197F8AD9E69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B3"/>
    <w:rsid w:val="00923D07"/>
    <w:rsid w:val="00D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31A0A0E9044C2ACE0AE6824B8AAEB">
    <w:name w:val="92231A0A0E9044C2ACE0AE6824B8AAEB"/>
    <w:rsid w:val="00D71AB3"/>
  </w:style>
  <w:style w:type="paragraph" w:customStyle="1" w:styleId="799C59DC22724336B4F40197F8AD9E69">
    <w:name w:val="799C59DC22724336B4F40197F8AD9E69"/>
    <w:rsid w:val="00D71AB3"/>
  </w:style>
  <w:style w:type="paragraph" w:customStyle="1" w:styleId="AF70905862474716BAC5BB519511C314">
    <w:name w:val="AF70905862474716BAC5BB519511C314"/>
    <w:rsid w:val="00D7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31A0A0E9044C2ACE0AE6824B8AAEB">
    <w:name w:val="92231A0A0E9044C2ACE0AE6824B8AAEB"/>
    <w:rsid w:val="00D71AB3"/>
  </w:style>
  <w:style w:type="paragraph" w:customStyle="1" w:styleId="799C59DC22724336B4F40197F8AD9E69">
    <w:name w:val="799C59DC22724336B4F40197F8AD9E69"/>
    <w:rsid w:val="00D71AB3"/>
  </w:style>
  <w:style w:type="paragraph" w:customStyle="1" w:styleId="AF70905862474716BAC5BB519511C314">
    <w:name w:val="AF70905862474716BAC5BB519511C314"/>
    <w:rsid w:val="00D7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1F9-69A4-4E44-801D-12AEAD9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ОФІС РАДИ ЄВРОПИ В УКРАЇНІ                                                              ПРОЕКТ «ПОСИЛЕННЯ ЗАХИСТУ ПРАВ ЛЮДИНИ                     ВНУТРІШНЬО ПЕРЕМІЩЕНИХ ОСІБ В УКРАЇНІ»</vt:lpstr>
    </vt:vector>
  </TitlesOfParts>
  <Company>Council of Europe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ОФІС РАДИ ЄВРОПИ В УКРАЇНІ                                                              ПРОЕКТ «ПОСИЛЕННЯ ЗАХИСТУ ПРАВ ЛЮДИНИ                     ВНУТРІШНЬО ПЕРЕМІЩЕНИХ ОСІБ В УКРАЇНІ»</dc:title>
  <dc:creator>SVAVOLYA Iryna</dc:creator>
  <cp:lastModifiedBy>LYTVYNIUK Olga</cp:lastModifiedBy>
  <cp:revision>6</cp:revision>
  <dcterms:created xsi:type="dcterms:W3CDTF">2017-04-27T13:43:00Z</dcterms:created>
  <dcterms:modified xsi:type="dcterms:W3CDTF">2017-05-05T13:31:00Z</dcterms:modified>
</cp:coreProperties>
</file>