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36A" w:rsidRPr="00901F96" w:rsidRDefault="0007336A">
      <w:pPr>
        <w:rPr>
          <w:lang w:val="uk-UA"/>
        </w:rPr>
      </w:pPr>
    </w:p>
    <w:p w:rsidR="0007336A" w:rsidRPr="00901F96" w:rsidRDefault="00512FEA" w:rsidP="0007336A">
      <w:pPr>
        <w:rPr>
          <w:lang w:val="uk-UA"/>
        </w:rPr>
      </w:pPr>
      <w:r w:rsidRPr="00901F9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02F5A3" wp14:editId="1B964BCE">
                <wp:simplePos x="0" y="0"/>
                <wp:positionH relativeFrom="column">
                  <wp:posOffset>4499454</wp:posOffset>
                </wp:positionH>
                <wp:positionV relativeFrom="paragraph">
                  <wp:posOffset>115570</wp:posOffset>
                </wp:positionV>
                <wp:extent cx="1524000" cy="3048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36A" w:rsidRPr="00512FEA" w:rsidRDefault="0007336A" w:rsidP="00AD236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4.3pt;margin-top:9.1pt;width:120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ypLtgIAALk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" filled="f" stroked="f">
                <v:textbox>
                  <w:txbxContent>
                    <w:p w:rsidR="0007336A" w:rsidRPr="00512FEA" w:rsidRDefault="0007336A" w:rsidP="00AD236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336A" w:rsidRPr="00901F96" w:rsidRDefault="0007336A" w:rsidP="0007336A">
      <w:pPr>
        <w:rPr>
          <w:lang w:val="uk-UA"/>
        </w:rPr>
      </w:pPr>
    </w:p>
    <w:p w:rsidR="005301AE" w:rsidRPr="00901F96" w:rsidRDefault="005301AE" w:rsidP="0007336A">
      <w:pPr>
        <w:rPr>
          <w:lang w:val="uk-UA"/>
        </w:rPr>
      </w:pPr>
    </w:p>
    <w:p w:rsidR="005301AE" w:rsidRPr="00901F96" w:rsidRDefault="005301AE" w:rsidP="005301AE">
      <w:pPr>
        <w:jc w:val="center"/>
        <w:rPr>
          <w:b/>
          <w:color w:val="000000" w:themeColor="text1"/>
          <w:lang w:val="uk-UA"/>
        </w:rPr>
      </w:pPr>
      <w:r w:rsidRPr="00901F96">
        <w:rPr>
          <w:b/>
          <w:color w:val="000000" w:themeColor="text1"/>
          <w:lang w:val="uk-UA"/>
        </w:rPr>
        <w:t>ТЕХНІЧНЕ ЗАВДАННЯ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851"/>
        <w:gridCol w:w="7896"/>
      </w:tblGrid>
      <w:tr w:rsidR="005301AE" w:rsidRPr="00901F96" w:rsidTr="00533E69">
        <w:tc>
          <w:tcPr>
            <w:tcW w:w="1851" w:type="dxa"/>
          </w:tcPr>
          <w:p w:rsidR="005301AE" w:rsidRPr="00901F96" w:rsidRDefault="005301AE" w:rsidP="005301AE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</w:pPr>
            <w:r w:rsidRPr="00901F96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>Тендер №</w:t>
            </w:r>
          </w:p>
        </w:tc>
        <w:tc>
          <w:tcPr>
            <w:tcW w:w="7896" w:type="dxa"/>
          </w:tcPr>
          <w:p w:rsidR="005301AE" w:rsidRPr="00901F96" w:rsidRDefault="00533E69" w:rsidP="005301AE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</w:pPr>
            <w:r w:rsidRPr="00901F96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 xml:space="preserve">8419/2017/1 від 3 травня </w:t>
            </w:r>
            <w:r w:rsidR="005301AE" w:rsidRPr="00901F96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 xml:space="preserve">2017 р. </w:t>
            </w:r>
          </w:p>
        </w:tc>
      </w:tr>
      <w:tr w:rsidR="005301AE" w:rsidRPr="00DA4D4C" w:rsidTr="00533E69">
        <w:tc>
          <w:tcPr>
            <w:tcW w:w="1851" w:type="dxa"/>
          </w:tcPr>
          <w:p w:rsidR="005301AE" w:rsidRPr="00901F96" w:rsidRDefault="005301AE" w:rsidP="005301AE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</w:pPr>
            <w:r w:rsidRPr="00901F96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>Послуги</w:t>
            </w:r>
          </w:p>
        </w:tc>
        <w:tc>
          <w:tcPr>
            <w:tcW w:w="7896" w:type="dxa"/>
          </w:tcPr>
          <w:p w:rsidR="005301AE" w:rsidRPr="00901F96" w:rsidRDefault="005301AE" w:rsidP="00533E69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Організація </w:t>
            </w:r>
            <w:r w:rsidR="00533E69"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каскадних тренінгів для юристів – працівників  бюро правової допомоги та працівників відділів представництва  місцевих центрів з надання безоплатної вторинної правової допомоги</w:t>
            </w: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5301AE" w:rsidRPr="00901F96" w:rsidTr="00533E69">
        <w:tc>
          <w:tcPr>
            <w:tcW w:w="1851" w:type="dxa"/>
          </w:tcPr>
          <w:p w:rsidR="005301AE" w:rsidRPr="00901F96" w:rsidRDefault="005301AE" w:rsidP="005301AE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</w:pPr>
            <w:r w:rsidRPr="00901F96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 xml:space="preserve">Місце </w:t>
            </w:r>
            <w:r w:rsidR="00533E69" w:rsidRPr="00901F96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 xml:space="preserve"> та дати </w:t>
            </w:r>
            <w:r w:rsidRPr="00901F96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>проведення</w:t>
            </w:r>
          </w:p>
        </w:tc>
        <w:tc>
          <w:tcPr>
            <w:tcW w:w="7896" w:type="dxa"/>
          </w:tcPr>
          <w:p w:rsidR="005301AE" w:rsidRPr="00901F96" w:rsidRDefault="00533E69" w:rsidP="005301AE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Кривий Ріг (1 тренінг – 03/06/2017)</w:t>
            </w:r>
          </w:p>
          <w:p w:rsidR="00533E69" w:rsidRPr="00901F96" w:rsidRDefault="00533E69" w:rsidP="005301AE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Дніпро (4 тренінги – 03/06/2017, 17/06/2017, 24/06/2017, 01/07/2017)</w:t>
            </w:r>
          </w:p>
          <w:p w:rsidR="00533E69" w:rsidRPr="00901F96" w:rsidRDefault="00533E69" w:rsidP="005301AE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Біла церква ( 1 тренінг – 10/06/2017)</w:t>
            </w:r>
          </w:p>
          <w:p w:rsidR="00533E69" w:rsidRPr="00901F96" w:rsidRDefault="00533E69" w:rsidP="005301AE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Київ (3 трені</w:t>
            </w:r>
            <w:r w:rsidR="00DA4D4C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нги – 24/06/2017, 24/06/2017, 08</w:t>
            </w:r>
            <w:bookmarkStart w:id="0" w:name="_GoBack"/>
            <w:bookmarkEnd w:id="0"/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/07/2017)</w:t>
            </w:r>
          </w:p>
          <w:p w:rsidR="00533E69" w:rsidRPr="00901F96" w:rsidRDefault="00533E69" w:rsidP="005301AE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Севєродонецьк (1 тренінг – 10/06/2017)</w:t>
            </w:r>
          </w:p>
          <w:p w:rsidR="00533E69" w:rsidRPr="00901F96" w:rsidRDefault="00533E69" w:rsidP="005301AE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Святогірськ ( 1 тренінг – 17/06/2017)</w:t>
            </w:r>
          </w:p>
        </w:tc>
      </w:tr>
      <w:tr w:rsidR="005301AE" w:rsidRPr="00901F96" w:rsidTr="00533E69">
        <w:tc>
          <w:tcPr>
            <w:tcW w:w="1851" w:type="dxa"/>
          </w:tcPr>
          <w:p w:rsidR="005301AE" w:rsidRPr="00901F96" w:rsidRDefault="005301AE" w:rsidP="005301AE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</w:pPr>
            <w:r w:rsidRPr="00901F96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7896" w:type="dxa"/>
          </w:tcPr>
          <w:p w:rsidR="005301AE" w:rsidRPr="00901F96" w:rsidRDefault="00533E69" w:rsidP="005301AE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03/06/2017 </w:t>
            </w:r>
            <w:r w:rsidR="006B59C2"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–</w:t>
            </w: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6B59C2"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08/07/2017</w:t>
            </w:r>
          </w:p>
        </w:tc>
      </w:tr>
      <w:tr w:rsidR="005301AE" w:rsidRPr="00DA4D4C" w:rsidTr="00533E69">
        <w:tc>
          <w:tcPr>
            <w:tcW w:w="1851" w:type="dxa"/>
          </w:tcPr>
          <w:p w:rsidR="005301AE" w:rsidRPr="00901F96" w:rsidRDefault="005301AE" w:rsidP="005301AE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</w:pPr>
            <w:r w:rsidRPr="00901F96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>Детальний опис послуг</w:t>
            </w:r>
          </w:p>
        </w:tc>
        <w:tc>
          <w:tcPr>
            <w:tcW w:w="7896" w:type="dxa"/>
          </w:tcPr>
          <w:p w:rsidR="005301AE" w:rsidRPr="00901F96" w:rsidRDefault="006B59C2" w:rsidP="005301AE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Проект</w:t>
            </w:r>
            <w:r w:rsidR="005301AE"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 Ради Європи </w:t>
            </w: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«Посилення захисту прав внутрішньо переміщених осіб в Україні»</w:t>
            </w:r>
            <w:r w:rsidR="005301AE"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 (надалі «Проект»), що здійснюється в рамках Плану Дій Ради Європи для України на 2015-2017 роки, спрямовує свою діяльність на вдосконалення </w:t>
            </w: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існуючої системи </w:t>
            </w:r>
            <w:r w:rsidR="00532354"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механізмів</w:t>
            </w:r>
            <w:r w:rsidR="00BA7855"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 захисту</w:t>
            </w: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5D34D5"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прав</w:t>
            </w: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 внутрішньо переміщених осіб (ВПО) у відповідності</w:t>
            </w:r>
            <w:r w:rsidR="005D34D5"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 за європейськими та </w:t>
            </w:r>
            <w:r w:rsidR="00532354"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міжнародними</w:t>
            </w:r>
            <w:r w:rsidR="005D34D5"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 стандартами.</w:t>
            </w:r>
            <w:r w:rsidR="005301AE"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 В рамках діяльності Проекту, Рада Європи доручає Постачальнику послуг організувати </w:t>
            </w:r>
            <w:r w:rsidR="005D34D5"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11 каскадних тренінгів для юристів – працівників  бюро правової допомоги та працівників відділів представництва  місцевих центрів з надання безоплатної вторинної правової допомоги в період липень – червень 2017р</w:t>
            </w:r>
            <w:r w:rsidR="005301AE"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5301AE" w:rsidRPr="00901F96" w:rsidRDefault="005301AE" w:rsidP="005301AE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</w:p>
          <w:p w:rsidR="005301AE" w:rsidRPr="00901F96" w:rsidRDefault="005301AE" w:rsidP="005301AE">
            <w:pPr>
              <w:shd w:val="clear" w:color="auto" w:fill="1F497D" w:themeFill="text2"/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5D34D5" w:rsidRPr="00901F96" w:rsidRDefault="005301AE" w:rsidP="005301AE">
            <w:pPr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</w:pPr>
            <w:r w:rsidRPr="00901F96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 xml:space="preserve">Кількість учасників: </w:t>
            </w:r>
            <w:r w:rsidR="00532354" w:rsidRPr="00DA4D4C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ru-RU"/>
              </w:rPr>
              <w:t xml:space="preserve">22 </w:t>
            </w:r>
            <w:r w:rsidR="00532354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ru-RU"/>
              </w:rPr>
              <w:t>особи на кожному трен</w:t>
            </w:r>
            <w:r w:rsidR="00532354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>інгу</w:t>
            </w:r>
            <w:r w:rsidRPr="00901F96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5301AE" w:rsidRPr="00901F96" w:rsidRDefault="005301AE" w:rsidP="005301AE">
            <w:pPr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</w:pPr>
            <w:r w:rsidRPr="00901F96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 xml:space="preserve">Тривалість: </w:t>
            </w:r>
            <w:r w:rsidR="005D34D5" w:rsidRPr="00901F96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>11 одноденних тренінгів</w:t>
            </w:r>
          </w:p>
          <w:p w:rsidR="005301AE" w:rsidRPr="00901F96" w:rsidRDefault="005301AE" w:rsidP="005301AE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Постачальник послуг має запропонувати повний пакет послуг з організації проведення заходу, що включає наступне:</w:t>
            </w:r>
          </w:p>
          <w:p w:rsidR="005301AE" w:rsidRPr="00901F96" w:rsidRDefault="005301AE" w:rsidP="005301AE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</w:p>
          <w:p w:rsidR="005301AE" w:rsidRPr="00901F96" w:rsidRDefault="005301AE" w:rsidP="005301AE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 w:rsidRPr="00901F96">
              <w:rPr>
                <w:rFonts w:ascii="Calibri" w:hAnsi="Calibri" w:cs="Calibri"/>
                <w:b/>
                <w:color w:val="C00000"/>
                <w:sz w:val="24"/>
                <w:szCs w:val="24"/>
                <w:lang w:val="uk-UA"/>
              </w:rPr>
              <w:t>ВАЖЛИВО</w:t>
            </w: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: </w:t>
            </w: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u w:val="single"/>
                <w:lang w:val="uk-UA"/>
              </w:rPr>
              <w:t xml:space="preserve">Постачальник послуг має запропонувати в своїх пропозиціях варіанти місця проведення </w:t>
            </w:r>
            <w:r w:rsidR="005D34D5" w:rsidRPr="00901F96">
              <w:rPr>
                <w:rFonts w:ascii="Calibri" w:hAnsi="Calibri" w:cs="Calibri"/>
                <w:color w:val="000000" w:themeColor="text1"/>
                <w:sz w:val="24"/>
                <w:szCs w:val="24"/>
                <w:u w:val="single"/>
                <w:lang w:val="uk-UA"/>
              </w:rPr>
              <w:t>тренінгів</w:t>
            </w: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u w:val="single"/>
                <w:lang w:val="uk-UA"/>
              </w:rPr>
              <w:t>, які відповідають наступним вимогам та загальним критеріям:</w:t>
            </w: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5301AE" w:rsidRPr="00901F96" w:rsidRDefault="005301AE" w:rsidP="005301AE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</w:p>
          <w:p w:rsidR="005301AE" w:rsidRPr="00901F96" w:rsidRDefault="005301AE" w:rsidP="005301AE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Форум буде проводитися в готелі/готельному комплексі категорії 3-4*, який може </w:t>
            </w:r>
            <w:r w:rsidR="005D34D5"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забезпечити мешкання учасників, місце для проведення </w:t>
            </w:r>
            <w:r w:rsidR="005D34D5"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конференції, мати можливість забезпечити харчування. </w:t>
            </w: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одночасно приймати до 100-120 осіб протягом 4 днів та забезпечити відповідні розміщення, харчування, та відмінні конференц-послуги. На час проведення</w:t>
            </w:r>
            <w:r w:rsidR="001C21C0"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 готель має надати конференц залу для 25 осіб з розсадкою окремими столами по 4-5 осіб, ресторан для обіду, місце для кава брейків.</w:t>
            </w: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5301AE" w:rsidRPr="00901F96" w:rsidRDefault="005301AE" w:rsidP="005301AE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</w:p>
          <w:p w:rsidR="005301AE" w:rsidRPr="00901F96" w:rsidRDefault="005301AE" w:rsidP="005301AE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Готель/Готельний комплекс має бути (бажано) розташований в </w:t>
            </w:r>
            <w:r w:rsidR="001C21C0"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центрі міста. </w:t>
            </w: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 Наявність інфраструктури громадського транспорту бажана, але не є головним критерієм у визначенні місця проведення заходу. </w:t>
            </w:r>
          </w:p>
          <w:p w:rsidR="005301AE" w:rsidRPr="00901F96" w:rsidRDefault="005301AE" w:rsidP="005301AE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</w:p>
          <w:p w:rsidR="005301AE" w:rsidRPr="00901F96" w:rsidRDefault="005301AE" w:rsidP="005301AE">
            <w:pPr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</w:pPr>
            <w:r w:rsidRPr="00901F96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 xml:space="preserve">a. Готель/Готельний комплекс (проживання та проведення </w:t>
            </w:r>
            <w:r w:rsidR="001C21C0" w:rsidRPr="00901F96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>тренінгів</w:t>
            </w:r>
            <w:r w:rsidRPr="00901F96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 xml:space="preserve">). </w:t>
            </w:r>
          </w:p>
          <w:p w:rsidR="005301AE" w:rsidRPr="00901F96" w:rsidRDefault="001C21C0" w:rsidP="005301AE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Номери</w:t>
            </w:r>
            <w:r w:rsidR="005301AE"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  (вартість номеру має включати сніданок) категорії стандарт повинні мати сучасну сантехніку, кондиціонер, Вай-Фай та телевізор в кімнаті, бути сучасного дизайну та комфортні (не радянських часів). Вартість проживання буде сплачуватися Постачальником послуг, якщо співробітниками Проекту не буде додатково зазначено інше. </w:t>
            </w:r>
          </w:p>
          <w:p w:rsidR="005301AE" w:rsidRPr="00901F96" w:rsidRDefault="005301AE" w:rsidP="005301AE">
            <w:pPr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5301AE" w:rsidRPr="00901F96" w:rsidRDefault="005301AE" w:rsidP="005301AE">
            <w:pPr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</w:pPr>
            <w:r w:rsidRPr="00901F96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 xml:space="preserve">б. Харчування. </w:t>
            </w:r>
          </w:p>
          <w:p w:rsidR="005301AE" w:rsidRPr="00901F96" w:rsidRDefault="005301AE" w:rsidP="005301AE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u w:val="single"/>
                <w:lang w:val="uk-UA"/>
              </w:rPr>
            </w:pP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Готель/готельний комплекс мають забезпечити </w:t>
            </w:r>
            <w:r w:rsidR="001C21C0"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кава-брейки, вечері, обіди згідно дат тп кількості учасників, зазначених в  формі для коншторису.</w:t>
            </w:r>
          </w:p>
          <w:p w:rsidR="005301AE" w:rsidRPr="00901F96" w:rsidRDefault="005301AE" w:rsidP="005301AE">
            <w:pPr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u w:val="single"/>
                <w:lang w:val="uk-UA"/>
              </w:rPr>
            </w:pPr>
          </w:p>
          <w:p w:rsidR="005301AE" w:rsidRPr="00901F96" w:rsidRDefault="005301AE" w:rsidP="001C21C0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- </w:t>
            </w:r>
            <w:r w:rsidR="001C21C0"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обіди (суп, салат, основне блюдо, 1 напій на особу)</w:t>
            </w:r>
          </w:p>
          <w:p w:rsidR="001C21C0" w:rsidRDefault="001C21C0" w:rsidP="001C21C0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- вече</w:t>
            </w:r>
            <w:r w:rsidR="00901F96"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ря (салат, основне блюдо, 1 напій на особу)</w:t>
            </w:r>
          </w:p>
          <w:p w:rsidR="00901F96" w:rsidRDefault="00901F96" w:rsidP="001C21C0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- стандартна кава пауза (кава/чай, випічка або печиво)</w:t>
            </w:r>
          </w:p>
          <w:p w:rsidR="00901F96" w:rsidRPr="00901F96" w:rsidRDefault="00901F96" w:rsidP="001C21C0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- посилена кава-пауза (з канапе, випічкою, чаєм, кавою)</w:t>
            </w:r>
          </w:p>
          <w:p w:rsidR="005301AE" w:rsidRPr="00901F96" w:rsidRDefault="005301AE" w:rsidP="005301AE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- мінеральна вода (без газу, 0,5л п</w:t>
            </w:r>
            <w:r w:rsid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ластик</w:t>
            </w: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) має стояти кожен день на столах разом із стаканами в кожному конференц-залі. (з розрахунку приблизно 2 бутилки на особу/на день).</w:t>
            </w:r>
          </w:p>
          <w:p w:rsidR="005301AE" w:rsidRPr="00901F96" w:rsidRDefault="005301AE" w:rsidP="005301AE">
            <w:pPr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5301AE" w:rsidRPr="00901F96" w:rsidRDefault="005301AE" w:rsidP="005301AE">
            <w:pPr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</w:pPr>
            <w:r w:rsidRPr="00901F96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 xml:space="preserve">в. Оренда конференц-зали та технічне обладнання. </w:t>
            </w:r>
          </w:p>
          <w:p w:rsidR="005301AE" w:rsidRPr="00901F96" w:rsidRDefault="005301AE" w:rsidP="005301AE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Готель/готельний комплекс на час проведення </w:t>
            </w:r>
            <w:r w:rsid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тренінгів </w:t>
            </w: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має забезпечити наявність наступних коференц-послуг:</w:t>
            </w:r>
          </w:p>
          <w:p w:rsidR="005301AE" w:rsidRDefault="005301AE" w:rsidP="005301AE">
            <w:pPr>
              <w:numPr>
                <w:ilvl w:val="0"/>
                <w:numId w:val="10"/>
              </w:numPr>
              <w:ind w:left="39" w:firstLine="0"/>
              <w:contextualSpacing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1 простора конференц-зала з меблями (столи та стільці), в якій можуть розміститися </w:t>
            </w:r>
            <w:r w:rsid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25 осіб за окремими столами по 4-5 осіб кожний + президія, </w:t>
            </w: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гарним Вай-Файєм та кондиціонерами;</w:t>
            </w:r>
          </w:p>
          <w:p w:rsidR="003A5E75" w:rsidRPr="00901F96" w:rsidRDefault="003A5E75" w:rsidP="005301AE">
            <w:pPr>
              <w:numPr>
                <w:ilvl w:val="0"/>
                <w:numId w:val="10"/>
              </w:numPr>
              <w:ind w:left="39" w:firstLine="0"/>
              <w:contextualSpacing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</w:p>
          <w:p w:rsidR="005301AE" w:rsidRPr="00901F96" w:rsidRDefault="005301AE" w:rsidP="005301AE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Очікується, що готель/готельний комплекс має в розпорядженні сучасні меблі (пересувні та/або модульні столи та стільці) у достатній кількості для розміщення до </w:t>
            </w:r>
            <w:r w:rsidR="003A5E75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25</w:t>
            </w: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 осіб одночасно. </w:t>
            </w:r>
          </w:p>
          <w:p w:rsidR="005301AE" w:rsidRPr="00901F96" w:rsidRDefault="005301AE" w:rsidP="005301AE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</w:p>
          <w:p w:rsidR="005301AE" w:rsidRPr="00901F96" w:rsidRDefault="005301AE" w:rsidP="005301AE">
            <w:pPr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</w:pP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Коференц-послуги також включають в себе оренду проектора, екрану, </w:t>
            </w: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lastRenderedPageBreak/>
              <w:t>ноутбука, пульта перемикання презентацій</w:t>
            </w:r>
            <w:r w:rsidR="003A5E75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, фліпчарта з папером та маркерами для кожного заходу. </w:t>
            </w:r>
          </w:p>
          <w:p w:rsidR="005301AE" w:rsidRPr="00901F96" w:rsidRDefault="005301AE" w:rsidP="005301AE">
            <w:pPr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5301AE" w:rsidRPr="00901F96" w:rsidRDefault="003A5E75" w:rsidP="005301AE">
            <w:pPr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>Г.</w:t>
            </w:r>
            <w:r w:rsidR="005301AE" w:rsidRPr="00901F96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 xml:space="preserve"> Повернення витрат на проїзд учасників. </w:t>
            </w:r>
          </w:p>
          <w:p w:rsidR="005301AE" w:rsidRPr="00901F96" w:rsidRDefault="005301AE" w:rsidP="005301AE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</w:p>
          <w:p w:rsidR="005301AE" w:rsidRPr="00901F96" w:rsidRDefault="005301AE" w:rsidP="005301AE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Сума повернення витрат на проїзд учасникам семінару виплачується </w:t>
            </w: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u w:val="single"/>
                <w:lang w:val="uk-UA"/>
              </w:rPr>
              <w:t>готівкою</w:t>
            </w: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 Постачальником послуг </w:t>
            </w:r>
            <w:r w:rsidR="003A5E75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протягом заходу</w:t>
            </w: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 кожному учаснику індивідуально відповідно до фактично понесених витрат під підпис (за оригіналами квитків, що надаватимуться учасниками). </w:t>
            </w:r>
          </w:p>
          <w:p w:rsidR="005301AE" w:rsidRPr="00901F96" w:rsidRDefault="005301AE" w:rsidP="005301AE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</w:p>
          <w:p w:rsidR="005301AE" w:rsidRPr="00901F96" w:rsidRDefault="005301AE" w:rsidP="005301AE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 w:rsidRPr="00901F96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 xml:space="preserve">Важливо. </w:t>
            </w: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Комісія за компенсацію проїзду учасникам в готівці (якщо є) має не перевищувати 20% та внесена окремим рядком в пропозиціях. Якщо ці витрати не були враховані Постачальником послуг в поданих на участь в тендері пропозиціях та були фактично понесені, Рада Європи відмовляється приймати будь-які претен</w:t>
            </w:r>
            <w:r w:rsidR="003A5E75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з</w:t>
            </w: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ії щодо компенсації цих витрат на стадії фінальних розрахунків з Постачальником послуг. </w:t>
            </w:r>
            <w:r w:rsidRPr="00901F96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5301AE" w:rsidRPr="00901F96" w:rsidRDefault="005301AE" w:rsidP="005301AE">
            <w:pPr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3A5E75" w:rsidRDefault="003A5E75" w:rsidP="005301AE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>д</w:t>
            </w:r>
            <w:r w:rsidR="005301AE" w:rsidRPr="00901F96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>.</w:t>
            </w:r>
            <w:r w:rsidR="005301AE"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5301AE" w:rsidRPr="00901F96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>Супровід під час семінару</w:t>
            </w:r>
            <w:r w:rsidR="005301AE"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</w:p>
          <w:p w:rsidR="003A5E75" w:rsidRDefault="003A5E75" w:rsidP="005301AE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Постачальник послуг має забезпечити присутність 1-2 представників компанії під час тренінгів. </w:t>
            </w:r>
          </w:p>
          <w:p w:rsidR="005301AE" w:rsidRPr="00901F96" w:rsidRDefault="005301AE" w:rsidP="005301AE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Менеджери-представники Постачальника послуг, що супроводжуватимуть захід,  мають бути належним чином вдягнуті (діловий стиль) та бути постійно присутніми на місці під час тривалості заходу. Менеджери відповідають за організацію іменних табличок в президію, реєстрацію учасників, складання та роздавання папок з матеріалами Проекту учасникам, </w:t>
            </w:r>
            <w:r w:rsidR="00943A64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відмічання </w:t>
            </w: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присутності уч</w:t>
            </w:r>
            <w:r w:rsidR="00943A64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асників кожного дня на семінарі; </w:t>
            </w: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зробити розрахунки сум компенсації проїзду кожного учасника та видати їх учасникам в </w:t>
            </w:r>
            <w:r w:rsidR="00943A64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день заходу</w:t>
            </w: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; забезпечувати технічну та організаційну підтримку команді Проекту впродовж </w:t>
            </w:r>
            <w:r w:rsidR="00943A64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тренінгів</w:t>
            </w: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, виконувати будь-які завдання або прохання від команди Проекту, які можуть виникнути вже на місці. Вказівники до зали, де проходитиме </w:t>
            </w:r>
            <w:r w:rsidR="00943A64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тренінг</w:t>
            </w: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 (в готелі) а також місце реєстрації мають бути належним чином оформлені відповідними табличками з інформацією та логотипами Ради Європи та Конгресу. </w:t>
            </w:r>
          </w:p>
          <w:p w:rsidR="005301AE" w:rsidRPr="00901F96" w:rsidRDefault="005301AE" w:rsidP="005301AE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 w:rsidRPr="00901F96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u w:val="single"/>
                <w:lang w:val="uk-UA"/>
              </w:rPr>
              <w:t>Важливо:</w:t>
            </w: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 представники Постачальника послуг мають обов’язково прибути на місце проведення семінару заздалегідь (м</w:t>
            </w:r>
            <w:r w:rsidR="00943A64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ати достатньо часу) до початку тренінгу</w:t>
            </w: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, пересвідчитися та перевірити з готелем усі замовлені послуги. Представники Постачальника послуг залишаються на </w:t>
            </w:r>
            <w:r w:rsidR="00943A64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місці до офіційного завершення тренінгу</w:t>
            </w: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, складають усі матеріали, які потрібно буде повернути назад в офіс Ради Європи в м. Києві. </w:t>
            </w:r>
          </w:p>
          <w:p w:rsidR="005301AE" w:rsidRPr="00901F96" w:rsidRDefault="005301AE" w:rsidP="005301AE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</w:p>
          <w:p w:rsidR="005301AE" w:rsidRPr="00901F96" w:rsidRDefault="005301AE" w:rsidP="005301AE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Постачальник послуг  також має забезпечити доставку матеріалів проекту </w:t>
            </w: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з офісу Ради Європи в Україні (адреса: вул. Іллінська 8, м. Київ, Поділ) до місця проведення заходу та назад в офіс. </w:t>
            </w:r>
          </w:p>
          <w:p w:rsidR="005301AE" w:rsidRPr="00901F96" w:rsidRDefault="005301AE" w:rsidP="005301AE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</w:p>
          <w:p w:rsidR="005301AE" w:rsidRPr="00901F96" w:rsidRDefault="005301AE" w:rsidP="005301AE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Повний перелік очікуваних послуг зазначений у ДОДАТКУ ІІ </w:t>
            </w:r>
            <w:r w:rsidRPr="00901F96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uk-UA"/>
              </w:rPr>
              <w:t>Provisional budget template</w:t>
            </w: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 до Тендера </w:t>
            </w:r>
            <w:r w:rsidR="00943A64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8419</w:t>
            </w: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/2017/</w:t>
            </w:r>
            <w:r w:rsidR="00943A64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1 від 3 травня</w:t>
            </w: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 2017 р. </w:t>
            </w:r>
          </w:p>
          <w:p w:rsidR="005301AE" w:rsidRPr="00901F96" w:rsidRDefault="005301AE" w:rsidP="005301AE">
            <w:pPr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5301AE" w:rsidRPr="00901F96" w:rsidTr="00533E69">
        <w:tc>
          <w:tcPr>
            <w:tcW w:w="1851" w:type="dxa"/>
          </w:tcPr>
          <w:p w:rsidR="005301AE" w:rsidRPr="00901F96" w:rsidRDefault="005301AE" w:rsidP="005301AE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</w:pPr>
            <w:r w:rsidRPr="00901F96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lastRenderedPageBreak/>
              <w:t>Оплата</w:t>
            </w:r>
          </w:p>
        </w:tc>
        <w:tc>
          <w:tcPr>
            <w:tcW w:w="7896" w:type="dxa"/>
          </w:tcPr>
          <w:p w:rsidR="005301AE" w:rsidRPr="00901F96" w:rsidRDefault="005301AE" w:rsidP="005301AE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За виконання Постачальником послуг усіх зобов’язань за контрактом, Рада Європи зобов’язується сплатити Постачальнику послуг суму в ЄВРО або гривнях наступним чином: </w:t>
            </w:r>
          </w:p>
          <w:p w:rsidR="005301AE" w:rsidRPr="00901F96" w:rsidRDefault="005301AE" w:rsidP="005301AE">
            <w:pPr>
              <w:numPr>
                <w:ilvl w:val="0"/>
                <w:numId w:val="6"/>
              </w:numPr>
              <w:contextualSpacing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Авансовий платіж в розмірі не більше </w:t>
            </w:r>
            <w:r w:rsidR="00943A64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60</w:t>
            </w: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% від загальної вартості послуг, зазначених в контракті;</w:t>
            </w:r>
          </w:p>
          <w:p w:rsidR="005301AE" w:rsidRPr="00901F96" w:rsidRDefault="005301AE" w:rsidP="005301AE">
            <w:pPr>
              <w:numPr>
                <w:ilvl w:val="0"/>
                <w:numId w:val="6"/>
              </w:numPr>
              <w:contextualSpacing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Залишок в сумі фактично понесених витрат на проведення заходу буде сплачено протягом 60 календарних днів з дати отримання послуг за контрактом (що зазначені у Додатку ІІ) та їх прийняття Радою Європи та надання відповідного рахунку. </w:t>
            </w:r>
          </w:p>
          <w:p w:rsidR="005301AE" w:rsidRPr="00901F96" w:rsidRDefault="005301AE" w:rsidP="005301AE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5301AE" w:rsidRPr="00DA4D4C" w:rsidTr="00533E69">
        <w:tc>
          <w:tcPr>
            <w:tcW w:w="1851" w:type="dxa"/>
          </w:tcPr>
          <w:p w:rsidR="005301AE" w:rsidRPr="00901F96" w:rsidRDefault="005301AE" w:rsidP="005301AE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</w:pPr>
            <w:r w:rsidRPr="00901F96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>Виключні критерії відбору Постачальників послуг</w:t>
            </w:r>
          </w:p>
          <w:p w:rsidR="005301AE" w:rsidRPr="00901F96" w:rsidRDefault="005301AE" w:rsidP="005301AE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896" w:type="dxa"/>
          </w:tcPr>
          <w:p w:rsidR="005301AE" w:rsidRPr="00901F96" w:rsidRDefault="005301AE" w:rsidP="005301AE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Учасники тендеру мають відповідати наступним критеріям:</w:t>
            </w:r>
          </w:p>
          <w:p w:rsidR="005301AE" w:rsidRPr="00901F96" w:rsidRDefault="005301AE" w:rsidP="005301AE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</w:p>
          <w:p w:rsidR="005301AE" w:rsidRPr="00901F96" w:rsidRDefault="005301AE" w:rsidP="005301AE">
            <w:pPr>
              <w:numPr>
                <w:ilvl w:val="0"/>
                <w:numId w:val="9"/>
              </w:numPr>
              <w:contextualSpacing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Не відбувати покарання за рішенням суду за одним або кількома звинуваченнями, а саме: участь в кримінальних справах, корупційних схемах, шахрайстві, відмиванні грошей, </w:t>
            </w:r>
          </w:p>
          <w:p w:rsidR="005301AE" w:rsidRPr="00901F96" w:rsidRDefault="005301AE" w:rsidP="005301AE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</w:p>
          <w:p w:rsidR="005301AE" w:rsidRPr="00901F96" w:rsidRDefault="005301AE" w:rsidP="005301AE">
            <w:pPr>
              <w:numPr>
                <w:ilvl w:val="0"/>
                <w:numId w:val="9"/>
              </w:numPr>
              <w:contextualSpacing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Не є в стані банкрутства, ліквідації, закінчення діяльності, неплатоспроможності або заборгованості перед кредиторами та не знаходиться у будь-якій іншій ситуації, що є наслідком цих станів;</w:t>
            </w:r>
          </w:p>
          <w:p w:rsidR="005301AE" w:rsidRPr="00901F96" w:rsidRDefault="005301AE" w:rsidP="005301AE">
            <w:pPr>
              <w:ind w:left="720"/>
              <w:contextualSpacing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</w:p>
          <w:p w:rsidR="005301AE" w:rsidRPr="00901F96" w:rsidRDefault="005301AE" w:rsidP="005301AE">
            <w:pPr>
              <w:numPr>
                <w:ilvl w:val="0"/>
                <w:numId w:val="9"/>
              </w:numPr>
              <w:contextualSpacing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не отримували рішення суду з «рес юді ката» за порушення, які впливають на професійну репутацію та спроможність та вважається серйозним професійним порушенням;</w:t>
            </w:r>
          </w:p>
          <w:p w:rsidR="005301AE" w:rsidRPr="00901F96" w:rsidRDefault="005301AE" w:rsidP="005301AE">
            <w:pPr>
              <w:ind w:left="720"/>
              <w:contextualSpacing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</w:p>
          <w:p w:rsidR="005301AE" w:rsidRPr="00901F96" w:rsidRDefault="005301AE" w:rsidP="005301AE">
            <w:pPr>
              <w:numPr>
                <w:ilvl w:val="0"/>
                <w:numId w:val="9"/>
              </w:numPr>
              <w:contextualSpacing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сумлінно виконують усі зобов’язання щодо усіх державних сплат податків, внесків, відрахувань, тощо у відповідності до законодавства країни, в якій учасник тендеру зареєстрований. </w:t>
            </w:r>
          </w:p>
          <w:p w:rsidR="005301AE" w:rsidRPr="00901F96" w:rsidRDefault="005301AE" w:rsidP="005301AE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5301AE" w:rsidRPr="00DA4D4C" w:rsidTr="00533E69">
        <w:tc>
          <w:tcPr>
            <w:tcW w:w="1851" w:type="dxa"/>
          </w:tcPr>
          <w:p w:rsidR="005301AE" w:rsidRPr="00901F96" w:rsidRDefault="005301AE" w:rsidP="005301AE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</w:pPr>
            <w:r w:rsidRPr="00901F96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>Критерії відбору Постачальників послуг</w:t>
            </w:r>
          </w:p>
        </w:tc>
        <w:tc>
          <w:tcPr>
            <w:tcW w:w="7896" w:type="dxa"/>
          </w:tcPr>
          <w:p w:rsidR="005301AE" w:rsidRPr="00901F96" w:rsidRDefault="005301AE" w:rsidP="005301AE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Учасники тендеру мають відповідати наступним критеріям відбору:</w:t>
            </w:r>
          </w:p>
          <w:p w:rsidR="005301AE" w:rsidRPr="00901F96" w:rsidRDefault="005301AE" w:rsidP="005301AE">
            <w:pPr>
              <w:numPr>
                <w:ilvl w:val="0"/>
                <w:numId w:val="7"/>
              </w:numPr>
              <w:contextualSpacing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Мати підтверджений досвіт в організації проведення схожих заходів та надання високоякісних послуг з організації подібних заходів (не менше 1 календарного року);</w:t>
            </w:r>
          </w:p>
          <w:p w:rsidR="005301AE" w:rsidRPr="00901F96" w:rsidRDefault="005301AE" w:rsidP="005301AE">
            <w:pPr>
              <w:numPr>
                <w:ilvl w:val="0"/>
                <w:numId w:val="7"/>
              </w:numPr>
              <w:contextualSpacing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Операційні, </w:t>
            </w:r>
            <w:r w:rsidRPr="00901F96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>фінансові</w:t>
            </w: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 спроможності компанії, а також відповідну кількість співробітників офісу, що свідчить про достатню кількість людських ресурсів, необхідних для проведення заходу.</w:t>
            </w:r>
          </w:p>
          <w:p w:rsidR="005301AE" w:rsidRPr="00901F96" w:rsidRDefault="005301AE" w:rsidP="005301AE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5301AE" w:rsidRPr="00DA4D4C" w:rsidTr="00533E69">
        <w:tc>
          <w:tcPr>
            <w:tcW w:w="1851" w:type="dxa"/>
          </w:tcPr>
          <w:p w:rsidR="005301AE" w:rsidRPr="00901F96" w:rsidRDefault="005301AE" w:rsidP="005301AE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</w:pPr>
            <w:r w:rsidRPr="00901F96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lastRenderedPageBreak/>
              <w:t>Критерії оцінки пропозицій від Постачальників послуг</w:t>
            </w:r>
          </w:p>
          <w:p w:rsidR="005301AE" w:rsidRPr="00901F96" w:rsidRDefault="005301AE" w:rsidP="005301AE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896" w:type="dxa"/>
          </w:tcPr>
          <w:p w:rsidR="005301AE" w:rsidRPr="00901F96" w:rsidRDefault="005301AE" w:rsidP="005301AE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Учасники тендеру та їх надані пропозиції будуть оцінюватися за наступними критеріями:</w:t>
            </w:r>
          </w:p>
          <w:p w:rsidR="005301AE" w:rsidRPr="00901F96" w:rsidRDefault="005301AE" w:rsidP="005301AE">
            <w:pPr>
              <w:numPr>
                <w:ilvl w:val="0"/>
                <w:numId w:val="7"/>
              </w:numPr>
              <w:contextualSpacing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Запропоновані варіанти готелів/готельних комплексів для проведення Форуму мають повністю відповідати критеріям та вимогам, що вказані у ТЗ;</w:t>
            </w:r>
          </w:p>
          <w:p w:rsidR="005301AE" w:rsidRPr="00901F96" w:rsidRDefault="005301AE" w:rsidP="005301AE">
            <w:pPr>
              <w:numPr>
                <w:ilvl w:val="0"/>
                <w:numId w:val="7"/>
              </w:numPr>
              <w:contextualSpacing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 w:rsidRPr="00901F96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u w:val="single"/>
                <w:lang w:val="uk-UA"/>
              </w:rPr>
              <w:t>Важливо:</w:t>
            </w: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 Постачальники послуг мають надати цінові пропозиції та рахунки з цінами, </w:t>
            </w: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u w:val="single"/>
                <w:lang w:val="uk-UA"/>
              </w:rPr>
              <w:t>що вже включають усі додаткові витрати</w:t>
            </w: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 (комісійні, розмір гонорару або будь-які інші податки не мають бути вказані окремими рядками в пропозиціях). </w:t>
            </w:r>
          </w:p>
          <w:p w:rsidR="005301AE" w:rsidRPr="00901F96" w:rsidRDefault="005301AE" w:rsidP="005301AE">
            <w:pPr>
              <w:ind w:left="720"/>
              <w:contextualSpacing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У випадку, якщо Постачальник послуг є платником ПДВ, ПДВ має бути вказаний окремим рядком наступним чином:</w:t>
            </w:r>
          </w:p>
          <w:p w:rsidR="005301AE" w:rsidRPr="00901F96" w:rsidRDefault="005301AE" w:rsidP="005301AE">
            <w:pPr>
              <w:ind w:left="720"/>
              <w:contextualSpacing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                       </w:t>
            </w:r>
          </w:p>
          <w:p w:rsidR="005301AE" w:rsidRPr="00901F96" w:rsidRDefault="005301AE" w:rsidP="005301AE">
            <w:pPr>
              <w:ind w:left="1422"/>
              <w:contextualSpacing/>
              <w:jc w:val="both"/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uk-UA"/>
              </w:rPr>
            </w:pPr>
            <w:r w:rsidRPr="00901F96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uk-UA"/>
              </w:rPr>
              <w:t>Загальна ціна без ПДВ ………………..XXX</w:t>
            </w:r>
          </w:p>
          <w:p w:rsidR="005301AE" w:rsidRPr="00901F96" w:rsidRDefault="005301AE" w:rsidP="005301AE">
            <w:pPr>
              <w:ind w:left="1422"/>
              <w:contextualSpacing/>
              <w:jc w:val="both"/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uk-UA"/>
              </w:rPr>
            </w:pPr>
            <w:r w:rsidRPr="00901F96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uk-UA"/>
              </w:rPr>
              <w:t>ПДВ20% ……………………………………….XXX</w:t>
            </w:r>
          </w:p>
          <w:p w:rsidR="005301AE" w:rsidRPr="00901F96" w:rsidRDefault="005301AE" w:rsidP="005301AE">
            <w:pPr>
              <w:ind w:left="1422"/>
              <w:contextualSpacing/>
              <w:jc w:val="both"/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uk-UA"/>
              </w:rPr>
            </w:pPr>
            <w:r w:rsidRPr="00901F96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uk-UA"/>
              </w:rPr>
              <w:t>Загальна ціна, включаючи ПДВ …XXX</w:t>
            </w:r>
          </w:p>
          <w:p w:rsidR="005301AE" w:rsidRPr="00901F96" w:rsidRDefault="005301AE" w:rsidP="005301AE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</w:p>
          <w:p w:rsidR="005301AE" w:rsidRPr="00901F96" w:rsidRDefault="005301AE" w:rsidP="005301AE">
            <w:pPr>
              <w:numPr>
                <w:ilvl w:val="0"/>
                <w:numId w:val="7"/>
              </w:numPr>
              <w:contextualSpacing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Має бути раціональний баланс між якістю та вартістю послуг, що пропонуються кожним запропонованим готелем;</w:t>
            </w:r>
          </w:p>
          <w:p w:rsidR="005301AE" w:rsidRPr="00901F96" w:rsidRDefault="005301AE" w:rsidP="005301AE">
            <w:pPr>
              <w:numPr>
                <w:ilvl w:val="0"/>
                <w:numId w:val="7"/>
              </w:numPr>
              <w:contextualSpacing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Повністю заповнені усі необхідні документи, а також правильні та точні розрахунки вартості послуг кожної пропозиції</w:t>
            </w:r>
          </w:p>
          <w:p w:rsidR="005301AE" w:rsidRPr="00901F96" w:rsidRDefault="005301AE" w:rsidP="005301AE">
            <w:pPr>
              <w:numPr>
                <w:ilvl w:val="0"/>
                <w:numId w:val="7"/>
              </w:numPr>
              <w:contextualSpacing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Повністю заповнена Аплікаційна форма та акуратно та правильно заповнена розрахована вартість послуг в кожній пропозиції</w:t>
            </w:r>
          </w:p>
          <w:p w:rsidR="005301AE" w:rsidRPr="00901F96" w:rsidRDefault="005301AE" w:rsidP="005301AE">
            <w:pPr>
              <w:ind w:left="720"/>
              <w:contextualSpacing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</w:p>
          <w:p w:rsidR="005301AE" w:rsidRPr="00901F96" w:rsidRDefault="005301AE" w:rsidP="005301AE">
            <w:pPr>
              <w:ind w:left="720"/>
              <w:contextualSpacing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Постачальник послуг має надіслати кожну пропозицію в 2-х форматах: сканована пропозиція в форматі пдв (</w:t>
            </w: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u w:val="single"/>
                <w:lang w:val="uk-UA"/>
              </w:rPr>
              <w:t>на фірмовому бланку, з датою, підписом відповідальної особи, та печаткою організаціі</w:t>
            </w: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) та Excel (де вказані розрахунки відповідно до формул, зазначених в </w:t>
            </w:r>
            <w:r w:rsidRPr="00901F96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uk-UA"/>
              </w:rPr>
              <w:t>Provisional Budget Template)</w:t>
            </w: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</w:p>
          <w:p w:rsidR="005301AE" w:rsidRPr="00901F96" w:rsidRDefault="005301AE" w:rsidP="005301AE">
            <w:pPr>
              <w:numPr>
                <w:ilvl w:val="0"/>
                <w:numId w:val="7"/>
              </w:numPr>
              <w:contextualSpacing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Усі пропозиції мають бути надіслані до вказаного строку подання. </w:t>
            </w:r>
          </w:p>
          <w:p w:rsidR="005301AE" w:rsidRPr="00901F96" w:rsidRDefault="005301AE" w:rsidP="005301AE">
            <w:pPr>
              <w:numPr>
                <w:ilvl w:val="0"/>
                <w:numId w:val="7"/>
              </w:numPr>
              <w:contextualSpacing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Попередній досвід співпраці з Радою Європи є бажаним. </w:t>
            </w:r>
          </w:p>
        </w:tc>
      </w:tr>
      <w:tr w:rsidR="005301AE" w:rsidRPr="00901F96" w:rsidTr="00533E69">
        <w:tc>
          <w:tcPr>
            <w:tcW w:w="1851" w:type="dxa"/>
          </w:tcPr>
          <w:p w:rsidR="005301AE" w:rsidRPr="00901F96" w:rsidRDefault="005301AE" w:rsidP="005301AE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</w:pPr>
            <w:r w:rsidRPr="00901F96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>Тендер опубліковано</w:t>
            </w:r>
          </w:p>
        </w:tc>
        <w:tc>
          <w:tcPr>
            <w:tcW w:w="7896" w:type="dxa"/>
          </w:tcPr>
          <w:p w:rsidR="005301AE" w:rsidRPr="00901F96" w:rsidRDefault="00943A64" w:rsidP="005301AE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 xml:space="preserve">3 травня </w:t>
            </w:r>
            <w:r w:rsidR="005301AE" w:rsidRPr="00901F96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 xml:space="preserve">2017 р.  </w:t>
            </w:r>
          </w:p>
        </w:tc>
      </w:tr>
      <w:tr w:rsidR="005301AE" w:rsidRPr="00901F96" w:rsidTr="00533E69">
        <w:tc>
          <w:tcPr>
            <w:tcW w:w="1851" w:type="dxa"/>
          </w:tcPr>
          <w:p w:rsidR="005301AE" w:rsidRPr="00901F96" w:rsidRDefault="005301AE" w:rsidP="005301AE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</w:pPr>
            <w:r w:rsidRPr="00901F96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 xml:space="preserve">Результати буде повідомлено </w:t>
            </w:r>
          </w:p>
        </w:tc>
        <w:tc>
          <w:tcPr>
            <w:tcW w:w="7896" w:type="dxa"/>
          </w:tcPr>
          <w:p w:rsidR="005301AE" w:rsidRPr="00901F96" w:rsidRDefault="005301AE" w:rsidP="00943A64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</w:pPr>
            <w:r w:rsidRPr="00901F96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>1</w:t>
            </w:r>
            <w:r w:rsidR="00943A64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>6</w:t>
            </w:r>
            <w:r w:rsidRPr="00901F96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 xml:space="preserve"> травня 2017 р.   </w:t>
            </w:r>
          </w:p>
        </w:tc>
      </w:tr>
      <w:tr w:rsidR="005301AE" w:rsidRPr="00DA4D4C" w:rsidTr="00533E69">
        <w:tc>
          <w:tcPr>
            <w:tcW w:w="1851" w:type="dxa"/>
          </w:tcPr>
          <w:p w:rsidR="005301AE" w:rsidRPr="00901F96" w:rsidRDefault="005301AE" w:rsidP="005301AE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</w:pPr>
            <w:r w:rsidRPr="00901F96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>Документи для подання для участі в тендері</w:t>
            </w:r>
          </w:p>
        </w:tc>
        <w:tc>
          <w:tcPr>
            <w:tcW w:w="7896" w:type="dxa"/>
          </w:tcPr>
          <w:p w:rsidR="005301AE" w:rsidRPr="00901F96" w:rsidRDefault="005301AE" w:rsidP="005301AE">
            <w:pPr>
              <w:jc w:val="both"/>
              <w:rPr>
                <w:rFonts w:cs="Arial"/>
                <w:b/>
                <w:color w:val="000000" w:themeColor="text1"/>
                <w:sz w:val="24"/>
                <w:szCs w:val="24"/>
                <w:lang w:val="uk-UA"/>
              </w:rPr>
            </w:pPr>
            <w:r w:rsidRPr="00901F96">
              <w:rPr>
                <w:rFonts w:cs="Arial"/>
                <w:color w:val="000000" w:themeColor="text1"/>
                <w:sz w:val="24"/>
                <w:szCs w:val="24"/>
                <w:lang w:val="uk-UA"/>
              </w:rPr>
              <w:t xml:space="preserve">Усі пропозиції мають бути надіслані електронною поштою на </w:t>
            </w:r>
            <w:hyperlink r:id="rId9" w:history="1">
              <w:r w:rsidRPr="00901F96">
                <w:rPr>
                  <w:rFonts w:cs="Arial"/>
                  <w:color w:val="0000FF" w:themeColor="hyperlink"/>
                  <w:sz w:val="24"/>
                  <w:szCs w:val="24"/>
                  <w:u w:val="single"/>
                  <w:lang w:val="uk-UA"/>
                </w:rPr>
                <w:t>kyiv@coe.int</w:t>
              </w:r>
            </w:hyperlink>
            <w:r w:rsidRPr="00901F96">
              <w:rPr>
                <w:rFonts w:cs="Arial"/>
                <w:sz w:val="24"/>
                <w:szCs w:val="24"/>
                <w:lang w:val="uk-UA"/>
              </w:rPr>
              <w:t xml:space="preserve">; в темі листа обов’язково вказати </w:t>
            </w:r>
            <w:r w:rsidRPr="00901F96">
              <w:rPr>
                <w:rFonts w:cs="Arial"/>
                <w:b/>
                <w:color w:val="FF0000"/>
                <w:sz w:val="24"/>
                <w:szCs w:val="24"/>
                <w:lang w:val="uk-UA"/>
              </w:rPr>
              <w:t xml:space="preserve">TENDER </w:t>
            </w:r>
            <w:r w:rsidR="00943A64">
              <w:rPr>
                <w:rFonts w:cs="Arial"/>
                <w:b/>
                <w:color w:val="FF0000"/>
                <w:sz w:val="24"/>
                <w:szCs w:val="24"/>
                <w:lang w:val="uk-UA"/>
              </w:rPr>
              <w:t xml:space="preserve">8419/2017/1 </w:t>
            </w:r>
            <w:r w:rsidRPr="00901F96">
              <w:rPr>
                <w:rFonts w:cs="Arial"/>
                <w:color w:val="FF0000"/>
                <w:sz w:val="24"/>
                <w:szCs w:val="24"/>
                <w:lang w:val="uk-UA"/>
              </w:rPr>
              <w:t xml:space="preserve"> </w:t>
            </w:r>
            <w:r w:rsidRPr="00901F96">
              <w:rPr>
                <w:rFonts w:cs="Arial"/>
                <w:sz w:val="24"/>
                <w:szCs w:val="24"/>
                <w:lang w:val="uk-UA"/>
              </w:rPr>
              <w:t>до</w:t>
            </w:r>
            <w:r w:rsidRPr="00901F96">
              <w:rPr>
                <w:rFonts w:cs="Arial"/>
                <w:color w:val="FF0000"/>
                <w:sz w:val="24"/>
                <w:szCs w:val="24"/>
                <w:lang w:val="uk-UA"/>
              </w:rPr>
              <w:t xml:space="preserve"> </w:t>
            </w:r>
            <w:r w:rsidR="00943A64">
              <w:rPr>
                <w:rFonts w:cs="Arial"/>
                <w:b/>
                <w:color w:val="000000" w:themeColor="text1"/>
                <w:sz w:val="24"/>
                <w:szCs w:val="24"/>
                <w:lang w:val="uk-UA"/>
              </w:rPr>
              <w:t>14</w:t>
            </w:r>
            <w:r w:rsidRPr="00901F96">
              <w:rPr>
                <w:rFonts w:cs="Arial"/>
                <w:b/>
                <w:color w:val="000000" w:themeColor="text1"/>
                <w:sz w:val="24"/>
                <w:szCs w:val="24"/>
                <w:lang w:val="uk-UA"/>
              </w:rPr>
              <w:t xml:space="preserve"> травня 2017 р. до 23:59 за Київським часом. Цей строк є обов’язковим для дотримання усіма учасниками.</w:t>
            </w:r>
          </w:p>
          <w:p w:rsidR="005301AE" w:rsidRPr="00901F96" w:rsidRDefault="005301AE" w:rsidP="005301AE">
            <w:pPr>
              <w:jc w:val="both"/>
              <w:rPr>
                <w:rFonts w:cs="Arial"/>
                <w:color w:val="000000" w:themeColor="text1"/>
                <w:sz w:val="24"/>
                <w:szCs w:val="24"/>
                <w:lang w:val="uk-UA"/>
              </w:rPr>
            </w:pPr>
          </w:p>
          <w:p w:rsidR="005301AE" w:rsidRPr="00901F96" w:rsidRDefault="005301AE" w:rsidP="005301AE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 w:rsidRPr="00901F9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Наступні документи мають бути надіслані кожним учасником тендеру: </w:t>
            </w:r>
          </w:p>
          <w:p w:rsidR="005301AE" w:rsidRPr="00901F96" w:rsidRDefault="005301AE" w:rsidP="005301AE">
            <w:pPr>
              <w:numPr>
                <w:ilvl w:val="0"/>
                <w:numId w:val="8"/>
              </w:numPr>
              <w:contextualSpacing/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uk-UA"/>
              </w:rPr>
            </w:pPr>
            <w:r w:rsidRPr="00901F96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val="uk-UA"/>
              </w:rPr>
              <w:t>APPENDIX I Tender Application Form</w:t>
            </w:r>
            <w:r w:rsidRPr="00901F96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943A64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uk-UA"/>
              </w:rPr>
              <w:t>8419/201/1</w:t>
            </w:r>
            <w:r w:rsidRPr="00901F96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uk-UA"/>
              </w:rPr>
              <w:t xml:space="preserve"> (аплікаційна </w:t>
            </w:r>
            <w:r w:rsidRPr="00901F96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форма, яка має бути повністю заповлена); </w:t>
            </w:r>
          </w:p>
          <w:p w:rsidR="005301AE" w:rsidRPr="00901F96" w:rsidRDefault="005301AE" w:rsidP="00532354">
            <w:pPr>
              <w:numPr>
                <w:ilvl w:val="0"/>
                <w:numId w:val="8"/>
              </w:numPr>
              <w:contextualSpacing/>
              <w:jc w:val="both"/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uk-UA"/>
              </w:rPr>
            </w:pPr>
            <w:r w:rsidRPr="00901F96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val="uk-UA"/>
              </w:rPr>
              <w:t>APPENDIX II Provisional budget template</w:t>
            </w:r>
            <w:r w:rsidRPr="00901F96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uk-UA"/>
              </w:rPr>
              <w:t xml:space="preserve"> (Комерційна пропозиція в форматі Excel). Вартість усіх зазначених послуг має бути вказана обов’язково. Комерційна пропозиція має бути надана в двох форматах: в сканованому PDF та в форматі ел. таблички Excel. Кожен документ, що подається в форматі PDF </w:t>
            </w:r>
            <w:r w:rsidRPr="00901F96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u w:val="single"/>
                <w:lang w:val="uk-UA"/>
              </w:rPr>
              <w:t>має бути на фірмовому бланку учасника тендеру, містити підпис, печатку, дату подання та ім’я та прізвище відповідальної особи</w:t>
            </w:r>
            <w:r w:rsidRPr="00901F96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uk-UA"/>
              </w:rPr>
              <w:t xml:space="preserve">. Наданий розрахунок має відображати вартість послуг в ЄВРО та гривнях з розрахунку курсу обміну валют Ради Європи, а саме:  </w:t>
            </w:r>
            <w:r w:rsidRPr="00532354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uk-UA"/>
              </w:rPr>
              <w:t xml:space="preserve">1ЄВРО = </w:t>
            </w:r>
            <w:r w:rsidR="00532354" w:rsidRPr="00532354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uk-UA"/>
              </w:rPr>
              <w:t>28,598728</w:t>
            </w:r>
            <w:r w:rsidR="00532354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532354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uk-UA"/>
              </w:rPr>
              <w:t xml:space="preserve">Грн станом на </w:t>
            </w:r>
            <w:r w:rsidR="00532354" w:rsidRPr="00532354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uk-UA"/>
              </w:rPr>
              <w:t>28</w:t>
            </w:r>
            <w:r w:rsidR="00943A64" w:rsidRPr="00532354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uk-UA"/>
              </w:rPr>
              <w:t>/</w:t>
            </w:r>
            <w:r w:rsidR="00532354" w:rsidRPr="00532354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uk-UA"/>
              </w:rPr>
              <w:t>04/</w:t>
            </w:r>
            <w:r w:rsidRPr="00532354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uk-UA"/>
              </w:rPr>
              <w:t>2017 р.</w:t>
            </w:r>
          </w:p>
          <w:p w:rsidR="005301AE" w:rsidRPr="00901F96" w:rsidRDefault="005301AE" w:rsidP="005301AE">
            <w:pPr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uk-UA"/>
              </w:rPr>
            </w:pPr>
          </w:p>
          <w:p w:rsidR="005301AE" w:rsidRPr="00901F96" w:rsidRDefault="005301AE" w:rsidP="005301AE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</w:pPr>
            <w:r w:rsidRPr="00901F96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uk-UA"/>
              </w:rPr>
              <w:t xml:space="preserve">Якщо у Вас виникнуть будь-які питання, будь ласка, звертайтеся </w:t>
            </w:r>
            <w:r w:rsidR="00943A64" w:rsidRPr="00943A64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uk-UA"/>
              </w:rPr>
              <w:t xml:space="preserve">звертатись до асистентів проекту, </w:t>
            </w:r>
            <w:r w:rsidR="00943A64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943A64" w:rsidRPr="00943A64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uk-UA"/>
              </w:rPr>
              <w:t>Анни Портнової (електронна пошта anna.portnova@coe.int) та Ольги Бучми  olha.buchma@coe.int, або за телефоном +38.044.303.99.14 (внт.145)</w:t>
            </w:r>
          </w:p>
        </w:tc>
      </w:tr>
    </w:tbl>
    <w:p w:rsidR="005301AE" w:rsidRPr="00901F96" w:rsidRDefault="005301AE" w:rsidP="005301AE">
      <w:pPr>
        <w:ind w:firstLine="720"/>
        <w:rPr>
          <w:lang w:val="uk-UA"/>
        </w:rPr>
      </w:pPr>
    </w:p>
    <w:sectPr w:rsidR="005301AE" w:rsidRPr="00901F96" w:rsidSect="006B12E7">
      <w:headerReference w:type="default" r:id="rId10"/>
      <w:pgSz w:w="12240" w:h="15840"/>
      <w:pgMar w:top="1701" w:right="1892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B34" w:rsidRDefault="00C23B34" w:rsidP="00C23B34">
      <w:pPr>
        <w:spacing w:after="0" w:line="240" w:lineRule="auto"/>
      </w:pPr>
      <w:r>
        <w:separator/>
      </w:r>
    </w:p>
  </w:endnote>
  <w:endnote w:type="continuationSeparator" w:id="0">
    <w:p w:rsidR="00C23B34" w:rsidRDefault="00C23B34" w:rsidP="00C23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B34" w:rsidRDefault="00C23B34" w:rsidP="00C23B34">
      <w:pPr>
        <w:spacing w:after="0" w:line="240" w:lineRule="auto"/>
      </w:pPr>
      <w:r>
        <w:separator/>
      </w:r>
    </w:p>
  </w:footnote>
  <w:footnote w:type="continuationSeparator" w:id="0">
    <w:p w:rsidR="00C23B34" w:rsidRDefault="00C23B34" w:rsidP="00C23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color w:val="4F81BD" w:themeColor="accent1"/>
        <w:lang w:val="ru-RU"/>
      </w:rPr>
      <w:alias w:val="Title"/>
      <w:id w:val="-1049988732"/>
      <w:placeholder>
        <w:docPart w:val="799C59DC22724336B4F40197F8AD9E6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23B34" w:rsidRPr="00DD1C49" w:rsidRDefault="00AF662D" w:rsidP="006B12E7">
        <w:pPr>
          <w:pStyle w:val="Header"/>
          <w:tabs>
            <w:tab w:val="clear" w:pos="9360"/>
          </w:tabs>
          <w:ind w:right="2556"/>
          <w:rPr>
            <w:rFonts w:asciiTheme="majorHAnsi" w:eastAsiaTheme="majorEastAsia" w:hAnsiTheme="majorHAnsi" w:cstheme="majorBidi"/>
            <w:b/>
            <w:color w:val="4F81BD" w:themeColor="accent1"/>
            <w:lang w:val="ru-RU"/>
          </w:rPr>
        </w:pPr>
        <w:r w:rsidRPr="00DA4D4C">
          <w:rPr>
            <w:rFonts w:asciiTheme="majorHAnsi" w:eastAsiaTheme="majorEastAsia" w:hAnsiTheme="majorHAnsi" w:cstheme="majorBidi"/>
            <w:b/>
            <w:color w:val="4F81BD" w:themeColor="accent1"/>
            <w:lang w:val="ru-RU"/>
          </w:rPr>
          <w:t>ОФІС РАДИ ЄВРОПИ В УКРАЇНІ                                                              ПРОЕКТ «ПОСИЛЕННЯ ЗАХИСТУ ПРАВ ЛЮДИНИ                     ВНУТРІШНЬО ПЕРЕМІЩЕНИХ ОСІБ В УКРАЇНІ»</w:t>
        </w:r>
      </w:p>
    </w:sdtContent>
  </w:sdt>
  <w:p w:rsidR="00C23B34" w:rsidRPr="00DA4D4C" w:rsidRDefault="005301AE" w:rsidP="00C23B34">
    <w:pPr>
      <w:pStyle w:val="Header"/>
      <w:rPr>
        <w:lang w:val="ru-RU"/>
      </w:rPr>
    </w:pP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CA7E11" wp14:editId="005345DF">
              <wp:simplePos x="0" y="0"/>
              <wp:positionH relativeFrom="leftMargin">
                <wp:posOffset>568960</wp:posOffset>
              </wp:positionH>
              <wp:positionV relativeFrom="page">
                <wp:posOffset>361950</wp:posOffset>
              </wp:positionV>
              <wp:extent cx="90805" cy="517525"/>
              <wp:effectExtent l="0" t="0" r="23495" b="15875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5175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accent3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id="Rectangle 472" o:spid="_x0000_s1026" style="position:absolute;margin-left:44.8pt;margin-top:28.5pt;width:7.15pt;height: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" fillcolor="#4f81bd [3204]" strokecolor="#76923c [2406]">
              <w10:wrap anchorx="margin" anchory="page"/>
            </v:rect>
          </w:pict>
        </mc:Fallback>
      </mc:AlternateContent>
    </w:r>
    <w:r w:rsidR="006B12E7">
      <w:rPr>
        <w:noProof/>
      </w:rPr>
      <w:drawing>
        <wp:anchor distT="0" distB="0" distL="114300" distR="114300" simplePos="0" relativeHeight="251662336" behindDoc="0" locked="0" layoutInCell="1" allowOverlap="1" wp14:anchorId="2A027717" wp14:editId="3B9F8552">
          <wp:simplePos x="0" y="0"/>
          <wp:positionH relativeFrom="margin">
            <wp:posOffset>4418330</wp:posOffset>
          </wp:positionH>
          <wp:positionV relativeFrom="margin">
            <wp:posOffset>-1128395</wp:posOffset>
          </wp:positionV>
          <wp:extent cx="1533525" cy="1238250"/>
          <wp:effectExtent l="0" t="0" r="0" b="0"/>
          <wp:wrapSquare wrapText="bothSides"/>
          <wp:docPr id="2" name="Picture 2" descr="D:\Сорока Юлія\открытки\Логотипи\COE-Logo-Quad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D:\Сорока Юлія\открытки\Логотипи\COE-Logo-Quadr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23B34" w:rsidRPr="0007336A">
      <w:rPr>
        <w:rFonts w:asciiTheme="majorHAnsi" w:eastAsiaTheme="majorEastAsia" w:hAnsiTheme="majorHAnsi" w:cstheme="majorBidi"/>
        <w:noProof/>
        <w:lang w:val="uk-U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45192"/>
    <w:multiLevelType w:val="hybridMultilevel"/>
    <w:tmpl w:val="5CBE810E"/>
    <w:lvl w:ilvl="0" w:tplc="54E06922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D125A"/>
    <w:multiLevelType w:val="hybridMultilevel"/>
    <w:tmpl w:val="89B0CD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364BA"/>
    <w:multiLevelType w:val="hybridMultilevel"/>
    <w:tmpl w:val="070CB0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B5A77"/>
    <w:multiLevelType w:val="hybridMultilevel"/>
    <w:tmpl w:val="1E66A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A3C10"/>
    <w:multiLevelType w:val="hybridMultilevel"/>
    <w:tmpl w:val="C6D0D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443FE2"/>
    <w:multiLevelType w:val="hybridMultilevel"/>
    <w:tmpl w:val="2F9E4338"/>
    <w:lvl w:ilvl="0" w:tplc="4560E8F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71064F"/>
    <w:multiLevelType w:val="hybridMultilevel"/>
    <w:tmpl w:val="141E0E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D1509"/>
    <w:multiLevelType w:val="hybridMultilevel"/>
    <w:tmpl w:val="7A7EC9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B34"/>
    <w:rsid w:val="00041E9C"/>
    <w:rsid w:val="0007336A"/>
    <w:rsid w:val="00151328"/>
    <w:rsid w:val="001C21C0"/>
    <w:rsid w:val="00277BC2"/>
    <w:rsid w:val="002A531E"/>
    <w:rsid w:val="00321BFF"/>
    <w:rsid w:val="003A03A8"/>
    <w:rsid w:val="003A5E75"/>
    <w:rsid w:val="003D3FB4"/>
    <w:rsid w:val="00493F44"/>
    <w:rsid w:val="0050167E"/>
    <w:rsid w:val="00512FEA"/>
    <w:rsid w:val="005301AE"/>
    <w:rsid w:val="00532354"/>
    <w:rsid w:val="00533E69"/>
    <w:rsid w:val="005D34D5"/>
    <w:rsid w:val="006B12E7"/>
    <w:rsid w:val="006B59C2"/>
    <w:rsid w:val="00735F3E"/>
    <w:rsid w:val="00901F96"/>
    <w:rsid w:val="00943A64"/>
    <w:rsid w:val="00AF662D"/>
    <w:rsid w:val="00BA7855"/>
    <w:rsid w:val="00C23B34"/>
    <w:rsid w:val="00D47294"/>
    <w:rsid w:val="00DA4D4C"/>
    <w:rsid w:val="00DD1C49"/>
    <w:rsid w:val="00F8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3B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B34"/>
  </w:style>
  <w:style w:type="paragraph" w:styleId="Footer">
    <w:name w:val="footer"/>
    <w:basedOn w:val="Normal"/>
    <w:link w:val="FooterChar"/>
    <w:unhideWhenUsed/>
    <w:rsid w:val="00C23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23B34"/>
  </w:style>
  <w:style w:type="character" w:customStyle="1" w:styleId="Heading1Char">
    <w:name w:val="Heading 1 Char"/>
    <w:basedOn w:val="DefaultParagraphFont"/>
    <w:link w:val="Heading1"/>
    <w:uiPriority w:val="9"/>
    <w:rsid w:val="00C23B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B34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07336A"/>
    <w:rPr>
      <w:rFonts w:eastAsiaTheme="minorEastAsia"/>
      <w:lang w:eastAsia="ja-JP"/>
    </w:rPr>
  </w:style>
  <w:style w:type="character" w:styleId="Hyperlink">
    <w:name w:val="Hyperlink"/>
    <w:rsid w:val="0007336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47294"/>
    <w:pPr>
      <w:ind w:left="720"/>
      <w:contextualSpacing/>
    </w:pPr>
  </w:style>
  <w:style w:type="table" w:styleId="TableGrid">
    <w:name w:val="Table Grid"/>
    <w:basedOn w:val="TableNormal"/>
    <w:uiPriority w:val="59"/>
    <w:rsid w:val="00530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3B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B34"/>
  </w:style>
  <w:style w:type="paragraph" w:styleId="Footer">
    <w:name w:val="footer"/>
    <w:basedOn w:val="Normal"/>
    <w:link w:val="FooterChar"/>
    <w:unhideWhenUsed/>
    <w:rsid w:val="00C23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23B34"/>
  </w:style>
  <w:style w:type="character" w:customStyle="1" w:styleId="Heading1Char">
    <w:name w:val="Heading 1 Char"/>
    <w:basedOn w:val="DefaultParagraphFont"/>
    <w:link w:val="Heading1"/>
    <w:uiPriority w:val="9"/>
    <w:rsid w:val="00C23B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B34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07336A"/>
    <w:rPr>
      <w:rFonts w:eastAsiaTheme="minorEastAsia"/>
      <w:lang w:eastAsia="ja-JP"/>
    </w:rPr>
  </w:style>
  <w:style w:type="character" w:styleId="Hyperlink">
    <w:name w:val="Hyperlink"/>
    <w:rsid w:val="0007336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47294"/>
    <w:pPr>
      <w:ind w:left="720"/>
      <w:contextualSpacing/>
    </w:pPr>
  </w:style>
  <w:style w:type="table" w:styleId="TableGrid">
    <w:name w:val="Table Grid"/>
    <w:basedOn w:val="TableNormal"/>
    <w:uiPriority w:val="59"/>
    <w:rsid w:val="00530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2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yiv@coe.i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99C59DC22724336B4F40197F8AD9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C2DB2-1A92-461C-B38E-24F08D800735}"/>
      </w:docPartPr>
      <w:docPartBody>
        <w:p w:rsidR="00923D07" w:rsidRDefault="00D71AB3" w:rsidP="00D71AB3">
          <w:pPr>
            <w:pStyle w:val="799C59DC22724336B4F40197F8AD9E69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B3"/>
    <w:rsid w:val="00923D07"/>
    <w:rsid w:val="00D7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231A0A0E9044C2ACE0AE6824B8AAEB">
    <w:name w:val="92231A0A0E9044C2ACE0AE6824B8AAEB"/>
    <w:rsid w:val="00D71AB3"/>
  </w:style>
  <w:style w:type="paragraph" w:customStyle="1" w:styleId="799C59DC22724336B4F40197F8AD9E69">
    <w:name w:val="799C59DC22724336B4F40197F8AD9E69"/>
    <w:rsid w:val="00D71AB3"/>
  </w:style>
  <w:style w:type="paragraph" w:customStyle="1" w:styleId="AF70905862474716BAC5BB519511C314">
    <w:name w:val="AF70905862474716BAC5BB519511C314"/>
    <w:rsid w:val="00D71AB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231A0A0E9044C2ACE0AE6824B8AAEB">
    <w:name w:val="92231A0A0E9044C2ACE0AE6824B8AAEB"/>
    <w:rsid w:val="00D71AB3"/>
  </w:style>
  <w:style w:type="paragraph" w:customStyle="1" w:styleId="799C59DC22724336B4F40197F8AD9E69">
    <w:name w:val="799C59DC22724336B4F40197F8AD9E69"/>
    <w:rsid w:val="00D71AB3"/>
  </w:style>
  <w:style w:type="paragraph" w:customStyle="1" w:styleId="AF70905862474716BAC5BB519511C314">
    <w:name w:val="AF70905862474716BAC5BB519511C314"/>
    <w:rsid w:val="00D71A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FD1F9-69A4-4E44-801D-12AEAD951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6</Pages>
  <Words>1642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ОФІС РАДИ ЄВРОПИ В УКРАЇНІ                                                              ПРОЕКТ «ПОСИЛЕННЯ ЗАХИСТУ ПРАВ ЛЮДИНИ                     ВНУТРІШНЬО ПЕРЕМІЩЕНИХ ОСІБ В УКРАЇНІ»</vt:lpstr>
    </vt:vector>
  </TitlesOfParts>
  <Company>Council of Europe</Company>
  <LinksUpToDate>false</LinksUpToDate>
  <CharactersWithSpaces>10987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ОФІС РАДИ ЄВРОПИ В УКРАЇНІ                                                              ПРОЕКТ «ПОСИЛЕННЯ ЗАХИСТУ ПРАВ ЛЮДИНИ                     ВНУТРІШНЬО ПЕРЕМІЩЕНИХ ОСІБ В УКРАЇНІ»</dc:title>
  <dc:creator>SVAVOLYA Iryna</dc:creator>
  <cp:lastModifiedBy>LYTVYNIUK Olga</cp:lastModifiedBy>
  <cp:revision>6</cp:revision>
  <dcterms:created xsi:type="dcterms:W3CDTF">2017-04-27T13:43:00Z</dcterms:created>
  <dcterms:modified xsi:type="dcterms:W3CDTF">2017-05-05T13:31:00Z</dcterms:modified>
</cp:coreProperties>
</file>