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4" w:type="dxa"/>
        <w:tblLayout w:type="fixed"/>
        <w:tblLook w:val="01E0" w:firstRow="1" w:lastRow="1" w:firstColumn="1" w:lastColumn="1" w:noHBand="0" w:noVBand="0"/>
      </w:tblPr>
      <w:tblGrid>
        <w:gridCol w:w="10834"/>
      </w:tblGrid>
      <w:tr w:rsidR="00B06AB1" w:rsidRPr="006F0D4D" w:rsidTr="00625858">
        <w:tc>
          <w:tcPr>
            <w:tcW w:w="10207" w:type="dxa"/>
          </w:tcPr>
          <w:p w:rsidR="00B06AB1" w:rsidRPr="006F0D4D" w:rsidRDefault="00B06AB1" w:rsidP="00B06AB1">
            <w:pPr>
              <w:keepNext/>
              <w:suppressAutoHyphens/>
              <w:spacing w:line="240" w:lineRule="auto"/>
              <w:jc w:val="center"/>
              <w:outlineLvl w:val="7"/>
              <w:rPr>
                <w:rFonts w:ascii="Arial Narrow" w:eastAsia="Times New Roman" w:hAnsi="Arial Narrow" w:cs="Times New Roman"/>
                <w:b/>
                <w:bCs/>
                <w:spacing w:val="-2"/>
                <w:lang w:val="ru-RU"/>
              </w:rPr>
            </w:pPr>
            <w:r w:rsidRPr="006F0D4D">
              <w:rPr>
                <w:rFonts w:ascii="Arial Narrow" w:eastAsia="Times New Roman" w:hAnsi="Arial Narrow" w:cs="Times New Roman"/>
                <w:b/>
                <w:bCs/>
                <w:spacing w:val="-2"/>
                <w:lang w:val="uk-UA"/>
              </w:rPr>
              <w:t>ГРАНТОВА УГОДА</w:t>
            </w:r>
          </w:p>
          <w:p w:rsidR="00B06AB1" w:rsidRPr="006F0D4D" w:rsidRDefault="00B06AB1" w:rsidP="00B06AB1">
            <w:pPr>
              <w:keepNext/>
              <w:suppressAutoHyphens/>
              <w:spacing w:before="240" w:after="0" w:line="240" w:lineRule="auto"/>
              <w:jc w:val="center"/>
              <w:outlineLvl w:val="7"/>
              <w:rPr>
                <w:rFonts w:ascii="Arial Narrow" w:eastAsia="Times New Roman" w:hAnsi="Arial Narrow" w:cs="Times New Roman"/>
                <w:b/>
                <w:bCs/>
                <w:spacing w:val="-2"/>
                <w:lang w:val="ru-RU"/>
              </w:rPr>
            </w:pPr>
            <w:r w:rsidRPr="006F0D4D">
              <w:rPr>
                <w:rFonts w:ascii="Arial Narrow" w:eastAsia="Times New Roman" w:hAnsi="Arial Narrow" w:cs="Times New Roman"/>
                <w:b/>
                <w:bCs/>
                <w:spacing w:val="-2"/>
                <w:lang w:val="uk-UA"/>
              </w:rPr>
              <w:t>МІЖ РАДОЮ ЄВРОПИ ТА</w:t>
            </w:r>
          </w:p>
          <w:p w:rsidR="00B06AB1" w:rsidRPr="006F0D4D" w:rsidRDefault="00B06AB1" w:rsidP="00B06AB1">
            <w:pPr>
              <w:keepNext/>
              <w:suppressAutoHyphens/>
              <w:spacing w:after="0" w:line="240" w:lineRule="auto"/>
              <w:jc w:val="center"/>
              <w:outlineLvl w:val="7"/>
              <w:rPr>
                <w:rFonts w:ascii="Arial Narrow" w:eastAsia="Times New Roman" w:hAnsi="Arial Narrow" w:cs="Times New Roman"/>
                <w:b/>
                <w:bCs/>
                <w:spacing w:val="-2"/>
                <w:lang w:val="en-GB"/>
              </w:rPr>
            </w:pPr>
            <w:r w:rsidRPr="006F0D4D">
              <w:rPr>
                <w:rFonts w:ascii="Arial Narrow" w:eastAsia="Times New Roman" w:hAnsi="Arial Narrow" w:cs="Times New Roman"/>
                <w:b/>
                <w:bCs/>
                <w:spacing w:val="-2"/>
                <w:lang w:val="uk-UA"/>
              </w:rPr>
              <w:t>ГРАНТООТРИМУВАЧЕМ</w:t>
            </w:r>
          </w:p>
          <w:p w:rsidR="00B06AB1" w:rsidRPr="006F0D4D" w:rsidRDefault="00B06AB1" w:rsidP="00B06AB1">
            <w:pPr>
              <w:keepNext/>
              <w:suppressAutoHyphens/>
              <w:spacing w:after="0" w:line="240" w:lineRule="auto"/>
              <w:jc w:val="center"/>
              <w:outlineLvl w:val="7"/>
              <w:rPr>
                <w:rFonts w:ascii="Arial Narrow" w:hAnsi="Arial Narrow"/>
                <w:b/>
                <w:lang w:val="en-GB" w:eastAsia="fr-FR"/>
              </w:rPr>
            </w:pPr>
          </w:p>
        </w:tc>
      </w:tr>
      <w:tr w:rsidR="00B06AB1" w:rsidRPr="003D7508" w:rsidTr="00625858">
        <w:tc>
          <w:tcPr>
            <w:tcW w:w="10207" w:type="dxa"/>
          </w:tcPr>
          <w:p w:rsidR="00B06AB1" w:rsidRPr="006F0D4D" w:rsidRDefault="00B06AB1" w:rsidP="001B21CD">
            <w:pPr>
              <w:keepNext/>
              <w:suppressAutoHyphens/>
              <w:spacing w:after="0" w:line="240" w:lineRule="auto"/>
              <w:jc w:val="both"/>
              <w:outlineLvl w:val="7"/>
              <w:rPr>
                <w:rFonts w:ascii="Arial Narrow" w:hAnsi="Arial Narrow"/>
                <w:lang w:val="uk-UA" w:eastAsia="fr-FR"/>
              </w:rPr>
            </w:pPr>
            <w:r w:rsidRPr="006F0D4D">
              <w:rPr>
                <w:rFonts w:ascii="Arial Narrow" w:hAnsi="Arial Narrow"/>
                <w:lang w:val="uk-UA" w:eastAsia="fr-FR"/>
              </w:rPr>
              <w:t xml:space="preserve">Рада Європи, штаб-квартира якої знаходиться за адресою: Авеню де л’Єроп </w:t>
            </w:r>
            <w:r w:rsidRPr="006F0D4D">
              <w:rPr>
                <w:rFonts w:ascii="Arial Narrow" w:hAnsi="Arial Narrow"/>
                <w:lang w:eastAsia="fr-FR"/>
              </w:rPr>
              <w:t>F</w:t>
            </w:r>
            <w:r w:rsidRPr="006F0D4D">
              <w:rPr>
                <w:rFonts w:ascii="Arial Narrow" w:hAnsi="Arial Narrow"/>
                <w:lang w:val="uk-UA" w:eastAsia="fr-FR"/>
              </w:rPr>
              <w:t xml:space="preserve">-67075, Страсбург, Франція, в особі </w:t>
            </w:r>
            <w:r w:rsidR="006F0D4D" w:rsidRPr="006F0D4D">
              <w:rPr>
                <w:rFonts w:ascii="Arial Narrow" w:hAnsi="Arial Narrow"/>
                <w:i/>
                <w:highlight w:val="yellow"/>
                <w:lang w:val="uk-UA" w:eastAsia="fr-FR"/>
              </w:rPr>
              <w:t>ім</w:t>
            </w:r>
            <w:r w:rsidR="006F0D4D" w:rsidRPr="006F0D4D">
              <w:rPr>
                <w:rFonts w:ascii="Arial Narrow" w:hAnsi="Arial Narrow"/>
                <w:i/>
                <w:highlight w:val="yellow"/>
                <w:lang w:val="ru-RU" w:eastAsia="fr-FR"/>
              </w:rPr>
              <w:t xml:space="preserve">’я </w:t>
            </w:r>
            <w:proofErr w:type="spellStart"/>
            <w:r w:rsidR="006F0D4D" w:rsidRPr="006F0D4D">
              <w:rPr>
                <w:rFonts w:ascii="Arial Narrow" w:hAnsi="Arial Narrow"/>
                <w:i/>
                <w:highlight w:val="yellow"/>
                <w:lang w:val="ru-RU" w:eastAsia="fr-FR"/>
              </w:rPr>
              <w:t>пред</w:t>
            </w:r>
            <w:r w:rsidR="009107F7">
              <w:rPr>
                <w:rFonts w:ascii="Arial Narrow" w:hAnsi="Arial Narrow"/>
                <w:i/>
                <w:highlight w:val="yellow"/>
                <w:lang w:val="ru-RU" w:eastAsia="fr-FR"/>
              </w:rPr>
              <w:t>с</w:t>
            </w:r>
            <w:r w:rsidR="006F0D4D" w:rsidRPr="006F0D4D">
              <w:rPr>
                <w:rFonts w:ascii="Arial Narrow" w:hAnsi="Arial Narrow"/>
                <w:i/>
                <w:highlight w:val="yellow"/>
                <w:lang w:val="ru-RU" w:eastAsia="fr-FR"/>
              </w:rPr>
              <w:t>тавника</w:t>
            </w:r>
            <w:proofErr w:type="spellEnd"/>
            <w:r w:rsidR="006F0D4D" w:rsidRPr="006F0D4D">
              <w:rPr>
                <w:rFonts w:ascii="Arial Narrow" w:hAnsi="Arial Narrow"/>
                <w:i/>
                <w:highlight w:val="yellow"/>
                <w:lang w:val="ru-RU" w:eastAsia="fr-FR"/>
              </w:rPr>
              <w:t xml:space="preserve"> </w:t>
            </w:r>
            <w:r w:rsidRPr="006F0D4D">
              <w:rPr>
                <w:rFonts w:ascii="Arial Narrow" w:hAnsi="Arial Narrow" w:cs="Arial"/>
                <w:i/>
                <w:highlight w:val="yellow"/>
                <w:lang w:val="uk-UA"/>
              </w:rPr>
              <w:t>Генерального секретаря</w:t>
            </w:r>
            <w:r w:rsidRPr="006F0D4D">
              <w:rPr>
                <w:rFonts w:ascii="Arial Narrow" w:hAnsi="Arial Narrow"/>
                <w:lang w:val="uk-UA" w:eastAsia="fr-FR"/>
              </w:rPr>
              <w:t>, який діє від імені Генерального Секретаря (далі – «Рада Європи»);</w:t>
            </w:r>
          </w:p>
          <w:p w:rsidR="00B06AB1" w:rsidRPr="006F0D4D" w:rsidRDefault="00B06AB1" w:rsidP="001B21CD">
            <w:pPr>
              <w:keepNext/>
              <w:suppressAutoHyphens/>
              <w:spacing w:after="0" w:line="240" w:lineRule="auto"/>
              <w:jc w:val="both"/>
              <w:outlineLvl w:val="7"/>
              <w:rPr>
                <w:rFonts w:ascii="Arial Narrow" w:hAnsi="Arial Narrow"/>
                <w:lang w:val="uk-UA" w:eastAsia="fr-FR"/>
              </w:rPr>
            </w:pPr>
          </w:p>
          <w:p w:rsidR="00B06AB1" w:rsidRPr="006F0D4D" w:rsidRDefault="00B06AB1" w:rsidP="001B21CD">
            <w:pPr>
              <w:keepNext/>
              <w:suppressAutoHyphens/>
              <w:spacing w:after="0" w:line="240" w:lineRule="auto"/>
              <w:jc w:val="both"/>
              <w:outlineLvl w:val="7"/>
              <w:rPr>
                <w:rFonts w:ascii="Arial Narrow" w:hAnsi="Arial Narrow"/>
                <w:lang w:val="uk-UA" w:eastAsia="fr-FR"/>
              </w:rPr>
            </w:pPr>
            <w:r w:rsidRPr="006F0D4D">
              <w:rPr>
                <w:rFonts w:ascii="Arial Narrow" w:hAnsi="Arial Narrow"/>
                <w:b/>
                <w:lang w:val="uk-UA" w:eastAsia="fr-FR"/>
              </w:rPr>
              <w:t xml:space="preserve"> </w:t>
            </w:r>
            <w:r w:rsidRPr="006F0D4D">
              <w:rPr>
                <w:rFonts w:ascii="Arial Narrow" w:hAnsi="Arial Narrow"/>
                <w:lang w:val="uk-UA" w:eastAsia="fr-FR"/>
              </w:rPr>
              <w:t>з однієї сторони, та</w:t>
            </w:r>
          </w:p>
          <w:p w:rsidR="00B06AB1" w:rsidRPr="006F0D4D" w:rsidRDefault="00B06AB1" w:rsidP="001B21CD">
            <w:pPr>
              <w:keepNext/>
              <w:suppressAutoHyphens/>
              <w:spacing w:after="0" w:line="240" w:lineRule="auto"/>
              <w:jc w:val="both"/>
              <w:outlineLvl w:val="7"/>
              <w:rPr>
                <w:rFonts w:ascii="Arial Narrow" w:hAnsi="Arial Narrow"/>
                <w:lang w:val="uk-UA" w:eastAsia="fr-FR"/>
              </w:rPr>
            </w:pPr>
          </w:p>
          <w:p w:rsidR="00B06AB1" w:rsidRPr="006F0D4D" w:rsidRDefault="00B06AB1" w:rsidP="001B21CD">
            <w:pPr>
              <w:keepNext/>
              <w:suppressAutoHyphens/>
              <w:spacing w:after="0" w:line="240" w:lineRule="auto"/>
              <w:jc w:val="both"/>
              <w:outlineLvl w:val="7"/>
              <w:rPr>
                <w:rFonts w:ascii="Arial Narrow" w:hAnsi="Arial Narrow"/>
                <w:lang w:val="uk-UA" w:eastAsia="fr-FR"/>
              </w:rPr>
            </w:pPr>
            <w:r w:rsidRPr="006F0D4D">
              <w:rPr>
                <w:rFonts w:ascii="Arial Narrow" w:hAnsi="Arial Narrow"/>
                <w:i/>
                <w:highlight w:val="yellow"/>
                <w:lang w:val="uk-UA" w:eastAsia="fr-FR"/>
              </w:rPr>
              <w:t>Назва та адреса грантоотримувача</w:t>
            </w:r>
            <w:r w:rsidRPr="006F0D4D">
              <w:rPr>
                <w:rFonts w:ascii="Arial Narrow" w:hAnsi="Arial Narrow"/>
                <w:lang w:val="uk-UA" w:eastAsia="fr-FR"/>
              </w:rPr>
              <w:t xml:space="preserve"> в особі </w:t>
            </w:r>
            <w:r w:rsidRPr="006F0D4D">
              <w:rPr>
                <w:rFonts w:ascii="Arial Narrow" w:hAnsi="Arial Narrow"/>
                <w:i/>
                <w:highlight w:val="yellow"/>
                <w:lang w:val="uk-UA" w:eastAsia="fr-FR"/>
              </w:rPr>
              <w:t>ім</w:t>
            </w:r>
            <w:r w:rsidRPr="006F0D4D">
              <w:rPr>
                <w:rFonts w:ascii="Arial Narrow" w:hAnsi="Arial Narrow"/>
                <w:i/>
                <w:highlight w:val="yellow"/>
                <w:lang w:val="ru-RU" w:eastAsia="fr-FR"/>
              </w:rPr>
              <w:t xml:space="preserve">’я </w:t>
            </w:r>
            <w:proofErr w:type="spellStart"/>
            <w:r w:rsidRPr="006F0D4D">
              <w:rPr>
                <w:rFonts w:ascii="Arial Narrow" w:hAnsi="Arial Narrow"/>
                <w:i/>
                <w:highlight w:val="yellow"/>
                <w:lang w:val="ru-RU" w:eastAsia="fr-FR"/>
              </w:rPr>
              <w:t>предтавника</w:t>
            </w:r>
            <w:proofErr w:type="spellEnd"/>
            <w:r w:rsidRPr="006F0D4D">
              <w:rPr>
                <w:rFonts w:ascii="Arial Narrow" w:hAnsi="Arial Narrow"/>
                <w:i/>
                <w:highlight w:val="yellow"/>
                <w:lang w:val="ru-RU" w:eastAsia="fr-FR"/>
              </w:rPr>
              <w:t xml:space="preserve"> та </w:t>
            </w:r>
            <w:proofErr w:type="spellStart"/>
            <w:r w:rsidRPr="006F0D4D">
              <w:rPr>
                <w:rFonts w:ascii="Arial Narrow" w:hAnsi="Arial Narrow"/>
                <w:i/>
                <w:highlight w:val="yellow"/>
                <w:lang w:val="ru-RU" w:eastAsia="fr-FR"/>
              </w:rPr>
              <w:t>його</w:t>
            </w:r>
            <w:proofErr w:type="spellEnd"/>
            <w:r w:rsidRPr="006F0D4D">
              <w:rPr>
                <w:rFonts w:ascii="Arial Narrow" w:hAnsi="Arial Narrow"/>
                <w:i/>
                <w:highlight w:val="yellow"/>
                <w:lang w:val="ru-RU" w:eastAsia="fr-FR"/>
              </w:rPr>
              <w:t xml:space="preserve"> посада в </w:t>
            </w:r>
            <w:proofErr w:type="spellStart"/>
            <w:r w:rsidRPr="006F0D4D">
              <w:rPr>
                <w:rFonts w:ascii="Arial Narrow" w:hAnsi="Arial Narrow"/>
                <w:i/>
                <w:highlight w:val="yellow"/>
                <w:lang w:val="ru-RU" w:eastAsia="fr-FR"/>
              </w:rPr>
              <w:t>адміністративній</w:t>
            </w:r>
            <w:proofErr w:type="spellEnd"/>
            <w:r w:rsidRPr="006F0D4D">
              <w:rPr>
                <w:rFonts w:ascii="Arial Narrow" w:hAnsi="Arial Narrow"/>
                <w:i/>
                <w:highlight w:val="yellow"/>
                <w:lang w:val="ru-RU" w:eastAsia="fr-FR"/>
              </w:rPr>
              <w:t xml:space="preserve"> </w:t>
            </w:r>
            <w:proofErr w:type="spellStart"/>
            <w:r w:rsidRPr="006F0D4D">
              <w:rPr>
                <w:rFonts w:ascii="Arial Narrow" w:hAnsi="Arial Narrow"/>
                <w:i/>
                <w:highlight w:val="yellow"/>
                <w:lang w:val="ru-RU" w:eastAsia="fr-FR"/>
              </w:rPr>
              <w:t>структурі</w:t>
            </w:r>
            <w:proofErr w:type="spellEnd"/>
            <w:r w:rsidRPr="006F0D4D">
              <w:rPr>
                <w:rFonts w:ascii="Arial Narrow" w:hAnsi="Arial Narrow"/>
                <w:i/>
                <w:highlight w:val="yellow"/>
                <w:lang w:val="ru-RU" w:eastAsia="fr-FR"/>
              </w:rPr>
              <w:t xml:space="preserve"> </w:t>
            </w:r>
            <w:proofErr w:type="spellStart"/>
            <w:r w:rsidRPr="006F0D4D">
              <w:rPr>
                <w:rFonts w:ascii="Arial Narrow" w:hAnsi="Arial Narrow"/>
                <w:i/>
                <w:highlight w:val="yellow"/>
                <w:lang w:val="ru-RU" w:eastAsia="fr-FR"/>
              </w:rPr>
              <w:t>грантоотримувача</w:t>
            </w:r>
            <w:proofErr w:type="spellEnd"/>
            <w:r w:rsidRPr="006F0D4D">
              <w:rPr>
                <w:rFonts w:ascii="Arial Narrow" w:hAnsi="Arial Narrow"/>
                <w:lang w:val="ru-RU" w:eastAsia="fr-FR"/>
              </w:rPr>
              <w:t xml:space="preserve"> </w:t>
            </w:r>
            <w:r w:rsidRPr="006F0D4D">
              <w:rPr>
                <w:rFonts w:ascii="Arial Narrow" w:hAnsi="Arial Narrow"/>
                <w:lang w:val="uk-UA" w:eastAsia="fr-FR"/>
              </w:rPr>
              <w:t>(далі – «Грантоотримувач»);</w:t>
            </w:r>
          </w:p>
          <w:p w:rsidR="00B06AB1" w:rsidRPr="006F0D4D" w:rsidRDefault="00B06AB1" w:rsidP="001B21CD">
            <w:pPr>
              <w:keepNext/>
              <w:suppressAutoHyphens/>
              <w:spacing w:after="0" w:line="240" w:lineRule="auto"/>
              <w:jc w:val="both"/>
              <w:outlineLvl w:val="7"/>
              <w:rPr>
                <w:rFonts w:ascii="Arial Narrow" w:hAnsi="Arial Narrow"/>
                <w:lang w:val="uk-UA" w:eastAsia="fr-FR"/>
              </w:rPr>
            </w:pPr>
          </w:p>
          <w:p w:rsidR="00B06AB1" w:rsidRPr="006F0D4D" w:rsidRDefault="00B06AB1" w:rsidP="001B21CD">
            <w:pPr>
              <w:keepNext/>
              <w:suppressAutoHyphens/>
              <w:spacing w:after="0" w:line="240" w:lineRule="auto"/>
              <w:jc w:val="both"/>
              <w:outlineLvl w:val="7"/>
              <w:rPr>
                <w:rFonts w:ascii="Arial Narrow" w:hAnsi="Arial Narrow"/>
                <w:lang w:val="uk-UA" w:eastAsia="fr-FR"/>
              </w:rPr>
            </w:pPr>
            <w:r w:rsidRPr="006F0D4D">
              <w:rPr>
                <w:rFonts w:ascii="Arial Narrow" w:hAnsi="Arial Narrow"/>
                <w:lang w:val="uk-UA" w:eastAsia="fr-FR"/>
              </w:rPr>
              <w:t>з іншої сторони,</w:t>
            </w:r>
          </w:p>
          <w:p w:rsidR="00B06AB1" w:rsidRPr="006F0D4D" w:rsidRDefault="00B06AB1" w:rsidP="001B21CD">
            <w:pPr>
              <w:keepNext/>
              <w:suppressAutoHyphens/>
              <w:spacing w:after="0" w:line="240" w:lineRule="auto"/>
              <w:jc w:val="both"/>
              <w:outlineLvl w:val="7"/>
              <w:rPr>
                <w:rFonts w:ascii="Arial Narrow" w:eastAsia="Times New Roman" w:hAnsi="Arial Narrow" w:cs="Times New Roman"/>
                <w:bCs/>
                <w:spacing w:val="-2"/>
                <w:lang w:val="uk-UA"/>
              </w:rPr>
            </w:pPr>
          </w:p>
          <w:p w:rsidR="00B06AB1" w:rsidRPr="006F0D4D" w:rsidRDefault="00B06AB1" w:rsidP="001B21CD">
            <w:pPr>
              <w:keepNext/>
              <w:suppressAutoHyphens/>
              <w:spacing w:after="0" w:line="240" w:lineRule="auto"/>
              <w:jc w:val="both"/>
              <w:outlineLvl w:val="7"/>
              <w:rPr>
                <w:rFonts w:ascii="Arial Narrow" w:eastAsia="Times New Roman" w:hAnsi="Arial Narrow" w:cs="Times New Roman"/>
                <w:bCs/>
                <w:spacing w:val="-2"/>
                <w:lang w:val="uk-UA"/>
              </w:rPr>
            </w:pPr>
            <w:r w:rsidRPr="006F0D4D">
              <w:rPr>
                <w:rFonts w:ascii="Arial Narrow" w:eastAsia="Times New Roman" w:hAnsi="Arial Narrow" w:cs="Times New Roman"/>
                <w:bCs/>
                <w:spacing w:val="-2"/>
                <w:lang w:val="uk-UA"/>
              </w:rPr>
              <w:t>домовились про наступне:</w:t>
            </w:r>
          </w:p>
        </w:tc>
      </w:tr>
      <w:tr w:rsidR="00B06AB1" w:rsidRPr="006F0D4D" w:rsidTr="00625858">
        <w:tc>
          <w:tcPr>
            <w:tcW w:w="10207" w:type="dxa"/>
          </w:tcPr>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ru-RU"/>
              </w:rPr>
            </w:pPr>
          </w:p>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r w:rsidRPr="006F0D4D">
              <w:rPr>
                <w:rFonts w:ascii="Arial Narrow" w:eastAsia="Times New Roman" w:hAnsi="Arial Narrow" w:cs="Times New Roman"/>
                <w:b/>
                <w:bCs/>
                <w:spacing w:val="-2"/>
                <w:lang w:val="uk-UA"/>
              </w:rPr>
              <w:t>СТАТТЯ 1 – ПРЕДМЕТ УГОДИ</w:t>
            </w:r>
          </w:p>
        </w:tc>
      </w:tr>
      <w:tr w:rsidR="00B06AB1" w:rsidRPr="003D7508" w:rsidTr="00625858">
        <w:tc>
          <w:tcPr>
            <w:tcW w:w="10207" w:type="dxa"/>
          </w:tcPr>
          <w:p w:rsidR="00B06AB1" w:rsidRPr="006F0D4D" w:rsidRDefault="00B06AB1" w:rsidP="001B21CD">
            <w:pPr>
              <w:keepNext/>
              <w:numPr>
                <w:ilvl w:val="0"/>
                <w:numId w:val="15"/>
              </w:numPr>
              <w:suppressAutoHyphens/>
              <w:spacing w:after="0" w:line="240" w:lineRule="auto"/>
              <w:ind w:left="317"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 xml:space="preserve">Предметом цієї Угоди є фінансування у максимальному розмірі </w:t>
            </w:r>
            <w:r w:rsidRPr="006F0D4D">
              <w:rPr>
                <w:rFonts w:ascii="Arial Narrow" w:eastAsia="Times New Roman" w:hAnsi="Arial Narrow" w:cs="Times New Roman"/>
                <w:bCs/>
                <w:i/>
                <w:spacing w:val="-2"/>
                <w:highlight w:val="yellow"/>
                <w:lang w:val="ru-RU" w:eastAsia="en-GB"/>
              </w:rPr>
              <w:t xml:space="preserve">сума цифрами у </w:t>
            </w:r>
            <w:proofErr w:type="spellStart"/>
            <w:r w:rsidRPr="006F0D4D">
              <w:rPr>
                <w:rFonts w:ascii="Arial Narrow" w:eastAsia="Times New Roman" w:hAnsi="Arial Narrow" w:cs="Times New Roman"/>
                <w:bCs/>
                <w:i/>
                <w:spacing w:val="-2"/>
                <w:highlight w:val="yellow"/>
                <w:lang w:val="ru-RU" w:eastAsia="en-GB"/>
              </w:rPr>
              <w:t>відповідній</w:t>
            </w:r>
            <w:proofErr w:type="spellEnd"/>
            <w:r w:rsidRPr="006F0D4D">
              <w:rPr>
                <w:rFonts w:ascii="Arial Narrow" w:eastAsia="Times New Roman" w:hAnsi="Arial Narrow" w:cs="Times New Roman"/>
                <w:bCs/>
                <w:i/>
                <w:spacing w:val="-2"/>
                <w:highlight w:val="yellow"/>
                <w:lang w:val="ru-RU" w:eastAsia="en-GB"/>
              </w:rPr>
              <w:t xml:space="preserve"> </w:t>
            </w:r>
            <w:proofErr w:type="spellStart"/>
            <w:r w:rsidRPr="006F0D4D">
              <w:rPr>
                <w:rFonts w:ascii="Arial Narrow" w:eastAsia="Times New Roman" w:hAnsi="Arial Narrow" w:cs="Times New Roman"/>
                <w:bCs/>
                <w:i/>
                <w:spacing w:val="-2"/>
                <w:highlight w:val="yellow"/>
                <w:lang w:val="ru-RU" w:eastAsia="en-GB"/>
              </w:rPr>
              <w:t>валюті</w:t>
            </w:r>
            <w:proofErr w:type="spellEnd"/>
            <w:r w:rsidRPr="006F0D4D">
              <w:rPr>
                <w:rFonts w:ascii="Arial Narrow" w:eastAsia="Times New Roman" w:hAnsi="Arial Narrow" w:cs="Times New Roman"/>
                <w:bCs/>
                <w:i/>
                <w:spacing w:val="-2"/>
                <w:highlight w:val="yellow"/>
                <w:lang w:val="uk-UA" w:eastAsia="en-GB"/>
              </w:rPr>
              <w:t xml:space="preserve"> (сума прописом),</w:t>
            </w:r>
            <w:r w:rsidRPr="006F0D4D">
              <w:rPr>
                <w:rFonts w:ascii="Arial Narrow" w:eastAsia="Times New Roman" w:hAnsi="Arial Narrow" w:cs="Times New Roman"/>
                <w:bCs/>
                <w:i/>
                <w:spacing w:val="-2"/>
                <w:lang w:val="ru-RU" w:eastAsia="en-GB"/>
              </w:rPr>
              <w:t xml:space="preserve"> </w:t>
            </w:r>
            <w:r w:rsidRPr="006F0D4D">
              <w:rPr>
                <w:rFonts w:ascii="Arial Narrow" w:eastAsia="Times New Roman" w:hAnsi="Arial Narrow" w:cs="Times New Roman"/>
                <w:bCs/>
                <w:spacing w:val="-2"/>
                <w:lang w:val="uk-UA" w:eastAsia="en-GB"/>
              </w:rPr>
              <w:t xml:space="preserve"> яке надається Радою Європи в якості оплати витрат, пов’язаних із реалізацією </w:t>
            </w:r>
            <w:r w:rsidRPr="006F0D4D">
              <w:rPr>
                <w:rFonts w:ascii="Arial Narrow" w:eastAsia="Times New Roman" w:hAnsi="Arial Narrow" w:cs="Times New Roman"/>
                <w:bCs/>
                <w:i/>
                <w:spacing w:val="-2"/>
                <w:highlight w:val="yellow"/>
                <w:lang w:val="uk-UA" w:eastAsia="en-GB"/>
              </w:rPr>
              <w:t>назва діяльності</w:t>
            </w:r>
            <w:r w:rsidRPr="006F0D4D">
              <w:rPr>
                <w:rFonts w:ascii="Arial Narrow" w:eastAsia="Times New Roman" w:hAnsi="Arial Narrow" w:cs="Times New Roman"/>
                <w:bCs/>
                <w:spacing w:val="-2"/>
                <w:lang w:val="uk-UA" w:eastAsia="en-GB"/>
              </w:rPr>
              <w:t xml:space="preserve"> (далі – «Діяльність»), як зазначено у Додатку І до цієї Угоди.</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15"/>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Грантоотримувач отримає фінансування у строки та на умовах, які викладені в цій Угоді та Додатках до неї, що складають невід’ємну частину цієї Угоди.</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15"/>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 xml:space="preserve">Ця Угода набуде чинності у день, коли друга із двох Сторін її підпише. Період реалізації Діяльності розпочинається </w:t>
            </w:r>
            <w:r w:rsidRPr="006F0D4D">
              <w:rPr>
                <w:rFonts w:ascii="Arial Narrow" w:eastAsia="Times New Roman" w:hAnsi="Arial Narrow" w:cs="Times New Roman"/>
                <w:bCs/>
                <w:i/>
                <w:spacing w:val="-2"/>
                <w:highlight w:val="yellow"/>
                <w:lang w:val="uk-UA" w:eastAsia="en-GB"/>
              </w:rPr>
              <w:t>дата</w:t>
            </w:r>
            <w:r w:rsidRPr="006F0D4D">
              <w:rPr>
                <w:rFonts w:ascii="Arial Narrow" w:eastAsia="Times New Roman" w:hAnsi="Arial Narrow" w:cs="Times New Roman"/>
                <w:bCs/>
                <w:spacing w:val="-2"/>
                <w:lang w:val="uk-UA" w:eastAsia="en-GB"/>
              </w:rPr>
              <w:t xml:space="preserve"> та завершується </w:t>
            </w:r>
            <w:r w:rsidRPr="006F0D4D">
              <w:rPr>
                <w:rFonts w:ascii="Arial Narrow" w:eastAsia="Times New Roman" w:hAnsi="Arial Narrow" w:cs="Times New Roman"/>
                <w:bCs/>
                <w:i/>
                <w:spacing w:val="-2"/>
                <w:highlight w:val="yellow"/>
                <w:lang w:val="uk-UA" w:eastAsia="en-GB"/>
              </w:rPr>
              <w:t>дата.</w:t>
            </w:r>
          </w:p>
          <w:p w:rsidR="00B06AB1" w:rsidRPr="006F0D4D" w:rsidRDefault="00B06AB1" w:rsidP="001B21CD">
            <w:pPr>
              <w:spacing w:after="0" w:line="240" w:lineRule="auto"/>
              <w:ind w:left="720"/>
              <w:contextualSpacing/>
              <w:rPr>
                <w:rFonts w:ascii="Arial Narrow" w:eastAsia="Times New Roman" w:hAnsi="Arial Narrow" w:cs="Times New Roman"/>
                <w:bCs/>
                <w:spacing w:val="-2"/>
                <w:lang w:val="ru-RU" w:eastAsia="en-GB"/>
              </w:rPr>
            </w:pPr>
          </w:p>
          <w:p w:rsidR="00B06AB1" w:rsidRPr="006F0D4D" w:rsidRDefault="00B06AB1" w:rsidP="001B21CD">
            <w:pPr>
              <w:spacing w:after="0" w:line="240" w:lineRule="auto"/>
              <w:ind w:left="720"/>
              <w:contextualSpacing/>
              <w:rPr>
                <w:rFonts w:ascii="Arial Narrow" w:eastAsia="Times New Roman" w:hAnsi="Arial Narrow" w:cs="Times New Roman"/>
                <w:bCs/>
                <w:spacing w:val="-2"/>
                <w:lang w:val="ru-RU" w:eastAsia="en-GB"/>
              </w:rPr>
            </w:pPr>
          </w:p>
          <w:p w:rsidR="00B06AB1" w:rsidRPr="006F0D4D" w:rsidRDefault="00B06AB1" w:rsidP="001B21CD">
            <w:pPr>
              <w:keepNext/>
              <w:numPr>
                <w:ilvl w:val="0"/>
                <w:numId w:val="15"/>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Грантоотримувач зробить свій внесок до реалізації Діяльності шляхом власних ресурсів</w:t>
            </w:r>
            <w:r w:rsidRPr="006F0D4D">
              <w:rPr>
                <w:rFonts w:ascii="Arial Narrow" w:eastAsia="Times New Roman" w:hAnsi="Arial Narrow" w:cs="Times New Roman"/>
                <w:bCs/>
                <w:spacing w:val="-2"/>
                <w:lang w:val="ru-RU" w:eastAsia="en-GB"/>
              </w:rPr>
              <w:t xml:space="preserve"> </w:t>
            </w:r>
            <w:r w:rsidRPr="006F0D4D">
              <w:rPr>
                <w:rFonts w:ascii="Arial Narrow" w:eastAsia="Times New Roman" w:hAnsi="Arial Narrow" w:cs="Times New Roman"/>
                <w:bCs/>
                <w:spacing w:val="-2"/>
                <w:lang w:val="uk-UA" w:eastAsia="en-GB"/>
              </w:rPr>
              <w:t>або шляхом внеску третіх сторін. Спів-фінансування може бути здійснено у формі фінансових або людських ресурсів, в натурі або за рахунок доходу, отриманого внаслідок Діяльності. Форма такого внеску визначена у Додатку ІІ до цієї Угоди.</w:t>
            </w:r>
          </w:p>
        </w:tc>
      </w:tr>
      <w:tr w:rsidR="00B06AB1" w:rsidRPr="006F0D4D" w:rsidTr="00625858">
        <w:tc>
          <w:tcPr>
            <w:tcW w:w="10207" w:type="dxa"/>
          </w:tcPr>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ru-RU"/>
              </w:rPr>
            </w:pPr>
          </w:p>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r w:rsidRPr="006F0D4D">
              <w:rPr>
                <w:rFonts w:ascii="Arial Narrow" w:eastAsia="Times New Roman" w:hAnsi="Arial Narrow" w:cs="Times New Roman"/>
                <w:b/>
                <w:bCs/>
                <w:spacing w:val="-2"/>
                <w:lang w:val="uk-UA"/>
              </w:rPr>
              <w:t>СТАТТЯ 2 – ОБОВ</w:t>
            </w:r>
            <w:r w:rsidRPr="006F0D4D">
              <w:rPr>
                <w:rFonts w:ascii="Arial Narrow" w:eastAsia="Times New Roman" w:hAnsi="Arial Narrow" w:cs="Times New Roman"/>
                <w:b/>
                <w:bCs/>
                <w:spacing w:val="-2"/>
              </w:rPr>
              <w:t>’</w:t>
            </w:r>
            <w:r w:rsidRPr="006F0D4D">
              <w:rPr>
                <w:rFonts w:ascii="Arial Narrow" w:eastAsia="Times New Roman" w:hAnsi="Arial Narrow" w:cs="Times New Roman"/>
                <w:b/>
                <w:bCs/>
                <w:spacing w:val="-2"/>
                <w:lang w:val="uk-UA"/>
              </w:rPr>
              <w:t>ЯЗКИ ГРАНТООТРИМУВАЧА</w:t>
            </w:r>
          </w:p>
        </w:tc>
      </w:tr>
      <w:tr w:rsidR="00B06AB1" w:rsidRPr="003D7508" w:rsidTr="00625858">
        <w:tc>
          <w:tcPr>
            <w:tcW w:w="10207" w:type="dxa"/>
          </w:tcPr>
          <w:p w:rsidR="00B06AB1" w:rsidRPr="006F0D4D" w:rsidRDefault="00B06AB1" w:rsidP="001B21CD">
            <w:pPr>
              <w:keepNext/>
              <w:numPr>
                <w:ilvl w:val="0"/>
                <w:numId w:val="16"/>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Грантоотримувач повинен:</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17"/>
              </w:numPr>
              <w:suppressAutoHyphens/>
              <w:spacing w:after="0" w:line="240" w:lineRule="auto"/>
              <w:ind w:left="322" w:hanging="283"/>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 xml:space="preserve">відповідати за виконання проекту, як це визначено у Додатках І та ІІ, згідно з умовами та положеннями цієї Угоди; </w:t>
            </w:r>
          </w:p>
          <w:p w:rsidR="00B06AB1" w:rsidRPr="006F0D4D" w:rsidRDefault="00B06AB1" w:rsidP="001B21CD">
            <w:pPr>
              <w:keepNext/>
              <w:numPr>
                <w:ilvl w:val="0"/>
                <w:numId w:val="17"/>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відповідати за будь-якими юридичними зобов’язаннями покладеними на нього;</w:t>
            </w:r>
          </w:p>
          <w:p w:rsidR="00B06AB1" w:rsidRPr="006F0D4D" w:rsidRDefault="00B06AB1" w:rsidP="001B21CD">
            <w:pPr>
              <w:keepNext/>
              <w:numPr>
                <w:ilvl w:val="0"/>
                <w:numId w:val="17"/>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 xml:space="preserve"> негайно інформувати Раду Європи щодо будь-яких  змін, які можуть вплинути на реалізацію проекту або спричинити відкладення реалізації проекту, про які Грантоотримувачу стало відомо.</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16"/>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Грантоотримувач зобов’язується:</w:t>
            </w:r>
          </w:p>
          <w:p w:rsidR="00B06AB1" w:rsidRPr="006F0D4D" w:rsidRDefault="00B06AB1" w:rsidP="001B21CD">
            <w:pPr>
              <w:keepNext/>
              <w:suppressAutoHyphens/>
              <w:spacing w:after="0"/>
              <w:jc w:val="both"/>
              <w:outlineLvl w:val="7"/>
              <w:rPr>
                <w:rFonts w:ascii="Arial Narrow" w:hAnsi="Arial Narrow"/>
                <w:bCs/>
                <w:spacing w:val="-2"/>
              </w:rPr>
            </w:pPr>
          </w:p>
          <w:p w:rsidR="00B06AB1" w:rsidRPr="006F0D4D" w:rsidRDefault="00B06AB1" w:rsidP="001B21CD">
            <w:pPr>
              <w:keepNext/>
              <w:suppressAutoHyphens/>
              <w:spacing w:after="0"/>
              <w:jc w:val="both"/>
              <w:outlineLvl w:val="7"/>
              <w:rPr>
                <w:rFonts w:ascii="Arial Narrow" w:hAnsi="Arial Narrow"/>
                <w:bCs/>
                <w:spacing w:val="-2"/>
              </w:rPr>
            </w:pPr>
          </w:p>
          <w:p w:rsidR="00B06AB1" w:rsidRPr="006F0D4D" w:rsidRDefault="00B06AB1" w:rsidP="001B21CD">
            <w:pPr>
              <w:keepNext/>
              <w:numPr>
                <w:ilvl w:val="0"/>
                <w:numId w:val="18"/>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використовувати це фінансування виключно відповідно до предмету цієї Угоди, визначеного у Статті 1;</w:t>
            </w:r>
          </w:p>
          <w:p w:rsidR="00B06AB1" w:rsidRPr="006F0D4D" w:rsidRDefault="00B06AB1" w:rsidP="001B21CD">
            <w:pPr>
              <w:keepNext/>
              <w:numPr>
                <w:ilvl w:val="0"/>
                <w:numId w:val="18"/>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lastRenderedPageBreak/>
              <w:t>не отримувати прибутку від фінансування, отриманого від Ради Європи;</w:t>
            </w:r>
          </w:p>
          <w:p w:rsidR="00B06AB1" w:rsidRPr="006F0D4D" w:rsidRDefault="00B06AB1" w:rsidP="001B21CD">
            <w:pPr>
              <w:keepNext/>
              <w:numPr>
                <w:ilvl w:val="0"/>
                <w:numId w:val="18"/>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 xml:space="preserve">відповідати адекватно та швидко на будь-який обґрунтований запит на інформацію від Ради Європи, що стосується впровадження Діяльності або перевірки витрат; </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18"/>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надати Раді Європи фінальний описовий звіт</w:t>
            </w:r>
            <w:r w:rsidRPr="006F0D4D">
              <w:rPr>
                <w:rStyle w:val="FootnoteReference"/>
                <w:rFonts w:ascii="Arial Narrow" w:eastAsia="Times New Roman" w:hAnsi="Arial Narrow" w:cs="Times New Roman"/>
                <w:bCs/>
                <w:spacing w:val="-2"/>
                <w:lang w:val="uk-UA" w:eastAsia="en-GB"/>
              </w:rPr>
              <w:footnoteReference w:id="1"/>
            </w:r>
            <w:r w:rsidRPr="006F0D4D">
              <w:rPr>
                <w:rFonts w:ascii="Arial Narrow" w:eastAsia="Times New Roman" w:hAnsi="Arial Narrow" w:cs="Times New Roman"/>
                <w:bCs/>
                <w:spacing w:val="-2"/>
                <w:lang w:val="uk-UA" w:eastAsia="en-GB"/>
              </w:rPr>
              <w:t xml:space="preserve"> щодо використання гранту до </w:t>
            </w:r>
            <w:r w:rsidRPr="006F0D4D">
              <w:rPr>
                <w:rFonts w:ascii="Arial Narrow" w:eastAsia="Times New Roman" w:hAnsi="Arial Narrow" w:cs="Times New Roman"/>
                <w:bCs/>
                <w:i/>
                <w:spacing w:val="-2"/>
                <w:highlight w:val="yellow"/>
                <w:lang w:val="uk-UA" w:eastAsia="en-GB"/>
              </w:rPr>
              <w:t>дата;</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18"/>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 xml:space="preserve">надати Раді Європи до </w:t>
            </w:r>
            <w:r w:rsidRPr="006F0D4D">
              <w:rPr>
                <w:rFonts w:ascii="Arial Narrow" w:eastAsia="Times New Roman" w:hAnsi="Arial Narrow" w:cs="Times New Roman"/>
                <w:bCs/>
                <w:i/>
                <w:spacing w:val="-2"/>
                <w:highlight w:val="yellow"/>
                <w:lang w:val="uk-UA" w:eastAsia="en-GB"/>
              </w:rPr>
              <w:t>дата:</w:t>
            </w:r>
          </w:p>
          <w:p w:rsidR="00B06AB1" w:rsidRPr="006F0D4D" w:rsidRDefault="00B06AB1" w:rsidP="001B21CD">
            <w:pPr>
              <w:keepNext/>
              <w:tabs>
                <w:tab w:val="left" w:pos="454"/>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19"/>
              </w:numPr>
              <w:tabs>
                <w:tab w:val="left" w:pos="454"/>
              </w:tabs>
              <w:suppressAutoHyphens/>
              <w:spacing w:after="0" w:line="240" w:lineRule="auto"/>
              <w:ind w:left="690"/>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 xml:space="preserve">фінальний фінансовий звіт (див. Додаток </w:t>
            </w:r>
            <w:r w:rsidRPr="006F0D4D">
              <w:rPr>
                <w:rFonts w:ascii="Arial Narrow" w:eastAsia="Times New Roman" w:hAnsi="Arial Narrow" w:cs="Times New Roman"/>
                <w:bCs/>
                <w:spacing w:val="-2"/>
                <w:lang w:eastAsia="en-GB"/>
              </w:rPr>
              <w:t>III</w:t>
            </w:r>
            <w:r w:rsidRPr="006F0D4D">
              <w:rPr>
                <w:rFonts w:ascii="Arial Narrow" w:eastAsia="Times New Roman" w:hAnsi="Arial Narrow" w:cs="Times New Roman"/>
                <w:bCs/>
                <w:spacing w:val="-2"/>
                <w:lang w:val="uk-UA" w:eastAsia="en-GB"/>
              </w:rPr>
              <w:t>) щодо виплат, здійснених у зв’язку з Діяльністю, засвідчений уповноваженим фінансовим інспектором Грантоотримувача, що супроводжується оригіналами відповідних підтверджуючих документів</w:t>
            </w:r>
            <w:r w:rsidRPr="006F0D4D">
              <w:rPr>
                <w:rFonts w:ascii="Arial Narrow" w:eastAsia="Times New Roman" w:hAnsi="Arial Narrow" w:cs="Times New Roman"/>
                <w:bCs/>
                <w:spacing w:val="-2"/>
                <w:vertAlign w:val="superscript"/>
                <w:lang w:val="uk-UA" w:eastAsia="en-GB"/>
              </w:rPr>
              <w:footnoteReference w:id="2"/>
            </w:r>
            <w:r w:rsidRPr="006F0D4D">
              <w:rPr>
                <w:rFonts w:ascii="Arial Narrow" w:eastAsia="Times New Roman" w:hAnsi="Arial Narrow" w:cs="Times New Roman"/>
                <w:bCs/>
                <w:spacing w:val="-2"/>
                <w:lang w:val="uk-UA" w:eastAsia="en-GB"/>
              </w:rPr>
              <w:t xml:space="preserve"> (і описовим перекладом платіжних документів, які не складені англійською чи французькою мовою). Якщо, згідно з національним законодавством, оригінали документів повинні знаходитись у Грантоотримувача, належним чином завірені копії цих документів повинні бути додані до фінального фінансового звіту;</w:t>
            </w:r>
          </w:p>
          <w:p w:rsidR="00B06AB1" w:rsidRPr="006F0D4D" w:rsidRDefault="00B06AB1" w:rsidP="001B21CD">
            <w:pPr>
              <w:keepNext/>
              <w:numPr>
                <w:ilvl w:val="0"/>
                <w:numId w:val="19"/>
              </w:numPr>
              <w:tabs>
                <w:tab w:val="left" w:pos="454"/>
              </w:tabs>
              <w:suppressAutoHyphens/>
              <w:spacing w:after="0" w:line="240" w:lineRule="auto"/>
              <w:ind w:left="690"/>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копію платіжного доручення або будь-який інший документ, наданий банком Грантоотримувача, що підтверджує отримання коштів;</w:t>
            </w:r>
          </w:p>
          <w:p w:rsidR="00B06AB1" w:rsidRPr="006F0D4D" w:rsidRDefault="00B06AB1" w:rsidP="001B21CD">
            <w:pPr>
              <w:keepNext/>
              <w:numPr>
                <w:ilvl w:val="0"/>
                <w:numId w:val="19"/>
              </w:numPr>
              <w:tabs>
                <w:tab w:val="left" w:pos="454"/>
              </w:tabs>
              <w:suppressAutoHyphens/>
              <w:spacing w:after="0" w:line="240" w:lineRule="auto"/>
              <w:ind w:left="690"/>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у разі, якщо Угода була укладена не в Євро, завірену копію документу від банку Грантоотримувача із зазначенням курсу обміну валют на дату обміну суми, що отримана у місцевій валюті;</w:t>
            </w:r>
          </w:p>
          <w:p w:rsidR="00B06AB1" w:rsidRPr="006F0D4D" w:rsidRDefault="00B06AB1" w:rsidP="001B21CD">
            <w:pPr>
              <w:keepNext/>
              <w:tabs>
                <w:tab w:val="left" w:pos="454"/>
              </w:tabs>
              <w:suppressAutoHyphens/>
              <w:spacing w:after="0" w:line="240" w:lineRule="auto"/>
              <w:ind w:left="690"/>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19"/>
              </w:numPr>
              <w:tabs>
                <w:tab w:val="left" w:pos="454"/>
              </w:tabs>
              <w:suppressAutoHyphens/>
              <w:spacing w:after="0" w:line="240" w:lineRule="auto"/>
              <w:ind w:left="690"/>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у разі необхідності, на вимогу Ради Європи, документи щодо закупівлі, про які зазначається у  Статті 11</w:t>
            </w:r>
            <w:r w:rsidRPr="006F0D4D">
              <w:rPr>
                <w:rFonts w:ascii="Arial Narrow" w:eastAsia="Times New Roman" w:hAnsi="Arial Narrow" w:cs="Times New Roman"/>
                <w:bCs/>
                <w:spacing w:val="-2"/>
                <w:lang w:val="ru-RU" w:eastAsia="en-GB"/>
              </w:rPr>
              <w:t>;</w:t>
            </w:r>
          </w:p>
          <w:p w:rsidR="00B06AB1" w:rsidRPr="006F0D4D" w:rsidRDefault="00B06AB1" w:rsidP="001B21CD">
            <w:pPr>
              <w:keepNext/>
              <w:numPr>
                <w:ilvl w:val="0"/>
                <w:numId w:val="18"/>
              </w:numPr>
              <w:tabs>
                <w:tab w:val="left" w:pos="313"/>
              </w:tabs>
              <w:suppressAutoHyphens/>
              <w:spacing w:after="0" w:line="240" w:lineRule="auto"/>
              <w:ind w:left="313" w:hanging="313"/>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 xml:space="preserve">якщо документи, зазначені в Статті 2.2 </w:t>
            </w:r>
            <w:r w:rsidRPr="006F0D4D">
              <w:rPr>
                <w:rFonts w:ascii="Arial Narrow" w:eastAsia="Times New Roman" w:hAnsi="Arial Narrow" w:cs="Times New Roman"/>
                <w:bCs/>
                <w:spacing w:val="-2"/>
                <w:lang w:eastAsia="en-GB"/>
              </w:rPr>
              <w:t>d</w:t>
            </w:r>
            <w:r w:rsidRPr="006F0D4D">
              <w:rPr>
                <w:rFonts w:ascii="Arial Narrow" w:eastAsia="Times New Roman" w:hAnsi="Arial Narrow" w:cs="Times New Roman"/>
                <w:bCs/>
                <w:spacing w:val="-2"/>
                <w:lang w:val="ru-RU" w:eastAsia="en-GB"/>
              </w:rPr>
              <w:t>)</w:t>
            </w:r>
            <w:r w:rsidRPr="006F0D4D">
              <w:rPr>
                <w:rFonts w:ascii="Arial Narrow" w:eastAsia="Times New Roman" w:hAnsi="Arial Narrow" w:cs="Times New Roman"/>
                <w:bCs/>
                <w:spacing w:val="-2"/>
                <w:lang w:val="uk-UA" w:eastAsia="en-GB"/>
              </w:rPr>
              <w:t xml:space="preserve"> та </w:t>
            </w:r>
            <w:r w:rsidRPr="006F0D4D">
              <w:rPr>
                <w:rFonts w:ascii="Arial Narrow" w:eastAsia="Times New Roman" w:hAnsi="Arial Narrow" w:cs="Times New Roman"/>
                <w:bCs/>
                <w:spacing w:val="-2"/>
                <w:lang w:eastAsia="en-GB"/>
              </w:rPr>
              <w:t>e</w:t>
            </w:r>
            <w:r w:rsidRPr="006F0D4D">
              <w:rPr>
                <w:rFonts w:ascii="Arial Narrow" w:eastAsia="Times New Roman" w:hAnsi="Arial Narrow" w:cs="Times New Roman"/>
                <w:bCs/>
                <w:spacing w:val="-2"/>
                <w:lang w:val="uk-UA" w:eastAsia="en-GB"/>
              </w:rPr>
              <w:t>) не отримані Радою Європи до належної дати, відмовити у праві на сплату залишку відповідно до Статті 3.1;</w:t>
            </w:r>
          </w:p>
          <w:p w:rsidR="00B06AB1" w:rsidRPr="006F0D4D" w:rsidRDefault="00B06AB1" w:rsidP="001B21CD">
            <w:pPr>
              <w:keepNext/>
              <w:numPr>
                <w:ilvl w:val="0"/>
                <w:numId w:val="18"/>
              </w:numPr>
              <w:tabs>
                <w:tab w:val="left" w:pos="313"/>
              </w:tabs>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 xml:space="preserve">зберігати рахунки про діяльність протягом щонайменше 10 років з дати передання описового та фінального фінансового звітів згідно ст. 2.2 </w:t>
            </w:r>
            <w:r w:rsidRPr="006F0D4D">
              <w:rPr>
                <w:rFonts w:ascii="Arial Narrow" w:eastAsia="Times New Roman" w:hAnsi="Arial Narrow" w:cs="Times New Roman"/>
                <w:bCs/>
                <w:spacing w:val="-2"/>
                <w:lang w:eastAsia="en-GB"/>
              </w:rPr>
              <w:t>d</w:t>
            </w:r>
            <w:r w:rsidRPr="006F0D4D">
              <w:rPr>
                <w:rFonts w:ascii="Arial Narrow" w:eastAsia="Times New Roman" w:hAnsi="Arial Narrow" w:cs="Times New Roman"/>
                <w:bCs/>
                <w:spacing w:val="-2"/>
                <w:lang w:val="uk-UA" w:eastAsia="en-GB"/>
              </w:rPr>
              <w:t xml:space="preserve">) та </w:t>
            </w:r>
            <w:r w:rsidRPr="006F0D4D">
              <w:rPr>
                <w:rFonts w:ascii="Arial Narrow" w:eastAsia="Times New Roman" w:hAnsi="Arial Narrow" w:cs="Times New Roman"/>
                <w:bCs/>
                <w:spacing w:val="-2"/>
                <w:lang w:eastAsia="en-GB"/>
              </w:rPr>
              <w:t>e</w:t>
            </w:r>
            <w:r w:rsidRPr="006F0D4D">
              <w:rPr>
                <w:rFonts w:ascii="Arial Narrow" w:eastAsia="Times New Roman" w:hAnsi="Arial Narrow" w:cs="Times New Roman"/>
                <w:bCs/>
                <w:spacing w:val="-2"/>
                <w:lang w:val="uk-UA" w:eastAsia="en-GB"/>
              </w:rPr>
              <w:t>), для подальшої перевірки Радою Європи, її Зовнішніми Аудиторами або їхніми представниками належного використання гранту;</w:t>
            </w:r>
          </w:p>
          <w:p w:rsidR="00B06AB1" w:rsidRPr="006F0D4D" w:rsidRDefault="00B06AB1" w:rsidP="001B21CD">
            <w:pPr>
              <w:keepNext/>
              <w:tabs>
                <w:tab w:val="left" w:pos="313"/>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18"/>
              </w:numPr>
              <w:tabs>
                <w:tab w:val="left" w:pos="313"/>
              </w:tabs>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виконуючи цю Угоду, дотримуватись будь-яких законів, що застосовуються, та гарантувати, що Рада Європи не несе відповідальності у зв’язку з претензіями третіх сторін (включаючи державні органи) щодо цієї Угоди;</w:t>
            </w:r>
          </w:p>
          <w:p w:rsidR="00B06AB1" w:rsidRPr="006F0D4D" w:rsidRDefault="00B06AB1" w:rsidP="001B21CD">
            <w:pPr>
              <w:keepNext/>
              <w:numPr>
                <w:ilvl w:val="0"/>
                <w:numId w:val="18"/>
              </w:numPr>
              <w:tabs>
                <w:tab w:val="left" w:pos="313"/>
              </w:tabs>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 xml:space="preserve">вживати належних заходів для запобігання порушенням, обману, корупції або будь-якій іншим незаконним діям у процесі керівництва Діяльністю. Усі можливі та фактичні випадки порушень, обману та корупції, які стосуватимуться цієї Угоди, а також заходів, вжитих у зв’язку з цією Угодою Грантоотримувачем, мають бути повідомлені Раді Європи невідкладно.  </w:t>
            </w:r>
          </w:p>
          <w:p w:rsidR="00B06AB1" w:rsidRPr="006F0D4D" w:rsidRDefault="00B06AB1" w:rsidP="001B21CD">
            <w:pPr>
              <w:keepNext/>
              <w:suppressAutoHyphens/>
              <w:spacing w:after="0"/>
              <w:jc w:val="both"/>
              <w:outlineLvl w:val="7"/>
              <w:rPr>
                <w:rFonts w:ascii="Arial Narrow" w:hAnsi="Arial Narrow"/>
                <w:bCs/>
                <w:spacing w:val="-2"/>
              </w:rPr>
            </w:pPr>
          </w:p>
          <w:p w:rsidR="00B06AB1" w:rsidRPr="006F0D4D" w:rsidRDefault="00B06AB1" w:rsidP="001B21CD">
            <w:pPr>
              <w:pStyle w:val="ListParagraph"/>
              <w:keepNext/>
              <w:numPr>
                <w:ilvl w:val="0"/>
                <w:numId w:val="16"/>
              </w:numPr>
              <w:suppressAutoHyphens/>
              <w:spacing w:after="0" w:line="240" w:lineRule="auto"/>
              <w:ind w:left="312" w:hanging="312"/>
              <w:jc w:val="both"/>
              <w:outlineLvl w:val="7"/>
              <w:rPr>
                <w:rFonts w:ascii="Arial Narrow" w:hAnsi="Arial Narrow"/>
                <w:bCs/>
                <w:spacing w:val="-2"/>
                <w:lang w:val="uk-UA"/>
              </w:rPr>
            </w:pPr>
            <w:r w:rsidRPr="006F0D4D">
              <w:rPr>
                <w:rFonts w:ascii="Arial Narrow" w:hAnsi="Arial Narrow"/>
                <w:bCs/>
                <w:spacing w:val="-2"/>
                <w:lang w:val="uk-UA"/>
              </w:rPr>
              <w:t>Якщо Грантоотримувач порушить будь-яке зі своїх зобов’язань, сума гранту може бути зменшена або Угода може бути розірвана відповідно до Статті 14 та Статті 17 цієї Угоди.</w:t>
            </w:r>
          </w:p>
        </w:tc>
      </w:tr>
      <w:tr w:rsidR="00B06AB1" w:rsidRPr="006F0D4D" w:rsidTr="00625858">
        <w:tc>
          <w:tcPr>
            <w:tcW w:w="10207" w:type="dxa"/>
          </w:tcPr>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p>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r w:rsidRPr="006F0D4D">
              <w:rPr>
                <w:rFonts w:ascii="Arial Narrow" w:eastAsia="Times New Roman" w:hAnsi="Arial Narrow" w:cs="Times New Roman"/>
                <w:b/>
                <w:bCs/>
                <w:spacing w:val="-2"/>
                <w:lang w:val="uk-UA"/>
              </w:rPr>
              <w:t>СТАТТЯ 3 – РОЗРАХУНКИ</w:t>
            </w:r>
          </w:p>
        </w:tc>
      </w:tr>
      <w:tr w:rsidR="00B06AB1" w:rsidRPr="006F0D4D" w:rsidTr="00625858">
        <w:tc>
          <w:tcPr>
            <w:tcW w:w="10207" w:type="dxa"/>
          </w:tcPr>
          <w:p w:rsidR="00B06AB1" w:rsidRPr="006F0D4D" w:rsidRDefault="00B06AB1" w:rsidP="001B21CD">
            <w:pPr>
              <w:numPr>
                <w:ilvl w:val="0"/>
                <w:numId w:val="21"/>
              </w:numPr>
              <w:tabs>
                <w:tab w:val="left" w:pos="454"/>
                <w:tab w:val="left" w:pos="567"/>
              </w:tabs>
              <w:spacing w:after="0" w:line="240" w:lineRule="auto"/>
              <w:ind w:left="313" w:hanging="284"/>
              <w:contextualSpacing/>
              <w:jc w:val="both"/>
              <w:rPr>
                <w:rFonts w:ascii="Arial Narrow" w:eastAsia="MS Mincho" w:hAnsi="Arial Narrow" w:cs="Times New Roman"/>
                <w:lang w:val="uk-UA" w:eastAsia="fr-FR"/>
              </w:rPr>
            </w:pPr>
            <w:r w:rsidRPr="006F0D4D">
              <w:rPr>
                <w:rFonts w:ascii="Arial Narrow" w:eastAsia="MS Mincho" w:hAnsi="Arial Narrow" w:cs="Times New Roman"/>
                <w:lang w:val="uk-UA" w:eastAsia="fr-FR"/>
              </w:rPr>
              <w:t>Рада Європи сплатить суму вказану у Статті 1(1) двома платежами таким чином:</w:t>
            </w:r>
          </w:p>
          <w:p w:rsidR="00B06AB1" w:rsidRPr="006F0D4D" w:rsidRDefault="00B06AB1" w:rsidP="001B21CD">
            <w:pPr>
              <w:tabs>
                <w:tab w:val="left" w:pos="567"/>
                <w:tab w:val="left" w:pos="851"/>
              </w:tabs>
              <w:spacing w:after="0" w:line="240" w:lineRule="auto"/>
              <w:ind w:left="142"/>
              <w:contextualSpacing/>
              <w:jc w:val="both"/>
              <w:rPr>
                <w:rFonts w:ascii="Arial Narrow" w:eastAsia="MS Mincho" w:hAnsi="Arial Narrow" w:cs="Times New Roman"/>
                <w:lang w:val="ru-RU" w:eastAsia="fr-FR"/>
              </w:rPr>
            </w:pPr>
          </w:p>
          <w:p w:rsidR="00B06AB1" w:rsidRPr="006F0D4D" w:rsidRDefault="00B06AB1" w:rsidP="001B21CD">
            <w:pPr>
              <w:numPr>
                <w:ilvl w:val="0"/>
                <w:numId w:val="22"/>
              </w:numPr>
              <w:tabs>
                <w:tab w:val="num" w:pos="596"/>
              </w:tabs>
              <w:suppressAutoHyphens/>
              <w:spacing w:after="0" w:line="240" w:lineRule="auto"/>
              <w:ind w:left="596" w:hanging="283"/>
              <w:contextualSpacing/>
              <w:jc w:val="both"/>
              <w:rPr>
                <w:rFonts w:ascii="Arial Narrow" w:eastAsia="MS Mincho" w:hAnsi="Arial Narrow" w:cs="Times New Roman"/>
                <w:spacing w:val="-3"/>
                <w:lang w:val="uk-UA" w:eastAsia="fr-FR"/>
              </w:rPr>
            </w:pPr>
            <w:r w:rsidRPr="006F0D4D">
              <w:rPr>
                <w:rFonts w:ascii="Arial Narrow" w:eastAsia="MS Mincho" w:hAnsi="Arial Narrow" w:cs="Times New Roman"/>
                <w:i/>
                <w:spacing w:val="-3"/>
                <w:highlight w:val="yellow"/>
                <w:lang w:val="ru-RU" w:eastAsia="fr-FR"/>
              </w:rPr>
              <w:t>процент</w:t>
            </w:r>
            <w:r w:rsidRPr="006F0D4D">
              <w:rPr>
                <w:rFonts w:ascii="Arial Narrow" w:eastAsia="MS Mincho" w:hAnsi="Arial Narrow" w:cs="Times New Roman"/>
                <w:i/>
                <w:spacing w:val="-3"/>
                <w:lang w:val="ru-RU" w:eastAsia="fr-FR"/>
              </w:rPr>
              <w:t xml:space="preserve"> </w:t>
            </w:r>
            <w:r w:rsidRPr="006F0D4D">
              <w:rPr>
                <w:rFonts w:ascii="Arial Narrow" w:eastAsia="MS Mincho" w:hAnsi="Arial Narrow" w:cs="Times New Roman"/>
                <w:spacing w:val="-3"/>
                <w:lang w:val="uk-UA" w:eastAsia="fr-FR"/>
              </w:rPr>
              <w:t>протягом 30 днів з моменту отримання належним чином підписано</w:t>
            </w:r>
            <w:proofErr w:type="gramStart"/>
            <w:r w:rsidRPr="006F0D4D">
              <w:rPr>
                <w:rFonts w:ascii="Arial Narrow" w:eastAsia="MS Mincho" w:hAnsi="Arial Narrow" w:cs="Times New Roman"/>
                <w:spacing w:val="-3"/>
                <w:lang w:val="uk-UA" w:eastAsia="fr-FR"/>
              </w:rPr>
              <w:t>ї У</w:t>
            </w:r>
            <w:proofErr w:type="gramEnd"/>
            <w:r w:rsidRPr="006F0D4D">
              <w:rPr>
                <w:rFonts w:ascii="Arial Narrow" w:eastAsia="MS Mincho" w:hAnsi="Arial Narrow" w:cs="Times New Roman"/>
                <w:spacing w:val="-3"/>
                <w:lang w:val="uk-UA" w:eastAsia="fr-FR"/>
              </w:rPr>
              <w:t>годи;</w:t>
            </w:r>
          </w:p>
          <w:p w:rsidR="00B06AB1" w:rsidRPr="006F0D4D" w:rsidRDefault="00B06AB1" w:rsidP="001B21CD">
            <w:pPr>
              <w:numPr>
                <w:ilvl w:val="0"/>
                <w:numId w:val="22"/>
              </w:numPr>
              <w:tabs>
                <w:tab w:val="num" w:pos="596"/>
              </w:tabs>
              <w:suppressAutoHyphens/>
              <w:spacing w:after="0" w:line="240" w:lineRule="auto"/>
              <w:ind w:left="596" w:hanging="283"/>
              <w:contextualSpacing/>
              <w:jc w:val="both"/>
              <w:rPr>
                <w:rFonts w:ascii="Arial Narrow" w:eastAsia="MS Mincho" w:hAnsi="Arial Narrow" w:cs="Times New Roman"/>
                <w:spacing w:val="-3"/>
                <w:lang w:val="uk-UA" w:eastAsia="fr-FR"/>
              </w:rPr>
            </w:pPr>
            <w:r w:rsidRPr="006F0D4D">
              <w:rPr>
                <w:rFonts w:ascii="Arial Narrow" w:eastAsia="MS Mincho" w:hAnsi="Arial Narrow" w:cs="Times New Roman"/>
                <w:lang w:val="uk-UA" w:eastAsia="fr-FR"/>
              </w:rPr>
              <w:t xml:space="preserve">залишок протягом 30 днів з моменту отримання та затвердження документів зазначених у Статті 2.2 </w:t>
            </w:r>
            <w:r w:rsidRPr="006F0D4D">
              <w:rPr>
                <w:rFonts w:ascii="Arial Narrow" w:eastAsia="MS Mincho" w:hAnsi="Arial Narrow" w:cs="Times New Roman"/>
                <w:lang w:eastAsia="fr-FR"/>
              </w:rPr>
              <w:t>d</w:t>
            </w:r>
            <w:r w:rsidRPr="006F0D4D">
              <w:rPr>
                <w:rFonts w:ascii="Arial Narrow" w:eastAsia="MS Mincho" w:hAnsi="Arial Narrow" w:cs="Times New Roman"/>
                <w:lang w:val="uk-UA" w:eastAsia="fr-FR"/>
              </w:rPr>
              <w:t xml:space="preserve">) та  </w:t>
            </w:r>
            <w:r w:rsidRPr="006F0D4D">
              <w:rPr>
                <w:rFonts w:ascii="Arial Narrow" w:eastAsia="MS Mincho" w:hAnsi="Arial Narrow" w:cs="Times New Roman"/>
                <w:lang w:eastAsia="fr-FR"/>
              </w:rPr>
              <w:t>e</w:t>
            </w:r>
            <w:r w:rsidRPr="006F0D4D">
              <w:rPr>
                <w:rFonts w:ascii="Arial Narrow" w:eastAsia="MS Mincho" w:hAnsi="Arial Narrow" w:cs="Times New Roman"/>
                <w:lang w:val="uk-UA" w:eastAsia="fr-FR"/>
              </w:rPr>
              <w:t xml:space="preserve">). </w:t>
            </w:r>
          </w:p>
          <w:p w:rsidR="00B06AB1" w:rsidRPr="006F0D4D" w:rsidRDefault="00B06AB1" w:rsidP="001B21CD">
            <w:pPr>
              <w:tabs>
                <w:tab w:val="left" w:pos="567"/>
              </w:tabs>
              <w:suppressAutoHyphens/>
              <w:spacing w:after="0" w:line="240" w:lineRule="auto"/>
              <w:ind w:left="313"/>
              <w:contextualSpacing/>
              <w:jc w:val="both"/>
              <w:rPr>
                <w:rFonts w:ascii="Arial Narrow" w:eastAsia="MS Mincho" w:hAnsi="Arial Narrow" w:cs="Times New Roman"/>
                <w:lang w:val="ru-RU" w:eastAsia="fr-FR"/>
              </w:rPr>
            </w:pPr>
            <w:r w:rsidRPr="006F0D4D">
              <w:rPr>
                <w:rFonts w:ascii="Arial Narrow" w:eastAsia="MS Mincho" w:hAnsi="Arial Narrow" w:cs="Times New Roman"/>
                <w:lang w:val="uk-UA" w:eastAsia="fr-FR"/>
              </w:rPr>
              <w:t>Сплата балансового платежу здійснюється на основі фактичних витрат (згідно фінальному фінансовому звіту про фактично понесені витрати), не перевищуючи суми, зазначеної у попередньому бюджеті, із дотриманням положень Статті 14 цієї Угоди.</w:t>
            </w:r>
          </w:p>
          <w:p w:rsidR="00B06AB1" w:rsidRPr="006F0D4D" w:rsidRDefault="00B06AB1" w:rsidP="001B21CD">
            <w:pPr>
              <w:tabs>
                <w:tab w:val="left" w:pos="567"/>
              </w:tabs>
              <w:suppressAutoHyphens/>
              <w:spacing w:after="0" w:line="240" w:lineRule="auto"/>
              <w:ind w:left="454"/>
              <w:contextualSpacing/>
              <w:jc w:val="both"/>
              <w:rPr>
                <w:rFonts w:ascii="Arial Narrow" w:eastAsia="MS Mincho" w:hAnsi="Arial Narrow" w:cs="Times New Roman"/>
                <w:lang w:val="ru-RU" w:eastAsia="fr-FR"/>
              </w:rPr>
            </w:pPr>
          </w:p>
          <w:p w:rsidR="00B06AB1" w:rsidRPr="006F0D4D" w:rsidRDefault="00B06AB1" w:rsidP="001B21CD">
            <w:pPr>
              <w:numPr>
                <w:ilvl w:val="0"/>
                <w:numId w:val="21"/>
              </w:numPr>
              <w:tabs>
                <w:tab w:val="left" w:pos="313"/>
              </w:tabs>
              <w:spacing w:after="0" w:line="240" w:lineRule="auto"/>
              <w:ind w:left="454"/>
              <w:contextualSpacing/>
              <w:jc w:val="both"/>
              <w:rPr>
                <w:rFonts w:ascii="Arial Narrow" w:eastAsia="MS Mincho" w:hAnsi="Arial Narrow" w:cs="Times New Roman"/>
                <w:lang w:val="uk-UA" w:eastAsia="fr-FR"/>
              </w:rPr>
            </w:pPr>
            <w:r w:rsidRPr="006F0D4D">
              <w:rPr>
                <w:rFonts w:ascii="Arial Narrow" w:eastAsia="MS Mincho" w:hAnsi="Arial Narrow" w:cs="Times New Roman"/>
                <w:lang w:val="uk-UA" w:eastAsia="fr-FR"/>
              </w:rPr>
              <w:t>Оплата здійснюється</w:t>
            </w:r>
            <w:r w:rsidRPr="006F0D4D">
              <w:rPr>
                <w:rFonts w:ascii="Arial Narrow" w:eastAsia="MS Mincho" w:hAnsi="Arial Narrow" w:cs="Times New Roman"/>
                <w:lang w:val="ru-RU" w:eastAsia="fr-FR"/>
              </w:rPr>
              <w:t xml:space="preserve"> у </w:t>
            </w:r>
            <w:r w:rsidRPr="006F0D4D">
              <w:rPr>
                <w:rFonts w:ascii="Arial Narrow" w:eastAsia="MS Mincho" w:hAnsi="Arial Narrow" w:cs="Times New Roman"/>
                <w:lang w:val="uk-UA" w:eastAsia="fr-FR"/>
              </w:rPr>
              <w:t>валюті, в якій було укладено цю Угоду (див. Стаття 1.1).</w:t>
            </w:r>
          </w:p>
          <w:p w:rsidR="00B06AB1" w:rsidRPr="006F0D4D" w:rsidRDefault="00B06AB1" w:rsidP="001B21CD">
            <w:pPr>
              <w:tabs>
                <w:tab w:val="left" w:pos="313"/>
              </w:tabs>
              <w:spacing w:after="0" w:line="240" w:lineRule="auto"/>
              <w:ind w:left="454"/>
              <w:contextualSpacing/>
              <w:jc w:val="both"/>
              <w:rPr>
                <w:rFonts w:ascii="Arial Narrow" w:eastAsia="MS Mincho" w:hAnsi="Arial Narrow" w:cs="Times New Roman"/>
                <w:lang w:val="uk-UA" w:eastAsia="fr-FR"/>
              </w:rPr>
            </w:pPr>
          </w:p>
          <w:p w:rsidR="00B06AB1" w:rsidRPr="006F0D4D" w:rsidRDefault="00B06AB1" w:rsidP="001B21CD">
            <w:pPr>
              <w:numPr>
                <w:ilvl w:val="0"/>
                <w:numId w:val="21"/>
              </w:numPr>
              <w:tabs>
                <w:tab w:val="left" w:pos="313"/>
              </w:tabs>
              <w:spacing w:after="0" w:line="240" w:lineRule="auto"/>
              <w:ind w:left="313" w:hanging="219"/>
              <w:contextualSpacing/>
              <w:jc w:val="both"/>
              <w:rPr>
                <w:rFonts w:ascii="Arial Narrow" w:eastAsia="MS Mincho" w:hAnsi="Arial Narrow" w:cs="Times New Roman"/>
                <w:b/>
                <w:u w:val="single"/>
                <w:lang w:val="uk-UA" w:eastAsia="fr-FR"/>
              </w:rPr>
            </w:pPr>
            <w:r w:rsidRPr="006F0D4D">
              <w:rPr>
                <w:rFonts w:ascii="Arial Narrow" w:eastAsia="MS Mincho" w:hAnsi="Arial Narrow" w:cs="Times New Roman"/>
                <w:spacing w:val="-3"/>
                <w:lang w:val="uk-UA" w:eastAsia="fr-FR"/>
              </w:rPr>
              <w:t xml:space="preserve">Вказана сума сплачується шляхом переказу на відповідний банківський рахунок, відкритий </w:t>
            </w:r>
            <w:r w:rsidRPr="006F0D4D">
              <w:rPr>
                <w:rFonts w:ascii="Arial Narrow" w:eastAsia="MS Mincho" w:hAnsi="Arial Narrow" w:cs="Times New Roman"/>
                <w:b/>
                <w:spacing w:val="-3"/>
                <w:u w:val="single"/>
                <w:lang w:val="uk-UA" w:eastAsia="fr-FR"/>
              </w:rPr>
              <w:t>на ім</w:t>
            </w:r>
            <w:r w:rsidRPr="006F0D4D">
              <w:rPr>
                <w:rFonts w:ascii="Arial Narrow" w:eastAsia="MS Mincho" w:hAnsi="Arial Narrow" w:cs="Times New Roman"/>
                <w:b/>
                <w:spacing w:val="-3"/>
                <w:u w:val="single"/>
                <w:lang w:val="ru-RU" w:eastAsia="fr-FR"/>
              </w:rPr>
              <w:t>’</w:t>
            </w:r>
            <w:r w:rsidRPr="006F0D4D">
              <w:rPr>
                <w:rFonts w:ascii="Arial Narrow" w:eastAsia="MS Mincho" w:hAnsi="Arial Narrow" w:cs="Times New Roman"/>
                <w:b/>
                <w:spacing w:val="-3"/>
                <w:u w:val="single"/>
                <w:lang w:val="uk-UA" w:eastAsia="fr-FR"/>
              </w:rPr>
              <w:t xml:space="preserve">я  Грантоотримувача: </w:t>
            </w:r>
          </w:p>
          <w:p w:rsidR="00B06AB1" w:rsidRPr="006F0D4D" w:rsidRDefault="00B06AB1" w:rsidP="001B21CD">
            <w:pPr>
              <w:tabs>
                <w:tab w:val="left" w:pos="313"/>
              </w:tabs>
              <w:spacing w:after="0" w:line="240" w:lineRule="auto"/>
              <w:ind w:left="313"/>
              <w:contextualSpacing/>
              <w:jc w:val="both"/>
              <w:rPr>
                <w:rFonts w:ascii="Arial Narrow" w:eastAsia="MS Mincho" w:hAnsi="Arial Narrow" w:cs="Times New Roman"/>
                <w:lang w:val="uk-UA" w:eastAsia="fr-FR"/>
              </w:rPr>
            </w:pPr>
          </w:p>
          <w:tbl>
            <w:tblPr>
              <w:tblW w:w="5103" w:type="dxa"/>
              <w:tblLayout w:type="fixed"/>
              <w:tblLook w:val="01E0" w:firstRow="1" w:lastRow="1" w:firstColumn="1" w:lastColumn="1" w:noHBand="0" w:noVBand="0"/>
            </w:tblPr>
            <w:tblGrid>
              <w:gridCol w:w="5103"/>
            </w:tblGrid>
            <w:tr w:rsidR="00B06AB1" w:rsidRPr="006F0D4D" w:rsidTr="001B21CD">
              <w:tc>
                <w:tcPr>
                  <w:tcW w:w="5103" w:type="dxa"/>
                  <w:shd w:val="clear" w:color="auto" w:fill="auto"/>
                </w:tcPr>
                <w:p w:rsidR="00B06AB1" w:rsidRPr="006F0D4D" w:rsidRDefault="00B06AB1" w:rsidP="001B21CD">
                  <w:pPr>
                    <w:spacing w:after="0" w:line="240" w:lineRule="auto"/>
                    <w:ind w:left="1754" w:hanging="1754"/>
                    <w:rPr>
                      <w:rFonts w:ascii="Arial Narrow" w:eastAsia="Times New Roman" w:hAnsi="Arial Narrow" w:cs="Times New Roman"/>
                      <w:i/>
                      <w:highlight w:val="yellow"/>
                      <w:lang w:val="uk-UA" w:eastAsia="fr-FR"/>
                    </w:rPr>
                  </w:pPr>
                  <w:r w:rsidRPr="006F0D4D">
                    <w:rPr>
                      <w:rFonts w:ascii="Arial Narrow" w:eastAsia="Times New Roman" w:hAnsi="Arial Narrow" w:cs="Times New Roman"/>
                      <w:i/>
                      <w:highlight w:val="yellow"/>
                      <w:lang w:val="uk-UA" w:eastAsia="fr-FR"/>
                    </w:rPr>
                    <w:t>Власник рахунку</w:t>
                  </w:r>
                  <w:r w:rsidRPr="006F0D4D">
                    <w:rPr>
                      <w:rFonts w:ascii="Arial Narrow" w:eastAsia="Times New Roman" w:hAnsi="Arial Narrow" w:cs="Times New Roman"/>
                      <w:i/>
                      <w:highlight w:val="yellow"/>
                      <w:lang w:val="ru-RU" w:eastAsia="fr-FR"/>
                    </w:rPr>
                    <w:t xml:space="preserve">: </w:t>
                  </w:r>
                </w:p>
              </w:tc>
            </w:tr>
            <w:tr w:rsidR="00B06AB1" w:rsidRPr="006F0D4D" w:rsidTr="001B21CD">
              <w:tc>
                <w:tcPr>
                  <w:tcW w:w="5103" w:type="dxa"/>
                  <w:shd w:val="clear" w:color="auto" w:fill="auto"/>
                </w:tcPr>
                <w:p w:rsidR="00B06AB1" w:rsidRPr="006F0D4D" w:rsidRDefault="00B06AB1" w:rsidP="001B21CD">
                  <w:pPr>
                    <w:spacing w:after="0" w:line="240" w:lineRule="auto"/>
                    <w:rPr>
                      <w:rFonts w:ascii="Arial Narrow" w:eastAsia="Times New Roman" w:hAnsi="Arial Narrow" w:cs="Times New Roman"/>
                      <w:i/>
                      <w:highlight w:val="yellow"/>
                      <w:lang w:eastAsia="fr-FR"/>
                    </w:rPr>
                  </w:pPr>
                  <w:r w:rsidRPr="006F0D4D">
                    <w:rPr>
                      <w:rFonts w:ascii="Arial Narrow" w:eastAsia="Times New Roman" w:hAnsi="Arial Narrow" w:cs="Times New Roman"/>
                      <w:i/>
                      <w:highlight w:val="yellow"/>
                      <w:lang w:val="uk-UA" w:eastAsia="fr-FR"/>
                    </w:rPr>
                    <w:t>Банківський рахунок №</w:t>
                  </w:r>
                  <w:r w:rsidRPr="006F0D4D">
                    <w:rPr>
                      <w:rFonts w:ascii="Arial Narrow" w:eastAsia="Times New Roman" w:hAnsi="Arial Narrow" w:cs="Times New Roman"/>
                      <w:i/>
                      <w:highlight w:val="yellow"/>
                      <w:lang w:val="ru-RU" w:eastAsia="fr-FR"/>
                    </w:rPr>
                    <w:t xml:space="preserve">:  </w:t>
                  </w:r>
                </w:p>
              </w:tc>
            </w:tr>
            <w:tr w:rsidR="00B06AB1" w:rsidRPr="006F0D4D" w:rsidTr="001B21CD">
              <w:tc>
                <w:tcPr>
                  <w:tcW w:w="5103" w:type="dxa"/>
                  <w:shd w:val="clear" w:color="auto" w:fill="auto"/>
                </w:tcPr>
                <w:p w:rsidR="00B06AB1" w:rsidRPr="006F0D4D" w:rsidRDefault="00B06AB1" w:rsidP="001B21CD">
                  <w:pPr>
                    <w:spacing w:after="0" w:line="240" w:lineRule="auto"/>
                    <w:rPr>
                      <w:rFonts w:ascii="Arial Narrow" w:eastAsia="Times New Roman" w:hAnsi="Arial Narrow" w:cs="Times New Roman"/>
                      <w:i/>
                      <w:highlight w:val="yellow"/>
                      <w:lang w:val="uk-UA" w:eastAsia="fr-FR"/>
                    </w:rPr>
                  </w:pPr>
                  <w:r w:rsidRPr="006F0D4D">
                    <w:rPr>
                      <w:rFonts w:ascii="Arial Narrow" w:eastAsia="Times New Roman" w:hAnsi="Arial Narrow" w:cs="Times New Roman"/>
                      <w:i/>
                      <w:highlight w:val="yellow"/>
                      <w:lang w:val="en-GB" w:eastAsia="fr-FR"/>
                    </w:rPr>
                    <w:lastRenderedPageBreak/>
                    <w:t xml:space="preserve">IBAN </w:t>
                  </w:r>
                  <w:r w:rsidRPr="006F0D4D">
                    <w:rPr>
                      <w:rFonts w:ascii="Arial Narrow" w:eastAsia="Times New Roman" w:hAnsi="Arial Narrow" w:cs="Times New Roman"/>
                      <w:i/>
                      <w:highlight w:val="yellow"/>
                      <w:lang w:val="uk-UA" w:eastAsia="fr-FR"/>
                    </w:rPr>
                    <w:t>код:</w:t>
                  </w:r>
                </w:p>
                <w:p w:rsidR="00B06AB1" w:rsidRPr="006F0D4D" w:rsidRDefault="00B06AB1" w:rsidP="001B21CD">
                  <w:pPr>
                    <w:spacing w:after="0" w:line="240" w:lineRule="auto"/>
                    <w:rPr>
                      <w:rFonts w:ascii="Arial Narrow" w:eastAsia="Times New Roman" w:hAnsi="Arial Narrow" w:cs="Times New Roman"/>
                      <w:i/>
                      <w:highlight w:val="yellow"/>
                      <w:lang w:val="uk-UA" w:eastAsia="fr-FR"/>
                    </w:rPr>
                  </w:pPr>
                  <w:r w:rsidRPr="006F0D4D">
                    <w:rPr>
                      <w:rFonts w:ascii="Arial Narrow" w:eastAsia="Times New Roman" w:hAnsi="Arial Narrow" w:cs="Times New Roman"/>
                      <w:i/>
                      <w:highlight w:val="yellow"/>
                      <w:lang w:val="en-GB" w:eastAsia="fr-FR"/>
                    </w:rPr>
                    <w:t xml:space="preserve">SWIFT </w:t>
                  </w:r>
                  <w:r w:rsidRPr="006F0D4D">
                    <w:rPr>
                      <w:rFonts w:ascii="Arial Narrow" w:eastAsia="Times New Roman" w:hAnsi="Arial Narrow" w:cs="Times New Roman"/>
                      <w:i/>
                      <w:highlight w:val="yellow"/>
                      <w:lang w:val="uk-UA" w:eastAsia="fr-FR"/>
                    </w:rPr>
                    <w:t>код</w:t>
                  </w:r>
                  <w:r w:rsidRPr="006F0D4D">
                    <w:rPr>
                      <w:rFonts w:ascii="Arial Narrow" w:eastAsia="Times New Roman" w:hAnsi="Arial Narrow" w:cs="Times New Roman"/>
                      <w:i/>
                      <w:highlight w:val="yellow"/>
                      <w:lang w:val="en-GB" w:eastAsia="fr-FR"/>
                    </w:rPr>
                    <w:t>:</w:t>
                  </w:r>
                </w:p>
              </w:tc>
            </w:tr>
            <w:tr w:rsidR="00B06AB1" w:rsidRPr="006F0D4D" w:rsidTr="001B21CD">
              <w:tc>
                <w:tcPr>
                  <w:tcW w:w="5103" w:type="dxa"/>
                  <w:shd w:val="clear" w:color="auto" w:fill="auto"/>
                </w:tcPr>
                <w:p w:rsidR="00B06AB1" w:rsidRPr="006F0D4D" w:rsidRDefault="00B06AB1" w:rsidP="001B21CD">
                  <w:pPr>
                    <w:spacing w:after="0" w:line="240" w:lineRule="auto"/>
                    <w:rPr>
                      <w:rFonts w:ascii="Arial Narrow" w:eastAsia="Times New Roman" w:hAnsi="Arial Narrow" w:cs="Times New Roman"/>
                      <w:i/>
                      <w:highlight w:val="yellow"/>
                      <w:lang w:val="uk-UA" w:eastAsia="fr-FR"/>
                    </w:rPr>
                  </w:pPr>
                  <w:r w:rsidRPr="006F0D4D">
                    <w:rPr>
                      <w:rFonts w:ascii="Arial Narrow" w:eastAsia="Times New Roman" w:hAnsi="Arial Narrow" w:cs="Times New Roman"/>
                      <w:i/>
                      <w:highlight w:val="yellow"/>
                      <w:lang w:val="uk-UA" w:eastAsia="fr-FR"/>
                    </w:rPr>
                    <w:t>Назва Банку</w:t>
                  </w:r>
                  <w:r w:rsidRPr="006F0D4D">
                    <w:rPr>
                      <w:rFonts w:ascii="Arial Narrow" w:eastAsia="Times New Roman" w:hAnsi="Arial Narrow" w:cs="Times New Roman"/>
                      <w:i/>
                      <w:highlight w:val="yellow"/>
                      <w:lang w:val="ru-RU" w:eastAsia="fr-FR"/>
                    </w:rPr>
                    <w:t xml:space="preserve">: </w:t>
                  </w:r>
                </w:p>
              </w:tc>
            </w:tr>
            <w:tr w:rsidR="00B06AB1" w:rsidRPr="006F0D4D" w:rsidTr="001B21CD">
              <w:tc>
                <w:tcPr>
                  <w:tcW w:w="5103" w:type="dxa"/>
                  <w:shd w:val="clear" w:color="auto" w:fill="auto"/>
                </w:tcPr>
                <w:p w:rsidR="00B06AB1" w:rsidRPr="006F0D4D" w:rsidRDefault="00B06AB1" w:rsidP="001B21CD">
                  <w:pPr>
                    <w:spacing w:after="0" w:line="240" w:lineRule="auto"/>
                    <w:rPr>
                      <w:rFonts w:ascii="Arial Narrow" w:eastAsia="Times New Roman" w:hAnsi="Arial Narrow" w:cs="Times New Roman"/>
                      <w:i/>
                      <w:highlight w:val="yellow"/>
                      <w:lang w:val="ru-RU" w:eastAsia="fr-FR"/>
                    </w:rPr>
                  </w:pPr>
                  <w:r w:rsidRPr="006F0D4D">
                    <w:rPr>
                      <w:rFonts w:ascii="Arial Narrow" w:eastAsia="Times New Roman" w:hAnsi="Arial Narrow" w:cs="Times New Roman"/>
                      <w:i/>
                      <w:highlight w:val="yellow"/>
                      <w:lang w:val="uk-UA" w:eastAsia="fr-FR"/>
                    </w:rPr>
                    <w:t>Адреса банку</w:t>
                  </w:r>
                  <w:r w:rsidRPr="006F0D4D">
                    <w:rPr>
                      <w:rFonts w:ascii="Arial Narrow" w:eastAsia="Times New Roman" w:hAnsi="Arial Narrow" w:cs="Times New Roman"/>
                      <w:i/>
                      <w:highlight w:val="yellow"/>
                      <w:lang w:val="ru-RU" w:eastAsia="fr-FR"/>
                    </w:rPr>
                    <w:t xml:space="preserve">: </w:t>
                  </w:r>
                </w:p>
              </w:tc>
            </w:tr>
            <w:tr w:rsidR="00B06AB1" w:rsidRPr="006F0D4D" w:rsidTr="001B21CD">
              <w:tc>
                <w:tcPr>
                  <w:tcW w:w="5103" w:type="dxa"/>
                  <w:shd w:val="clear" w:color="auto" w:fill="auto"/>
                </w:tcPr>
                <w:p w:rsidR="00B06AB1" w:rsidRPr="006F0D4D" w:rsidRDefault="00B06AB1" w:rsidP="001B21CD">
                  <w:pPr>
                    <w:spacing w:after="0" w:line="240" w:lineRule="auto"/>
                    <w:rPr>
                      <w:rFonts w:ascii="Arial Narrow" w:eastAsia="Times New Roman" w:hAnsi="Arial Narrow" w:cs="Times New Roman"/>
                      <w:i/>
                      <w:lang w:val="en-GB" w:eastAsia="fr-FR"/>
                    </w:rPr>
                  </w:pPr>
                </w:p>
              </w:tc>
            </w:tr>
            <w:tr w:rsidR="00B06AB1" w:rsidRPr="006F0D4D" w:rsidTr="001B21CD">
              <w:tc>
                <w:tcPr>
                  <w:tcW w:w="5103" w:type="dxa"/>
                  <w:shd w:val="clear" w:color="auto" w:fill="auto"/>
                </w:tcPr>
                <w:p w:rsidR="00B06AB1" w:rsidRPr="006F0D4D" w:rsidRDefault="00B06AB1" w:rsidP="001B21CD">
                  <w:pPr>
                    <w:spacing w:after="0" w:line="240" w:lineRule="auto"/>
                    <w:rPr>
                      <w:rFonts w:ascii="Arial Narrow" w:eastAsia="Times New Roman" w:hAnsi="Arial Narrow" w:cs="Times New Roman"/>
                      <w:b/>
                      <w:highlight w:val="yellow"/>
                      <w:lang w:val="uk-UA" w:eastAsia="fr-FR"/>
                    </w:rPr>
                  </w:pPr>
                </w:p>
              </w:tc>
            </w:tr>
          </w:tbl>
          <w:p w:rsidR="00B06AB1" w:rsidRPr="006F0D4D" w:rsidRDefault="00B06AB1" w:rsidP="001B21CD">
            <w:pPr>
              <w:keepNext/>
              <w:suppressAutoHyphens/>
              <w:spacing w:after="0" w:line="240" w:lineRule="auto"/>
              <w:jc w:val="both"/>
              <w:outlineLvl w:val="7"/>
              <w:rPr>
                <w:rFonts w:ascii="Arial Narrow" w:eastAsia="Times New Roman" w:hAnsi="Arial Narrow" w:cs="Times New Roman"/>
                <w:b/>
                <w:bCs/>
                <w:spacing w:val="-2"/>
                <w:lang w:val="uk-UA"/>
              </w:rPr>
            </w:pPr>
          </w:p>
        </w:tc>
      </w:tr>
      <w:tr w:rsidR="00B06AB1" w:rsidRPr="003D7508" w:rsidTr="00625858">
        <w:tc>
          <w:tcPr>
            <w:tcW w:w="10207" w:type="dxa"/>
          </w:tcPr>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p>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r w:rsidRPr="006F0D4D">
              <w:rPr>
                <w:rFonts w:ascii="Arial Narrow" w:eastAsia="Times New Roman" w:hAnsi="Arial Narrow" w:cs="Times New Roman"/>
                <w:b/>
                <w:bCs/>
                <w:spacing w:val="-2"/>
                <w:lang w:val="uk-UA"/>
              </w:rPr>
              <w:t>СТАТТЯ 4 – ОБМІН ІНФОРМАЦІЄЮ МІЖ СТОРОНАМИ</w:t>
            </w:r>
          </w:p>
        </w:tc>
      </w:tr>
      <w:tr w:rsidR="00B06AB1" w:rsidRPr="003D7508" w:rsidTr="00625858">
        <w:tc>
          <w:tcPr>
            <w:tcW w:w="10207" w:type="dxa"/>
          </w:tcPr>
          <w:p w:rsidR="00B06AB1" w:rsidRPr="006F0D4D" w:rsidRDefault="00B06AB1" w:rsidP="001B21CD">
            <w:pPr>
              <w:keepNext/>
              <w:numPr>
                <w:ilvl w:val="0"/>
                <w:numId w:val="23"/>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Контактна особа зі сторони Ради Європи:</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i/>
                <w:spacing w:val="-2"/>
                <w:highlight w:val="yellow"/>
                <w:lang w:val="uk-UA" w:eastAsia="en-GB"/>
              </w:rPr>
            </w:pPr>
            <w:r w:rsidRPr="006F0D4D">
              <w:rPr>
                <w:rFonts w:ascii="Arial Narrow" w:eastAsia="Times New Roman" w:hAnsi="Arial Narrow" w:cs="Times New Roman"/>
                <w:bCs/>
                <w:i/>
                <w:spacing w:val="-2"/>
                <w:highlight w:val="yellow"/>
                <w:lang w:val="uk-UA" w:eastAsia="en-GB"/>
              </w:rPr>
              <w:t>Ім</w:t>
            </w:r>
            <w:r w:rsidRPr="006F0D4D">
              <w:rPr>
                <w:rFonts w:ascii="Arial Narrow" w:eastAsia="Times New Roman" w:hAnsi="Arial Narrow" w:cs="Times New Roman"/>
                <w:bCs/>
                <w:i/>
                <w:spacing w:val="-2"/>
                <w:highlight w:val="yellow"/>
                <w:lang w:val="ru-RU" w:eastAsia="en-GB"/>
              </w:rPr>
              <w:t>’</w:t>
            </w:r>
            <w:r w:rsidRPr="006F0D4D">
              <w:rPr>
                <w:rFonts w:ascii="Arial Narrow" w:eastAsia="Times New Roman" w:hAnsi="Arial Narrow" w:cs="Times New Roman"/>
                <w:bCs/>
                <w:i/>
                <w:spacing w:val="-2"/>
                <w:highlight w:val="yellow"/>
                <w:lang w:val="uk-UA" w:eastAsia="en-GB"/>
              </w:rPr>
              <w:t>я та прізвище/Посада/Департамент</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i/>
                <w:spacing w:val="-2"/>
                <w:highlight w:val="yellow"/>
                <w:lang w:val="uk-UA" w:eastAsia="en-GB"/>
              </w:rPr>
            </w:pPr>
            <w:r w:rsidRPr="006F0D4D">
              <w:rPr>
                <w:rFonts w:ascii="Arial Narrow" w:eastAsia="Times New Roman" w:hAnsi="Arial Narrow" w:cs="Times New Roman"/>
                <w:bCs/>
                <w:i/>
                <w:spacing w:val="-2"/>
                <w:highlight w:val="yellow"/>
                <w:lang w:val="uk-UA" w:eastAsia="en-GB"/>
              </w:rPr>
              <w:t>Адреса</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i/>
                <w:spacing w:val="-2"/>
                <w:highlight w:val="yellow"/>
                <w:lang w:val="uk-UA" w:eastAsia="en-GB"/>
              </w:rPr>
            </w:pPr>
            <w:r w:rsidRPr="006F0D4D">
              <w:rPr>
                <w:rFonts w:ascii="Arial Narrow" w:eastAsia="Times New Roman" w:hAnsi="Arial Narrow" w:cs="Times New Roman"/>
                <w:bCs/>
                <w:i/>
                <w:spacing w:val="-2"/>
                <w:highlight w:val="yellow"/>
                <w:lang w:val="uk-UA" w:eastAsia="en-GB"/>
              </w:rPr>
              <w:t>Телефон</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i/>
                <w:spacing w:val="-2"/>
                <w:highlight w:val="yellow"/>
                <w:lang w:val="uk-UA" w:eastAsia="en-GB"/>
              </w:rPr>
            </w:pPr>
            <w:r w:rsidRPr="006F0D4D">
              <w:rPr>
                <w:rFonts w:ascii="Arial Narrow" w:eastAsia="Times New Roman" w:hAnsi="Arial Narrow" w:cs="Times New Roman"/>
                <w:bCs/>
                <w:i/>
                <w:spacing w:val="-2"/>
                <w:highlight w:val="yellow"/>
                <w:lang w:val="uk-UA" w:eastAsia="en-GB"/>
              </w:rPr>
              <w:t>Ел.пошта</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i/>
                <w:spacing w:val="-2"/>
                <w:lang w:val="uk-UA" w:eastAsia="en-GB"/>
              </w:rPr>
            </w:pPr>
            <w:r w:rsidRPr="006F0D4D">
              <w:rPr>
                <w:rFonts w:ascii="Arial Narrow" w:eastAsia="Times New Roman" w:hAnsi="Arial Narrow" w:cs="Times New Roman"/>
                <w:bCs/>
                <w:i/>
                <w:spacing w:val="-2"/>
                <w:highlight w:val="yellow"/>
                <w:lang w:val="uk-UA" w:eastAsia="en-GB"/>
              </w:rPr>
              <w:t>Факс</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i/>
                <w:spacing w:val="-2"/>
                <w:lang w:val="uk-UA" w:eastAsia="en-GB"/>
              </w:rPr>
            </w:pP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Контактна особа зі сторони Грантоотримувача:</w:t>
            </w:r>
          </w:p>
          <w:p w:rsidR="00B06AB1" w:rsidRPr="006F0D4D" w:rsidRDefault="00B06AB1" w:rsidP="001B21CD">
            <w:pPr>
              <w:tabs>
                <w:tab w:val="left" w:pos="567"/>
              </w:tabs>
              <w:spacing w:after="0" w:line="240" w:lineRule="auto"/>
              <w:ind w:left="313"/>
              <w:jc w:val="both"/>
              <w:rPr>
                <w:rFonts w:ascii="Arial Narrow" w:eastAsia="Times New Roman" w:hAnsi="Arial Narrow" w:cs="Times New Roman"/>
                <w:i/>
                <w:highlight w:val="yellow"/>
                <w:lang w:eastAsia="fr-FR"/>
              </w:rPr>
            </w:pPr>
            <w:r w:rsidRPr="006F0D4D">
              <w:rPr>
                <w:rFonts w:ascii="Arial Narrow" w:eastAsia="Times New Roman" w:hAnsi="Arial Narrow" w:cs="Times New Roman"/>
                <w:i/>
                <w:highlight w:val="yellow"/>
                <w:lang w:eastAsia="fr-FR"/>
              </w:rPr>
              <w:t>Person/Function/Department</w:t>
            </w:r>
          </w:p>
          <w:p w:rsidR="00B06AB1" w:rsidRPr="006F0D4D" w:rsidRDefault="00B06AB1" w:rsidP="001B21CD">
            <w:pPr>
              <w:tabs>
                <w:tab w:val="left" w:pos="567"/>
              </w:tabs>
              <w:spacing w:after="0" w:line="240" w:lineRule="auto"/>
              <w:ind w:left="313"/>
              <w:jc w:val="both"/>
              <w:rPr>
                <w:rFonts w:ascii="Arial Narrow" w:eastAsia="Times New Roman" w:hAnsi="Arial Narrow" w:cs="Times New Roman"/>
                <w:i/>
                <w:highlight w:val="yellow"/>
                <w:lang w:eastAsia="fr-FR"/>
              </w:rPr>
            </w:pPr>
            <w:r w:rsidRPr="006F0D4D">
              <w:rPr>
                <w:rFonts w:ascii="Arial Narrow" w:eastAsia="Times New Roman" w:hAnsi="Arial Narrow" w:cs="Times New Roman"/>
                <w:i/>
                <w:highlight w:val="yellow"/>
                <w:lang w:eastAsia="fr-FR"/>
              </w:rPr>
              <w:t>Address</w:t>
            </w:r>
          </w:p>
          <w:p w:rsidR="00B06AB1" w:rsidRPr="006F0D4D" w:rsidRDefault="00B06AB1" w:rsidP="001B21CD">
            <w:pPr>
              <w:tabs>
                <w:tab w:val="left" w:pos="567"/>
              </w:tabs>
              <w:spacing w:after="0" w:line="240" w:lineRule="auto"/>
              <w:ind w:left="313"/>
              <w:jc w:val="both"/>
              <w:rPr>
                <w:rFonts w:ascii="Arial Narrow" w:eastAsia="Times New Roman" w:hAnsi="Arial Narrow" w:cs="Times New Roman"/>
                <w:i/>
                <w:highlight w:val="yellow"/>
                <w:lang w:eastAsia="fr-FR"/>
              </w:rPr>
            </w:pPr>
            <w:r w:rsidRPr="006F0D4D">
              <w:rPr>
                <w:rFonts w:ascii="Arial Narrow" w:eastAsia="Times New Roman" w:hAnsi="Arial Narrow" w:cs="Times New Roman"/>
                <w:i/>
                <w:highlight w:val="yellow"/>
                <w:lang w:eastAsia="fr-FR"/>
              </w:rPr>
              <w:t>Telephone</w:t>
            </w:r>
          </w:p>
          <w:p w:rsidR="00B06AB1" w:rsidRPr="006F0D4D" w:rsidRDefault="00B06AB1" w:rsidP="001B21CD">
            <w:pPr>
              <w:tabs>
                <w:tab w:val="left" w:pos="567"/>
              </w:tabs>
              <w:spacing w:after="0" w:line="240" w:lineRule="auto"/>
              <w:ind w:left="313"/>
              <w:jc w:val="both"/>
              <w:rPr>
                <w:rFonts w:ascii="Arial Narrow" w:eastAsia="Times New Roman" w:hAnsi="Arial Narrow" w:cs="Times New Roman"/>
                <w:i/>
                <w:highlight w:val="yellow"/>
                <w:lang w:eastAsia="fr-FR"/>
              </w:rPr>
            </w:pPr>
            <w:r w:rsidRPr="006F0D4D">
              <w:rPr>
                <w:rFonts w:ascii="Arial Narrow" w:eastAsia="Times New Roman" w:hAnsi="Arial Narrow" w:cs="Times New Roman"/>
                <w:i/>
                <w:highlight w:val="yellow"/>
                <w:lang w:eastAsia="fr-FR"/>
              </w:rPr>
              <w:t>E-mail</w:t>
            </w:r>
          </w:p>
          <w:p w:rsidR="00B06AB1" w:rsidRPr="006F0D4D" w:rsidRDefault="00B06AB1" w:rsidP="001B21CD">
            <w:pPr>
              <w:tabs>
                <w:tab w:val="left" w:pos="567"/>
              </w:tabs>
              <w:spacing w:after="0" w:line="240" w:lineRule="auto"/>
              <w:ind w:left="313"/>
              <w:jc w:val="both"/>
              <w:rPr>
                <w:rFonts w:ascii="Arial Narrow" w:eastAsia="Times New Roman" w:hAnsi="Arial Narrow" w:cs="Times New Roman"/>
                <w:i/>
                <w:lang w:eastAsia="fr-FR"/>
              </w:rPr>
            </w:pPr>
            <w:r w:rsidRPr="006F0D4D">
              <w:rPr>
                <w:rFonts w:ascii="Arial Narrow" w:eastAsia="Times New Roman" w:hAnsi="Arial Narrow" w:cs="Times New Roman"/>
                <w:i/>
                <w:highlight w:val="yellow"/>
                <w:lang w:eastAsia="fr-FR"/>
              </w:rPr>
              <w:t>Fax</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23"/>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Будь-яке повідомлення вважається відправленим тоді, коли воно отримане стороною-одержувачем, за винятком випадків, коли в Угоді є посилання на дату відправлення повідомлення.</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23"/>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Електронне повідомлення вважається отриманим стороною-одержувачем в день успішної відправки повідомлення за умови, що воно направляється адресатам, зазначеним у пункті 1 вище. Відправка вважається неуспішною, якщо сторона, яка направляє відповідне повідомлення, отримує повідомлення про те, що воно не було надіслано. В такому випадку сторона, яка направляє повідомлення, повинна негайно відправити його ще раз за будь-якими іншими адресами, вказаними у пункті 1 вище. У разі неуспішної відправки, сторона, яка направляє повідомлення, не вважається такою, що порушила своє зобов'язання надіслати таке повідомлення протягом встановленого строку за умови, що таке повідомлення надсилається з використанням інших засобів зв'язку без подальшого зволікання.</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23"/>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Повідомлення, що направляється Раді Європі  з використанням послуг поштового зв'язку, вважається отриманим Радою у день, коли вона зареєстрована відділом, визначеним у пункті 1 вище.</w:t>
            </w:r>
          </w:p>
          <w:p w:rsidR="00B06AB1" w:rsidRPr="006F0D4D" w:rsidRDefault="00B06AB1" w:rsidP="001B21CD">
            <w:pPr>
              <w:spacing w:after="0" w:line="240" w:lineRule="auto"/>
              <w:ind w:left="720"/>
              <w:contextualSpacing/>
              <w:rPr>
                <w:rFonts w:ascii="Arial Narrow" w:eastAsia="Times New Roman" w:hAnsi="Arial Narrow" w:cs="Times New Roman"/>
                <w:bCs/>
                <w:spacing w:val="-2"/>
                <w:lang w:val="uk-UA" w:eastAsia="en-GB"/>
              </w:rPr>
            </w:pPr>
          </w:p>
          <w:p w:rsidR="00B06AB1" w:rsidRPr="006F0D4D" w:rsidRDefault="00B06AB1" w:rsidP="001B21CD">
            <w:pPr>
              <w:spacing w:after="0" w:line="240" w:lineRule="auto"/>
              <w:ind w:left="720"/>
              <w:contextualSpacing/>
              <w:rPr>
                <w:rFonts w:ascii="Arial Narrow" w:eastAsia="Times New Roman" w:hAnsi="Arial Narrow" w:cs="Times New Roman"/>
                <w:bCs/>
                <w:spacing w:val="-2"/>
                <w:lang w:val="uk-UA" w:eastAsia="en-GB"/>
              </w:rPr>
            </w:pPr>
          </w:p>
          <w:p w:rsidR="00B06AB1" w:rsidRPr="006F0D4D" w:rsidRDefault="00B06AB1" w:rsidP="001B21CD">
            <w:pPr>
              <w:keepNext/>
              <w:numPr>
                <w:ilvl w:val="0"/>
                <w:numId w:val="23"/>
              </w:numPr>
              <w:suppressAutoHyphens/>
              <w:spacing w:after="24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Офіційні повідомлення, відправлені рекомендованим листом з повідомленням про вручення або аналогічним способом чи аналогічними електронними засобами зв'язку, вважаються отриманими стороною-одержувачем в день отримання, зазначений на квитанції про отримання або на аналогічному документі.</w:t>
            </w:r>
          </w:p>
        </w:tc>
      </w:tr>
      <w:tr w:rsidR="00B06AB1" w:rsidRPr="006F0D4D" w:rsidTr="00625858">
        <w:tc>
          <w:tcPr>
            <w:tcW w:w="10207" w:type="dxa"/>
          </w:tcPr>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p>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r w:rsidRPr="006F0D4D">
              <w:rPr>
                <w:rFonts w:ascii="Arial Narrow" w:eastAsia="Times New Roman" w:hAnsi="Arial Narrow" w:cs="Times New Roman"/>
                <w:b/>
                <w:bCs/>
                <w:spacing w:val="-2"/>
                <w:lang w:val="uk-UA"/>
              </w:rPr>
              <w:t>СТАТТЯ 5 – ВІДПОВІДАЛЬНІСТЬ ЗА ЗБИТКИ</w:t>
            </w:r>
          </w:p>
        </w:tc>
      </w:tr>
      <w:tr w:rsidR="00B06AB1" w:rsidRPr="006F0D4D" w:rsidTr="00625858">
        <w:tc>
          <w:tcPr>
            <w:tcW w:w="10207" w:type="dxa"/>
          </w:tcPr>
          <w:p w:rsidR="00B06AB1" w:rsidRPr="006F0D4D" w:rsidRDefault="00B06AB1" w:rsidP="001B21CD">
            <w:pPr>
              <w:tabs>
                <w:tab w:val="left" w:pos="567"/>
              </w:tabs>
              <w:spacing w:line="240" w:lineRule="auto"/>
              <w:contextualSpacing/>
              <w:jc w:val="both"/>
              <w:rPr>
                <w:rFonts w:ascii="Arial Narrow" w:eastAsia="MS Mincho" w:hAnsi="Arial Narrow" w:cs="Times New Roman"/>
                <w:lang w:val="uk-UA" w:eastAsia="fr-FR"/>
              </w:rPr>
            </w:pPr>
            <w:r w:rsidRPr="006F0D4D">
              <w:rPr>
                <w:rFonts w:ascii="Arial Narrow" w:eastAsia="MS Mincho" w:hAnsi="Arial Narrow" w:cs="Times New Roman"/>
                <w:lang w:val="uk-UA" w:eastAsia="fr-FR"/>
              </w:rPr>
              <w:t xml:space="preserve">Рада Європи не несе відповідальності за будь-які збитки спричинені або понесені Грантоотримувачем, його працівниками, підрядниками або субпідрядниками, включно зі збитками спричиненими третім сторонам у зв’язку з виконанням чи під час виконання Діяльності. </w:t>
            </w:r>
          </w:p>
          <w:p w:rsidR="00B06AB1" w:rsidRPr="006F0D4D" w:rsidRDefault="00B06AB1" w:rsidP="001B21CD">
            <w:pPr>
              <w:tabs>
                <w:tab w:val="left" w:pos="567"/>
              </w:tabs>
              <w:spacing w:line="240" w:lineRule="auto"/>
              <w:contextualSpacing/>
              <w:jc w:val="both"/>
              <w:rPr>
                <w:rFonts w:ascii="Arial Narrow" w:eastAsia="MS Mincho" w:hAnsi="Arial Narrow" w:cs="Times New Roman"/>
                <w:lang w:val="uk-UA" w:eastAsia="fr-FR"/>
              </w:rPr>
            </w:pPr>
          </w:p>
        </w:tc>
      </w:tr>
      <w:tr w:rsidR="00B06AB1" w:rsidRPr="006F0D4D" w:rsidTr="00625858">
        <w:tc>
          <w:tcPr>
            <w:tcW w:w="10207" w:type="dxa"/>
          </w:tcPr>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p>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r w:rsidRPr="006F0D4D">
              <w:rPr>
                <w:rFonts w:ascii="Arial Narrow" w:eastAsia="Times New Roman" w:hAnsi="Arial Narrow" w:cs="Times New Roman"/>
                <w:b/>
                <w:bCs/>
                <w:spacing w:val="-2"/>
                <w:lang w:val="uk-UA"/>
              </w:rPr>
              <w:t>СТАТТЯ 6 – ЗМІНА ОБСТАВИН ГРАНТООТРИМУВАЧА</w:t>
            </w:r>
          </w:p>
        </w:tc>
      </w:tr>
      <w:tr w:rsidR="00B06AB1" w:rsidRPr="003D7508" w:rsidTr="00625858">
        <w:tc>
          <w:tcPr>
            <w:tcW w:w="10207" w:type="dxa"/>
          </w:tcPr>
          <w:p w:rsidR="00B06AB1" w:rsidRPr="006F0D4D" w:rsidRDefault="00B06AB1" w:rsidP="001B21CD">
            <w:pPr>
              <w:keepNext/>
              <w:numPr>
                <w:ilvl w:val="0"/>
                <w:numId w:val="24"/>
              </w:numPr>
              <w:suppressAutoHyphens/>
              <w:spacing w:after="0" w:line="240" w:lineRule="auto"/>
              <w:ind w:left="313" w:hanging="284"/>
              <w:contextualSpacing/>
              <w:jc w:val="both"/>
              <w:outlineLvl w:val="7"/>
              <w:rPr>
                <w:rFonts w:ascii="Arial Narrow" w:eastAsia="Times New Roman" w:hAnsi="Arial Narrow" w:cs="Times New Roman"/>
                <w:b/>
                <w:bCs/>
                <w:spacing w:val="-2"/>
                <w:lang w:val="uk-UA" w:eastAsia="en-GB"/>
              </w:rPr>
            </w:pPr>
            <w:r w:rsidRPr="006F0D4D">
              <w:rPr>
                <w:rFonts w:ascii="Arial Narrow" w:eastAsia="Times New Roman" w:hAnsi="Arial Narrow" w:cs="Times New Roman"/>
                <w:lang w:val="uk-UA" w:eastAsia="en-GB"/>
              </w:rPr>
              <w:t>Грантоотримувач має негайно повідомляти Раду Європи про будь-які зміни особи, яка може представляти його інтереси, або його назви, фактичної або юридичної адреси.</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
                <w:bCs/>
                <w:spacing w:val="-2"/>
                <w:lang w:val="uk-UA" w:eastAsia="en-GB"/>
              </w:rPr>
            </w:pPr>
          </w:p>
          <w:p w:rsidR="00B06AB1" w:rsidRPr="006F0D4D" w:rsidRDefault="00B06AB1" w:rsidP="001B21CD">
            <w:pPr>
              <w:keepNext/>
              <w:numPr>
                <w:ilvl w:val="0"/>
                <w:numId w:val="24"/>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Підписуючи цю Угоду,  Грантоотримувач заявляє, що він не перебуває в жодній із зазначених нижче ситуацій та негайно повідомлятиме Раду Європи у випадку якщо:</w:t>
            </w:r>
          </w:p>
          <w:p w:rsidR="00B06AB1" w:rsidRPr="006F0D4D" w:rsidRDefault="00B06AB1" w:rsidP="001B21CD">
            <w:pPr>
              <w:spacing w:after="0" w:line="240" w:lineRule="auto"/>
              <w:ind w:left="720"/>
              <w:contextualSpacing/>
              <w:rPr>
                <w:rFonts w:ascii="Arial Narrow" w:eastAsia="Times New Roman" w:hAnsi="Arial Narrow" w:cs="Times New Roman"/>
                <w:bCs/>
                <w:spacing w:val="-2"/>
                <w:lang w:val="uk-UA" w:eastAsia="en-GB"/>
              </w:rPr>
            </w:pPr>
          </w:p>
          <w:p w:rsidR="00B06AB1" w:rsidRPr="006F0D4D" w:rsidRDefault="00B06AB1" w:rsidP="001B21CD">
            <w:pPr>
              <w:keepNext/>
              <w:numPr>
                <w:ilvl w:val="0"/>
                <w:numId w:val="25"/>
              </w:numPr>
              <w:tabs>
                <w:tab w:val="left" w:pos="596"/>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він є або стає предметом відкриття провадження у справі про неплатоспроможність, або сам здійснює такий запит, знаходиться або вступає в стан банкрутства, ліквідації, припинення діяльності чи домовленості з кредиторами, або будь-якої ситуації, що виникає з процедури того ж роду, або будь-яких подібних проваджень відповідно до законодавства країни, в якій він має місце реєстрації;</w:t>
            </w:r>
          </w:p>
          <w:p w:rsidR="00B06AB1" w:rsidRPr="006F0D4D" w:rsidRDefault="00B06AB1" w:rsidP="001B21CD">
            <w:pPr>
              <w:keepNext/>
              <w:tabs>
                <w:tab w:val="left" w:pos="596"/>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tabs>
                <w:tab w:val="left" w:pos="596"/>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25"/>
              </w:numPr>
              <w:tabs>
                <w:tab w:val="left" w:pos="596"/>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проти нього винесено остаточний вирок суду щодо одного або декількох звинувачень: участь у злочинній організації, корупція, шахрайство, відмивання грошей;</w:t>
            </w:r>
          </w:p>
          <w:p w:rsidR="00B06AB1" w:rsidRPr="006F0D4D" w:rsidRDefault="00B06AB1" w:rsidP="001B21CD">
            <w:pPr>
              <w:keepNext/>
              <w:numPr>
                <w:ilvl w:val="0"/>
                <w:numId w:val="25"/>
              </w:numPr>
              <w:tabs>
                <w:tab w:val="left" w:pos="596"/>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 xml:space="preserve">винесено рішення суду, що вступило в законну силу, яке встановлює правопорушення, що впливає на його професійну репутацію або призводить до неналежного виконання професійних обов’язків;  </w:t>
            </w:r>
          </w:p>
          <w:p w:rsidR="00B06AB1" w:rsidRPr="006F0D4D" w:rsidRDefault="00B06AB1" w:rsidP="001B21CD">
            <w:pPr>
              <w:keepNext/>
              <w:numPr>
                <w:ilvl w:val="0"/>
                <w:numId w:val="25"/>
              </w:numPr>
              <w:tabs>
                <w:tab w:val="left" w:pos="596"/>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він не виконує свої зобов'язання щодо сплати соціальних відрахувань, податків і зборів, у відповідності до чинного законодавства країни його юридичної реєстрації.</w:t>
            </w:r>
          </w:p>
          <w:p w:rsidR="00B06AB1" w:rsidRPr="006F0D4D" w:rsidRDefault="00B06AB1" w:rsidP="001B21CD">
            <w:pPr>
              <w:keepNext/>
              <w:tabs>
                <w:tab w:val="left" w:pos="596"/>
              </w:tabs>
              <w:suppressAutoHyphens/>
              <w:spacing w:after="0" w:line="240" w:lineRule="auto"/>
              <w:ind w:left="313"/>
              <w:contextualSpacing/>
              <w:jc w:val="both"/>
              <w:outlineLvl w:val="7"/>
              <w:rPr>
                <w:rFonts w:ascii="Arial Narrow" w:eastAsia="Times New Roman" w:hAnsi="Arial Narrow" w:cs="Times New Roman"/>
                <w:bCs/>
                <w:spacing w:val="-2"/>
                <w:highlight w:val="lightGray"/>
                <w:lang w:val="uk-UA" w:eastAsia="en-GB"/>
              </w:rPr>
            </w:pPr>
          </w:p>
          <w:p w:rsidR="00B06AB1" w:rsidRPr="006F0D4D" w:rsidRDefault="00B06AB1" w:rsidP="001B21CD">
            <w:pPr>
              <w:keepNext/>
              <w:numPr>
                <w:ilvl w:val="0"/>
                <w:numId w:val="24"/>
              </w:numPr>
              <w:tabs>
                <w:tab w:val="left" w:pos="313"/>
              </w:tabs>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У випадку недотримання зазначених положень, витрати понесені після зміни обставин вважатимуться недопустимими.</w:t>
            </w:r>
          </w:p>
          <w:p w:rsidR="00B06AB1" w:rsidRPr="006F0D4D" w:rsidRDefault="00B06AB1" w:rsidP="001B21CD">
            <w:pPr>
              <w:keepNext/>
              <w:tabs>
                <w:tab w:val="left" w:pos="313"/>
              </w:tabs>
              <w:suppressAutoHyphens/>
              <w:spacing w:after="0" w:line="240" w:lineRule="auto"/>
              <w:ind w:left="313"/>
              <w:contextualSpacing/>
              <w:jc w:val="both"/>
              <w:outlineLvl w:val="7"/>
              <w:rPr>
                <w:rFonts w:ascii="Arial Narrow" w:eastAsia="Times New Roman" w:hAnsi="Arial Narrow" w:cs="Times New Roman"/>
                <w:bCs/>
                <w:spacing w:val="-2"/>
                <w:lang w:val="ru-RU" w:eastAsia="en-GB"/>
              </w:rPr>
            </w:pPr>
          </w:p>
          <w:p w:rsidR="00B06AB1" w:rsidRPr="006F0D4D" w:rsidRDefault="00B06AB1" w:rsidP="001B21CD">
            <w:pPr>
              <w:keepNext/>
              <w:numPr>
                <w:ilvl w:val="0"/>
                <w:numId w:val="24"/>
              </w:numPr>
              <w:tabs>
                <w:tab w:val="left" w:pos="313"/>
              </w:tabs>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Грантоотримувач негайно повідомляє Раду Європи про випадки, коли він є об’єктом  або учасником злиття, поглинання, процедури зміни форми власності або власника чи зміни партнера або про інші зміни свого правового статусу. У випадку недотримання цих положень, витрати понесені після зміни обставин вважатимуться недопустимими.</w:t>
            </w:r>
          </w:p>
        </w:tc>
      </w:tr>
      <w:tr w:rsidR="00B06AB1" w:rsidRPr="006F0D4D" w:rsidTr="00625858">
        <w:tc>
          <w:tcPr>
            <w:tcW w:w="10207" w:type="dxa"/>
          </w:tcPr>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p>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r w:rsidRPr="006F0D4D">
              <w:rPr>
                <w:rFonts w:ascii="Arial Narrow" w:eastAsia="Times New Roman" w:hAnsi="Arial Narrow" w:cs="Times New Roman"/>
                <w:b/>
                <w:bCs/>
                <w:spacing w:val="-2"/>
                <w:lang w:val="uk-UA"/>
              </w:rPr>
              <w:t>СТАТТЯ 7 – КОНФЛІКТ ІНТЕРЕСІВ</w:t>
            </w:r>
          </w:p>
        </w:tc>
      </w:tr>
      <w:tr w:rsidR="00B06AB1" w:rsidRPr="003D7508" w:rsidTr="00625858">
        <w:tc>
          <w:tcPr>
            <w:tcW w:w="10207" w:type="dxa"/>
          </w:tcPr>
          <w:p w:rsidR="00B06AB1" w:rsidRPr="006F0D4D" w:rsidRDefault="00B06AB1" w:rsidP="001B21CD">
            <w:pPr>
              <w:numPr>
                <w:ilvl w:val="0"/>
                <w:numId w:val="26"/>
              </w:numPr>
              <w:tabs>
                <w:tab w:val="left" w:pos="567"/>
              </w:tabs>
              <w:autoSpaceDE w:val="0"/>
              <w:autoSpaceDN w:val="0"/>
              <w:adjustRightInd w:val="0"/>
              <w:spacing w:after="0" w:line="240" w:lineRule="auto"/>
              <w:ind w:left="313" w:hanging="313"/>
              <w:contextualSpacing/>
              <w:jc w:val="both"/>
              <w:rPr>
                <w:rFonts w:ascii="Arial Narrow" w:eastAsia="MS Mincho" w:hAnsi="Arial Narrow" w:cs="Times New Roman"/>
                <w:color w:val="000000"/>
                <w:lang w:val="uk-UA" w:eastAsia="fr-FR"/>
              </w:rPr>
            </w:pPr>
            <w:r w:rsidRPr="006F0D4D">
              <w:rPr>
                <w:rFonts w:ascii="Arial Narrow" w:eastAsia="MS Mincho" w:hAnsi="Arial Narrow" w:cs="Times New Roman"/>
                <w:color w:val="000000"/>
                <w:lang w:val="uk-UA" w:eastAsia="fr-FR"/>
              </w:rPr>
              <w:t xml:space="preserve">Грантоотримувач  вживає всіх необхідних заходів для запобігання будь-яким ризикам конфлікту інтересів та невідкладно інформує Раду Європи про будь-яку ситуацію, що створює або може призвести до такого конфлікту. </w:t>
            </w:r>
          </w:p>
          <w:p w:rsidR="00B06AB1" w:rsidRPr="006F0D4D" w:rsidRDefault="00B06AB1" w:rsidP="001B21CD">
            <w:pPr>
              <w:tabs>
                <w:tab w:val="left" w:pos="567"/>
              </w:tabs>
              <w:autoSpaceDE w:val="0"/>
              <w:autoSpaceDN w:val="0"/>
              <w:adjustRightInd w:val="0"/>
              <w:spacing w:after="0" w:line="240" w:lineRule="auto"/>
              <w:ind w:left="313"/>
              <w:contextualSpacing/>
              <w:jc w:val="both"/>
              <w:rPr>
                <w:rFonts w:ascii="Arial Narrow" w:eastAsia="MS Mincho" w:hAnsi="Arial Narrow" w:cs="Times New Roman"/>
                <w:color w:val="000000"/>
                <w:lang w:val="uk-UA" w:eastAsia="fr-FR"/>
              </w:rPr>
            </w:pPr>
          </w:p>
          <w:p w:rsidR="00B06AB1" w:rsidRPr="006F0D4D" w:rsidRDefault="00B06AB1" w:rsidP="00625858">
            <w:pPr>
              <w:numPr>
                <w:ilvl w:val="0"/>
                <w:numId w:val="26"/>
              </w:numPr>
              <w:tabs>
                <w:tab w:val="left" w:pos="567"/>
              </w:tabs>
              <w:autoSpaceDE w:val="0"/>
              <w:autoSpaceDN w:val="0"/>
              <w:adjustRightInd w:val="0"/>
              <w:spacing w:after="0" w:line="240" w:lineRule="auto"/>
              <w:ind w:left="313" w:hanging="313"/>
              <w:contextualSpacing/>
              <w:jc w:val="both"/>
              <w:rPr>
                <w:rFonts w:ascii="Arial Narrow" w:eastAsia="Times New Roman" w:hAnsi="Arial Narrow" w:cs="Times New Roman"/>
                <w:b/>
                <w:bCs/>
                <w:spacing w:val="-2"/>
                <w:highlight w:val="lightGray"/>
                <w:lang w:val="uk-UA"/>
              </w:rPr>
            </w:pPr>
            <w:r w:rsidRPr="006F0D4D">
              <w:rPr>
                <w:rFonts w:ascii="Arial Narrow" w:eastAsia="MS Mincho" w:hAnsi="Arial Narrow" w:cs="Times New Roman"/>
                <w:color w:val="000000"/>
                <w:lang w:val="uk-UA" w:eastAsia="fr-FR"/>
              </w:rPr>
              <w:t xml:space="preserve">Конфлікт інтересів існує, якщо неупереджене та об’єктивне виконання функцій будь-якою особою згідно з цією Угодою компрометується інтересами сімейного або особистого життя, політичної або національної приналежності, економічного або іншого інтересу спільно з іншою стороною. </w:t>
            </w:r>
          </w:p>
        </w:tc>
      </w:tr>
      <w:tr w:rsidR="00B06AB1" w:rsidRPr="006F0D4D" w:rsidTr="00625858">
        <w:tc>
          <w:tcPr>
            <w:tcW w:w="10207" w:type="dxa"/>
          </w:tcPr>
          <w:p w:rsidR="00B06AB1" w:rsidRPr="006F0D4D" w:rsidRDefault="00B06AB1" w:rsidP="001B21CD">
            <w:pPr>
              <w:keepNext/>
              <w:tabs>
                <w:tab w:val="left" w:pos="3318"/>
              </w:tabs>
              <w:suppressAutoHyphens/>
              <w:spacing w:after="0" w:line="240" w:lineRule="auto"/>
              <w:jc w:val="center"/>
              <w:outlineLvl w:val="7"/>
              <w:rPr>
                <w:rFonts w:ascii="Arial Narrow" w:eastAsia="Times New Roman" w:hAnsi="Arial Narrow" w:cs="Times New Roman"/>
                <w:b/>
                <w:bCs/>
                <w:spacing w:val="-2"/>
                <w:lang w:val="uk-UA"/>
              </w:rPr>
            </w:pPr>
          </w:p>
          <w:p w:rsidR="00B06AB1" w:rsidRPr="006F0D4D" w:rsidRDefault="00B06AB1" w:rsidP="001B21CD">
            <w:pPr>
              <w:keepNext/>
              <w:tabs>
                <w:tab w:val="left" w:pos="3318"/>
              </w:tabs>
              <w:suppressAutoHyphens/>
              <w:spacing w:after="0" w:line="240" w:lineRule="auto"/>
              <w:jc w:val="center"/>
              <w:outlineLvl w:val="7"/>
              <w:rPr>
                <w:rFonts w:ascii="Arial Narrow" w:eastAsia="Times New Roman" w:hAnsi="Arial Narrow" w:cs="Times New Roman"/>
                <w:b/>
                <w:bCs/>
                <w:spacing w:val="-2"/>
                <w:lang w:val="uk-UA"/>
              </w:rPr>
            </w:pPr>
            <w:r w:rsidRPr="006F0D4D">
              <w:rPr>
                <w:rFonts w:ascii="Arial Narrow" w:eastAsia="Times New Roman" w:hAnsi="Arial Narrow" w:cs="Times New Roman"/>
                <w:b/>
                <w:bCs/>
                <w:spacing w:val="-2"/>
                <w:lang w:val="uk-UA"/>
              </w:rPr>
              <w:t>СТАТТЯ 8 – КОНФІДЕНЦІЙНІСТЬ</w:t>
            </w:r>
          </w:p>
        </w:tc>
      </w:tr>
      <w:tr w:rsidR="00B06AB1" w:rsidRPr="006F0D4D" w:rsidTr="00625858">
        <w:tc>
          <w:tcPr>
            <w:tcW w:w="10207" w:type="dxa"/>
          </w:tcPr>
          <w:p w:rsidR="00B06AB1" w:rsidRPr="006F0D4D" w:rsidRDefault="00B06AB1" w:rsidP="001B21CD">
            <w:pPr>
              <w:keepNext/>
              <w:suppressAutoHyphens/>
              <w:spacing w:after="0" w:line="240" w:lineRule="auto"/>
              <w:jc w:val="both"/>
              <w:outlineLvl w:val="7"/>
              <w:rPr>
                <w:rFonts w:ascii="Arial Narrow" w:eastAsia="Times New Roman" w:hAnsi="Arial Narrow" w:cs="Times New Roman"/>
                <w:bCs/>
                <w:spacing w:val="-2"/>
                <w:lang w:val="uk-UA"/>
              </w:rPr>
            </w:pPr>
            <w:r w:rsidRPr="006F0D4D">
              <w:rPr>
                <w:rFonts w:ascii="Arial Narrow" w:eastAsia="Times New Roman" w:hAnsi="Arial Narrow" w:cs="Times New Roman"/>
                <w:bCs/>
                <w:spacing w:val="-2"/>
                <w:lang w:val="uk-UA"/>
              </w:rPr>
              <w:t xml:space="preserve">Рада Європи та Грантоотримувач зобов’язуються дотримуватись конфіденційності щодо будь-якого документу, інформації та інших матеріалів, що стосуються цієї Угоди та відповідним чином позначені як конфіденційні, протягом щонайменше 10 років з дати надання фінального описового та фінансового звітів згідно зі Статтею 2.2 </w:t>
            </w:r>
            <w:r w:rsidRPr="006F0D4D">
              <w:rPr>
                <w:rFonts w:ascii="Arial Narrow" w:eastAsia="Times New Roman" w:hAnsi="Arial Narrow" w:cs="Times New Roman"/>
                <w:bCs/>
                <w:spacing w:val="-2"/>
              </w:rPr>
              <w:t>d</w:t>
            </w:r>
            <w:r w:rsidRPr="006F0D4D">
              <w:rPr>
                <w:rFonts w:ascii="Arial Narrow" w:eastAsia="Times New Roman" w:hAnsi="Arial Narrow" w:cs="Times New Roman"/>
                <w:bCs/>
                <w:spacing w:val="-2"/>
                <w:lang w:val="uk-UA"/>
              </w:rPr>
              <w:t xml:space="preserve">) та </w:t>
            </w:r>
            <w:r w:rsidRPr="006F0D4D">
              <w:rPr>
                <w:rFonts w:ascii="Arial Narrow" w:eastAsia="Times New Roman" w:hAnsi="Arial Narrow" w:cs="Times New Roman"/>
                <w:bCs/>
                <w:spacing w:val="-2"/>
              </w:rPr>
              <w:t>e</w:t>
            </w:r>
            <w:r w:rsidRPr="006F0D4D">
              <w:rPr>
                <w:rFonts w:ascii="Arial Narrow" w:eastAsia="Times New Roman" w:hAnsi="Arial Narrow" w:cs="Times New Roman"/>
                <w:bCs/>
                <w:spacing w:val="-2"/>
                <w:lang w:val="uk-UA"/>
              </w:rPr>
              <w:t>) цієї Угоди.</w:t>
            </w:r>
          </w:p>
          <w:p w:rsidR="00B06AB1" w:rsidRPr="006F0D4D" w:rsidRDefault="00B06AB1" w:rsidP="001B21CD">
            <w:pPr>
              <w:keepNext/>
              <w:suppressAutoHyphens/>
              <w:spacing w:after="0" w:line="240" w:lineRule="auto"/>
              <w:jc w:val="both"/>
              <w:outlineLvl w:val="7"/>
              <w:rPr>
                <w:rFonts w:ascii="Arial Narrow" w:eastAsia="Times New Roman" w:hAnsi="Arial Narrow" w:cs="Times New Roman"/>
                <w:bCs/>
                <w:spacing w:val="-2"/>
                <w:lang w:val="uk-UA"/>
              </w:rPr>
            </w:pPr>
          </w:p>
        </w:tc>
      </w:tr>
      <w:tr w:rsidR="00B06AB1" w:rsidRPr="006F0D4D" w:rsidTr="00625858">
        <w:tc>
          <w:tcPr>
            <w:tcW w:w="10207" w:type="dxa"/>
          </w:tcPr>
          <w:p w:rsidR="00B06AB1" w:rsidRPr="006F0D4D" w:rsidRDefault="00B06AB1" w:rsidP="001B21CD">
            <w:pPr>
              <w:keepNext/>
              <w:tabs>
                <w:tab w:val="left" w:pos="3043"/>
              </w:tabs>
              <w:suppressAutoHyphens/>
              <w:spacing w:after="0" w:line="240" w:lineRule="auto"/>
              <w:jc w:val="center"/>
              <w:outlineLvl w:val="7"/>
              <w:rPr>
                <w:rFonts w:ascii="Arial Narrow" w:eastAsia="Times New Roman" w:hAnsi="Arial Narrow" w:cs="Times New Roman"/>
                <w:b/>
                <w:bCs/>
                <w:spacing w:val="-2"/>
                <w:lang w:val="uk-UA"/>
              </w:rPr>
            </w:pPr>
          </w:p>
          <w:p w:rsidR="00B06AB1" w:rsidRPr="006F0D4D" w:rsidRDefault="00B06AB1" w:rsidP="001B21CD">
            <w:pPr>
              <w:keepNext/>
              <w:tabs>
                <w:tab w:val="left" w:pos="3043"/>
              </w:tabs>
              <w:suppressAutoHyphens/>
              <w:spacing w:after="0" w:line="240" w:lineRule="auto"/>
              <w:jc w:val="center"/>
              <w:outlineLvl w:val="7"/>
              <w:rPr>
                <w:rFonts w:ascii="Arial Narrow" w:eastAsia="Times New Roman" w:hAnsi="Arial Narrow" w:cs="Times New Roman"/>
                <w:b/>
                <w:bCs/>
                <w:spacing w:val="-2"/>
                <w:lang w:val="uk-UA"/>
              </w:rPr>
            </w:pPr>
            <w:r w:rsidRPr="006F0D4D">
              <w:rPr>
                <w:rFonts w:ascii="Arial Narrow" w:eastAsia="Times New Roman" w:hAnsi="Arial Narrow" w:cs="Times New Roman"/>
                <w:b/>
                <w:bCs/>
                <w:spacing w:val="-2"/>
                <w:lang w:val="uk-UA"/>
              </w:rPr>
              <w:t>СТАТТЯ 9 – ВІЗУАЛЬНА ІДЕНТИЧНІСТЬ</w:t>
            </w:r>
          </w:p>
        </w:tc>
      </w:tr>
      <w:tr w:rsidR="00B06AB1" w:rsidRPr="003D7508" w:rsidTr="00625858">
        <w:tc>
          <w:tcPr>
            <w:tcW w:w="10207" w:type="dxa"/>
          </w:tcPr>
          <w:p w:rsidR="00B06AB1" w:rsidRPr="006F0D4D" w:rsidRDefault="00B06AB1" w:rsidP="001B21CD">
            <w:pPr>
              <w:keepNext/>
              <w:numPr>
                <w:ilvl w:val="1"/>
                <w:numId w:val="25"/>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Якщо Рада Європи не вимагає чи не погоджується на інше, Грантоотримувач має вжити всіх належних заходів для оприлюднення  інформації про фінансування Діяльності  Радою Європи. Інформація, яка надається пресі та  бенефіціарам Діяльності, всі інформаційні матеріали, офіційні повідомлення, звіти, доповіді та публікації мають містити інформацію про те, що Діяльність здійснюється «за фінансування Ради Європи» і має відповідним чином містити логотип Ради Європи.</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1"/>
                <w:numId w:val="25"/>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 xml:space="preserve">У разі, якщо обладнання чи значна кількість інших товарів були придбані за кошти, надані Радою Європи, Грантоотримувач повинен розмістити відповідну чітку інформацію  на такому обладнанні та інших товарах (включно з розміщенням логотипу Ради Європи), якщо тільки такі дії не наражають на ризик працівників Грантоотримувача  і не ставлять під загрозу їхню безпеку.  </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1"/>
                <w:numId w:val="25"/>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Інформація щодо фінансування Радою Європи та логотип Ради Європи мають бути чітко візуалізовані у спосіб, щоб не виникало сумнівів щодо ідентифікації Діяльності як діяльності  Грантоотримувача, приналежності Грантоотримувачу обладнання та інших матеріалів .</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1"/>
                <w:numId w:val="25"/>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Будь-які друковані матеріали Грантоотримувача, що мають відношення до Діяльності, що фінансується  Радою Європи, у якому би вигляді чи у який би спосіб вони не були оприлюднені та розміщені, включаючи Інтернет, повинні містити наступне чи подібне застереження: «Цей документ було розроблено за фінансової підтримки Ради Європи. Висловлені тут думки жодною мірою не відображають офіційну позицію Ради Європи».</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1"/>
                <w:numId w:val="25"/>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Грантоотримувач зобов’язується узгоджувати макети будь-яких комунікаційний матеріалів із контактною особою зі сторони Ради Європи.</w:t>
            </w:r>
          </w:p>
          <w:p w:rsidR="00B06AB1" w:rsidRPr="006F0D4D" w:rsidRDefault="00B06AB1" w:rsidP="001B21CD">
            <w:pPr>
              <w:spacing w:after="0" w:line="240" w:lineRule="auto"/>
              <w:ind w:left="313" w:hanging="284"/>
              <w:contextualSpacing/>
              <w:rPr>
                <w:rFonts w:ascii="Arial Narrow" w:eastAsia="Times New Roman" w:hAnsi="Arial Narrow" w:cs="Times New Roman"/>
                <w:bCs/>
                <w:spacing w:val="-2"/>
                <w:lang w:val="uk-UA" w:eastAsia="en-GB"/>
              </w:rPr>
            </w:pPr>
          </w:p>
          <w:p w:rsidR="00B06AB1" w:rsidRPr="006F0D4D" w:rsidRDefault="00B06AB1" w:rsidP="001B21CD">
            <w:pPr>
              <w:keepNext/>
              <w:numPr>
                <w:ilvl w:val="1"/>
                <w:numId w:val="25"/>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 xml:space="preserve"> Грантоотримувач погоджується, що Рада Європи може оприлюднювати в будь-який спосіб та будь-якій формі, в тому числі на своїх веб-сайтах, назву та адресу Грантоотримувача, мету та суму наданого фінансування і за потреби відсоток співфінансування. </w:t>
            </w:r>
          </w:p>
          <w:p w:rsidR="00B06AB1" w:rsidRPr="006F0D4D" w:rsidRDefault="00B06AB1" w:rsidP="001B21CD">
            <w:pPr>
              <w:keepNext/>
              <w:suppressAutoHyphens/>
              <w:spacing w:after="0" w:line="240" w:lineRule="auto"/>
              <w:jc w:val="both"/>
              <w:outlineLvl w:val="7"/>
              <w:rPr>
                <w:rFonts w:ascii="Arial Narrow" w:eastAsia="Times New Roman" w:hAnsi="Arial Narrow" w:cs="Times New Roman"/>
                <w:b/>
                <w:bCs/>
                <w:spacing w:val="-2"/>
                <w:lang w:val="uk-UA"/>
              </w:rPr>
            </w:pPr>
          </w:p>
        </w:tc>
      </w:tr>
      <w:tr w:rsidR="00B06AB1" w:rsidRPr="003D7508" w:rsidTr="00625858">
        <w:tc>
          <w:tcPr>
            <w:tcW w:w="10207" w:type="dxa"/>
          </w:tcPr>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p>
          <w:p w:rsidR="00B06AB1" w:rsidRPr="006F0D4D" w:rsidRDefault="00B06AB1" w:rsidP="001B21CD">
            <w:pPr>
              <w:tabs>
                <w:tab w:val="left" w:pos="1778"/>
              </w:tabs>
              <w:jc w:val="center"/>
              <w:rPr>
                <w:rFonts w:ascii="Arial Narrow" w:eastAsia="Times New Roman" w:hAnsi="Arial Narrow" w:cs="Times New Roman"/>
                <w:b/>
                <w:lang w:val="uk-UA"/>
              </w:rPr>
            </w:pPr>
            <w:r w:rsidRPr="006F0D4D">
              <w:rPr>
                <w:rFonts w:ascii="Arial Narrow" w:eastAsia="Times New Roman" w:hAnsi="Arial Narrow" w:cs="Times New Roman"/>
                <w:b/>
                <w:lang w:val="uk-UA"/>
              </w:rPr>
              <w:t>СТАТТЯ 10 – ПРАВО ВЛАСНОСТІ/ВИКОРИСТАННЯ РЕЗУЛЬТАТІВ ТА ОБЛАДНАННЯ</w:t>
            </w:r>
          </w:p>
        </w:tc>
      </w:tr>
      <w:tr w:rsidR="00B06AB1" w:rsidRPr="003D7508" w:rsidTr="00625858">
        <w:tc>
          <w:tcPr>
            <w:tcW w:w="10207" w:type="dxa"/>
          </w:tcPr>
          <w:p w:rsidR="00B06AB1" w:rsidRPr="006F0D4D" w:rsidRDefault="00B06AB1" w:rsidP="001B21CD">
            <w:pPr>
              <w:keepNext/>
              <w:numPr>
                <w:ilvl w:val="1"/>
                <w:numId w:val="9"/>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Право власності, майнові права, права на промислову та інтелектуальну власність щодо результатів Діяльності,  звіти та інші документи, які стосуються Діяльності, належать Грантоотримувачу або у певних випадках також і третім сторонам, якщо інше не визначено Грантоотримувачем.</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1"/>
                <w:numId w:val="9"/>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Не зважаючи на положення Статті 10(1) та відповідно до Статті 8 вище, Грантоотримувач гарантує Раді Європи право використовувати на безоплатній основі та на власний розсуд всі документи отримані від Діяльності, у будь-якій формі, якщо таке використання відповідає існуючим правам інтелектуальної та промислової власності.</w:t>
            </w:r>
          </w:p>
        </w:tc>
      </w:tr>
      <w:tr w:rsidR="00B06AB1" w:rsidRPr="006F0D4D" w:rsidTr="00625858">
        <w:tc>
          <w:tcPr>
            <w:tcW w:w="10207" w:type="dxa"/>
          </w:tcPr>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p>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r w:rsidRPr="006F0D4D">
              <w:rPr>
                <w:rFonts w:ascii="Arial Narrow" w:eastAsia="Times New Roman" w:hAnsi="Arial Narrow" w:cs="Times New Roman"/>
                <w:b/>
                <w:bCs/>
                <w:spacing w:val="-2"/>
                <w:lang w:val="uk-UA"/>
              </w:rPr>
              <w:t>СТАТТЯ 11 – ЗАКУПІВЛІ</w:t>
            </w:r>
          </w:p>
        </w:tc>
      </w:tr>
      <w:tr w:rsidR="00B06AB1" w:rsidRPr="003D7508" w:rsidTr="00625858">
        <w:tc>
          <w:tcPr>
            <w:tcW w:w="10207" w:type="dxa"/>
          </w:tcPr>
          <w:p w:rsidR="00B06AB1" w:rsidRPr="006F0D4D" w:rsidRDefault="00B06AB1" w:rsidP="001B21CD">
            <w:pPr>
              <w:keepNext/>
              <w:numPr>
                <w:ilvl w:val="0"/>
                <w:numId w:val="27"/>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 xml:space="preserve">Якщо Сторони (Рада Європи та Грантоотримувач) не домовились інакше у письмовій формі, закупівля будь-яких товарів, робіт чи послуг та надання грантів Грантоотримувачем та його партнерами в контексті Діяльності має відбуватися згідно відповідних правил та процедур, прийнятих Грантоотримувачем. </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27"/>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Це положення застосовується виходячи з розуміння того, що правилами та процедурами Грантоотримувача  передбачено проведення конкурентних тендерів (з мінімум трьома тендерними  пропозиціями) і відповідність національним чи міжнародним стандартам, що відповідають принципам прозорості, пропорційності, адекватного управління фінансами, рівному та недискримінаційному ставленню, за умови уникнення будь-якого конфлікту інтересів. Грантоотримувач має бути готовий надати документи, які підтверджують відповідність зобов’язанням, викладеним у цій статті, та надати їх у разі запиту від Ради Європи або призначених нею аудиторів.</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27"/>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lastRenderedPageBreak/>
              <w:t>Як відхилення від обов’язків, зазначених у пункті 2 цієї Статті, може бути обговорення контрактів без проведення конкурентних тендерів безпосередньо з постачальниками, якщо витрати на купівлю складають суму менше 2000 Євро без урахування податку або суму менше 5000 Євро без урахування податку за інтелектуальні послуги за умови, що основним критерієм відбору є технічна експертиза постачальника послуг.</w:t>
            </w:r>
          </w:p>
          <w:p w:rsidR="00B06AB1" w:rsidRPr="006F0D4D" w:rsidRDefault="00B06AB1" w:rsidP="001B21CD">
            <w:pPr>
              <w:spacing w:after="0" w:line="240" w:lineRule="auto"/>
              <w:ind w:left="720"/>
              <w:contextualSpacing/>
              <w:rPr>
                <w:rFonts w:ascii="Arial Narrow" w:eastAsia="Times New Roman" w:hAnsi="Arial Narrow" w:cs="Times New Roman"/>
                <w:bCs/>
                <w:spacing w:val="-2"/>
                <w:lang w:val="uk-UA" w:eastAsia="en-GB"/>
              </w:rPr>
            </w:pPr>
          </w:p>
          <w:p w:rsidR="00B06AB1" w:rsidRPr="006F0D4D" w:rsidRDefault="00B06AB1" w:rsidP="001B21CD">
            <w:pPr>
              <w:keepNext/>
              <w:numPr>
                <w:ilvl w:val="0"/>
                <w:numId w:val="27"/>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Незалежно від специфіки процедур та винятків, що застосовуються Грантоотримувачем, контракти та витрати  в рамках цієї Угоди не мають носити кумулятивний або ретроспективний характер або призводити до отримання прибутку Грантоотримувачем.</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27"/>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Грантоотримувач має вживати належних заходів згідно із своїми правилами та вимогами, щоб гарантувати неучасть у процедурах закупки або надання фінансової допомоги, потенційних кандидатів чи учасників тендеру а також бенефіціарів фінансової допомоги, якщо:</w:t>
            </w:r>
          </w:p>
          <w:p w:rsidR="00B06AB1" w:rsidRPr="006F0D4D" w:rsidRDefault="00B06AB1" w:rsidP="001B21CD">
            <w:pPr>
              <w:keepNext/>
              <w:suppressAutoHyphens/>
              <w:spacing w:after="0" w:line="240" w:lineRule="auto"/>
              <w:jc w:val="both"/>
              <w:outlineLvl w:val="7"/>
              <w:rPr>
                <w:rFonts w:ascii="Arial Narrow" w:eastAsia="Times New Roman" w:hAnsi="Arial Narrow" w:cs="Times New Roman"/>
                <w:bCs/>
                <w:spacing w:val="-2"/>
                <w:lang w:val="uk-UA"/>
              </w:rPr>
            </w:pPr>
          </w:p>
          <w:p w:rsidR="00B06AB1" w:rsidRPr="006F0D4D" w:rsidRDefault="00B06AB1" w:rsidP="001B21CD">
            <w:pPr>
              <w:keepNext/>
              <w:numPr>
                <w:ilvl w:val="0"/>
                <w:numId w:val="28"/>
              </w:numPr>
              <w:tabs>
                <w:tab w:val="left" w:pos="544"/>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їх правовий статус  є невизначеним (наприклад, вони не можуть надати інформацію стосовно своєї реєстрації згідно діючого національного законодавства або ж реєстрації в податкових чи інших уповноважених органах); або</w:t>
            </w:r>
          </w:p>
          <w:p w:rsidR="00B06AB1" w:rsidRPr="006F0D4D" w:rsidRDefault="00B06AB1" w:rsidP="001B21CD">
            <w:pPr>
              <w:keepNext/>
              <w:numPr>
                <w:ilvl w:val="0"/>
                <w:numId w:val="28"/>
              </w:numPr>
              <w:tabs>
                <w:tab w:val="left" w:pos="544"/>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 xml:space="preserve">вони збанкрутіли чи знаходяться на стадії          банкрутства, ліквідації, їх справи щодо ліквідації розглядаються в суді, вони уклали домовленості з їх кредиторами, тимчасово призупинили бізнес-діяльність, або вони знаходяться у будь-якій аналогічній ситуації в результаті подібних процесів, врегульованих національним законодавством та нормативними актами; або </w:t>
            </w:r>
          </w:p>
          <w:p w:rsidR="00B06AB1" w:rsidRPr="006F0D4D" w:rsidRDefault="00B06AB1" w:rsidP="001B21CD">
            <w:pPr>
              <w:keepNext/>
              <w:numPr>
                <w:ilvl w:val="0"/>
                <w:numId w:val="28"/>
              </w:numPr>
              <w:tabs>
                <w:tab w:val="left" w:pos="544"/>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їх було звинувачено у порушенні кодексу          професійної поведінки судовим рішенням, що набрало законної сили (res judicata); або</w:t>
            </w:r>
          </w:p>
          <w:p w:rsidR="00B06AB1" w:rsidRPr="006F0D4D" w:rsidRDefault="00B06AB1" w:rsidP="001B21CD">
            <w:pPr>
              <w:keepNext/>
              <w:tabs>
                <w:tab w:val="left" w:pos="544"/>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28"/>
              </w:numPr>
              <w:tabs>
                <w:tab w:val="left" w:pos="519"/>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щодо них було ухвалено судове рішення, яке набрало законної сили (</w:t>
            </w:r>
            <w:r w:rsidRPr="006F0D4D">
              <w:rPr>
                <w:rFonts w:ascii="Arial Narrow" w:eastAsia="Times New Roman" w:hAnsi="Arial Narrow" w:cs="Times New Roman"/>
                <w:bCs/>
                <w:spacing w:val="-2"/>
                <w:lang w:eastAsia="en-GB"/>
              </w:rPr>
              <w:t>res</w:t>
            </w:r>
            <w:r w:rsidRPr="006F0D4D">
              <w:rPr>
                <w:rFonts w:ascii="Arial Narrow" w:eastAsia="Times New Roman" w:hAnsi="Arial Narrow" w:cs="Times New Roman"/>
                <w:bCs/>
                <w:spacing w:val="-2"/>
                <w:lang w:val="uk-UA" w:eastAsia="en-GB"/>
              </w:rPr>
              <w:t xml:space="preserve"> </w:t>
            </w:r>
            <w:r w:rsidRPr="006F0D4D">
              <w:rPr>
                <w:rFonts w:ascii="Arial Narrow" w:eastAsia="Times New Roman" w:hAnsi="Arial Narrow" w:cs="Times New Roman"/>
                <w:bCs/>
                <w:spacing w:val="-2"/>
                <w:lang w:eastAsia="en-GB"/>
              </w:rPr>
              <w:t>judicata</w:t>
            </w:r>
            <w:r w:rsidRPr="006F0D4D">
              <w:rPr>
                <w:rFonts w:ascii="Arial Narrow" w:eastAsia="Times New Roman" w:hAnsi="Arial Narrow" w:cs="Times New Roman"/>
                <w:bCs/>
                <w:spacing w:val="-2"/>
                <w:lang w:val="uk-UA" w:eastAsia="en-GB"/>
              </w:rPr>
              <w:t>), за шахрайство, корупцію, участь у злочинній організації або будь-якій іншій незаконній діяльності, що завдає шкоди фінансовим інтересам Ради Європи; або</w:t>
            </w:r>
          </w:p>
          <w:p w:rsidR="00B06AB1" w:rsidRPr="006F0D4D" w:rsidRDefault="00B06AB1" w:rsidP="001B21CD">
            <w:pPr>
              <w:keepNext/>
              <w:tabs>
                <w:tab w:val="left" w:pos="519"/>
              </w:tabs>
              <w:suppressAutoHyphens/>
              <w:spacing w:after="0" w:line="240" w:lineRule="auto"/>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28"/>
              </w:numPr>
              <w:tabs>
                <w:tab w:val="left" w:pos="519"/>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вони звинувачені у свідомому наданні невірної          інформації, яка є необхідною умовою участі у процедурі отримання фінансування,  або ж ненаданні такої інформації; або</w:t>
            </w:r>
          </w:p>
          <w:p w:rsidR="00B06AB1" w:rsidRPr="006F0D4D" w:rsidRDefault="00B06AB1" w:rsidP="001B21CD">
            <w:pPr>
              <w:keepNext/>
              <w:tabs>
                <w:tab w:val="left" w:pos="519"/>
              </w:tabs>
              <w:suppressAutoHyphens/>
              <w:spacing w:after="0" w:line="240" w:lineRule="auto"/>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28"/>
              </w:numPr>
              <w:tabs>
                <w:tab w:val="left" w:pos="519"/>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вони підпадають під дію положень про конфлікт інтересів.</w:t>
            </w:r>
            <w:r w:rsidRPr="006F0D4D">
              <w:rPr>
                <w:rFonts w:ascii="Arial Narrow" w:eastAsia="Times New Roman" w:hAnsi="Arial Narrow" w:cs="Times New Roman"/>
                <w:bCs/>
                <w:spacing w:val="-2"/>
                <w:lang w:val="uk-UA" w:eastAsia="en-GB"/>
              </w:rPr>
              <w:tab/>
            </w:r>
          </w:p>
          <w:p w:rsidR="00B06AB1" w:rsidRPr="006F0D4D" w:rsidRDefault="00B06AB1" w:rsidP="001B21CD">
            <w:pPr>
              <w:keepNext/>
              <w:tabs>
                <w:tab w:val="left" w:pos="519"/>
              </w:tabs>
              <w:suppressAutoHyphens/>
              <w:spacing w:after="0" w:line="240" w:lineRule="auto"/>
              <w:contextualSpacing/>
              <w:jc w:val="both"/>
              <w:outlineLvl w:val="7"/>
              <w:rPr>
                <w:rFonts w:ascii="Arial Narrow" w:eastAsia="Times New Roman" w:hAnsi="Arial Narrow" w:cs="Times New Roman"/>
                <w:bCs/>
                <w:spacing w:val="-2"/>
                <w:lang w:val="ru-RU" w:eastAsia="en-GB"/>
              </w:rPr>
            </w:pPr>
          </w:p>
          <w:p w:rsidR="00B06AB1" w:rsidRPr="006F0D4D" w:rsidRDefault="00B06AB1" w:rsidP="001B21CD">
            <w:pPr>
              <w:pStyle w:val="ListParagraph"/>
              <w:keepNext/>
              <w:numPr>
                <w:ilvl w:val="0"/>
                <w:numId w:val="27"/>
              </w:numPr>
              <w:tabs>
                <w:tab w:val="left" w:pos="519"/>
              </w:tabs>
              <w:suppressAutoHyphens/>
              <w:spacing w:after="0" w:line="240" w:lineRule="auto"/>
              <w:ind w:left="330" w:hanging="270"/>
              <w:jc w:val="both"/>
              <w:outlineLvl w:val="7"/>
              <w:rPr>
                <w:rFonts w:ascii="Arial Narrow" w:eastAsia="Times New Roman" w:hAnsi="Arial Narrow" w:cs="Times New Roman"/>
                <w:bCs/>
                <w:spacing w:val="-2"/>
                <w:lang w:val="ru-RU" w:eastAsia="en-GB"/>
              </w:rPr>
            </w:pPr>
            <w:r w:rsidRPr="006F0D4D">
              <w:rPr>
                <w:rFonts w:ascii="Arial Narrow" w:eastAsia="Times New Roman" w:hAnsi="Arial Narrow" w:cs="Times New Roman"/>
                <w:bCs/>
                <w:spacing w:val="-2"/>
                <w:lang w:val="uk-UA" w:eastAsia="en-GB"/>
              </w:rPr>
              <w:t>Грантоотримувач звільняє Раду Європи від усіх зобов</w:t>
            </w:r>
            <w:r w:rsidRPr="006F0D4D">
              <w:rPr>
                <w:rFonts w:ascii="Arial Narrow" w:eastAsia="Times New Roman" w:hAnsi="Arial Narrow" w:cs="Times New Roman"/>
                <w:bCs/>
                <w:spacing w:val="-2"/>
                <w:lang w:val="ru-RU" w:eastAsia="en-GB"/>
              </w:rPr>
              <w:t>’</w:t>
            </w:r>
            <w:r w:rsidRPr="006F0D4D">
              <w:rPr>
                <w:rFonts w:ascii="Arial Narrow" w:eastAsia="Times New Roman" w:hAnsi="Arial Narrow" w:cs="Times New Roman"/>
                <w:bCs/>
                <w:spacing w:val="-2"/>
                <w:lang w:val="uk-UA" w:eastAsia="en-GB"/>
              </w:rPr>
              <w:t>язань, пов</w:t>
            </w:r>
            <w:r w:rsidRPr="006F0D4D">
              <w:rPr>
                <w:rFonts w:ascii="Arial Narrow" w:eastAsia="Times New Roman" w:hAnsi="Arial Narrow" w:cs="Times New Roman"/>
                <w:bCs/>
                <w:spacing w:val="-2"/>
                <w:lang w:val="ru-RU" w:eastAsia="en-GB"/>
              </w:rPr>
              <w:t>’</w:t>
            </w:r>
            <w:r w:rsidRPr="006F0D4D">
              <w:rPr>
                <w:rFonts w:ascii="Arial Narrow" w:eastAsia="Times New Roman" w:hAnsi="Arial Narrow" w:cs="Times New Roman"/>
                <w:bCs/>
                <w:spacing w:val="-2"/>
                <w:lang w:val="uk-UA" w:eastAsia="en-GB"/>
              </w:rPr>
              <w:t>язаних з будь-якими претензіями або діями третьої сторони, з якою Грантоотримувач уклав угоду з метою виконання діяльності за умовами надання гранту.</w:t>
            </w:r>
          </w:p>
        </w:tc>
      </w:tr>
      <w:tr w:rsidR="00B06AB1" w:rsidRPr="006F0D4D" w:rsidTr="00625858">
        <w:tc>
          <w:tcPr>
            <w:tcW w:w="10207" w:type="dxa"/>
          </w:tcPr>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p>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r w:rsidRPr="006F0D4D">
              <w:rPr>
                <w:rFonts w:ascii="Arial Narrow" w:eastAsia="Times New Roman" w:hAnsi="Arial Narrow" w:cs="Times New Roman"/>
                <w:b/>
                <w:bCs/>
                <w:spacing w:val="-2"/>
                <w:lang w:val="uk-UA"/>
              </w:rPr>
              <w:t>СТАТТЯ 12 – ДОПУСТИМІ ВИТРАТИ</w:t>
            </w:r>
          </w:p>
        </w:tc>
      </w:tr>
      <w:tr w:rsidR="00B06AB1" w:rsidRPr="003D7508" w:rsidTr="00625858">
        <w:tc>
          <w:tcPr>
            <w:tcW w:w="10207" w:type="dxa"/>
          </w:tcPr>
          <w:p w:rsidR="00B06AB1" w:rsidRPr="006F0D4D" w:rsidRDefault="00B06AB1" w:rsidP="001B21CD">
            <w:pPr>
              <w:keepNext/>
              <w:numPr>
                <w:ilvl w:val="0"/>
                <w:numId w:val="29"/>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Витрати для визнання їх прямими та прийнятними згідно цієї Угоди  повинні:</w:t>
            </w:r>
          </w:p>
          <w:p w:rsidR="00B06AB1" w:rsidRPr="006F0D4D" w:rsidRDefault="00B06AB1" w:rsidP="001B21CD">
            <w:pPr>
              <w:keepNext/>
              <w:suppressAutoHyphens/>
              <w:spacing w:after="0" w:line="240" w:lineRule="auto"/>
              <w:jc w:val="both"/>
              <w:outlineLvl w:val="7"/>
              <w:rPr>
                <w:rFonts w:ascii="Arial Narrow" w:eastAsia="Times New Roman" w:hAnsi="Arial Narrow" w:cs="Times New Roman"/>
                <w:bCs/>
                <w:spacing w:val="-2"/>
                <w:lang w:val="uk-UA"/>
              </w:rPr>
            </w:pPr>
          </w:p>
          <w:p w:rsidR="00B06AB1" w:rsidRPr="006F0D4D" w:rsidRDefault="00B06AB1" w:rsidP="001B21CD">
            <w:pPr>
              <w:keepNext/>
              <w:numPr>
                <w:ilvl w:val="0"/>
                <w:numId w:val="36"/>
              </w:numPr>
              <w:tabs>
                <w:tab w:val="left" w:pos="312"/>
              </w:tabs>
              <w:suppressAutoHyphens/>
              <w:spacing w:after="0" w:line="240" w:lineRule="auto"/>
              <w:ind w:left="312"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 xml:space="preserve">бути необхідними для цілей гранту; </w:t>
            </w:r>
          </w:p>
          <w:p w:rsidR="00B06AB1" w:rsidRPr="006F0D4D" w:rsidRDefault="00B06AB1" w:rsidP="001B21CD">
            <w:pPr>
              <w:keepNext/>
              <w:numPr>
                <w:ilvl w:val="0"/>
                <w:numId w:val="36"/>
              </w:numPr>
              <w:tabs>
                <w:tab w:val="left" w:pos="312"/>
              </w:tabs>
              <w:suppressAutoHyphens/>
              <w:spacing w:after="0" w:line="240" w:lineRule="auto"/>
              <w:ind w:left="312"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відповідати принципам належного фінансового менеджменту, зокрема, співвідношення ціни, якості та економічної ефективності;</w:t>
            </w:r>
          </w:p>
          <w:p w:rsidR="00B06AB1" w:rsidRPr="006F0D4D" w:rsidRDefault="00B06AB1" w:rsidP="001B21CD">
            <w:pPr>
              <w:keepNext/>
              <w:numPr>
                <w:ilvl w:val="0"/>
                <w:numId w:val="36"/>
              </w:numPr>
              <w:tabs>
                <w:tab w:val="left" w:pos="620"/>
              </w:tabs>
              <w:suppressAutoHyphens/>
              <w:spacing w:after="0" w:line="240" w:lineRule="auto"/>
              <w:ind w:left="313" w:hanging="285"/>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бути фактично понесеними протягом періоду</w:t>
            </w:r>
            <w:r w:rsidRPr="006F0D4D">
              <w:rPr>
                <w:rFonts w:ascii="Arial Narrow" w:eastAsia="Times New Roman" w:hAnsi="Arial Narrow" w:cs="Times New Roman"/>
                <w:bCs/>
                <w:spacing w:val="-2"/>
                <w:lang w:val="ru-RU" w:eastAsia="en-GB"/>
              </w:rPr>
              <w:t xml:space="preserve"> </w:t>
            </w:r>
            <w:r w:rsidRPr="006F0D4D">
              <w:rPr>
                <w:rFonts w:ascii="Arial Narrow" w:eastAsia="Times New Roman" w:hAnsi="Arial Narrow" w:cs="Times New Roman"/>
                <w:bCs/>
                <w:spacing w:val="-2"/>
                <w:lang w:val="uk-UA" w:eastAsia="en-GB"/>
              </w:rPr>
              <w:t>впровадження, який визначається у Статті 1.3 цієї Угоди;</w:t>
            </w:r>
          </w:p>
          <w:p w:rsidR="00B06AB1" w:rsidRPr="006F0D4D" w:rsidRDefault="00B06AB1" w:rsidP="001B21CD">
            <w:pPr>
              <w:keepNext/>
              <w:numPr>
                <w:ilvl w:val="0"/>
                <w:numId w:val="36"/>
              </w:numPr>
              <w:tabs>
                <w:tab w:val="left" w:pos="620"/>
              </w:tabs>
              <w:suppressAutoHyphens/>
              <w:spacing w:after="0" w:line="240" w:lineRule="auto"/>
              <w:ind w:left="313" w:hanging="285"/>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підлягати ідентифікації та перевірці, зокрема, бути внесеними до бухгалтерських реєстрів Грантоотримувача, та визначатися відповідно до бухгалтерських стандартів, які застосовуються до Грантоотримувача;</w:t>
            </w:r>
          </w:p>
          <w:p w:rsidR="00B06AB1" w:rsidRPr="006F0D4D" w:rsidRDefault="00B06AB1" w:rsidP="001B21CD">
            <w:pPr>
              <w:keepNext/>
              <w:numPr>
                <w:ilvl w:val="0"/>
                <w:numId w:val="36"/>
              </w:numPr>
              <w:tabs>
                <w:tab w:val="left" w:pos="620"/>
              </w:tabs>
              <w:suppressAutoHyphens/>
              <w:spacing w:after="0" w:line="240" w:lineRule="auto"/>
              <w:ind w:left="313" w:hanging="285"/>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відповідати вимогам податкового законодавства та законодавства у сфері соціального забезпечення;</w:t>
            </w:r>
          </w:p>
          <w:p w:rsidR="00B06AB1" w:rsidRPr="006F0D4D" w:rsidRDefault="00B06AB1" w:rsidP="001B21CD">
            <w:pPr>
              <w:keepNext/>
              <w:numPr>
                <w:ilvl w:val="0"/>
                <w:numId w:val="36"/>
              </w:numPr>
              <w:tabs>
                <w:tab w:val="left" w:pos="620"/>
              </w:tabs>
              <w:suppressAutoHyphens/>
              <w:spacing w:after="0" w:line="240" w:lineRule="auto"/>
              <w:ind w:left="313" w:hanging="285"/>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бути підтверджені оригіналами або завіреними копіями підтверджуючих документів (може бути в електронній формі, залежно від випадку); та</w:t>
            </w:r>
          </w:p>
          <w:p w:rsidR="00B06AB1" w:rsidRPr="006F0D4D" w:rsidRDefault="00B06AB1" w:rsidP="001B21CD">
            <w:pPr>
              <w:keepNext/>
              <w:numPr>
                <w:ilvl w:val="0"/>
                <w:numId w:val="36"/>
              </w:numPr>
              <w:tabs>
                <w:tab w:val="left" w:pos="620"/>
              </w:tabs>
              <w:suppressAutoHyphens/>
              <w:spacing w:after="0" w:line="240" w:lineRule="auto"/>
              <w:ind w:left="313" w:hanging="285"/>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 xml:space="preserve">бути зазначеними у загальному бюджеті Діяльності (див. Додаток </w:t>
            </w:r>
            <w:r w:rsidRPr="006F0D4D">
              <w:rPr>
                <w:rFonts w:ascii="Arial Narrow" w:eastAsia="Times New Roman" w:hAnsi="Arial Narrow" w:cs="Times New Roman"/>
                <w:bCs/>
                <w:spacing w:val="-2"/>
                <w:lang w:eastAsia="en-GB"/>
              </w:rPr>
              <w:t>I</w:t>
            </w:r>
            <w:r w:rsidRPr="006F0D4D">
              <w:rPr>
                <w:rFonts w:ascii="Arial Narrow" w:eastAsia="Times New Roman" w:hAnsi="Arial Narrow" w:cs="Times New Roman"/>
                <w:bCs/>
                <w:spacing w:val="-2"/>
                <w:lang w:val="uk-UA" w:eastAsia="en-GB"/>
              </w:rPr>
              <w:t>І).</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29"/>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 xml:space="preserve">Непрямі витрати можуть вважатися прийнятними, лише коли вони були понесені Грантоотримувачем у зв’язку з Діяльністю, що є предметом гранту; бути внесеними до загального бюджету; та бути схваленими після надання фінального фінансового звіту. Ці витрати не повинні перевищувати суму, що зафіксована, залежно від випадку, у Додатку </w:t>
            </w:r>
            <w:r w:rsidRPr="006F0D4D">
              <w:rPr>
                <w:rFonts w:ascii="Arial Narrow" w:eastAsia="Times New Roman" w:hAnsi="Arial Narrow" w:cs="Times New Roman"/>
                <w:bCs/>
                <w:spacing w:val="-2"/>
                <w:lang w:eastAsia="en-GB"/>
              </w:rPr>
              <w:t>I</w:t>
            </w:r>
            <w:r w:rsidRPr="006F0D4D">
              <w:rPr>
                <w:rFonts w:ascii="Arial Narrow" w:eastAsia="Times New Roman" w:hAnsi="Arial Narrow" w:cs="Times New Roman"/>
                <w:bCs/>
                <w:spacing w:val="-2"/>
                <w:lang w:val="uk-UA" w:eastAsia="en-GB"/>
              </w:rPr>
              <w:t>І, і жодним чином не можуть перевищувати 7% загальних прийнятних витрат.</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highlight w:val="cyan"/>
                <w:lang w:val="uk-UA" w:eastAsia="en-GB"/>
              </w:rPr>
            </w:pPr>
          </w:p>
          <w:p w:rsidR="00B06AB1" w:rsidRPr="006F0D4D" w:rsidRDefault="00B06AB1" w:rsidP="001B21CD">
            <w:pPr>
              <w:keepNext/>
              <w:numPr>
                <w:ilvl w:val="0"/>
                <w:numId w:val="29"/>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Слід зауважити, що за винятком випадків,  коли іншої альтернативи не існує (наприклад,  сплата за послуги таксі), всі виплати третім особам мають  бути здійснені безготівково  шляхом банківського  переказу.</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29"/>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Такі витрати жодним чинним не можуть вважатися допустимими в рамках цієї Угоди (перелік не є вичерпним):</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30"/>
              </w:numPr>
              <w:tabs>
                <w:tab w:val="left" w:pos="607"/>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оплата заборгованостей та пов’язані з цим комісії;</w:t>
            </w:r>
          </w:p>
          <w:p w:rsidR="00B06AB1" w:rsidRPr="006F0D4D" w:rsidRDefault="00B06AB1" w:rsidP="001B21CD">
            <w:pPr>
              <w:keepNext/>
              <w:tabs>
                <w:tab w:val="left" w:pos="607"/>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30"/>
              </w:numPr>
              <w:tabs>
                <w:tab w:val="left" w:pos="607"/>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lastRenderedPageBreak/>
              <w:t xml:space="preserve">резерви під можливі втрати та майбутні зобов’язання; </w:t>
            </w:r>
          </w:p>
          <w:p w:rsidR="00B06AB1" w:rsidRPr="006F0D4D" w:rsidRDefault="00B06AB1" w:rsidP="001B21CD">
            <w:pPr>
              <w:keepNext/>
              <w:numPr>
                <w:ilvl w:val="0"/>
                <w:numId w:val="30"/>
              </w:numPr>
              <w:tabs>
                <w:tab w:val="left" w:pos="607"/>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позики третім сторонам;</w:t>
            </w:r>
          </w:p>
          <w:p w:rsidR="00B06AB1" w:rsidRPr="006F0D4D" w:rsidRDefault="00B06AB1" w:rsidP="001B21CD">
            <w:pPr>
              <w:keepNext/>
              <w:tabs>
                <w:tab w:val="left" w:pos="607"/>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30"/>
              </w:numPr>
              <w:tabs>
                <w:tab w:val="left" w:pos="607"/>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 xml:space="preserve">відсотки, які Грантоотримувач винен третій стороні; </w:t>
            </w:r>
          </w:p>
          <w:p w:rsidR="00B06AB1" w:rsidRPr="006F0D4D" w:rsidRDefault="00B06AB1" w:rsidP="001B21CD">
            <w:pPr>
              <w:keepNext/>
              <w:tabs>
                <w:tab w:val="left" w:pos="607"/>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30"/>
              </w:numPr>
              <w:tabs>
                <w:tab w:val="left" w:pos="607"/>
              </w:tabs>
              <w:suppressAutoHyphens/>
              <w:spacing w:after="0" w:line="240" w:lineRule="auto"/>
              <w:ind w:left="313"/>
              <w:contextualSpacing/>
              <w:jc w:val="both"/>
              <w:outlineLvl w:val="7"/>
              <w:rPr>
                <w:rFonts w:ascii="Arial Narrow" w:eastAsia="Times New Roman" w:hAnsi="Arial Narrow" w:cs="Times New Roman"/>
                <w:bCs/>
                <w:spacing w:val="-2"/>
                <w:lang w:val="ru-RU" w:eastAsia="en-GB"/>
              </w:rPr>
            </w:pPr>
            <w:r w:rsidRPr="006F0D4D">
              <w:rPr>
                <w:rFonts w:ascii="Arial Narrow" w:eastAsia="Times New Roman" w:hAnsi="Arial Narrow" w:cs="Times New Roman"/>
                <w:bCs/>
                <w:spacing w:val="-2"/>
                <w:lang w:val="uk-UA" w:eastAsia="en-GB"/>
              </w:rPr>
              <w:t xml:space="preserve">статті витрат, які вже були профінансовані з інших джерел; </w:t>
            </w:r>
          </w:p>
          <w:p w:rsidR="00B06AB1" w:rsidRPr="006F0D4D" w:rsidRDefault="00B06AB1" w:rsidP="001B21CD">
            <w:pPr>
              <w:keepNext/>
              <w:numPr>
                <w:ilvl w:val="0"/>
                <w:numId w:val="30"/>
              </w:numPr>
              <w:tabs>
                <w:tab w:val="left" w:pos="607"/>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мито та податки на імпорт;</w:t>
            </w:r>
          </w:p>
          <w:p w:rsidR="00B06AB1" w:rsidRPr="006F0D4D" w:rsidRDefault="00B06AB1" w:rsidP="001B21CD">
            <w:pPr>
              <w:keepNext/>
              <w:tabs>
                <w:tab w:val="left" w:pos="607"/>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30"/>
              </w:numPr>
              <w:tabs>
                <w:tab w:val="left" w:pos="607"/>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купівля, оренда або лізинг обладнання, або капітальний ремонт приміщень, якщо тільки це не стосується Діяльності;</w:t>
            </w:r>
          </w:p>
          <w:p w:rsidR="00B06AB1" w:rsidRPr="006F0D4D" w:rsidRDefault="00B06AB1" w:rsidP="001B21CD">
            <w:pPr>
              <w:keepNext/>
              <w:tabs>
                <w:tab w:val="left" w:pos="607"/>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30"/>
              </w:numPr>
              <w:tabs>
                <w:tab w:val="left" w:pos="607"/>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штрафи, фінансові санкції та судові витрати;</w:t>
            </w:r>
          </w:p>
          <w:p w:rsidR="00B06AB1" w:rsidRPr="006F0D4D" w:rsidRDefault="00B06AB1" w:rsidP="001B21CD">
            <w:pPr>
              <w:keepNext/>
              <w:tabs>
                <w:tab w:val="left" w:pos="607"/>
              </w:tabs>
              <w:suppressAutoHyphens/>
              <w:spacing w:after="0" w:line="240" w:lineRule="auto"/>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30"/>
              </w:numPr>
              <w:tabs>
                <w:tab w:val="left" w:pos="607"/>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банківські послуги, витрати на гарантійні послуги чи схожі витрати;</w:t>
            </w:r>
          </w:p>
          <w:p w:rsidR="00B06AB1" w:rsidRPr="006F0D4D" w:rsidRDefault="00B06AB1" w:rsidP="001B21CD">
            <w:pPr>
              <w:keepNext/>
              <w:tabs>
                <w:tab w:val="left" w:pos="607"/>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30"/>
              </w:numPr>
              <w:tabs>
                <w:tab w:val="left" w:pos="607"/>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витрати на обмін валюти, втрати від курсової різниці при обміні валют, що стосуються будь-якої складової рахунку в євро, а також будь-які інші витрати виключно фінансового характеру;</w:t>
            </w:r>
          </w:p>
          <w:p w:rsidR="00B06AB1" w:rsidRPr="006F0D4D" w:rsidRDefault="00B06AB1" w:rsidP="001B21CD">
            <w:pPr>
              <w:keepNext/>
              <w:numPr>
                <w:ilvl w:val="0"/>
                <w:numId w:val="30"/>
              </w:numPr>
              <w:tabs>
                <w:tab w:val="left" w:pos="607"/>
              </w:tabs>
              <w:suppressAutoHyphens/>
              <w:spacing w:after="0" w:line="240" w:lineRule="auto"/>
              <w:ind w:left="313"/>
              <w:contextualSpacing/>
              <w:jc w:val="both"/>
              <w:outlineLvl w:val="7"/>
              <w:rPr>
                <w:rFonts w:ascii="Arial Narrow" w:eastAsia="Times New Roman" w:hAnsi="Arial Narrow" w:cs="Times New Roman"/>
                <w:lang w:val="uk-UA" w:eastAsia="en-GB"/>
              </w:rPr>
            </w:pPr>
            <w:r w:rsidRPr="006F0D4D">
              <w:rPr>
                <w:rFonts w:ascii="Arial Narrow" w:eastAsia="Times New Roman" w:hAnsi="Arial Narrow" w:cs="Times New Roman"/>
                <w:lang w:val="uk-UA" w:eastAsia="en-GB"/>
              </w:rPr>
              <w:t>витрати, понесені поза межами періоду впровадження, що визначений в пункті 3 Статті 1 цієї Угоди;</w:t>
            </w:r>
          </w:p>
          <w:p w:rsidR="00B06AB1" w:rsidRPr="006F0D4D" w:rsidRDefault="00B06AB1" w:rsidP="001B21CD">
            <w:pPr>
              <w:keepNext/>
              <w:tabs>
                <w:tab w:val="left" w:pos="607"/>
              </w:tabs>
              <w:suppressAutoHyphens/>
              <w:spacing w:after="0" w:line="240" w:lineRule="auto"/>
              <w:ind w:left="313"/>
              <w:contextualSpacing/>
              <w:jc w:val="both"/>
              <w:outlineLvl w:val="7"/>
              <w:rPr>
                <w:rFonts w:ascii="Arial Narrow" w:eastAsia="Times New Roman" w:hAnsi="Arial Narrow" w:cs="Times New Roman"/>
                <w:lang w:val="uk-UA" w:eastAsia="en-GB"/>
              </w:rPr>
            </w:pPr>
          </w:p>
          <w:p w:rsidR="00B06AB1" w:rsidRPr="006F0D4D" w:rsidRDefault="00B06AB1" w:rsidP="001B21CD">
            <w:pPr>
              <w:keepNext/>
              <w:numPr>
                <w:ilvl w:val="0"/>
                <w:numId w:val="30"/>
              </w:numPr>
              <w:tabs>
                <w:tab w:val="left" w:pos="607"/>
              </w:tabs>
              <w:suppressAutoHyphens/>
              <w:spacing w:after="0" w:line="240" w:lineRule="auto"/>
              <w:ind w:left="313"/>
              <w:contextualSpacing/>
              <w:jc w:val="both"/>
              <w:outlineLvl w:val="7"/>
              <w:rPr>
                <w:rFonts w:ascii="Arial Narrow" w:eastAsia="Times New Roman" w:hAnsi="Arial Narrow" w:cs="Times New Roman"/>
                <w:lang w:val="uk-UA" w:eastAsia="en-GB"/>
              </w:rPr>
            </w:pPr>
            <w:r w:rsidRPr="006F0D4D">
              <w:rPr>
                <w:rFonts w:ascii="Arial Narrow" w:eastAsia="Times New Roman" w:hAnsi="Arial Narrow" w:cs="Times New Roman"/>
                <w:lang w:val="uk-UA" w:eastAsia="en-GB"/>
              </w:rPr>
              <w:t>витрати, понесені протягом призупинення дії Угоди, за винятком тих, які розглядаються Радою Європи як абсолютно необхідні задля збереження умов впровадження Діяльності;</w:t>
            </w:r>
          </w:p>
          <w:p w:rsidR="00B06AB1" w:rsidRPr="006F0D4D" w:rsidRDefault="00B06AB1" w:rsidP="001B21CD">
            <w:pPr>
              <w:keepNext/>
              <w:tabs>
                <w:tab w:val="left" w:pos="607"/>
              </w:tabs>
              <w:suppressAutoHyphens/>
              <w:spacing w:after="0" w:line="240" w:lineRule="auto"/>
              <w:contextualSpacing/>
              <w:jc w:val="both"/>
              <w:outlineLvl w:val="7"/>
              <w:rPr>
                <w:rFonts w:ascii="Arial Narrow" w:eastAsia="Times New Roman" w:hAnsi="Arial Narrow" w:cs="Times New Roman"/>
                <w:lang w:val="uk-UA" w:eastAsia="en-GB"/>
              </w:rPr>
            </w:pPr>
          </w:p>
          <w:p w:rsidR="00B06AB1" w:rsidRPr="006F0D4D" w:rsidRDefault="00B06AB1" w:rsidP="001B21CD">
            <w:pPr>
              <w:keepNext/>
              <w:numPr>
                <w:ilvl w:val="0"/>
                <w:numId w:val="30"/>
              </w:numPr>
              <w:tabs>
                <w:tab w:val="left" w:pos="607"/>
              </w:tabs>
              <w:suppressAutoHyphens/>
              <w:spacing w:after="0" w:line="240" w:lineRule="auto"/>
              <w:ind w:left="313"/>
              <w:contextualSpacing/>
              <w:jc w:val="both"/>
              <w:outlineLvl w:val="7"/>
              <w:rPr>
                <w:rFonts w:ascii="Arial Narrow" w:eastAsia="Times New Roman" w:hAnsi="Arial Narrow" w:cs="Times New Roman"/>
                <w:lang w:val="uk-UA" w:eastAsia="en-GB"/>
              </w:rPr>
            </w:pPr>
            <w:r w:rsidRPr="006F0D4D">
              <w:rPr>
                <w:rFonts w:ascii="Arial Narrow" w:eastAsia="Times New Roman" w:hAnsi="Arial Narrow" w:cs="Times New Roman"/>
                <w:bCs/>
                <w:spacing w:val="-2"/>
                <w:lang w:val="uk-UA" w:eastAsia="en-GB"/>
              </w:rPr>
              <w:t>статті витрат, які вже були профінансовані в рамках іншої співпраці.</w:t>
            </w:r>
          </w:p>
          <w:p w:rsidR="00B06AB1" w:rsidRPr="006F0D4D" w:rsidRDefault="00B06AB1" w:rsidP="001B21CD">
            <w:pPr>
              <w:keepNext/>
              <w:tabs>
                <w:tab w:val="left" w:pos="607"/>
              </w:tabs>
              <w:suppressAutoHyphens/>
              <w:spacing w:after="0" w:line="240" w:lineRule="auto"/>
              <w:ind w:left="313"/>
              <w:contextualSpacing/>
              <w:jc w:val="both"/>
              <w:outlineLvl w:val="7"/>
              <w:rPr>
                <w:rFonts w:ascii="Arial Narrow" w:eastAsia="Times New Roman" w:hAnsi="Arial Narrow" w:cs="Times New Roman"/>
                <w:lang w:val="uk-UA" w:eastAsia="en-GB"/>
              </w:rPr>
            </w:pPr>
          </w:p>
        </w:tc>
      </w:tr>
      <w:tr w:rsidR="00B06AB1" w:rsidRPr="003D7508" w:rsidTr="00625858">
        <w:tc>
          <w:tcPr>
            <w:tcW w:w="10207" w:type="dxa"/>
          </w:tcPr>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p>
          <w:p w:rsidR="00B06AB1" w:rsidRPr="006F0D4D" w:rsidRDefault="00B06AB1" w:rsidP="001B21CD">
            <w:pPr>
              <w:jc w:val="center"/>
              <w:rPr>
                <w:rFonts w:ascii="Arial Narrow" w:eastAsia="Times New Roman" w:hAnsi="Arial Narrow" w:cs="Times New Roman"/>
                <w:b/>
                <w:lang w:val="uk-UA"/>
              </w:rPr>
            </w:pPr>
            <w:r w:rsidRPr="006F0D4D">
              <w:rPr>
                <w:rFonts w:ascii="Arial Narrow" w:eastAsia="Times New Roman" w:hAnsi="Arial Narrow" w:cs="Times New Roman"/>
                <w:b/>
                <w:lang w:val="uk-UA"/>
              </w:rPr>
              <w:t>СТАТТЯ 13 - РОЗРАХУНКИ ТА ТЕХНІЧНІ І ФІНАНСОВІ ПЕРЕВІРКИ</w:t>
            </w:r>
          </w:p>
        </w:tc>
      </w:tr>
      <w:tr w:rsidR="00B06AB1" w:rsidRPr="006F0D4D" w:rsidTr="00625858">
        <w:tc>
          <w:tcPr>
            <w:tcW w:w="10207" w:type="dxa"/>
          </w:tcPr>
          <w:p w:rsidR="00B06AB1" w:rsidRPr="006F0D4D" w:rsidRDefault="00B06AB1" w:rsidP="001B21CD">
            <w:pPr>
              <w:keepNext/>
              <w:numPr>
                <w:ilvl w:val="0"/>
                <w:numId w:val="31"/>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Грантоотримувач повинен вести точні і систематичні записи й звіти щодо реалізації Діяльності. Окремі розрахунки повинні зберігатись по кожній Діяльності і деталізувати всі надходження і платежі.</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31"/>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Правила та положення щодо бухгалтерського обліку Грантоотримувача застосовуються в тому розумінні, що ці положення і правила відповідають національним чи міжнародним стандартам. У всіх інших випадках Грантоотримувач повинен використовувати спеціальну систему подвійного запису у бухгалтерському обліку в рамках або як доповнення до власних розрахунків Грантоотримувача. Ця спеціальна система повинна дотримуватися процедур, що передбачаються  професійною практикою, та забезпечити точні дані про відсотки, що нараховуються на кошти, надані Радою Європи.</w:t>
            </w:r>
          </w:p>
          <w:p w:rsidR="00B06AB1" w:rsidRPr="006F0D4D" w:rsidRDefault="00B06AB1" w:rsidP="001B21CD">
            <w:pPr>
              <w:spacing w:after="0" w:line="240" w:lineRule="auto"/>
              <w:ind w:left="720"/>
              <w:contextualSpacing/>
              <w:rPr>
                <w:rFonts w:ascii="Arial Narrow" w:eastAsia="Times New Roman" w:hAnsi="Arial Narrow" w:cs="Times New Roman"/>
                <w:bCs/>
                <w:spacing w:val="-2"/>
                <w:highlight w:val="lightGray"/>
                <w:lang w:val="uk-UA" w:eastAsia="en-GB"/>
              </w:rPr>
            </w:pPr>
          </w:p>
          <w:p w:rsidR="00B06AB1" w:rsidRPr="006F0D4D" w:rsidRDefault="00B06AB1" w:rsidP="001B21CD">
            <w:pPr>
              <w:keepNext/>
              <w:numPr>
                <w:ilvl w:val="0"/>
                <w:numId w:val="31"/>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Грантоотримувач повинен мати в наявності систему фінансового контролю, яка дозволяє здійснювати розподіл обов'язків, засвідчувати авторизацію угод, використовувати та утримувати придбані замовлення, сповіщення про отримання товару, встановлювати ціни і контракти.</w:t>
            </w:r>
          </w:p>
          <w:p w:rsidR="00B06AB1" w:rsidRPr="006F0D4D" w:rsidRDefault="00B06AB1" w:rsidP="001B21CD">
            <w:pPr>
              <w:spacing w:after="0" w:line="240" w:lineRule="auto"/>
              <w:ind w:left="720"/>
              <w:contextualSpacing/>
              <w:rPr>
                <w:rFonts w:ascii="Arial Narrow" w:eastAsia="Times New Roman" w:hAnsi="Arial Narrow" w:cs="Times New Roman"/>
                <w:bCs/>
                <w:spacing w:val="-2"/>
                <w:highlight w:val="lightGray"/>
                <w:lang w:val="uk-UA" w:eastAsia="en-GB"/>
              </w:rPr>
            </w:pPr>
          </w:p>
          <w:p w:rsidR="00B06AB1" w:rsidRPr="006F0D4D" w:rsidRDefault="00B06AB1" w:rsidP="001B21CD">
            <w:pPr>
              <w:keepNext/>
              <w:numPr>
                <w:ilvl w:val="0"/>
                <w:numId w:val="31"/>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Фінансові операції та фінансова звітність підлягають внутрішнім і зовнішнім процедурам моніторингу, викладеним у Фінансових положеннях, правилах і керівних принципах Грантоотримувача. Копія фінансового висновку аудиторів повинна бути представлена Грантоотримувачем Раді Європи.</w:t>
            </w:r>
          </w:p>
          <w:p w:rsidR="00B06AB1" w:rsidRPr="006F0D4D" w:rsidRDefault="00B06AB1" w:rsidP="001B21CD">
            <w:pPr>
              <w:spacing w:after="0" w:line="240" w:lineRule="auto"/>
              <w:ind w:left="720"/>
              <w:contextualSpacing/>
              <w:rPr>
                <w:rFonts w:ascii="Arial Narrow" w:eastAsia="Times New Roman" w:hAnsi="Arial Narrow" w:cs="Times New Roman"/>
                <w:bCs/>
                <w:spacing w:val="-2"/>
                <w:highlight w:val="lightGray"/>
                <w:lang w:val="uk-UA" w:eastAsia="en-GB"/>
              </w:rPr>
            </w:pPr>
          </w:p>
          <w:p w:rsidR="00B06AB1" w:rsidRPr="006F0D4D" w:rsidRDefault="00B06AB1" w:rsidP="001B21CD">
            <w:pPr>
              <w:keepNext/>
              <w:numPr>
                <w:ilvl w:val="0"/>
                <w:numId w:val="31"/>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 xml:space="preserve">Грантоотримувач зобов'язаний протягом щонайменше десяти років з дня передачі описової та фінальної фінансової звітності відповідно до Статті 2 </w:t>
            </w:r>
            <w:r w:rsidRPr="006F0D4D">
              <w:rPr>
                <w:rFonts w:ascii="Arial Narrow" w:eastAsia="Times New Roman" w:hAnsi="Arial Narrow" w:cs="Times New Roman"/>
                <w:bCs/>
                <w:spacing w:val="-2"/>
                <w:lang w:eastAsia="en-GB"/>
              </w:rPr>
              <w:t>d</w:t>
            </w:r>
            <w:r w:rsidRPr="006F0D4D">
              <w:rPr>
                <w:rFonts w:ascii="Arial Narrow" w:eastAsia="Times New Roman" w:hAnsi="Arial Narrow" w:cs="Times New Roman"/>
                <w:bCs/>
                <w:spacing w:val="-2"/>
                <w:lang w:val="uk-UA" w:eastAsia="en-GB"/>
              </w:rPr>
              <w:t xml:space="preserve">) або </w:t>
            </w:r>
            <w:r w:rsidRPr="006F0D4D">
              <w:rPr>
                <w:rFonts w:ascii="Arial Narrow" w:eastAsia="Times New Roman" w:hAnsi="Arial Narrow" w:cs="Times New Roman"/>
                <w:bCs/>
                <w:spacing w:val="-2"/>
                <w:lang w:eastAsia="en-GB"/>
              </w:rPr>
              <w:t>e</w:t>
            </w:r>
            <w:r w:rsidRPr="006F0D4D">
              <w:rPr>
                <w:rFonts w:ascii="Arial Narrow" w:eastAsia="Times New Roman" w:hAnsi="Arial Narrow" w:cs="Times New Roman"/>
                <w:bCs/>
                <w:spacing w:val="-2"/>
                <w:lang w:val="uk-UA" w:eastAsia="en-GB"/>
              </w:rPr>
              <w:t>) цієї Угоди:</w:t>
            </w:r>
          </w:p>
          <w:p w:rsidR="00B06AB1" w:rsidRPr="006F0D4D" w:rsidRDefault="00B06AB1" w:rsidP="001B21CD">
            <w:pPr>
              <w:keepNext/>
              <w:suppressAutoHyphens/>
              <w:spacing w:after="0" w:line="240" w:lineRule="auto"/>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32"/>
              </w:numPr>
              <w:tabs>
                <w:tab w:val="left" w:pos="596"/>
              </w:tabs>
              <w:suppressAutoHyphens/>
              <w:spacing w:after="0" w:line="240" w:lineRule="auto"/>
              <w:ind w:left="690"/>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зберігати бухгалтерські документи, що стосуються профінансованих заходів; і</w:t>
            </w:r>
          </w:p>
          <w:p w:rsidR="00B06AB1" w:rsidRPr="006F0D4D" w:rsidRDefault="00B06AB1" w:rsidP="001B21CD">
            <w:pPr>
              <w:keepNext/>
              <w:tabs>
                <w:tab w:val="left" w:pos="596"/>
              </w:tabs>
              <w:suppressAutoHyphens/>
              <w:spacing w:after="0" w:line="240" w:lineRule="auto"/>
              <w:ind w:left="690"/>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32"/>
              </w:numPr>
              <w:tabs>
                <w:tab w:val="left" w:pos="596"/>
              </w:tabs>
              <w:suppressAutoHyphens/>
              <w:spacing w:after="0" w:line="240" w:lineRule="auto"/>
              <w:ind w:left="600" w:hanging="270"/>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на прохання Ради Європи зробити доступною всю необхідну фінансову інформацію, у тому числі виписок за рахунками, що стосуються Діяльності, які зберігаються Грантоотримувачем, його партнерами або підрядниками.</w:t>
            </w:r>
          </w:p>
          <w:p w:rsidR="00B06AB1" w:rsidRPr="006F0D4D" w:rsidRDefault="00B06AB1" w:rsidP="001B21CD">
            <w:pPr>
              <w:keepNext/>
              <w:suppressAutoHyphens/>
              <w:spacing w:after="0" w:line="240" w:lineRule="auto"/>
              <w:jc w:val="both"/>
              <w:outlineLvl w:val="7"/>
              <w:rPr>
                <w:rFonts w:ascii="Arial Narrow" w:eastAsia="Times New Roman" w:hAnsi="Arial Narrow" w:cs="Times New Roman"/>
                <w:bCs/>
                <w:spacing w:val="-2"/>
                <w:highlight w:val="lightGray"/>
                <w:lang w:val="uk-UA"/>
              </w:rPr>
            </w:pPr>
          </w:p>
          <w:p w:rsidR="00B06AB1" w:rsidRPr="006F0D4D" w:rsidRDefault="00B06AB1" w:rsidP="001B21CD">
            <w:pPr>
              <w:keepNext/>
              <w:numPr>
                <w:ilvl w:val="0"/>
                <w:numId w:val="31"/>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Рада Європи та її зовнішні аудитори можуть проводити перевірки (у тому числі на місці), пов'язані з Діяльністю, який фінансується згідно з цією Угодою.</w:t>
            </w:r>
          </w:p>
        </w:tc>
      </w:tr>
      <w:tr w:rsidR="00B06AB1" w:rsidRPr="003D7508" w:rsidTr="00625858">
        <w:tc>
          <w:tcPr>
            <w:tcW w:w="10207" w:type="dxa"/>
          </w:tcPr>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p>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r w:rsidRPr="006F0D4D">
              <w:rPr>
                <w:rFonts w:ascii="Arial Narrow" w:eastAsia="Times New Roman" w:hAnsi="Arial Narrow" w:cs="Times New Roman"/>
                <w:b/>
                <w:bCs/>
                <w:spacing w:val="-2"/>
                <w:lang w:val="uk-UA"/>
              </w:rPr>
              <w:t>СТАТТЯ 14 – ОСТАТОЧНА СУМА ФІНАНСУВАННЯ РАДОЮ ЄВРОПИ</w:t>
            </w:r>
          </w:p>
        </w:tc>
      </w:tr>
      <w:tr w:rsidR="00B06AB1" w:rsidRPr="003D7508" w:rsidTr="00625858">
        <w:tc>
          <w:tcPr>
            <w:tcW w:w="10207" w:type="dxa"/>
          </w:tcPr>
          <w:p w:rsidR="00B06AB1" w:rsidRPr="006F0D4D" w:rsidRDefault="00B06AB1" w:rsidP="001B21CD">
            <w:pPr>
              <w:keepNext/>
              <w:numPr>
                <w:ilvl w:val="0"/>
                <w:numId w:val="33"/>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 xml:space="preserve">Загальна сума, виплачена Грантоотримувачу Радою Європи, не може перевищувати максимального розміру, встановленого відповідно до Статті 1.1 цієї Угоди, навіть якщо загальні виплати перевищили загальний пропонований бюджет, наведений у Додатку </w:t>
            </w:r>
            <w:r w:rsidRPr="006F0D4D">
              <w:rPr>
                <w:rFonts w:ascii="Arial Narrow" w:eastAsia="Times New Roman" w:hAnsi="Arial Narrow" w:cs="Times New Roman"/>
                <w:bCs/>
                <w:spacing w:val="-2"/>
                <w:lang w:eastAsia="en-GB"/>
              </w:rPr>
              <w:t>I</w:t>
            </w:r>
            <w:r w:rsidRPr="006F0D4D">
              <w:rPr>
                <w:rFonts w:ascii="Arial Narrow" w:eastAsia="Times New Roman" w:hAnsi="Arial Narrow" w:cs="Times New Roman"/>
                <w:bCs/>
                <w:spacing w:val="-2"/>
                <w:lang w:val="uk-UA" w:eastAsia="en-GB"/>
              </w:rPr>
              <w:t>I.</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33"/>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lastRenderedPageBreak/>
              <w:t xml:space="preserve">Грантоотримувач визнає, що фінансування від Ради Європи буде обмежено сумою фактично понесених витрат та платежів щодо Діяльності, які відображені у загальному пропонованому бюджеті, що міститься у Додатку </w:t>
            </w:r>
            <w:r w:rsidRPr="006F0D4D">
              <w:rPr>
                <w:rFonts w:ascii="Arial Narrow" w:eastAsia="Times New Roman" w:hAnsi="Arial Narrow" w:cs="Times New Roman"/>
                <w:bCs/>
                <w:spacing w:val="-2"/>
                <w:lang w:eastAsia="en-GB"/>
              </w:rPr>
              <w:t>I</w:t>
            </w:r>
            <w:r w:rsidRPr="006F0D4D">
              <w:rPr>
                <w:rFonts w:ascii="Arial Narrow" w:eastAsia="Times New Roman" w:hAnsi="Arial Narrow" w:cs="Times New Roman"/>
                <w:bCs/>
                <w:spacing w:val="-2"/>
                <w:lang w:val="uk-UA" w:eastAsia="en-GB"/>
              </w:rPr>
              <w:t>І,  і що він не може ні за яких обставин призвести до профіциту Грантоотримувача. Зобов’язання Ради  Європи надати фінансування буде застосовуватися тільки до витрат, які кваліфіковані як допустимі витрати.</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33"/>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У випадках, коли Діяльність тимчасово призупинена чи не завершена протягом періоду реалізації цієї Угоди, кошти, які залишаються невитраченими після оплати всіх зобов'язань, що виникли в цей період, в тому числі нараховані відсотки, будуть повернуті  Раді Європи.</w:t>
            </w:r>
          </w:p>
          <w:p w:rsidR="00B06AB1" w:rsidRPr="006F0D4D" w:rsidRDefault="00B06AB1" w:rsidP="001B21CD">
            <w:pPr>
              <w:spacing w:after="0" w:line="240" w:lineRule="auto"/>
              <w:ind w:left="720"/>
              <w:contextualSpacing/>
              <w:rPr>
                <w:rFonts w:ascii="Arial Narrow" w:eastAsia="Times New Roman" w:hAnsi="Arial Narrow" w:cs="Times New Roman"/>
                <w:bCs/>
                <w:spacing w:val="-2"/>
                <w:highlight w:val="lightGray"/>
                <w:lang w:val="uk-UA" w:eastAsia="en-GB"/>
              </w:rPr>
            </w:pPr>
          </w:p>
          <w:p w:rsidR="00B06AB1" w:rsidRPr="006F0D4D" w:rsidRDefault="00B06AB1" w:rsidP="001B21CD">
            <w:pPr>
              <w:keepNext/>
              <w:numPr>
                <w:ilvl w:val="0"/>
                <w:numId w:val="33"/>
              </w:numPr>
              <w:suppressAutoHyphens/>
              <w:spacing w:after="0" w:line="240" w:lineRule="auto"/>
              <w:ind w:left="313" w:hanging="266"/>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Якщо Діяльність не буде реалізована взагалі або не буде виконуватись належним чином, в повному обсязі або відповідно до визначеного терміну, Рада Європи, зберігаючи за собою право припинити дію цієї Угоди відповідно до Статті 17, після надання можливості Грантоотримувачу подати свої пояснення, може зменшити суму виділених коштів pro rata (пропорційно), враховуючи ту частину Діяльності, яка не була виконана згідно умов, викладених у цій Угоді. У випадку, якщо фінальна сума буде меншою, ніж загальна сума першого та будь-яких подальших платежів, здійснених на момент ухвалення рішення про зменшення суми, Рада Європи матиме право на повернення різниці у розумний строк.</w:t>
            </w:r>
          </w:p>
          <w:p w:rsidR="00B06AB1" w:rsidRPr="006F0D4D" w:rsidRDefault="00B06AB1" w:rsidP="001B21CD">
            <w:pPr>
              <w:keepNext/>
              <w:suppressAutoHyphens/>
              <w:spacing w:after="0" w:line="240" w:lineRule="auto"/>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33"/>
              </w:numPr>
              <w:suppressAutoHyphens/>
              <w:spacing w:after="0" w:line="240" w:lineRule="auto"/>
              <w:ind w:left="313" w:hanging="266"/>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У випадку, коли кошти, виплачені згідно з цією Угодою, мають бути повернуті Раді Європи внаслідок зменшення суми гранту або припинення дії Угоди, будь-який спір має бути передано на арбітражний розгляд відповідно до Статті 21, а будь-які витрати, пов’язані з поверненням, будуть понесені Грантоотримувачем.</w:t>
            </w:r>
          </w:p>
          <w:p w:rsidR="00B06AB1" w:rsidRPr="006F0D4D" w:rsidRDefault="00B06AB1" w:rsidP="001B21CD">
            <w:pPr>
              <w:keepNext/>
              <w:suppressAutoHyphens/>
              <w:spacing w:after="0" w:line="240" w:lineRule="auto"/>
              <w:contextualSpacing/>
              <w:jc w:val="both"/>
              <w:outlineLvl w:val="7"/>
              <w:rPr>
                <w:rFonts w:ascii="Arial Narrow" w:eastAsia="Times New Roman" w:hAnsi="Arial Narrow" w:cs="Times New Roman"/>
                <w:bCs/>
                <w:spacing w:val="-2"/>
                <w:lang w:val="uk-UA" w:eastAsia="en-GB"/>
              </w:rPr>
            </w:pPr>
          </w:p>
        </w:tc>
      </w:tr>
      <w:tr w:rsidR="00B06AB1" w:rsidRPr="006F0D4D" w:rsidTr="00625858">
        <w:tc>
          <w:tcPr>
            <w:tcW w:w="10207" w:type="dxa"/>
          </w:tcPr>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p>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r w:rsidRPr="006F0D4D">
              <w:rPr>
                <w:rFonts w:ascii="Arial Narrow" w:eastAsia="Times New Roman" w:hAnsi="Arial Narrow" w:cs="Times New Roman"/>
                <w:b/>
                <w:bCs/>
                <w:spacing w:val="-2"/>
                <w:lang w:val="uk-UA"/>
              </w:rPr>
              <w:t>СТАТТЯ 15 – ПРИЗУПИНЕННЯ ДІЇ УГОДИ</w:t>
            </w:r>
          </w:p>
        </w:tc>
      </w:tr>
      <w:tr w:rsidR="00B06AB1" w:rsidRPr="003D7508" w:rsidTr="00625858">
        <w:tc>
          <w:tcPr>
            <w:tcW w:w="10207" w:type="dxa"/>
          </w:tcPr>
          <w:p w:rsidR="00B06AB1" w:rsidRPr="006F0D4D" w:rsidRDefault="00B06AB1" w:rsidP="001B21CD">
            <w:pPr>
              <w:keepNext/>
              <w:suppressAutoHyphens/>
              <w:spacing w:after="0" w:line="240" w:lineRule="auto"/>
              <w:jc w:val="both"/>
              <w:outlineLvl w:val="7"/>
              <w:rPr>
                <w:rFonts w:ascii="Arial Narrow" w:eastAsia="Times New Roman" w:hAnsi="Arial Narrow" w:cs="Times New Roman"/>
                <w:bCs/>
                <w:spacing w:val="-2"/>
                <w:lang w:val="uk-UA"/>
              </w:rPr>
            </w:pPr>
          </w:p>
          <w:p w:rsidR="00B06AB1" w:rsidRPr="006F0D4D" w:rsidRDefault="00B06AB1" w:rsidP="001B21CD">
            <w:pPr>
              <w:keepNext/>
              <w:suppressAutoHyphens/>
              <w:spacing w:after="0" w:line="240" w:lineRule="auto"/>
              <w:jc w:val="both"/>
              <w:outlineLvl w:val="7"/>
              <w:rPr>
                <w:rFonts w:ascii="Arial Narrow" w:eastAsia="Times New Roman" w:hAnsi="Arial Narrow" w:cs="Times New Roman"/>
                <w:bCs/>
                <w:spacing w:val="-2"/>
                <w:lang w:val="ru-RU"/>
              </w:rPr>
            </w:pPr>
            <w:r w:rsidRPr="006F0D4D">
              <w:rPr>
                <w:rFonts w:ascii="Arial Narrow" w:eastAsia="Times New Roman" w:hAnsi="Arial Narrow" w:cs="Times New Roman"/>
                <w:bCs/>
                <w:spacing w:val="-2"/>
                <w:lang w:val="uk-UA"/>
              </w:rPr>
              <w:t>Рада Європи може призупинити дію цієї Угоди, якщо цього вимагатимуть надзвичайні обставини. Рада Європи повідомить Грантоотримувача про такий намір призупинити дію Угоди та запропонує Грантоотримувачу надати свої коментарі протягом 10 (десяти) робочих днів.</w:t>
            </w:r>
          </w:p>
          <w:p w:rsidR="00B06AB1" w:rsidRPr="006F0D4D" w:rsidRDefault="00B06AB1" w:rsidP="001B21CD">
            <w:pPr>
              <w:keepNext/>
              <w:suppressAutoHyphens/>
              <w:spacing w:after="0" w:line="240" w:lineRule="auto"/>
              <w:jc w:val="both"/>
              <w:outlineLvl w:val="7"/>
              <w:rPr>
                <w:rFonts w:ascii="Arial Narrow" w:eastAsia="Times New Roman" w:hAnsi="Arial Narrow" w:cs="Times New Roman"/>
                <w:bCs/>
                <w:spacing w:val="-2"/>
                <w:lang w:val="ru-RU"/>
              </w:rPr>
            </w:pPr>
          </w:p>
        </w:tc>
      </w:tr>
      <w:tr w:rsidR="00B06AB1" w:rsidRPr="006F0D4D" w:rsidTr="00625858">
        <w:tc>
          <w:tcPr>
            <w:tcW w:w="10207" w:type="dxa"/>
          </w:tcPr>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p>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r w:rsidRPr="006F0D4D">
              <w:rPr>
                <w:rFonts w:ascii="Arial Narrow" w:eastAsia="Times New Roman" w:hAnsi="Arial Narrow" w:cs="Times New Roman"/>
                <w:b/>
                <w:bCs/>
                <w:spacing w:val="-2"/>
                <w:lang w:val="uk-UA"/>
              </w:rPr>
              <w:t>СТАТТЯ 16 – ВНЕСЕННЯ ЗМІН</w:t>
            </w:r>
          </w:p>
        </w:tc>
      </w:tr>
      <w:tr w:rsidR="00B06AB1" w:rsidRPr="003D7508" w:rsidTr="00625858">
        <w:tc>
          <w:tcPr>
            <w:tcW w:w="10207" w:type="dxa"/>
          </w:tcPr>
          <w:p w:rsidR="00B06AB1" w:rsidRPr="006F0D4D" w:rsidRDefault="00B06AB1" w:rsidP="001B21CD">
            <w:pPr>
              <w:pStyle w:val="ListParagraph"/>
              <w:keepNext/>
              <w:suppressAutoHyphens/>
              <w:spacing w:after="0" w:line="240" w:lineRule="auto"/>
              <w:ind w:left="312"/>
              <w:jc w:val="both"/>
              <w:outlineLvl w:val="7"/>
              <w:rPr>
                <w:rFonts w:ascii="Arial Narrow" w:eastAsia="Times New Roman" w:hAnsi="Arial Narrow" w:cs="Times New Roman"/>
                <w:bCs/>
                <w:spacing w:val="-2"/>
                <w:lang w:val="uk-UA"/>
              </w:rPr>
            </w:pPr>
          </w:p>
          <w:p w:rsidR="00B06AB1" w:rsidRPr="006F0D4D" w:rsidRDefault="00B06AB1" w:rsidP="001B21CD">
            <w:pPr>
              <w:pStyle w:val="ListParagraph"/>
              <w:keepNext/>
              <w:numPr>
                <w:ilvl w:val="0"/>
                <w:numId w:val="40"/>
              </w:numPr>
              <w:suppressAutoHyphens/>
              <w:spacing w:after="0" w:line="240" w:lineRule="auto"/>
              <w:ind w:left="312" w:hanging="284"/>
              <w:jc w:val="both"/>
              <w:outlineLvl w:val="7"/>
              <w:rPr>
                <w:rFonts w:ascii="Arial Narrow" w:eastAsia="Times New Roman" w:hAnsi="Arial Narrow" w:cs="Times New Roman"/>
                <w:bCs/>
                <w:spacing w:val="-2"/>
                <w:lang w:val="uk-UA"/>
              </w:rPr>
            </w:pPr>
            <w:r w:rsidRPr="006F0D4D">
              <w:rPr>
                <w:rFonts w:ascii="Arial Narrow" w:eastAsia="Times New Roman" w:hAnsi="Arial Narrow" w:cs="Times New Roman"/>
                <w:bCs/>
                <w:spacing w:val="-2"/>
                <w:lang w:val="uk-UA"/>
              </w:rPr>
              <w:t>Положення цієї Угоди можуть бути змінені тільки письмовою згодою Сторін, якщо інше не передбачено в Угоді.</w:t>
            </w:r>
          </w:p>
          <w:p w:rsidR="00B06AB1" w:rsidRPr="006F0D4D" w:rsidRDefault="00B06AB1" w:rsidP="001B21CD">
            <w:pPr>
              <w:pStyle w:val="ListParagraph"/>
              <w:keepNext/>
              <w:numPr>
                <w:ilvl w:val="0"/>
                <w:numId w:val="40"/>
              </w:numPr>
              <w:suppressAutoHyphens/>
              <w:spacing w:after="0" w:line="240" w:lineRule="auto"/>
              <w:ind w:left="312" w:hanging="284"/>
              <w:jc w:val="both"/>
              <w:outlineLvl w:val="7"/>
              <w:rPr>
                <w:rFonts w:ascii="Arial Narrow" w:eastAsia="Times New Roman" w:hAnsi="Arial Narrow" w:cs="Times New Roman"/>
                <w:bCs/>
                <w:spacing w:val="-2"/>
                <w:lang w:val="uk-UA"/>
              </w:rPr>
            </w:pPr>
            <w:r w:rsidRPr="006F0D4D">
              <w:rPr>
                <w:rFonts w:ascii="Arial Narrow" w:eastAsia="Times New Roman" w:hAnsi="Arial Narrow" w:cs="Times New Roman"/>
                <w:bCs/>
                <w:spacing w:val="-2"/>
                <w:lang w:val="uk-UA"/>
              </w:rPr>
              <w:t>Відступаючи від положень Статті 16.1, у разі якщо зміни у пропонованому бюджеті не впливають на основну мету Діяльності, а фінансові наслідки обмежуються перерозподілом коштів в рамках однієї статті бюджету, включаючи відміну або додавання певної позиції, або перерозподілом коштів між бюджетними статтями в межах 25% або менше від попередньо передбаченої суми (або зміненої додатком у письмовій формі) щодо кожної бюджетної статті, Грантоотримувач може в односторонньому порядку змінити попередній бюджет та зобов’язаний проінформувати про це Раду Європи в письмовій формі не пізніше подання звіту.</w:t>
            </w:r>
          </w:p>
        </w:tc>
      </w:tr>
      <w:tr w:rsidR="00B06AB1" w:rsidRPr="006F0D4D" w:rsidTr="00625858">
        <w:tc>
          <w:tcPr>
            <w:tcW w:w="10207" w:type="dxa"/>
          </w:tcPr>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p>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r w:rsidRPr="006F0D4D">
              <w:rPr>
                <w:rFonts w:ascii="Arial Narrow" w:eastAsia="Times New Roman" w:hAnsi="Arial Narrow" w:cs="Times New Roman"/>
                <w:b/>
                <w:bCs/>
                <w:spacing w:val="-2"/>
                <w:lang w:val="uk-UA"/>
              </w:rPr>
              <w:t>СТАТТЯ 17 – ПРИПИНЕННЯ ДІЇ УГОДИ</w:t>
            </w:r>
          </w:p>
        </w:tc>
      </w:tr>
      <w:tr w:rsidR="00B06AB1" w:rsidRPr="003D7508" w:rsidTr="00625858">
        <w:tc>
          <w:tcPr>
            <w:tcW w:w="10207" w:type="dxa"/>
          </w:tcPr>
          <w:p w:rsidR="00B06AB1" w:rsidRPr="006F0D4D" w:rsidRDefault="00B06AB1" w:rsidP="001B21CD">
            <w:pPr>
              <w:pStyle w:val="ListParagraph"/>
              <w:keepNext/>
              <w:numPr>
                <w:ilvl w:val="0"/>
                <w:numId w:val="45"/>
              </w:numPr>
              <w:suppressAutoHyphens/>
              <w:spacing w:after="0" w:line="240" w:lineRule="auto"/>
              <w:ind w:left="312" w:hanging="284"/>
              <w:jc w:val="both"/>
              <w:outlineLvl w:val="7"/>
              <w:rPr>
                <w:rFonts w:ascii="Arial Narrow" w:eastAsia="Times New Roman" w:hAnsi="Arial Narrow" w:cs="Times New Roman"/>
                <w:bCs/>
                <w:spacing w:val="-2"/>
                <w:lang w:val="uk-UA"/>
              </w:rPr>
            </w:pPr>
            <w:r w:rsidRPr="006F0D4D">
              <w:rPr>
                <w:rFonts w:ascii="Arial Narrow" w:eastAsia="Times New Roman" w:hAnsi="Arial Narrow" w:cs="Times New Roman"/>
                <w:bCs/>
                <w:spacing w:val="-2"/>
                <w:lang w:val="uk-UA"/>
              </w:rPr>
              <w:t>Рада Європи залишає за собою право припинити дію цієї Угоди і Грантоотримувач зобов'язується негайно після припинення дії Угоди повернути виділені йому кошти:</w:t>
            </w:r>
          </w:p>
          <w:p w:rsidR="00B06AB1" w:rsidRPr="006F0D4D" w:rsidRDefault="00B06AB1" w:rsidP="001B21CD">
            <w:pPr>
              <w:pStyle w:val="ListParagraph"/>
              <w:keepNext/>
              <w:suppressAutoHyphens/>
              <w:spacing w:after="0" w:line="240" w:lineRule="auto"/>
              <w:ind w:left="312"/>
              <w:jc w:val="both"/>
              <w:outlineLvl w:val="7"/>
              <w:rPr>
                <w:rFonts w:ascii="Arial Narrow" w:eastAsia="Times New Roman" w:hAnsi="Arial Narrow" w:cs="Times New Roman"/>
                <w:bCs/>
                <w:spacing w:val="-2"/>
                <w:lang w:val="uk-UA"/>
              </w:rPr>
            </w:pPr>
          </w:p>
          <w:p w:rsidR="00B06AB1" w:rsidRPr="006F0D4D" w:rsidRDefault="00B06AB1" w:rsidP="001B21CD">
            <w:pPr>
              <w:keepNext/>
              <w:numPr>
                <w:ilvl w:val="0"/>
                <w:numId w:val="34"/>
              </w:numPr>
              <w:tabs>
                <w:tab w:val="left" w:pos="544"/>
              </w:tabs>
              <w:suppressAutoHyphens/>
              <w:spacing w:after="0" w:line="240" w:lineRule="auto"/>
              <w:ind w:left="690"/>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якщо Грантоотримувач не використовує фінансування на цілі Діяльності; або</w:t>
            </w:r>
          </w:p>
          <w:p w:rsidR="00B06AB1" w:rsidRPr="006F0D4D" w:rsidRDefault="00B06AB1" w:rsidP="001B21CD">
            <w:pPr>
              <w:keepNext/>
              <w:numPr>
                <w:ilvl w:val="0"/>
                <w:numId w:val="34"/>
              </w:numPr>
              <w:tabs>
                <w:tab w:val="left" w:pos="544"/>
              </w:tabs>
              <w:suppressAutoHyphens/>
              <w:spacing w:after="0" w:line="240" w:lineRule="auto"/>
              <w:ind w:left="690"/>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якщо Грантоотримувач не може пояснити в деталях, як фінансування було використано для реалізації Діяльності; або</w:t>
            </w:r>
          </w:p>
          <w:p w:rsidR="00B06AB1" w:rsidRPr="006F0D4D" w:rsidRDefault="00B06AB1" w:rsidP="001B21CD">
            <w:pPr>
              <w:keepNext/>
              <w:numPr>
                <w:ilvl w:val="0"/>
                <w:numId w:val="34"/>
              </w:numPr>
              <w:tabs>
                <w:tab w:val="left" w:pos="544"/>
              </w:tabs>
              <w:suppressAutoHyphens/>
              <w:spacing w:after="0" w:line="240" w:lineRule="auto"/>
              <w:ind w:left="690"/>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якщо Грантоотримувач не надає необхідні документи до належної дати; або</w:t>
            </w:r>
          </w:p>
          <w:p w:rsidR="00B06AB1" w:rsidRPr="006F0D4D" w:rsidRDefault="00B06AB1" w:rsidP="001B21CD">
            <w:pPr>
              <w:keepNext/>
              <w:numPr>
                <w:ilvl w:val="0"/>
                <w:numId w:val="34"/>
              </w:numPr>
              <w:tabs>
                <w:tab w:val="left" w:pos="544"/>
              </w:tabs>
              <w:suppressAutoHyphens/>
              <w:spacing w:after="0" w:line="240" w:lineRule="auto"/>
              <w:ind w:left="690"/>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якщо Грантоотримувач не виконує будь-яку з умов цієї Угоди;</w:t>
            </w:r>
          </w:p>
          <w:p w:rsidR="00B06AB1" w:rsidRPr="006F0D4D" w:rsidRDefault="00B06AB1" w:rsidP="001B21CD">
            <w:pPr>
              <w:keepNext/>
              <w:numPr>
                <w:ilvl w:val="0"/>
                <w:numId w:val="34"/>
              </w:numPr>
              <w:tabs>
                <w:tab w:val="left" w:pos="544"/>
              </w:tabs>
              <w:suppressAutoHyphens/>
              <w:spacing w:after="0" w:line="240" w:lineRule="auto"/>
              <w:ind w:left="690"/>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у випадках, передбачених Статтею 6.2.</w:t>
            </w:r>
          </w:p>
          <w:p w:rsidR="00B06AB1" w:rsidRPr="006F0D4D" w:rsidRDefault="00B06AB1" w:rsidP="001B21CD">
            <w:pPr>
              <w:keepNext/>
              <w:tabs>
                <w:tab w:val="left" w:pos="544"/>
              </w:tabs>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pStyle w:val="ListParagraph"/>
              <w:numPr>
                <w:ilvl w:val="0"/>
                <w:numId w:val="45"/>
              </w:numPr>
              <w:spacing w:line="240" w:lineRule="auto"/>
              <w:ind w:left="312" w:hanging="284"/>
              <w:jc w:val="both"/>
              <w:rPr>
                <w:rFonts w:ascii="Arial Narrow" w:eastAsia="Times New Roman" w:hAnsi="Arial Narrow" w:cs="Times New Roman"/>
                <w:lang w:val="uk-UA" w:eastAsia="en-GB"/>
              </w:rPr>
            </w:pPr>
            <w:r w:rsidRPr="006F0D4D">
              <w:rPr>
                <w:rFonts w:ascii="Arial Narrow" w:eastAsia="Times New Roman" w:hAnsi="Arial Narrow" w:cs="Times New Roman"/>
                <w:lang w:val="uk-UA" w:eastAsia="en-GB"/>
              </w:rPr>
              <w:t>Рада Європи повідомить Грантоотримувача про намір припинити дію Угоди та запропонує Грантоотримувачу надати свої коментарі протягом 10 (десяти) робочих днів.</w:t>
            </w:r>
          </w:p>
        </w:tc>
      </w:tr>
      <w:tr w:rsidR="00B06AB1" w:rsidRPr="006F0D4D" w:rsidTr="00625858">
        <w:tc>
          <w:tcPr>
            <w:tcW w:w="10207" w:type="dxa"/>
          </w:tcPr>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p>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r w:rsidRPr="006F0D4D">
              <w:rPr>
                <w:rFonts w:ascii="Arial Narrow" w:eastAsia="Times New Roman" w:hAnsi="Arial Narrow" w:cs="Times New Roman"/>
                <w:b/>
                <w:bCs/>
                <w:spacing w:val="-2"/>
                <w:lang w:val="uk-UA"/>
              </w:rPr>
              <w:t>СТАТТЯ 18 – ФОРС-МАЖОРНІ ОБСТАВИНИ</w:t>
            </w:r>
          </w:p>
        </w:tc>
      </w:tr>
      <w:tr w:rsidR="00B06AB1" w:rsidRPr="003D7508" w:rsidTr="00625858">
        <w:tc>
          <w:tcPr>
            <w:tcW w:w="10207" w:type="dxa"/>
          </w:tcPr>
          <w:p w:rsidR="00B06AB1" w:rsidRPr="006F0D4D" w:rsidRDefault="00B06AB1" w:rsidP="001B21CD">
            <w:pPr>
              <w:keepNext/>
              <w:numPr>
                <w:ilvl w:val="0"/>
                <w:numId w:val="35"/>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У разі виникнення форс-мажорних обставин, сторони звільняються від своїх зобов'язань за цією Угодою без будь-якої фінансової компенсації. До форс-мажорних обставин належать: значні погодні проблеми, землетрус, страйки, що впливають на авіасполучення, атаки, стан війни, ризики для здоров'я або події, які вимагатимуть від Ради Європи відмінити фінансування.</w:t>
            </w:r>
          </w:p>
          <w:p w:rsidR="00B06AB1" w:rsidRPr="006F0D4D" w:rsidRDefault="00B06AB1" w:rsidP="001B21CD">
            <w:pPr>
              <w:keepNext/>
              <w:suppressAutoHyphens/>
              <w:spacing w:after="0" w:line="240" w:lineRule="auto"/>
              <w:ind w:left="313"/>
              <w:contextualSpacing/>
              <w:jc w:val="both"/>
              <w:outlineLvl w:val="7"/>
              <w:rPr>
                <w:rFonts w:ascii="Arial Narrow" w:eastAsia="Times New Roman" w:hAnsi="Arial Narrow" w:cs="Times New Roman"/>
                <w:bCs/>
                <w:spacing w:val="-2"/>
                <w:lang w:val="uk-UA" w:eastAsia="en-GB"/>
              </w:rPr>
            </w:pPr>
          </w:p>
          <w:p w:rsidR="00B06AB1" w:rsidRPr="006F0D4D" w:rsidRDefault="00B06AB1" w:rsidP="001B21CD">
            <w:pPr>
              <w:keepNext/>
              <w:numPr>
                <w:ilvl w:val="0"/>
                <w:numId w:val="35"/>
              </w:numPr>
              <w:suppressAutoHyphens/>
              <w:spacing w:after="0" w:line="240" w:lineRule="auto"/>
              <w:ind w:left="313" w:hanging="284"/>
              <w:contextualSpacing/>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У разі настання таких обставин кожна сторона повинна повідомити про це іншу сторону у письмовій формі протягом 5 днів.</w:t>
            </w:r>
          </w:p>
        </w:tc>
      </w:tr>
      <w:tr w:rsidR="00B06AB1" w:rsidRPr="003D7508" w:rsidTr="00625858">
        <w:tc>
          <w:tcPr>
            <w:tcW w:w="10207" w:type="dxa"/>
          </w:tcPr>
          <w:p w:rsidR="00B06AB1" w:rsidRPr="006F0D4D" w:rsidRDefault="00B06AB1" w:rsidP="001B21CD">
            <w:pPr>
              <w:keepNext/>
              <w:suppressAutoHyphens/>
              <w:spacing w:after="0" w:line="240" w:lineRule="auto"/>
              <w:ind w:left="313"/>
              <w:contextualSpacing/>
              <w:jc w:val="center"/>
              <w:outlineLvl w:val="7"/>
              <w:rPr>
                <w:rFonts w:ascii="Arial Narrow" w:eastAsia="Times New Roman" w:hAnsi="Arial Narrow" w:cs="Times New Roman"/>
                <w:bCs/>
                <w:spacing w:val="-2"/>
                <w:lang w:val="uk-UA" w:eastAsia="en-GB"/>
              </w:rPr>
            </w:pPr>
          </w:p>
          <w:p w:rsidR="00B06AB1" w:rsidRPr="006F0D4D" w:rsidRDefault="00B06AB1" w:rsidP="001B21CD">
            <w:pPr>
              <w:keepNext/>
              <w:suppressAutoHyphens/>
              <w:spacing w:after="0" w:line="240" w:lineRule="auto"/>
              <w:ind w:left="313"/>
              <w:contextualSpacing/>
              <w:jc w:val="center"/>
              <w:outlineLvl w:val="7"/>
              <w:rPr>
                <w:rFonts w:ascii="Arial Narrow" w:eastAsia="Times New Roman" w:hAnsi="Arial Narrow" w:cs="Times New Roman"/>
                <w:b/>
                <w:bCs/>
                <w:spacing w:val="-2"/>
                <w:lang w:val="uk-UA" w:eastAsia="en-GB"/>
              </w:rPr>
            </w:pPr>
            <w:r w:rsidRPr="006F0D4D">
              <w:rPr>
                <w:rFonts w:ascii="Arial Narrow" w:eastAsia="Times New Roman" w:hAnsi="Arial Narrow" w:cs="Times New Roman"/>
                <w:b/>
                <w:bCs/>
                <w:spacing w:val="-2"/>
                <w:lang w:val="uk-UA" w:eastAsia="en-GB"/>
              </w:rPr>
              <w:lastRenderedPageBreak/>
              <w:t>СТАТТЯ 19 – РОЗГОЛОШЕННЯ ІНФОРМАЦІЇ ЩОДО ПОЛОЖЕНЬ УГОДИ</w:t>
            </w:r>
          </w:p>
        </w:tc>
      </w:tr>
      <w:tr w:rsidR="00B06AB1" w:rsidRPr="003D7508" w:rsidTr="00625858">
        <w:tc>
          <w:tcPr>
            <w:tcW w:w="10207" w:type="dxa"/>
          </w:tcPr>
          <w:p w:rsidR="00B06AB1" w:rsidRPr="006F0D4D" w:rsidRDefault="00B06AB1" w:rsidP="001B21CD">
            <w:pPr>
              <w:pStyle w:val="ListParagraph"/>
              <w:keepNext/>
              <w:numPr>
                <w:ilvl w:val="0"/>
                <w:numId w:val="46"/>
              </w:numPr>
              <w:suppressAutoHyphens/>
              <w:spacing w:after="0" w:line="240" w:lineRule="auto"/>
              <w:ind w:left="312" w:hanging="284"/>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lastRenderedPageBreak/>
              <w:t>Грантоотримувач поінформований та надає свою згоду на розголошення всіх відповідних умов Угоди, включаючи реквізити та заявку, для цілей внутрішнього та зовнішнього аудиту, а також для Комітету Міністрів та Парламентської Асамблеї Ради Європи з метою виконання останніми своїх статутних функцій та задля дотримання вимог щодо публікації та прозорості Ради Європи чи її донорів. Грантоотримувач надає свою згоду на опублікування у будь-якій формі та у будь-який спосіб, включно на веб-сторінках Ради Європи чи її донорів, назви Угоди, типу та цілей Угоди, назви та місця розташування Грантоотримувача, а також розміру фінансування згідно з Угодою.</w:t>
            </w:r>
          </w:p>
          <w:p w:rsidR="00B06AB1" w:rsidRPr="006F0D4D" w:rsidRDefault="00B06AB1" w:rsidP="001B21CD">
            <w:pPr>
              <w:pStyle w:val="ListParagraph"/>
              <w:keepNext/>
              <w:suppressAutoHyphens/>
              <w:spacing w:after="0" w:line="240" w:lineRule="auto"/>
              <w:ind w:left="312"/>
              <w:jc w:val="both"/>
              <w:outlineLvl w:val="7"/>
              <w:rPr>
                <w:rFonts w:ascii="Arial Narrow" w:eastAsia="Times New Roman" w:hAnsi="Arial Narrow" w:cs="Times New Roman"/>
                <w:bCs/>
                <w:spacing w:val="-2"/>
                <w:highlight w:val="cyan"/>
                <w:lang w:val="uk-UA" w:eastAsia="en-GB"/>
              </w:rPr>
            </w:pPr>
          </w:p>
          <w:p w:rsidR="00B06AB1" w:rsidRPr="006F0D4D" w:rsidRDefault="00B06AB1" w:rsidP="001B21CD">
            <w:pPr>
              <w:pStyle w:val="ListParagraph"/>
              <w:keepNext/>
              <w:suppressAutoHyphens/>
              <w:spacing w:after="0" w:line="240" w:lineRule="auto"/>
              <w:ind w:left="312"/>
              <w:jc w:val="both"/>
              <w:outlineLvl w:val="7"/>
              <w:rPr>
                <w:rFonts w:ascii="Arial Narrow" w:eastAsia="Times New Roman" w:hAnsi="Arial Narrow" w:cs="Times New Roman"/>
                <w:bCs/>
                <w:spacing w:val="-2"/>
                <w:highlight w:val="cyan"/>
                <w:lang w:val="uk-UA" w:eastAsia="en-GB"/>
              </w:rPr>
            </w:pPr>
          </w:p>
          <w:p w:rsidR="00B06AB1" w:rsidRPr="006F0D4D" w:rsidRDefault="00B06AB1" w:rsidP="001B21CD">
            <w:pPr>
              <w:pStyle w:val="ListParagraph"/>
              <w:keepNext/>
              <w:suppressAutoHyphens/>
              <w:spacing w:after="0" w:line="240" w:lineRule="auto"/>
              <w:ind w:left="312"/>
              <w:jc w:val="both"/>
              <w:outlineLvl w:val="7"/>
              <w:rPr>
                <w:rFonts w:ascii="Arial Narrow" w:eastAsia="Times New Roman" w:hAnsi="Arial Narrow" w:cs="Times New Roman"/>
                <w:bCs/>
                <w:spacing w:val="-2"/>
                <w:highlight w:val="cyan"/>
                <w:lang w:val="uk-UA" w:eastAsia="en-GB"/>
              </w:rPr>
            </w:pPr>
          </w:p>
          <w:p w:rsidR="00B06AB1" w:rsidRPr="006F0D4D" w:rsidRDefault="00B06AB1" w:rsidP="001B21CD">
            <w:pPr>
              <w:pStyle w:val="ListParagraph"/>
              <w:keepNext/>
              <w:numPr>
                <w:ilvl w:val="0"/>
                <w:numId w:val="46"/>
              </w:numPr>
              <w:suppressAutoHyphens/>
              <w:spacing w:after="0" w:line="240" w:lineRule="auto"/>
              <w:ind w:left="312" w:hanging="284"/>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За можливості Рада Європи вживатиме особливих заходів щодо конфіденційності для забезпечення життєво важливих інтересів Грантоотримувача.</w:t>
            </w:r>
          </w:p>
        </w:tc>
      </w:tr>
      <w:tr w:rsidR="00B06AB1" w:rsidRPr="003D7508" w:rsidTr="00625858">
        <w:tc>
          <w:tcPr>
            <w:tcW w:w="10207" w:type="dxa"/>
          </w:tcPr>
          <w:p w:rsidR="00B06AB1" w:rsidRPr="006F0D4D" w:rsidRDefault="00B06AB1" w:rsidP="001B21CD">
            <w:pPr>
              <w:keepNext/>
              <w:suppressAutoHyphens/>
              <w:spacing w:after="0" w:line="240" w:lineRule="auto"/>
              <w:ind w:left="313"/>
              <w:contextualSpacing/>
              <w:jc w:val="center"/>
              <w:outlineLvl w:val="7"/>
              <w:rPr>
                <w:rFonts w:ascii="Arial Narrow" w:eastAsia="Times New Roman" w:hAnsi="Arial Narrow" w:cs="Times New Roman"/>
                <w:b/>
                <w:bCs/>
                <w:spacing w:val="-2"/>
                <w:lang w:val="uk-UA" w:eastAsia="en-GB"/>
              </w:rPr>
            </w:pPr>
          </w:p>
          <w:p w:rsidR="00B06AB1" w:rsidRPr="006F0D4D" w:rsidRDefault="00B06AB1" w:rsidP="001B21CD">
            <w:pPr>
              <w:keepNext/>
              <w:suppressAutoHyphens/>
              <w:spacing w:after="0" w:line="240" w:lineRule="auto"/>
              <w:ind w:left="313"/>
              <w:contextualSpacing/>
              <w:jc w:val="center"/>
              <w:outlineLvl w:val="7"/>
              <w:rPr>
                <w:rFonts w:ascii="Arial Narrow" w:eastAsia="Times New Roman" w:hAnsi="Arial Narrow" w:cs="Times New Roman"/>
                <w:b/>
                <w:bCs/>
                <w:spacing w:val="-2"/>
                <w:lang w:val="uk-UA" w:eastAsia="en-GB"/>
              </w:rPr>
            </w:pPr>
            <w:r w:rsidRPr="006F0D4D">
              <w:rPr>
                <w:rFonts w:ascii="Arial Narrow" w:eastAsia="Times New Roman" w:hAnsi="Arial Narrow" w:cs="Times New Roman"/>
                <w:b/>
                <w:bCs/>
                <w:spacing w:val="-2"/>
                <w:lang w:val="uk-UA" w:eastAsia="en-GB"/>
              </w:rPr>
              <w:t>СТАТТЯ 20 – ТЛУМАЧЕННЯ ТА ПРАВО, ЯКЕ ЗАСТОСОВУЄТЬСЯ</w:t>
            </w:r>
          </w:p>
        </w:tc>
      </w:tr>
      <w:tr w:rsidR="00B06AB1" w:rsidRPr="003D7508" w:rsidTr="00625858">
        <w:tc>
          <w:tcPr>
            <w:tcW w:w="10207" w:type="dxa"/>
          </w:tcPr>
          <w:p w:rsidR="00B06AB1" w:rsidRPr="006F0D4D" w:rsidRDefault="00B06AB1" w:rsidP="001B21CD">
            <w:pPr>
              <w:pStyle w:val="ListParagraph"/>
              <w:keepNext/>
              <w:numPr>
                <w:ilvl w:val="0"/>
                <w:numId w:val="47"/>
              </w:numPr>
              <w:suppressAutoHyphens/>
              <w:spacing w:after="0" w:line="240" w:lineRule="auto"/>
              <w:ind w:left="312" w:hanging="284"/>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Умови цієї Угоди матимуть переважну силу над її Додатками.</w:t>
            </w:r>
          </w:p>
          <w:p w:rsidR="00B06AB1" w:rsidRPr="006F0D4D" w:rsidRDefault="00B06AB1" w:rsidP="001B21CD">
            <w:pPr>
              <w:pStyle w:val="ListParagraph"/>
              <w:keepNext/>
              <w:numPr>
                <w:ilvl w:val="0"/>
                <w:numId w:val="47"/>
              </w:numPr>
              <w:suppressAutoHyphens/>
              <w:spacing w:after="0" w:line="240" w:lineRule="auto"/>
              <w:ind w:left="312" w:hanging="284"/>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Ніщо в цій Угоді не може тлумачитися як відмова від привілеїв або імунітетів, які надаються Раді Європи відповідно до її статутних документів або відповідно до міжнародного права.</w:t>
            </w:r>
          </w:p>
          <w:p w:rsidR="00B06AB1" w:rsidRPr="006F0D4D" w:rsidRDefault="00B06AB1" w:rsidP="001B21CD">
            <w:pPr>
              <w:pStyle w:val="ListParagraph"/>
              <w:keepNext/>
              <w:numPr>
                <w:ilvl w:val="0"/>
                <w:numId w:val="47"/>
              </w:numPr>
              <w:suppressAutoHyphens/>
              <w:spacing w:after="0" w:line="240" w:lineRule="auto"/>
              <w:ind w:left="312" w:hanging="284"/>
              <w:jc w:val="both"/>
              <w:outlineLvl w:val="7"/>
              <w:rPr>
                <w:rFonts w:ascii="Arial Narrow" w:eastAsia="Times New Roman" w:hAnsi="Arial Narrow" w:cs="Times New Roman"/>
                <w:bCs/>
                <w:spacing w:val="-2"/>
                <w:lang w:val="uk-UA" w:eastAsia="en-GB"/>
              </w:rPr>
            </w:pPr>
            <w:r w:rsidRPr="006F0D4D">
              <w:rPr>
                <w:rFonts w:ascii="Arial Narrow" w:eastAsia="Times New Roman" w:hAnsi="Arial Narrow" w:cs="Times New Roman"/>
                <w:bCs/>
                <w:spacing w:val="-2"/>
                <w:lang w:val="uk-UA" w:eastAsia="en-GB"/>
              </w:rPr>
              <w:t xml:space="preserve">До цієї Угоди застосовуються Правила та Процедури Ради Європи. </w:t>
            </w:r>
          </w:p>
          <w:p w:rsidR="00B06AB1" w:rsidRPr="006F0D4D" w:rsidRDefault="00B06AB1" w:rsidP="001B21CD">
            <w:pPr>
              <w:pStyle w:val="ListParagraph"/>
              <w:keepNext/>
              <w:suppressAutoHyphens/>
              <w:spacing w:after="0" w:line="240" w:lineRule="auto"/>
              <w:ind w:left="312"/>
              <w:jc w:val="both"/>
              <w:outlineLvl w:val="7"/>
              <w:rPr>
                <w:rFonts w:ascii="Arial Narrow" w:eastAsia="Times New Roman" w:hAnsi="Arial Narrow" w:cs="Times New Roman"/>
                <w:bCs/>
                <w:spacing w:val="-2"/>
                <w:lang w:val="ru-RU" w:eastAsia="en-GB"/>
              </w:rPr>
            </w:pPr>
          </w:p>
        </w:tc>
      </w:tr>
      <w:tr w:rsidR="00B06AB1" w:rsidRPr="006F0D4D" w:rsidTr="00625858">
        <w:tc>
          <w:tcPr>
            <w:tcW w:w="10207" w:type="dxa"/>
          </w:tcPr>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p>
          <w:p w:rsidR="00B06AB1" w:rsidRPr="006F0D4D" w:rsidRDefault="00B06AB1" w:rsidP="001B21CD">
            <w:pPr>
              <w:keepNext/>
              <w:suppressAutoHyphens/>
              <w:spacing w:after="0" w:line="240" w:lineRule="auto"/>
              <w:jc w:val="center"/>
              <w:outlineLvl w:val="7"/>
              <w:rPr>
                <w:rFonts w:ascii="Arial Narrow" w:eastAsia="Times New Roman" w:hAnsi="Arial Narrow" w:cs="Times New Roman"/>
                <w:b/>
                <w:bCs/>
                <w:spacing w:val="-2"/>
                <w:lang w:val="uk-UA"/>
              </w:rPr>
            </w:pPr>
            <w:r w:rsidRPr="006F0D4D">
              <w:rPr>
                <w:rFonts w:ascii="Arial Narrow" w:eastAsia="Times New Roman" w:hAnsi="Arial Narrow" w:cs="Times New Roman"/>
                <w:b/>
                <w:bCs/>
                <w:spacing w:val="-2"/>
                <w:lang w:val="uk-UA"/>
              </w:rPr>
              <w:t>СТАТТЯ 21 – СПОРИ</w:t>
            </w:r>
          </w:p>
        </w:tc>
      </w:tr>
      <w:tr w:rsidR="00B06AB1" w:rsidRPr="003D7508" w:rsidTr="00625858">
        <w:tc>
          <w:tcPr>
            <w:tcW w:w="10207" w:type="dxa"/>
          </w:tcPr>
          <w:p w:rsidR="00B06AB1" w:rsidRPr="006F0D4D" w:rsidRDefault="00B06AB1" w:rsidP="001B21CD">
            <w:pPr>
              <w:pStyle w:val="ListParagraph"/>
              <w:keepNext/>
              <w:numPr>
                <w:ilvl w:val="0"/>
                <w:numId w:val="48"/>
              </w:numPr>
              <w:suppressAutoHyphens/>
              <w:spacing w:after="0" w:line="240" w:lineRule="auto"/>
              <w:ind w:left="312" w:hanging="284"/>
              <w:jc w:val="both"/>
              <w:outlineLvl w:val="7"/>
              <w:rPr>
                <w:rFonts w:ascii="Arial Narrow" w:eastAsia="Times New Roman" w:hAnsi="Arial Narrow" w:cs="Times New Roman"/>
                <w:bCs/>
                <w:spacing w:val="-2"/>
                <w:lang w:val="uk-UA"/>
              </w:rPr>
            </w:pPr>
            <w:r w:rsidRPr="006F0D4D">
              <w:rPr>
                <w:rFonts w:ascii="Arial Narrow" w:eastAsia="Times New Roman" w:hAnsi="Arial Narrow" w:cs="Times New Roman"/>
                <w:bCs/>
                <w:spacing w:val="-2"/>
                <w:lang w:val="uk-UA"/>
              </w:rPr>
              <w:t>Будь-який спір щодо цієї Угоди, у разі неможливості його мирного врегулювання між Сторонами, має бути передано на розгляд до арбітражу відповідно до Правила № 481 від 27 лютого 1976 року, виданого Генеральним секретарем згідно з положенням Статті 21 Генеральної угоди про привілеї та імунітети Ради Європи.</w:t>
            </w:r>
          </w:p>
          <w:p w:rsidR="00B06AB1" w:rsidRPr="006F0D4D" w:rsidRDefault="00B06AB1" w:rsidP="001B21CD">
            <w:pPr>
              <w:pStyle w:val="ListParagraph"/>
              <w:keepNext/>
              <w:numPr>
                <w:ilvl w:val="0"/>
                <w:numId w:val="48"/>
              </w:numPr>
              <w:suppressAutoHyphens/>
              <w:spacing w:after="0" w:line="240" w:lineRule="auto"/>
              <w:ind w:left="312" w:hanging="284"/>
              <w:jc w:val="both"/>
              <w:outlineLvl w:val="7"/>
              <w:rPr>
                <w:rFonts w:ascii="Arial Narrow" w:eastAsia="Times New Roman" w:hAnsi="Arial Narrow" w:cs="Times New Roman"/>
                <w:bCs/>
                <w:spacing w:val="-2"/>
                <w:lang w:val="uk-UA"/>
              </w:rPr>
            </w:pPr>
            <w:r w:rsidRPr="006F0D4D">
              <w:rPr>
                <w:rFonts w:ascii="Arial Narrow" w:eastAsia="Times New Roman" w:hAnsi="Arial Narrow" w:cs="Times New Roman"/>
                <w:bCs/>
                <w:spacing w:val="-2"/>
                <w:lang w:val="uk-UA"/>
              </w:rPr>
              <w:t>Арбітражна Рада складатиметься з двох арбітрів, кожен з яких обраний однією із сторін, та головуючого арбітра, який призначатиметься двома іншими арбітрами; у випадку, якщо головуючий арбітр не призначений відповідно до цих умов протягом періоду у шість місяців, Президент Суду вищої інстанції в Страсбурзі зробить відповідне призначення.</w:t>
            </w:r>
          </w:p>
          <w:p w:rsidR="00B06AB1" w:rsidRPr="006F0D4D" w:rsidRDefault="00B06AB1" w:rsidP="001B21CD">
            <w:pPr>
              <w:pStyle w:val="ListParagraph"/>
              <w:keepNext/>
              <w:numPr>
                <w:ilvl w:val="0"/>
                <w:numId w:val="48"/>
              </w:numPr>
              <w:suppressAutoHyphens/>
              <w:spacing w:after="0" w:line="240" w:lineRule="auto"/>
              <w:ind w:left="312" w:hanging="284"/>
              <w:jc w:val="both"/>
              <w:outlineLvl w:val="7"/>
              <w:rPr>
                <w:rFonts w:ascii="Arial Narrow" w:eastAsia="Times New Roman" w:hAnsi="Arial Narrow" w:cs="Times New Roman"/>
                <w:bCs/>
                <w:spacing w:val="-2"/>
                <w:lang w:val="uk-UA"/>
              </w:rPr>
            </w:pPr>
            <w:r w:rsidRPr="006F0D4D">
              <w:rPr>
                <w:rFonts w:ascii="Arial Narrow" w:eastAsia="Times New Roman" w:hAnsi="Arial Narrow" w:cs="Times New Roman"/>
                <w:bCs/>
                <w:spacing w:val="-2"/>
                <w:lang w:val="uk-UA"/>
              </w:rPr>
              <w:t>Крім того, сторони можуть передати спір на вирішення одноосібному арбітру, який обирається ними за спільною згодою або, у випадку, якщо така згода не досягнута, Президентом Суду вищої інстанції у Страсбурзі.</w:t>
            </w:r>
          </w:p>
          <w:p w:rsidR="00B06AB1" w:rsidRPr="006F0D4D" w:rsidRDefault="00B06AB1" w:rsidP="001B21CD">
            <w:pPr>
              <w:pStyle w:val="ListParagraph"/>
              <w:keepNext/>
              <w:numPr>
                <w:ilvl w:val="0"/>
                <w:numId w:val="48"/>
              </w:numPr>
              <w:suppressAutoHyphens/>
              <w:spacing w:after="0" w:line="240" w:lineRule="auto"/>
              <w:ind w:left="312" w:hanging="284"/>
              <w:jc w:val="both"/>
              <w:outlineLvl w:val="7"/>
              <w:rPr>
                <w:rFonts w:ascii="Arial Narrow" w:eastAsia="Times New Roman" w:hAnsi="Arial Narrow" w:cs="Times New Roman"/>
                <w:bCs/>
                <w:spacing w:val="-2"/>
                <w:lang w:val="uk-UA"/>
              </w:rPr>
            </w:pPr>
            <w:r w:rsidRPr="006F0D4D">
              <w:rPr>
                <w:rFonts w:ascii="Arial Narrow" w:eastAsia="Times New Roman" w:hAnsi="Arial Narrow" w:cs="Times New Roman"/>
                <w:bCs/>
                <w:spacing w:val="-2"/>
                <w:lang w:val="uk-UA"/>
              </w:rPr>
              <w:t>Рада, про яку зазначається у пункті 2 цієї Статті, або, залежно від випадку, арбітр, про якого зазначено у пункті 3 цієї Статті, визначатимуть процедуру розгляду спору.</w:t>
            </w:r>
          </w:p>
          <w:p w:rsidR="00B06AB1" w:rsidRPr="006F0D4D" w:rsidRDefault="00B06AB1" w:rsidP="001B21CD">
            <w:pPr>
              <w:pStyle w:val="ListParagraph"/>
              <w:keepNext/>
              <w:numPr>
                <w:ilvl w:val="0"/>
                <w:numId w:val="48"/>
              </w:numPr>
              <w:suppressAutoHyphens/>
              <w:spacing w:after="0" w:line="240" w:lineRule="auto"/>
              <w:ind w:left="312" w:hanging="284"/>
              <w:jc w:val="both"/>
              <w:outlineLvl w:val="7"/>
              <w:rPr>
                <w:rFonts w:ascii="Arial Narrow" w:eastAsia="Times New Roman" w:hAnsi="Arial Narrow" w:cs="Times New Roman"/>
                <w:bCs/>
                <w:spacing w:val="-2"/>
                <w:lang w:val="uk-UA"/>
              </w:rPr>
            </w:pPr>
            <w:r w:rsidRPr="006F0D4D">
              <w:rPr>
                <w:rFonts w:ascii="Arial Narrow" w:eastAsia="Times New Roman" w:hAnsi="Arial Narrow" w:cs="Times New Roman"/>
                <w:bCs/>
                <w:spacing w:val="-2"/>
                <w:lang w:val="uk-UA"/>
              </w:rPr>
              <w:t>Якщо сторони не домовляться про право, яке застосовується, Рада або, залежно від випадку, арбітр вирішують спір по справедливості з врахуванням загальних принципів права та торгівельних звичаїв.</w:t>
            </w:r>
          </w:p>
          <w:p w:rsidR="00B06AB1" w:rsidRPr="006F0D4D" w:rsidRDefault="00B06AB1" w:rsidP="001B21CD">
            <w:pPr>
              <w:pStyle w:val="ListParagraph"/>
              <w:keepNext/>
              <w:numPr>
                <w:ilvl w:val="0"/>
                <w:numId w:val="48"/>
              </w:numPr>
              <w:suppressAutoHyphens/>
              <w:spacing w:after="0" w:line="240" w:lineRule="auto"/>
              <w:ind w:left="312" w:hanging="284"/>
              <w:jc w:val="both"/>
              <w:outlineLvl w:val="7"/>
              <w:rPr>
                <w:rFonts w:ascii="Arial Narrow" w:eastAsia="Times New Roman" w:hAnsi="Arial Narrow" w:cs="Times New Roman"/>
                <w:bCs/>
                <w:spacing w:val="-2"/>
                <w:lang w:val="uk-UA"/>
              </w:rPr>
            </w:pPr>
            <w:r w:rsidRPr="006F0D4D">
              <w:rPr>
                <w:rFonts w:ascii="Arial Narrow" w:eastAsia="Times New Roman" w:hAnsi="Arial Narrow" w:cs="Times New Roman"/>
                <w:bCs/>
                <w:spacing w:val="-2"/>
                <w:lang w:val="uk-UA"/>
              </w:rPr>
              <w:t>Арбітражне рішення буде обов’язковим для сторін та не підлягатиме оскарженню.</w:t>
            </w:r>
          </w:p>
        </w:tc>
      </w:tr>
      <w:tr w:rsidR="00B06AB1" w:rsidRPr="006F0D4D" w:rsidTr="00625858">
        <w:tc>
          <w:tcPr>
            <w:tcW w:w="10207" w:type="dxa"/>
          </w:tcPr>
          <w:p w:rsidR="005D5F84" w:rsidRDefault="005D5F84" w:rsidP="001B21CD">
            <w:pPr>
              <w:keepNext/>
              <w:suppressAutoHyphens/>
              <w:spacing w:after="0" w:line="240" w:lineRule="auto"/>
              <w:jc w:val="both"/>
              <w:outlineLvl w:val="7"/>
              <w:rPr>
                <w:rFonts w:ascii="Arial Narrow" w:eastAsia="Times New Roman" w:hAnsi="Arial Narrow" w:cs="Times New Roman"/>
                <w:bCs/>
                <w:spacing w:val="-2"/>
                <w:lang w:val="uk-UA"/>
              </w:rPr>
            </w:pPr>
          </w:p>
          <w:p w:rsidR="00B06AB1" w:rsidRPr="00401817" w:rsidRDefault="00B06AB1" w:rsidP="001B21CD">
            <w:pPr>
              <w:keepNext/>
              <w:suppressAutoHyphens/>
              <w:spacing w:after="0" w:line="240" w:lineRule="auto"/>
              <w:jc w:val="both"/>
              <w:outlineLvl w:val="7"/>
              <w:rPr>
                <w:rFonts w:ascii="Arial Narrow" w:eastAsia="Times New Roman" w:hAnsi="Arial Narrow" w:cs="Times New Roman"/>
                <w:bCs/>
                <w:spacing w:val="-2"/>
                <w:lang w:val="ru-RU"/>
              </w:rPr>
            </w:pPr>
            <w:r w:rsidRPr="006F0D4D">
              <w:rPr>
                <w:rFonts w:ascii="Arial Narrow" w:eastAsia="Times New Roman" w:hAnsi="Arial Narrow" w:cs="Times New Roman"/>
                <w:bCs/>
                <w:spacing w:val="-2"/>
                <w:lang w:val="uk-UA"/>
              </w:rPr>
              <w:t xml:space="preserve">Угоду укладено в двох примірниках </w:t>
            </w:r>
          </w:p>
          <w:p w:rsidR="00401817" w:rsidRPr="005D5F84" w:rsidRDefault="00401817" w:rsidP="001B21CD">
            <w:pPr>
              <w:keepNext/>
              <w:suppressAutoHyphens/>
              <w:spacing w:after="0" w:line="240" w:lineRule="auto"/>
              <w:jc w:val="both"/>
              <w:outlineLvl w:val="7"/>
              <w:rPr>
                <w:rFonts w:ascii="Arial Narrow" w:eastAsia="Times New Roman" w:hAnsi="Arial Narrow" w:cs="Times New Roman"/>
                <w:bCs/>
                <w:spacing w:val="-2"/>
                <w:lang w:val="ru-RU"/>
              </w:rPr>
            </w:pPr>
          </w:p>
          <w:p w:rsidR="00401817" w:rsidRPr="005D5F84" w:rsidRDefault="00401817" w:rsidP="001B21CD">
            <w:pPr>
              <w:keepNext/>
              <w:suppressAutoHyphens/>
              <w:spacing w:after="0" w:line="240" w:lineRule="auto"/>
              <w:jc w:val="both"/>
              <w:outlineLvl w:val="7"/>
              <w:rPr>
                <w:rFonts w:ascii="Arial Narrow" w:eastAsia="Times New Roman" w:hAnsi="Arial Narrow" w:cs="Times New Roman"/>
                <w:bCs/>
                <w:spacing w:val="-2"/>
                <w:lang w:val="ru-RU"/>
              </w:rPr>
            </w:pPr>
          </w:p>
          <w:tbl>
            <w:tblPr>
              <w:tblStyle w:val="TableGrid"/>
              <w:tblW w:w="0" w:type="auto"/>
              <w:tblLayout w:type="fixed"/>
              <w:tblLook w:val="04A0" w:firstRow="1" w:lastRow="0" w:firstColumn="1" w:lastColumn="0" w:noHBand="0" w:noVBand="1"/>
            </w:tblPr>
            <w:tblGrid>
              <w:gridCol w:w="4988"/>
              <w:gridCol w:w="4988"/>
            </w:tblGrid>
            <w:tr w:rsidR="00401817" w:rsidTr="00401817">
              <w:tc>
                <w:tcPr>
                  <w:tcW w:w="4988" w:type="dxa"/>
                </w:tcPr>
                <w:p w:rsidR="00401817" w:rsidRPr="00625858" w:rsidRDefault="00401817" w:rsidP="00625858">
                  <w:pPr>
                    <w:jc w:val="center"/>
                    <w:rPr>
                      <w:rFonts w:ascii="Arial Narrow" w:hAnsi="Arial Narrow"/>
                      <w:b/>
                      <w:spacing w:val="-2"/>
                      <w:sz w:val="22"/>
                      <w:szCs w:val="22"/>
                      <w:lang w:val="uk-UA"/>
                    </w:rPr>
                  </w:pPr>
                  <w:r w:rsidRPr="00625858">
                    <w:rPr>
                      <w:rFonts w:ascii="Arial Narrow" w:hAnsi="Arial Narrow"/>
                      <w:b/>
                      <w:spacing w:val="-2"/>
                      <w:sz w:val="22"/>
                      <w:szCs w:val="22"/>
                      <w:lang w:val="uk-UA"/>
                    </w:rPr>
                    <w:t>Рада Європи</w:t>
                  </w:r>
                </w:p>
                <w:p w:rsidR="00401817" w:rsidRPr="005D5F84" w:rsidRDefault="00401817" w:rsidP="00625858">
                  <w:pPr>
                    <w:keepNext/>
                    <w:suppressAutoHyphens/>
                    <w:jc w:val="center"/>
                    <w:outlineLvl w:val="7"/>
                    <w:rPr>
                      <w:rFonts w:ascii="Arial Narrow" w:hAnsi="Arial Narrow"/>
                      <w:bCs/>
                      <w:spacing w:val="-2"/>
                      <w:sz w:val="22"/>
                      <w:szCs w:val="22"/>
                    </w:rPr>
                  </w:pPr>
                </w:p>
              </w:tc>
              <w:tc>
                <w:tcPr>
                  <w:tcW w:w="4988" w:type="dxa"/>
                </w:tcPr>
                <w:p w:rsidR="00401817" w:rsidRPr="00625858" w:rsidRDefault="00401817" w:rsidP="00625858">
                  <w:pPr>
                    <w:keepNext/>
                    <w:suppressAutoHyphens/>
                    <w:jc w:val="center"/>
                    <w:outlineLvl w:val="7"/>
                    <w:rPr>
                      <w:rFonts w:ascii="Arial Narrow" w:hAnsi="Arial Narrow"/>
                      <w:bCs/>
                      <w:spacing w:val="-2"/>
                      <w:sz w:val="22"/>
                      <w:szCs w:val="22"/>
                      <w:lang w:val="en-GB"/>
                    </w:rPr>
                  </w:pPr>
                  <w:r w:rsidRPr="00625858">
                    <w:rPr>
                      <w:rFonts w:ascii="Arial Narrow" w:hAnsi="Arial Narrow"/>
                      <w:b/>
                      <w:spacing w:val="-2"/>
                      <w:sz w:val="22"/>
                      <w:szCs w:val="22"/>
                      <w:lang w:val="uk-UA"/>
                    </w:rPr>
                    <w:t>Грантоотримувач</w:t>
                  </w:r>
                </w:p>
              </w:tc>
            </w:tr>
            <w:tr w:rsidR="00401817" w:rsidTr="00401817">
              <w:tc>
                <w:tcPr>
                  <w:tcW w:w="4988" w:type="dxa"/>
                </w:tcPr>
                <w:p w:rsidR="00401817" w:rsidRPr="00625858" w:rsidRDefault="00401817" w:rsidP="001B21CD">
                  <w:pPr>
                    <w:keepNext/>
                    <w:suppressAutoHyphens/>
                    <w:jc w:val="both"/>
                    <w:outlineLvl w:val="7"/>
                    <w:rPr>
                      <w:rFonts w:ascii="Arial Narrow" w:hAnsi="Arial Narrow"/>
                      <w:bCs/>
                      <w:spacing w:val="-2"/>
                      <w:sz w:val="22"/>
                      <w:szCs w:val="22"/>
                      <w:lang w:val="uk-UA"/>
                    </w:rPr>
                  </w:pPr>
                </w:p>
                <w:p w:rsidR="00625858" w:rsidRPr="00625858" w:rsidRDefault="00625858" w:rsidP="001B21CD">
                  <w:pPr>
                    <w:keepNext/>
                    <w:suppressAutoHyphens/>
                    <w:jc w:val="both"/>
                    <w:outlineLvl w:val="7"/>
                    <w:rPr>
                      <w:rFonts w:ascii="Arial Narrow" w:hAnsi="Arial Narrow"/>
                      <w:bCs/>
                      <w:spacing w:val="-2"/>
                      <w:sz w:val="22"/>
                      <w:szCs w:val="22"/>
                      <w:lang w:val="uk-UA"/>
                    </w:rPr>
                  </w:pPr>
                </w:p>
                <w:p w:rsidR="00625858" w:rsidRPr="00625858" w:rsidRDefault="00625858" w:rsidP="001B21CD">
                  <w:pPr>
                    <w:keepNext/>
                    <w:suppressAutoHyphens/>
                    <w:jc w:val="both"/>
                    <w:outlineLvl w:val="7"/>
                    <w:rPr>
                      <w:rFonts w:ascii="Arial Narrow" w:hAnsi="Arial Narrow"/>
                      <w:bCs/>
                      <w:spacing w:val="-2"/>
                      <w:sz w:val="22"/>
                      <w:szCs w:val="22"/>
                      <w:lang w:val="uk-UA"/>
                    </w:rPr>
                  </w:pPr>
                </w:p>
                <w:p w:rsidR="00625858" w:rsidRPr="00625858" w:rsidRDefault="00625858" w:rsidP="001B21CD">
                  <w:pPr>
                    <w:keepNext/>
                    <w:suppressAutoHyphens/>
                    <w:jc w:val="both"/>
                    <w:outlineLvl w:val="7"/>
                    <w:rPr>
                      <w:rFonts w:ascii="Arial Narrow" w:hAnsi="Arial Narrow"/>
                      <w:bCs/>
                      <w:spacing w:val="-2"/>
                      <w:sz w:val="22"/>
                      <w:szCs w:val="22"/>
                      <w:lang w:val="uk-UA"/>
                    </w:rPr>
                  </w:pPr>
                </w:p>
                <w:p w:rsidR="00625858" w:rsidRPr="00625858" w:rsidRDefault="00625858" w:rsidP="001B21CD">
                  <w:pPr>
                    <w:keepNext/>
                    <w:suppressAutoHyphens/>
                    <w:jc w:val="both"/>
                    <w:outlineLvl w:val="7"/>
                    <w:rPr>
                      <w:rFonts w:ascii="Arial Narrow" w:hAnsi="Arial Narrow"/>
                      <w:bCs/>
                      <w:spacing w:val="-2"/>
                      <w:sz w:val="22"/>
                      <w:szCs w:val="22"/>
                      <w:lang w:val="uk-UA"/>
                    </w:rPr>
                  </w:pPr>
                </w:p>
              </w:tc>
              <w:tc>
                <w:tcPr>
                  <w:tcW w:w="4988" w:type="dxa"/>
                </w:tcPr>
                <w:p w:rsidR="00401817" w:rsidRPr="00625858" w:rsidRDefault="00401817" w:rsidP="001B21CD">
                  <w:pPr>
                    <w:keepNext/>
                    <w:suppressAutoHyphens/>
                    <w:jc w:val="both"/>
                    <w:outlineLvl w:val="7"/>
                    <w:rPr>
                      <w:rFonts w:ascii="Arial Narrow" w:hAnsi="Arial Narrow"/>
                      <w:bCs/>
                      <w:spacing w:val="-2"/>
                      <w:sz w:val="22"/>
                      <w:szCs w:val="22"/>
                      <w:lang w:val="en-GB"/>
                    </w:rPr>
                  </w:pPr>
                </w:p>
              </w:tc>
            </w:tr>
            <w:tr w:rsidR="00401817" w:rsidTr="00401817">
              <w:tc>
                <w:tcPr>
                  <w:tcW w:w="4988" w:type="dxa"/>
                </w:tcPr>
                <w:p w:rsidR="00401817" w:rsidRPr="00625858" w:rsidRDefault="00401817" w:rsidP="001B21CD">
                  <w:pPr>
                    <w:keepNext/>
                    <w:suppressAutoHyphens/>
                    <w:jc w:val="both"/>
                    <w:outlineLvl w:val="7"/>
                    <w:rPr>
                      <w:rFonts w:ascii="Arial Narrow" w:hAnsi="Arial Narrow"/>
                      <w:bCs/>
                      <w:spacing w:val="-2"/>
                      <w:sz w:val="22"/>
                      <w:szCs w:val="22"/>
                      <w:lang w:val="uk-UA"/>
                    </w:rPr>
                  </w:pPr>
                  <w:r w:rsidRPr="00625858">
                    <w:rPr>
                      <w:rFonts w:ascii="Arial Narrow" w:hAnsi="Arial Narrow"/>
                      <w:bCs/>
                      <w:spacing w:val="-2"/>
                      <w:sz w:val="22"/>
                      <w:szCs w:val="22"/>
                    </w:rPr>
                    <w:t>М</w:t>
                  </w:r>
                  <w:r w:rsidRPr="00625858">
                    <w:rPr>
                      <w:rFonts w:ascii="Arial Narrow" w:hAnsi="Arial Narrow"/>
                      <w:bCs/>
                      <w:spacing w:val="-2"/>
                      <w:sz w:val="22"/>
                      <w:szCs w:val="22"/>
                      <w:lang w:val="uk-UA"/>
                    </w:rPr>
                    <w:t>ісце</w:t>
                  </w:r>
                </w:p>
              </w:tc>
              <w:tc>
                <w:tcPr>
                  <w:tcW w:w="4988" w:type="dxa"/>
                </w:tcPr>
                <w:p w:rsidR="00401817" w:rsidRDefault="00401817" w:rsidP="001B21CD">
                  <w:pPr>
                    <w:keepNext/>
                    <w:suppressAutoHyphens/>
                    <w:jc w:val="both"/>
                    <w:outlineLvl w:val="7"/>
                    <w:rPr>
                      <w:rFonts w:ascii="Arial Narrow" w:hAnsi="Arial Narrow"/>
                      <w:bCs/>
                      <w:spacing w:val="-2"/>
                      <w:sz w:val="22"/>
                      <w:szCs w:val="22"/>
                      <w:lang w:val="uk-UA"/>
                    </w:rPr>
                  </w:pPr>
                  <w:r w:rsidRPr="00625858">
                    <w:rPr>
                      <w:rFonts w:ascii="Arial Narrow" w:hAnsi="Arial Narrow"/>
                      <w:bCs/>
                      <w:spacing w:val="-2"/>
                      <w:sz w:val="22"/>
                      <w:szCs w:val="22"/>
                    </w:rPr>
                    <w:t>М</w:t>
                  </w:r>
                  <w:r w:rsidRPr="00625858">
                    <w:rPr>
                      <w:rFonts w:ascii="Arial Narrow" w:hAnsi="Arial Narrow"/>
                      <w:bCs/>
                      <w:spacing w:val="-2"/>
                      <w:sz w:val="22"/>
                      <w:szCs w:val="22"/>
                      <w:lang w:val="uk-UA"/>
                    </w:rPr>
                    <w:t>ісце</w:t>
                  </w:r>
                </w:p>
                <w:p w:rsidR="005D5F84" w:rsidRPr="00625858" w:rsidRDefault="005D5F84" w:rsidP="001B21CD">
                  <w:pPr>
                    <w:keepNext/>
                    <w:suppressAutoHyphens/>
                    <w:jc w:val="both"/>
                    <w:outlineLvl w:val="7"/>
                    <w:rPr>
                      <w:rFonts w:ascii="Arial Narrow" w:hAnsi="Arial Narrow"/>
                      <w:bCs/>
                      <w:spacing w:val="-2"/>
                      <w:sz w:val="22"/>
                      <w:szCs w:val="22"/>
                      <w:lang w:val="uk-UA"/>
                    </w:rPr>
                  </w:pPr>
                </w:p>
              </w:tc>
            </w:tr>
            <w:tr w:rsidR="00401817" w:rsidTr="00401817">
              <w:tc>
                <w:tcPr>
                  <w:tcW w:w="4988" w:type="dxa"/>
                </w:tcPr>
                <w:p w:rsidR="00401817" w:rsidRPr="00625858" w:rsidRDefault="00401817" w:rsidP="001B21CD">
                  <w:pPr>
                    <w:keepNext/>
                    <w:suppressAutoHyphens/>
                    <w:jc w:val="both"/>
                    <w:outlineLvl w:val="7"/>
                    <w:rPr>
                      <w:rFonts w:ascii="Arial Narrow" w:hAnsi="Arial Narrow"/>
                      <w:bCs/>
                      <w:spacing w:val="-2"/>
                      <w:sz w:val="22"/>
                      <w:szCs w:val="22"/>
                      <w:lang w:val="uk-UA"/>
                    </w:rPr>
                  </w:pPr>
                  <w:r w:rsidRPr="00625858">
                    <w:rPr>
                      <w:rFonts w:ascii="Arial Narrow" w:hAnsi="Arial Narrow"/>
                      <w:bCs/>
                      <w:spacing w:val="-2"/>
                      <w:sz w:val="22"/>
                      <w:szCs w:val="22"/>
                      <w:lang w:val="uk-UA"/>
                    </w:rPr>
                    <w:t>Дата</w:t>
                  </w:r>
                </w:p>
              </w:tc>
              <w:tc>
                <w:tcPr>
                  <w:tcW w:w="4988" w:type="dxa"/>
                </w:tcPr>
                <w:p w:rsidR="00401817" w:rsidRDefault="00401817" w:rsidP="001B21CD">
                  <w:pPr>
                    <w:keepNext/>
                    <w:suppressAutoHyphens/>
                    <w:jc w:val="both"/>
                    <w:outlineLvl w:val="7"/>
                    <w:rPr>
                      <w:rFonts w:ascii="Arial Narrow" w:hAnsi="Arial Narrow"/>
                      <w:bCs/>
                      <w:spacing w:val="-2"/>
                      <w:sz w:val="22"/>
                      <w:szCs w:val="22"/>
                      <w:lang w:val="uk-UA"/>
                    </w:rPr>
                  </w:pPr>
                  <w:r w:rsidRPr="00625858">
                    <w:rPr>
                      <w:rFonts w:ascii="Arial Narrow" w:hAnsi="Arial Narrow"/>
                      <w:bCs/>
                      <w:spacing w:val="-2"/>
                      <w:sz w:val="22"/>
                      <w:szCs w:val="22"/>
                      <w:lang w:val="uk-UA"/>
                    </w:rPr>
                    <w:t>Дата</w:t>
                  </w:r>
                </w:p>
                <w:p w:rsidR="005D5F84" w:rsidRPr="00625858" w:rsidRDefault="005D5F84" w:rsidP="001B21CD">
                  <w:pPr>
                    <w:keepNext/>
                    <w:suppressAutoHyphens/>
                    <w:jc w:val="both"/>
                    <w:outlineLvl w:val="7"/>
                    <w:rPr>
                      <w:rFonts w:ascii="Arial Narrow" w:hAnsi="Arial Narrow"/>
                      <w:bCs/>
                      <w:spacing w:val="-2"/>
                      <w:sz w:val="22"/>
                      <w:szCs w:val="22"/>
                      <w:lang w:val="uk-UA"/>
                    </w:rPr>
                  </w:pPr>
                </w:p>
              </w:tc>
            </w:tr>
          </w:tbl>
          <w:p w:rsidR="00B06AB1" w:rsidRPr="006F0D4D" w:rsidRDefault="00B06AB1" w:rsidP="001B21CD">
            <w:pPr>
              <w:keepNext/>
              <w:suppressAutoHyphens/>
              <w:spacing w:after="0" w:line="240" w:lineRule="auto"/>
              <w:jc w:val="both"/>
              <w:outlineLvl w:val="7"/>
              <w:rPr>
                <w:rFonts w:ascii="Arial Narrow" w:eastAsia="Times New Roman" w:hAnsi="Arial Narrow" w:cs="Times New Roman"/>
                <w:bCs/>
                <w:spacing w:val="-2"/>
                <w:lang w:val="uk-UA"/>
              </w:rPr>
            </w:pP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402"/>
        <w:gridCol w:w="1984"/>
        <w:gridCol w:w="3260"/>
      </w:tblGrid>
      <w:tr w:rsidR="0001046D" w:rsidRPr="006F0D4D" w:rsidTr="0063059A">
        <w:tc>
          <w:tcPr>
            <w:tcW w:w="1560" w:type="dxa"/>
          </w:tcPr>
          <w:p w:rsidR="0001046D" w:rsidRPr="006F0D4D" w:rsidRDefault="0001046D" w:rsidP="00625858">
            <w:pPr>
              <w:rPr>
                <w:rFonts w:ascii="Arial Narrow" w:hAnsi="Arial Narrow"/>
                <w:bCs/>
                <w:sz w:val="22"/>
                <w:szCs w:val="22"/>
                <w:lang w:val="en-GB"/>
              </w:rPr>
            </w:pPr>
          </w:p>
        </w:tc>
        <w:tc>
          <w:tcPr>
            <w:tcW w:w="3402" w:type="dxa"/>
          </w:tcPr>
          <w:p w:rsidR="0063059A" w:rsidRPr="006F0D4D" w:rsidRDefault="0063059A" w:rsidP="0001046D">
            <w:pPr>
              <w:rPr>
                <w:rFonts w:ascii="Arial Narrow" w:hAnsi="Arial Narrow"/>
                <w:bCs/>
                <w:sz w:val="22"/>
                <w:szCs w:val="22"/>
                <w:lang w:val="en-GB"/>
              </w:rPr>
            </w:pPr>
          </w:p>
        </w:tc>
        <w:tc>
          <w:tcPr>
            <w:tcW w:w="1984" w:type="dxa"/>
          </w:tcPr>
          <w:p w:rsidR="0001046D" w:rsidRPr="006F0D4D" w:rsidRDefault="0001046D" w:rsidP="00B6356C">
            <w:pPr>
              <w:rPr>
                <w:rFonts w:ascii="Arial Narrow" w:hAnsi="Arial Narrow"/>
                <w:bCs/>
                <w:sz w:val="22"/>
                <w:szCs w:val="22"/>
                <w:lang w:val="en-GB"/>
              </w:rPr>
            </w:pPr>
          </w:p>
        </w:tc>
        <w:tc>
          <w:tcPr>
            <w:tcW w:w="3260" w:type="dxa"/>
          </w:tcPr>
          <w:p w:rsidR="0001046D" w:rsidRPr="006F0D4D" w:rsidRDefault="0001046D" w:rsidP="0001046D">
            <w:pPr>
              <w:rPr>
                <w:rFonts w:ascii="Arial Narrow" w:hAnsi="Arial Narrow"/>
                <w:bCs/>
                <w:sz w:val="22"/>
                <w:szCs w:val="22"/>
                <w:lang w:val="en-GB"/>
              </w:rPr>
            </w:pPr>
          </w:p>
        </w:tc>
      </w:tr>
    </w:tbl>
    <w:p w:rsidR="00625858" w:rsidRDefault="00625858" w:rsidP="00625858">
      <w:pPr>
        <w:spacing w:after="0" w:line="240" w:lineRule="auto"/>
        <w:rPr>
          <w:rFonts w:ascii="Arial Narrow" w:eastAsia="Times New Roman" w:hAnsi="Arial Narrow" w:cs="Times New Roman"/>
          <w:b/>
          <w:bCs/>
          <w:lang w:val="uk-UA"/>
        </w:rPr>
      </w:pPr>
    </w:p>
    <w:p w:rsidR="00625858" w:rsidRDefault="00625858" w:rsidP="00625858">
      <w:pPr>
        <w:spacing w:after="0" w:line="240" w:lineRule="auto"/>
        <w:rPr>
          <w:rFonts w:ascii="Arial Narrow" w:eastAsia="Times New Roman" w:hAnsi="Arial Narrow" w:cs="Times New Roman"/>
          <w:b/>
          <w:bCs/>
          <w:lang w:val="uk-UA"/>
        </w:rPr>
      </w:pPr>
    </w:p>
    <w:p w:rsidR="00625858" w:rsidRDefault="00625858" w:rsidP="00625858">
      <w:pPr>
        <w:spacing w:after="0" w:line="240" w:lineRule="auto"/>
        <w:rPr>
          <w:rFonts w:ascii="Arial Narrow" w:eastAsia="Times New Roman" w:hAnsi="Arial Narrow" w:cs="Times New Roman"/>
          <w:b/>
          <w:bCs/>
          <w:lang w:val="uk-UA"/>
        </w:rPr>
      </w:pPr>
    </w:p>
    <w:p w:rsidR="00625858" w:rsidRDefault="00625858" w:rsidP="00625858">
      <w:pPr>
        <w:spacing w:after="0" w:line="240" w:lineRule="auto"/>
        <w:rPr>
          <w:rFonts w:ascii="Arial Narrow" w:eastAsia="Times New Roman" w:hAnsi="Arial Narrow" w:cs="Times New Roman"/>
          <w:b/>
          <w:bCs/>
          <w:lang w:val="uk-UA"/>
        </w:rPr>
      </w:pPr>
    </w:p>
    <w:p w:rsidR="00625858" w:rsidRDefault="00625858" w:rsidP="00625858">
      <w:pPr>
        <w:spacing w:after="0" w:line="240" w:lineRule="auto"/>
        <w:rPr>
          <w:rFonts w:ascii="Arial Narrow" w:eastAsia="Times New Roman" w:hAnsi="Arial Narrow" w:cs="Times New Roman"/>
          <w:b/>
          <w:bCs/>
          <w:lang w:val="uk-UA"/>
        </w:rPr>
      </w:pPr>
    </w:p>
    <w:p w:rsidR="00625858" w:rsidRDefault="00625858" w:rsidP="00625858">
      <w:pPr>
        <w:spacing w:after="0" w:line="240" w:lineRule="auto"/>
        <w:rPr>
          <w:rFonts w:ascii="Arial Narrow" w:eastAsia="Times New Roman" w:hAnsi="Arial Narrow" w:cs="Times New Roman"/>
          <w:b/>
          <w:bCs/>
          <w:lang w:val="uk-UA"/>
        </w:rPr>
      </w:pPr>
    </w:p>
    <w:p w:rsidR="00625858" w:rsidRDefault="00625858" w:rsidP="00625858">
      <w:pPr>
        <w:spacing w:after="0" w:line="240" w:lineRule="auto"/>
        <w:rPr>
          <w:rFonts w:ascii="Arial Narrow" w:eastAsia="Times New Roman" w:hAnsi="Arial Narrow" w:cs="Times New Roman"/>
          <w:b/>
          <w:bCs/>
          <w:lang w:val="uk-UA"/>
        </w:rPr>
      </w:pPr>
    </w:p>
    <w:p w:rsidR="00625858" w:rsidRDefault="00625858" w:rsidP="00625858">
      <w:pPr>
        <w:spacing w:after="0" w:line="240" w:lineRule="auto"/>
        <w:rPr>
          <w:rFonts w:ascii="Arial Narrow" w:eastAsia="Times New Roman" w:hAnsi="Arial Narrow" w:cs="Times New Roman"/>
          <w:b/>
          <w:bCs/>
          <w:lang w:val="uk-UA"/>
        </w:rPr>
      </w:pPr>
    </w:p>
    <w:p w:rsidR="00625858" w:rsidRDefault="00625858" w:rsidP="00625858">
      <w:pPr>
        <w:spacing w:after="0" w:line="240" w:lineRule="auto"/>
        <w:rPr>
          <w:rFonts w:ascii="Arial Narrow" w:eastAsia="Times New Roman" w:hAnsi="Arial Narrow" w:cs="Times New Roman"/>
          <w:b/>
          <w:bCs/>
          <w:lang w:val="uk-UA"/>
        </w:rPr>
      </w:pPr>
    </w:p>
    <w:p w:rsidR="00625858" w:rsidRDefault="00625858" w:rsidP="00625858">
      <w:pPr>
        <w:spacing w:after="0" w:line="240" w:lineRule="auto"/>
        <w:rPr>
          <w:rFonts w:ascii="Arial Narrow" w:eastAsia="Times New Roman" w:hAnsi="Arial Narrow" w:cs="Times New Roman"/>
          <w:b/>
          <w:bCs/>
          <w:lang w:val="uk-UA"/>
        </w:rPr>
      </w:pPr>
    </w:p>
    <w:p w:rsidR="00625858" w:rsidRDefault="00625858" w:rsidP="00625858">
      <w:pPr>
        <w:spacing w:after="0" w:line="240" w:lineRule="auto"/>
        <w:rPr>
          <w:rFonts w:ascii="Arial Narrow" w:eastAsia="Times New Roman" w:hAnsi="Arial Narrow" w:cs="Times New Roman"/>
          <w:b/>
          <w:bCs/>
          <w:lang w:val="uk-UA"/>
        </w:rPr>
      </w:pPr>
    </w:p>
    <w:p w:rsidR="00625858" w:rsidRDefault="00625858" w:rsidP="00625858">
      <w:pPr>
        <w:spacing w:after="0" w:line="240" w:lineRule="auto"/>
        <w:rPr>
          <w:rFonts w:ascii="Arial Narrow" w:eastAsia="Times New Roman" w:hAnsi="Arial Narrow" w:cs="Times New Roman"/>
          <w:b/>
          <w:bCs/>
          <w:lang w:val="uk-UA"/>
        </w:rPr>
      </w:pPr>
    </w:p>
    <w:p w:rsidR="00625858" w:rsidRDefault="00625858" w:rsidP="00625858">
      <w:pPr>
        <w:spacing w:after="0" w:line="240" w:lineRule="auto"/>
        <w:jc w:val="center"/>
        <w:rPr>
          <w:rFonts w:ascii="Arial Narrow" w:eastAsia="Times New Roman" w:hAnsi="Arial Narrow" w:cs="Times New Roman"/>
          <w:b/>
          <w:bCs/>
          <w:lang w:val="uk-UA"/>
        </w:rPr>
      </w:pPr>
    </w:p>
    <w:p w:rsidR="00B6356C" w:rsidRPr="006F0D4D" w:rsidRDefault="00553C10" w:rsidP="00625858">
      <w:pPr>
        <w:spacing w:after="0" w:line="240" w:lineRule="auto"/>
        <w:jc w:val="center"/>
        <w:rPr>
          <w:rFonts w:ascii="Arial Narrow" w:eastAsia="Times New Roman" w:hAnsi="Arial Narrow" w:cs="Times New Roman"/>
          <w:bCs/>
          <w:lang w:val="uk-UA"/>
        </w:rPr>
      </w:pPr>
      <w:r w:rsidRPr="006F0D4D">
        <w:rPr>
          <w:rFonts w:ascii="Arial Narrow" w:eastAsia="Times New Roman" w:hAnsi="Arial Narrow" w:cs="Times New Roman"/>
          <w:b/>
          <w:bCs/>
          <w:lang w:val="uk-UA"/>
        </w:rPr>
        <w:t>ДОДАТОК І</w:t>
      </w:r>
      <w:r w:rsidRPr="00625858">
        <w:rPr>
          <w:rFonts w:ascii="Arial Narrow" w:eastAsia="Times New Roman" w:hAnsi="Arial Narrow" w:cs="Times New Roman"/>
          <w:b/>
          <w:bCs/>
          <w:lang w:val="uk-UA"/>
        </w:rPr>
        <w:t xml:space="preserve"> – </w:t>
      </w:r>
      <w:r w:rsidRPr="006F0D4D">
        <w:rPr>
          <w:rFonts w:ascii="Arial Narrow" w:eastAsia="Times New Roman" w:hAnsi="Arial Narrow" w:cs="Times New Roman"/>
          <w:b/>
          <w:bCs/>
          <w:lang w:val="uk-UA"/>
        </w:rPr>
        <w:t>ОПИС ДІЯЛЬНОСТІ</w:t>
      </w:r>
    </w:p>
    <w:p w:rsidR="0070679F" w:rsidRDefault="0070679F" w:rsidP="00625858">
      <w:pPr>
        <w:spacing w:after="0" w:line="240" w:lineRule="auto"/>
        <w:jc w:val="center"/>
        <w:rPr>
          <w:rFonts w:ascii="Arial Narrow" w:eastAsia="Times New Roman" w:hAnsi="Arial Narrow" w:cs="Times New Roman"/>
          <w:bCs/>
          <w:i/>
          <w:highlight w:val="yellow"/>
          <w:lang w:val="uk-UA"/>
        </w:rPr>
      </w:pPr>
    </w:p>
    <w:p w:rsidR="00553C10" w:rsidRPr="006F0D4D" w:rsidRDefault="003D7508" w:rsidP="00625858">
      <w:pPr>
        <w:spacing w:after="0" w:line="240" w:lineRule="auto"/>
        <w:jc w:val="center"/>
        <w:rPr>
          <w:rFonts w:ascii="Arial Narrow" w:eastAsia="Times New Roman" w:hAnsi="Arial Narrow" w:cs="Times New Roman"/>
          <w:bCs/>
          <w:i/>
          <w:lang w:val="uk-UA"/>
        </w:rPr>
      </w:pPr>
      <w:bookmarkStart w:id="0" w:name="_GoBack"/>
      <w:bookmarkEnd w:id="0"/>
      <w:r>
        <w:rPr>
          <w:rFonts w:ascii="Arial Narrow" w:eastAsia="Times New Roman" w:hAnsi="Arial Narrow" w:cs="Times New Roman"/>
          <w:bCs/>
          <w:i/>
          <w:highlight w:val="yellow"/>
          <w:lang w:val="uk-UA"/>
        </w:rPr>
        <w:t>Описати</w:t>
      </w:r>
      <w:r w:rsidR="00553C10" w:rsidRPr="006F0D4D">
        <w:rPr>
          <w:rFonts w:ascii="Arial Narrow" w:eastAsia="Times New Roman" w:hAnsi="Arial Narrow" w:cs="Times New Roman"/>
          <w:bCs/>
          <w:i/>
          <w:highlight w:val="yellow"/>
          <w:lang w:val="uk-UA"/>
        </w:rPr>
        <w:t xml:space="preserve"> діяльність</w:t>
      </w:r>
    </w:p>
    <w:p w:rsidR="00553C10" w:rsidRPr="006F0D4D" w:rsidRDefault="00553C10" w:rsidP="00553C10">
      <w:pPr>
        <w:spacing w:after="0" w:line="240" w:lineRule="auto"/>
        <w:jc w:val="center"/>
        <w:rPr>
          <w:rFonts w:ascii="Arial Narrow" w:eastAsia="Times New Roman" w:hAnsi="Arial Narrow" w:cs="Times New Roman"/>
          <w:bCs/>
          <w:i/>
          <w:lang w:val="uk-UA"/>
        </w:rPr>
      </w:pPr>
    </w:p>
    <w:p w:rsidR="00553C10" w:rsidRPr="006F0D4D" w:rsidRDefault="00553C10">
      <w:pPr>
        <w:rPr>
          <w:rFonts w:ascii="Arial Narrow" w:eastAsia="Times New Roman" w:hAnsi="Arial Narrow" w:cs="Times New Roman"/>
          <w:bCs/>
          <w:i/>
          <w:lang w:val="uk-UA"/>
        </w:rPr>
      </w:pPr>
      <w:r w:rsidRPr="006F0D4D">
        <w:rPr>
          <w:rFonts w:ascii="Arial Narrow" w:eastAsia="Times New Roman" w:hAnsi="Arial Narrow" w:cs="Times New Roman"/>
          <w:bCs/>
          <w:i/>
          <w:lang w:val="uk-UA"/>
        </w:rPr>
        <w:br w:type="page"/>
      </w:r>
    </w:p>
    <w:p w:rsidR="00553C10" w:rsidRPr="006F0D4D" w:rsidRDefault="00553C10" w:rsidP="00553C10">
      <w:pPr>
        <w:spacing w:after="0" w:line="240" w:lineRule="auto"/>
        <w:jc w:val="center"/>
        <w:rPr>
          <w:rFonts w:ascii="Arial Narrow" w:eastAsia="Times New Roman" w:hAnsi="Arial Narrow" w:cs="Times New Roman"/>
          <w:b/>
          <w:bCs/>
          <w:lang w:val="uk-UA"/>
        </w:rPr>
      </w:pPr>
      <w:r w:rsidRPr="006F0D4D">
        <w:rPr>
          <w:rFonts w:ascii="Arial Narrow" w:eastAsia="Times New Roman" w:hAnsi="Arial Narrow" w:cs="Times New Roman"/>
          <w:b/>
          <w:bCs/>
          <w:lang w:val="uk-UA"/>
        </w:rPr>
        <w:lastRenderedPageBreak/>
        <w:t>ДОДАТОК І</w:t>
      </w:r>
      <w:r w:rsidRPr="006F0D4D">
        <w:rPr>
          <w:rFonts w:ascii="Arial Narrow" w:eastAsia="Times New Roman" w:hAnsi="Arial Narrow" w:cs="Times New Roman"/>
          <w:b/>
          <w:bCs/>
        </w:rPr>
        <w:t>I</w:t>
      </w:r>
      <w:r w:rsidRPr="006F0D4D">
        <w:rPr>
          <w:rFonts w:ascii="Arial Narrow" w:eastAsia="Times New Roman" w:hAnsi="Arial Narrow" w:cs="Times New Roman"/>
          <w:b/>
          <w:bCs/>
          <w:lang w:val="uk-UA"/>
        </w:rPr>
        <w:t xml:space="preserve"> – </w:t>
      </w:r>
      <w:r w:rsidR="00625858">
        <w:rPr>
          <w:rFonts w:ascii="Arial Narrow" w:eastAsia="Times New Roman" w:hAnsi="Arial Narrow" w:cs="Times New Roman"/>
          <w:b/>
          <w:bCs/>
          <w:lang w:val="uk-UA"/>
        </w:rPr>
        <w:t xml:space="preserve">ПОПЕРЕДНІЙ </w:t>
      </w:r>
      <w:r w:rsidRPr="006F0D4D">
        <w:rPr>
          <w:rFonts w:ascii="Arial Narrow" w:eastAsia="Times New Roman" w:hAnsi="Arial Narrow" w:cs="Times New Roman"/>
          <w:b/>
          <w:bCs/>
          <w:lang w:val="uk-UA"/>
        </w:rPr>
        <w:t>БЮДЖЕТ</w:t>
      </w:r>
    </w:p>
    <w:p w:rsidR="00553C10" w:rsidRPr="006F0D4D" w:rsidRDefault="00553C10" w:rsidP="00553C10">
      <w:pPr>
        <w:spacing w:after="0" w:line="240" w:lineRule="auto"/>
        <w:jc w:val="center"/>
        <w:rPr>
          <w:rFonts w:ascii="Arial Narrow" w:eastAsia="Times New Roman" w:hAnsi="Arial Narrow" w:cs="Times New Roman"/>
          <w:b/>
          <w:bCs/>
          <w:lang w:val="uk-UA"/>
        </w:rPr>
      </w:pPr>
    </w:p>
    <w:p w:rsidR="00553C10" w:rsidRPr="00625858" w:rsidRDefault="00553C10" w:rsidP="00553C10">
      <w:pPr>
        <w:spacing w:after="0" w:line="240" w:lineRule="auto"/>
        <w:jc w:val="center"/>
        <w:rPr>
          <w:rFonts w:ascii="Arial Narrow" w:eastAsia="Times New Roman" w:hAnsi="Arial Narrow" w:cs="Times New Roman"/>
          <w:bCs/>
          <w:i/>
          <w:lang w:val="uk-UA"/>
        </w:rPr>
      </w:pPr>
      <w:r w:rsidRPr="006F0D4D">
        <w:rPr>
          <w:rFonts w:ascii="Arial Narrow" w:eastAsia="Times New Roman" w:hAnsi="Arial Narrow" w:cs="Times New Roman"/>
          <w:bCs/>
          <w:i/>
          <w:highlight w:val="yellow"/>
          <w:lang w:val="uk-UA"/>
        </w:rPr>
        <w:t xml:space="preserve">Додати </w:t>
      </w:r>
      <w:r w:rsidR="00625858">
        <w:rPr>
          <w:rFonts w:ascii="Arial Narrow" w:eastAsia="Times New Roman" w:hAnsi="Arial Narrow" w:cs="Times New Roman"/>
          <w:bCs/>
          <w:i/>
          <w:highlight w:val="yellow"/>
          <w:lang w:val="uk-UA"/>
        </w:rPr>
        <w:t xml:space="preserve">попередній </w:t>
      </w:r>
      <w:r w:rsidRPr="006F0D4D">
        <w:rPr>
          <w:rFonts w:ascii="Arial Narrow" w:eastAsia="Times New Roman" w:hAnsi="Arial Narrow" w:cs="Times New Roman"/>
          <w:bCs/>
          <w:i/>
          <w:highlight w:val="yellow"/>
          <w:lang w:val="uk-UA"/>
        </w:rPr>
        <w:t>бюджет</w:t>
      </w:r>
    </w:p>
    <w:p w:rsidR="00B91191" w:rsidRPr="006F0D4D" w:rsidRDefault="00B91191" w:rsidP="00625858">
      <w:pPr>
        <w:jc w:val="center"/>
        <w:rPr>
          <w:rFonts w:ascii="Arial Narrow" w:hAnsi="Arial Narrow"/>
          <w:b/>
          <w:lang w:val="uk-UA"/>
        </w:rPr>
      </w:pPr>
      <w:r w:rsidRPr="00625858">
        <w:rPr>
          <w:rFonts w:ascii="Arial Narrow" w:eastAsia="Times New Roman" w:hAnsi="Arial Narrow" w:cs="Times New Roman"/>
          <w:bCs/>
          <w:i/>
          <w:highlight w:val="yellow"/>
          <w:lang w:val="uk-UA"/>
        </w:rPr>
        <w:br w:type="page"/>
      </w:r>
      <w:r w:rsidRPr="006F0D4D">
        <w:rPr>
          <w:rFonts w:ascii="Arial Narrow" w:hAnsi="Arial Narrow"/>
          <w:b/>
          <w:lang w:val="uk-UA"/>
        </w:rPr>
        <w:lastRenderedPageBreak/>
        <w:t>ДОДАТОК ІІІ – ЗРАЗОК ФІНАНСОВОГО ЗВІТУ</w:t>
      </w:r>
    </w:p>
    <w:p w:rsidR="00B91191" w:rsidRPr="006F0D4D" w:rsidRDefault="00107A10" w:rsidP="00B91191">
      <w:pPr>
        <w:ind w:left="567"/>
        <w:jc w:val="center"/>
        <w:rPr>
          <w:rFonts w:ascii="Arial Narrow" w:eastAsia="Times New Roman" w:hAnsi="Arial Narrow" w:cs="Times New Roman"/>
          <w:bCs/>
          <w:i/>
          <w:highlight w:val="yellow"/>
          <w:lang w:val="uk-UA"/>
        </w:rPr>
      </w:pPr>
      <w:r w:rsidRPr="006F0D4D">
        <w:rPr>
          <w:rFonts w:ascii="Arial Narrow" w:eastAsia="Times New Roman" w:hAnsi="Arial Narrow" w:cs="Times New Roman"/>
          <w:bCs/>
          <w:i/>
          <w:highlight w:val="yellow"/>
          <w:lang w:val="uk-UA"/>
        </w:rPr>
        <w:t>Додати зразок фінансового звіту</w:t>
      </w:r>
    </w:p>
    <w:p w:rsidR="00B91191" w:rsidRPr="00625858" w:rsidRDefault="00B91191" w:rsidP="00B91191">
      <w:pPr>
        <w:jc w:val="center"/>
        <w:rPr>
          <w:rFonts w:ascii="Arial Narrow" w:hAnsi="Arial Narrow"/>
          <w:b/>
          <w:lang w:val="uk-UA"/>
        </w:rPr>
      </w:pPr>
    </w:p>
    <w:p w:rsidR="00B91191" w:rsidRPr="00625858" w:rsidRDefault="00B91191" w:rsidP="00553C10">
      <w:pPr>
        <w:spacing w:after="0" w:line="240" w:lineRule="auto"/>
        <w:jc w:val="center"/>
        <w:rPr>
          <w:rFonts w:ascii="Arial Narrow" w:eastAsia="Times New Roman" w:hAnsi="Arial Narrow" w:cs="Times New Roman"/>
          <w:bCs/>
          <w:i/>
          <w:lang w:val="uk-UA"/>
        </w:rPr>
      </w:pPr>
    </w:p>
    <w:sectPr w:rsidR="00B91191" w:rsidRPr="00625858" w:rsidSect="00B278CE">
      <w:footerReference w:type="even" r:id="rId9"/>
      <w:footerReference w:type="default" r:id="rId10"/>
      <w:headerReference w:type="first" r:id="rId11"/>
      <w:footerReference w:type="first" r:id="rId12"/>
      <w:pgSz w:w="11906" w:h="16838" w:code="9"/>
      <w:pgMar w:top="230" w:right="562" w:bottom="562" w:left="1138" w:header="130" w:footer="7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CD" w:rsidRDefault="006869CD" w:rsidP="00B6356C">
      <w:pPr>
        <w:spacing w:after="0" w:line="240" w:lineRule="auto"/>
      </w:pPr>
      <w:r>
        <w:separator/>
      </w:r>
    </w:p>
  </w:endnote>
  <w:endnote w:type="continuationSeparator" w:id="0">
    <w:p w:rsidR="006869CD" w:rsidRDefault="006869CD" w:rsidP="00B6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052770"/>
      <w:docPartObj>
        <w:docPartGallery w:val="Page Numbers (Bottom of Page)"/>
        <w:docPartUnique/>
      </w:docPartObj>
    </w:sdtPr>
    <w:sdtEndPr>
      <w:rPr>
        <w:rFonts w:ascii="Garamond" w:hAnsi="Garamond"/>
        <w:noProof/>
      </w:rPr>
    </w:sdtEndPr>
    <w:sdtContent>
      <w:p w:rsidR="006869CD" w:rsidRPr="001A7EBB" w:rsidRDefault="006869CD">
        <w:pPr>
          <w:pStyle w:val="Footer"/>
          <w:jc w:val="center"/>
          <w:rPr>
            <w:rFonts w:ascii="Garamond" w:hAnsi="Garamond"/>
          </w:rPr>
        </w:pPr>
        <w:r w:rsidRPr="001A7EBB">
          <w:rPr>
            <w:rFonts w:ascii="Garamond" w:hAnsi="Garamond"/>
          </w:rPr>
          <w:fldChar w:fldCharType="begin"/>
        </w:r>
        <w:r w:rsidRPr="001A7EBB">
          <w:rPr>
            <w:rFonts w:ascii="Garamond" w:hAnsi="Garamond"/>
          </w:rPr>
          <w:instrText xml:space="preserve"> PAGE   \* MERGEFORMAT </w:instrText>
        </w:r>
        <w:r w:rsidRPr="001A7EBB">
          <w:rPr>
            <w:rFonts w:ascii="Garamond" w:hAnsi="Garamond"/>
          </w:rPr>
          <w:fldChar w:fldCharType="separate"/>
        </w:r>
        <w:r>
          <w:rPr>
            <w:rFonts w:ascii="Garamond" w:hAnsi="Garamond"/>
            <w:noProof/>
          </w:rPr>
          <w:t>6</w:t>
        </w:r>
        <w:r w:rsidRPr="001A7EBB">
          <w:rPr>
            <w:rFonts w:ascii="Garamond" w:hAnsi="Garamond"/>
            <w:noProof/>
          </w:rPr>
          <w:fldChar w:fldCharType="end"/>
        </w:r>
      </w:p>
    </w:sdtContent>
  </w:sdt>
  <w:p w:rsidR="006869CD" w:rsidRDefault="00686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1903557152"/>
      <w:docPartObj>
        <w:docPartGallery w:val="Page Numbers (Bottom of Page)"/>
        <w:docPartUnique/>
      </w:docPartObj>
    </w:sdtPr>
    <w:sdtEndPr>
      <w:rPr>
        <w:noProof/>
      </w:rPr>
    </w:sdtEndPr>
    <w:sdtContent>
      <w:p w:rsidR="006869CD" w:rsidRDefault="006869CD">
        <w:pPr>
          <w:pStyle w:val="Footer"/>
          <w:jc w:val="center"/>
          <w:rPr>
            <w:rFonts w:ascii="Garamond" w:hAnsi="Garamond"/>
            <w:lang w:val="uk-UA"/>
          </w:rPr>
        </w:pPr>
      </w:p>
      <w:p w:rsidR="006869CD" w:rsidRPr="001A7EBB" w:rsidRDefault="006869CD">
        <w:pPr>
          <w:pStyle w:val="Footer"/>
          <w:jc w:val="center"/>
          <w:rPr>
            <w:rFonts w:ascii="Garamond" w:hAnsi="Garamond"/>
          </w:rPr>
        </w:pPr>
        <w:r w:rsidRPr="001A7EBB">
          <w:rPr>
            <w:rFonts w:ascii="Garamond" w:hAnsi="Garamond"/>
          </w:rPr>
          <w:fldChar w:fldCharType="begin"/>
        </w:r>
        <w:r w:rsidRPr="001A7EBB">
          <w:rPr>
            <w:rFonts w:ascii="Garamond" w:hAnsi="Garamond"/>
          </w:rPr>
          <w:instrText xml:space="preserve"> PAGE   \* MERGEFORMAT </w:instrText>
        </w:r>
        <w:r w:rsidRPr="001A7EBB">
          <w:rPr>
            <w:rFonts w:ascii="Garamond" w:hAnsi="Garamond"/>
          </w:rPr>
          <w:fldChar w:fldCharType="separate"/>
        </w:r>
        <w:r w:rsidR="0070679F">
          <w:rPr>
            <w:rFonts w:ascii="Garamond" w:hAnsi="Garamond"/>
            <w:noProof/>
          </w:rPr>
          <w:t>10</w:t>
        </w:r>
        <w:r w:rsidRPr="001A7EBB">
          <w:rPr>
            <w:rFonts w:ascii="Garamond" w:hAnsi="Garamond"/>
            <w:noProof/>
          </w:rPr>
          <w:fldChar w:fldCharType="end"/>
        </w:r>
      </w:p>
    </w:sdtContent>
  </w:sdt>
  <w:p w:rsidR="006869CD" w:rsidRDefault="006869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60407"/>
      <w:docPartObj>
        <w:docPartGallery w:val="Page Numbers (Bottom of Page)"/>
        <w:docPartUnique/>
      </w:docPartObj>
    </w:sdtPr>
    <w:sdtEndPr>
      <w:rPr>
        <w:rFonts w:ascii="Garamond" w:hAnsi="Garamond"/>
        <w:noProof/>
      </w:rPr>
    </w:sdtEndPr>
    <w:sdtContent>
      <w:p w:rsidR="006869CD" w:rsidRPr="001A7EBB" w:rsidRDefault="006869CD">
        <w:pPr>
          <w:pStyle w:val="Footer"/>
          <w:jc w:val="center"/>
          <w:rPr>
            <w:rFonts w:ascii="Garamond" w:hAnsi="Garamond"/>
          </w:rPr>
        </w:pPr>
        <w:r w:rsidRPr="001A7EBB">
          <w:rPr>
            <w:rFonts w:ascii="Garamond" w:hAnsi="Garamond"/>
          </w:rPr>
          <w:fldChar w:fldCharType="begin"/>
        </w:r>
        <w:r w:rsidRPr="001A7EBB">
          <w:rPr>
            <w:rFonts w:ascii="Garamond" w:hAnsi="Garamond"/>
          </w:rPr>
          <w:instrText xml:space="preserve"> PAGE   \* MERGEFORMAT </w:instrText>
        </w:r>
        <w:r w:rsidRPr="001A7EBB">
          <w:rPr>
            <w:rFonts w:ascii="Garamond" w:hAnsi="Garamond"/>
          </w:rPr>
          <w:fldChar w:fldCharType="separate"/>
        </w:r>
        <w:r w:rsidR="0070679F">
          <w:rPr>
            <w:rFonts w:ascii="Garamond" w:hAnsi="Garamond"/>
            <w:noProof/>
          </w:rPr>
          <w:t>1</w:t>
        </w:r>
        <w:r w:rsidRPr="001A7EBB">
          <w:rPr>
            <w:rFonts w:ascii="Garamond" w:hAnsi="Garamond"/>
            <w:noProof/>
          </w:rPr>
          <w:fldChar w:fldCharType="end"/>
        </w:r>
      </w:p>
    </w:sdtContent>
  </w:sdt>
  <w:p w:rsidR="006869CD" w:rsidRDefault="00686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CD" w:rsidRDefault="006869CD" w:rsidP="00B6356C">
      <w:pPr>
        <w:spacing w:after="0" w:line="240" w:lineRule="auto"/>
      </w:pPr>
      <w:r>
        <w:separator/>
      </w:r>
    </w:p>
  </w:footnote>
  <w:footnote w:type="continuationSeparator" w:id="0">
    <w:p w:rsidR="006869CD" w:rsidRDefault="006869CD" w:rsidP="00B6356C">
      <w:pPr>
        <w:spacing w:after="0" w:line="240" w:lineRule="auto"/>
      </w:pPr>
      <w:r>
        <w:continuationSeparator/>
      </w:r>
    </w:p>
  </w:footnote>
  <w:footnote w:id="1">
    <w:p w:rsidR="00B06AB1" w:rsidRPr="00330169" w:rsidRDefault="00B06AB1" w:rsidP="00B06AB1">
      <w:pPr>
        <w:pStyle w:val="FootnoteText"/>
        <w:jc w:val="both"/>
        <w:rPr>
          <w:rFonts w:ascii="Garamond" w:hAnsi="Garamond"/>
          <w:sz w:val="16"/>
          <w:szCs w:val="16"/>
          <w:lang w:val="uk-UA"/>
        </w:rPr>
      </w:pPr>
      <w:r w:rsidRPr="00C17A4B">
        <w:rPr>
          <w:rStyle w:val="FootnoteReference"/>
          <w:rFonts w:ascii="Garamond" w:hAnsi="Garamond"/>
          <w:sz w:val="16"/>
          <w:szCs w:val="16"/>
        </w:rPr>
        <w:footnoteRef/>
      </w:r>
      <w:r w:rsidRPr="00C17A4B">
        <w:rPr>
          <w:rFonts w:ascii="Garamond" w:hAnsi="Garamond"/>
          <w:sz w:val="16"/>
          <w:szCs w:val="16"/>
          <w:lang w:val="ru-RU"/>
        </w:rPr>
        <w:t xml:space="preserve"> </w:t>
      </w:r>
      <w:r w:rsidRPr="00C17A4B">
        <w:rPr>
          <w:rFonts w:ascii="Garamond" w:hAnsi="Garamond"/>
          <w:sz w:val="16"/>
          <w:szCs w:val="16"/>
          <w:lang w:val="uk-UA"/>
        </w:rPr>
        <w:t>Усі звіти повинні, якщо тільки інше не узгоджено сторонами, подаватися на одній з офіційних мов Ради Європи (англійська або французька)</w:t>
      </w:r>
      <w:r>
        <w:rPr>
          <w:rFonts w:ascii="Garamond" w:hAnsi="Garamond"/>
          <w:sz w:val="16"/>
          <w:szCs w:val="16"/>
          <w:lang w:val="uk-UA"/>
        </w:rPr>
        <w:t xml:space="preserve"> </w:t>
      </w:r>
    </w:p>
  </w:footnote>
  <w:footnote w:id="2">
    <w:p w:rsidR="00B06AB1" w:rsidRPr="002F5140" w:rsidRDefault="00B06AB1" w:rsidP="00B06AB1">
      <w:pPr>
        <w:pStyle w:val="FootnoteText"/>
        <w:jc w:val="both"/>
        <w:rPr>
          <w:rFonts w:ascii="Garamond" w:hAnsi="Garamond"/>
          <w:sz w:val="16"/>
          <w:szCs w:val="16"/>
          <w:lang w:val="uk-UA"/>
        </w:rPr>
      </w:pPr>
      <w:r w:rsidRPr="002F5140">
        <w:rPr>
          <w:rStyle w:val="FootnoteReference"/>
          <w:rFonts w:ascii="Garamond" w:hAnsi="Garamond"/>
          <w:sz w:val="16"/>
          <w:szCs w:val="16"/>
        </w:rPr>
        <w:footnoteRef/>
      </w:r>
      <w:r w:rsidRPr="005B69E5">
        <w:rPr>
          <w:rFonts w:ascii="Garamond" w:hAnsi="Garamond"/>
          <w:sz w:val="16"/>
          <w:szCs w:val="16"/>
          <w:lang w:val="uk-UA"/>
        </w:rPr>
        <w:t xml:space="preserve"> </w:t>
      </w:r>
      <w:r w:rsidRPr="002F5140">
        <w:rPr>
          <w:rFonts w:ascii="Garamond" w:hAnsi="Garamond"/>
          <w:sz w:val="16"/>
          <w:szCs w:val="16"/>
          <w:lang w:val="uk-UA"/>
        </w:rPr>
        <w:t xml:space="preserve">«Оригінали відповідних підтверджуючих документів» стосуються підписаних контрактів, рахунків та прийняття робіт (для всіх транзакцій), платіжні доручення для всіх транзакцій також мають бути надані у випадку, якщо Грантоотримувач дотримується такої практики, а також надійні докази платежу (платіжне доручення або банківська виписка). Стосовно круглих столів/конференцій, передбачається, що програма має містити серед іншого назву, дати, місце проведення, порядок денний заходу, імена експертів, які беруть участь у заході, список учасників з їх підписами, контракти з місцем проведення заходу (наприклад, готель) щодо оренди залу, забезпечення учасників їжею та напоями, рахунки з місця проведення заходу щодо надання зазначених послуг, а також звіт щодо результатів заходу. Стосовно консультаційних послуг, передбачається надання доказів досягнутих результатів, контрактів з експертами та консультантами, що містять конкретний опис послуг, які мають бути надані, рахунки щодо виконаної роботи (спеціалізація консультантів повинна відповідати природі заходів, для яких вони залучаються). Стосовно витрат на проїзд/проживання експертів та учасників, передбачається, у випадках, коли це доречно, надання контрактів з агенцією з транспортних послуг щодо витрат на проїзд та проживання, рахунки від такої агенції із зазначенням місця прибуття, дат, витрат на квитки та імена подорожуючих осіб, програма заходу із зазначенням імені експертів та список учасників з їх підписами. Цей перелік не є вичерпним. У разі виникнення будь-яких сумнівів щодо тлумачення терміну «оригінали відповідних підтверджуючих документів», Грантоотримувач має проконсультуватися з Радою Європи.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CD" w:rsidRDefault="006869CD">
    <w:pPr>
      <w:rPr>
        <w:noProof/>
      </w:rPr>
    </w:pPr>
  </w:p>
  <w:p w:rsidR="006869CD" w:rsidRDefault="006869CD">
    <w:pPr>
      <w:rPr>
        <w:lang w:val="uk-UA"/>
      </w:rPr>
    </w:pPr>
  </w:p>
  <w:tbl>
    <w:tblPr>
      <w:tblStyle w:val="TableGrid"/>
      <w:tblW w:w="0" w:type="auto"/>
      <w:tblInd w:w="108" w:type="dxa"/>
      <w:tblLook w:val="04A0" w:firstRow="1" w:lastRow="0" w:firstColumn="1" w:lastColumn="0" w:noHBand="0" w:noVBand="1"/>
    </w:tblPr>
    <w:tblGrid>
      <w:gridCol w:w="1276"/>
      <w:gridCol w:w="992"/>
    </w:tblGrid>
    <w:tr w:rsidR="006869CD" w:rsidTr="00005CE9">
      <w:tc>
        <w:tcPr>
          <w:tcW w:w="1276" w:type="dxa"/>
        </w:tcPr>
        <w:p w:rsidR="006869CD" w:rsidRPr="00AD019F" w:rsidRDefault="006869CD" w:rsidP="00AD019F">
          <w:pPr>
            <w:tabs>
              <w:tab w:val="left" w:pos="8853"/>
            </w:tabs>
            <w:rPr>
              <w:lang w:val="en-GB"/>
            </w:rPr>
          </w:pPr>
          <w:r>
            <w:rPr>
              <w:lang w:val="en-GB"/>
            </w:rPr>
            <w:t xml:space="preserve">Ref No: </w:t>
          </w:r>
        </w:p>
      </w:tc>
      <w:tc>
        <w:tcPr>
          <w:tcW w:w="992" w:type="dxa"/>
        </w:tcPr>
        <w:sdt>
          <w:sdtPr>
            <w:rPr>
              <w:rStyle w:val="Style1"/>
              <w:rFonts w:ascii="Arial Narrow" w:hAnsi="Arial Narrow"/>
              <w:sz w:val="22"/>
              <w:lang w:val="fr-FR"/>
            </w:rPr>
            <w:id w:val="-1737238792"/>
            <w:showingPlcHdr/>
          </w:sdtPr>
          <w:sdtEndPr>
            <w:rPr>
              <w:rStyle w:val="DefaultParagraphFont"/>
              <w:color w:val="auto"/>
              <w:sz w:val="20"/>
            </w:rPr>
          </w:sdtEndPr>
          <w:sdtContent>
            <w:p w:rsidR="006869CD" w:rsidRPr="00AD019F" w:rsidRDefault="006869CD" w:rsidP="00AD019F">
              <w:pPr>
                <w:rPr>
                  <w:rStyle w:val="Style1"/>
                  <w:rFonts w:ascii="Arial Narrow" w:hAnsi="Arial Narrow"/>
                  <w:sz w:val="22"/>
                  <w:szCs w:val="22"/>
                  <w:lang w:val="fr-FR" w:eastAsia="en-US"/>
                </w:rPr>
              </w:pPr>
              <w:r w:rsidRPr="00AD019F">
                <w:rPr>
                  <w:rFonts w:ascii="Arial Narrow" w:hAnsi="Arial Narrow"/>
                  <w:color w:val="808080" w:themeColor="background1" w:themeShade="80"/>
                  <w:sz w:val="22"/>
                  <w:szCs w:val="22"/>
                  <w:lang w:val="fr-FR"/>
                </w:rPr>
                <w:t>&lt;N°&gt;</w:t>
              </w:r>
            </w:p>
          </w:sdtContent>
        </w:sdt>
        <w:p w:rsidR="006869CD" w:rsidRPr="00AD019F" w:rsidRDefault="006869CD" w:rsidP="00AD019F">
          <w:pPr>
            <w:tabs>
              <w:tab w:val="left" w:pos="8853"/>
            </w:tabs>
            <w:rPr>
              <w:lang w:val="uk-UA"/>
            </w:rPr>
          </w:pPr>
        </w:p>
      </w:tc>
    </w:tr>
    <w:tr w:rsidR="006869CD" w:rsidTr="00005CE9">
      <w:tc>
        <w:tcPr>
          <w:tcW w:w="1276" w:type="dxa"/>
        </w:tcPr>
        <w:p w:rsidR="006869CD" w:rsidRPr="00AD019F" w:rsidRDefault="006869CD" w:rsidP="00AD019F">
          <w:pPr>
            <w:tabs>
              <w:tab w:val="left" w:pos="8853"/>
            </w:tabs>
            <w:rPr>
              <w:lang w:val="en-GB"/>
            </w:rPr>
          </w:pPr>
          <w:r>
            <w:rPr>
              <w:lang w:val="en-GB"/>
            </w:rPr>
            <w:t>FIMS PO No:</w:t>
          </w:r>
        </w:p>
      </w:tc>
      <w:tc>
        <w:tcPr>
          <w:tcW w:w="992" w:type="dxa"/>
        </w:tcPr>
        <w:sdt>
          <w:sdtPr>
            <w:rPr>
              <w:rStyle w:val="Style1"/>
              <w:rFonts w:ascii="Arial Narrow" w:hAnsi="Arial Narrow"/>
              <w:sz w:val="22"/>
              <w:lang w:val="fr-FR"/>
            </w:rPr>
            <w:id w:val="1057828185"/>
            <w:showingPlcHdr/>
          </w:sdtPr>
          <w:sdtEndPr>
            <w:rPr>
              <w:rStyle w:val="DefaultParagraphFont"/>
              <w:color w:val="auto"/>
              <w:sz w:val="20"/>
            </w:rPr>
          </w:sdtEndPr>
          <w:sdtContent>
            <w:p w:rsidR="006869CD" w:rsidRPr="00AD019F" w:rsidRDefault="006869CD" w:rsidP="00AD019F">
              <w:pPr>
                <w:rPr>
                  <w:rStyle w:val="Style1"/>
                  <w:rFonts w:ascii="Arial Narrow" w:hAnsi="Arial Narrow"/>
                  <w:sz w:val="22"/>
                  <w:szCs w:val="22"/>
                  <w:lang w:val="fr-FR" w:eastAsia="en-US"/>
                </w:rPr>
              </w:pPr>
              <w:r w:rsidRPr="00AD019F">
                <w:rPr>
                  <w:rFonts w:ascii="Arial Narrow" w:hAnsi="Arial Narrow"/>
                  <w:color w:val="808080" w:themeColor="background1" w:themeShade="80"/>
                  <w:sz w:val="22"/>
                  <w:szCs w:val="22"/>
                  <w:lang w:val="fr-FR"/>
                </w:rPr>
                <w:t>&lt;N°&gt;</w:t>
              </w:r>
            </w:p>
          </w:sdtContent>
        </w:sdt>
        <w:p w:rsidR="006869CD" w:rsidRPr="00AD019F" w:rsidRDefault="006869CD" w:rsidP="00AD019F">
          <w:pPr>
            <w:tabs>
              <w:tab w:val="left" w:pos="8853"/>
            </w:tabs>
            <w:rPr>
              <w:lang w:val="uk-UA"/>
            </w:rPr>
          </w:pPr>
        </w:p>
      </w:tc>
    </w:tr>
    <w:tr w:rsidR="006869CD" w:rsidTr="00005CE9">
      <w:tc>
        <w:tcPr>
          <w:tcW w:w="1276" w:type="dxa"/>
        </w:tcPr>
        <w:p w:rsidR="006869CD" w:rsidRPr="00AD019F" w:rsidRDefault="006869CD" w:rsidP="00AD019F">
          <w:pPr>
            <w:tabs>
              <w:tab w:val="left" w:pos="8853"/>
            </w:tabs>
            <w:rPr>
              <w:lang w:val="en-GB"/>
            </w:rPr>
          </w:pPr>
          <w:r>
            <w:rPr>
              <w:lang w:val="en-GB"/>
            </w:rPr>
            <w:t>CEAD No:</w:t>
          </w:r>
        </w:p>
      </w:tc>
      <w:tc>
        <w:tcPr>
          <w:tcW w:w="992" w:type="dxa"/>
        </w:tcPr>
        <w:sdt>
          <w:sdtPr>
            <w:rPr>
              <w:rStyle w:val="Style1"/>
              <w:rFonts w:ascii="Arial Narrow" w:hAnsi="Arial Narrow"/>
              <w:sz w:val="22"/>
              <w:lang w:val="fr-FR"/>
            </w:rPr>
            <w:id w:val="-1735848120"/>
            <w:showingPlcHdr/>
          </w:sdtPr>
          <w:sdtEndPr>
            <w:rPr>
              <w:rStyle w:val="DefaultParagraphFont"/>
              <w:color w:val="auto"/>
              <w:sz w:val="20"/>
            </w:rPr>
          </w:sdtEndPr>
          <w:sdtContent>
            <w:p w:rsidR="006869CD" w:rsidRPr="00AD019F" w:rsidRDefault="006869CD" w:rsidP="00AD019F">
              <w:pPr>
                <w:rPr>
                  <w:rStyle w:val="Style1"/>
                  <w:rFonts w:ascii="Arial Narrow" w:hAnsi="Arial Narrow"/>
                  <w:sz w:val="22"/>
                  <w:szCs w:val="22"/>
                  <w:lang w:val="fr-FR" w:eastAsia="en-US"/>
                </w:rPr>
              </w:pPr>
              <w:r w:rsidRPr="00AD019F">
                <w:rPr>
                  <w:rFonts w:ascii="Arial Narrow" w:hAnsi="Arial Narrow"/>
                  <w:color w:val="808080" w:themeColor="background1" w:themeShade="80"/>
                  <w:sz w:val="22"/>
                  <w:szCs w:val="22"/>
                  <w:lang w:val="fr-FR"/>
                </w:rPr>
                <w:t>&lt;N°&gt;</w:t>
              </w:r>
            </w:p>
          </w:sdtContent>
        </w:sdt>
        <w:p w:rsidR="006869CD" w:rsidRPr="00AD019F" w:rsidRDefault="006869CD" w:rsidP="00AD019F">
          <w:pPr>
            <w:tabs>
              <w:tab w:val="left" w:pos="8853"/>
            </w:tabs>
            <w:rPr>
              <w:lang w:val="uk-UA"/>
            </w:rPr>
          </w:pPr>
        </w:p>
      </w:tc>
    </w:tr>
  </w:tbl>
  <w:p w:rsidR="006869CD" w:rsidRPr="00702DAD" w:rsidRDefault="006869CD" w:rsidP="00AD019F">
    <w:pPr>
      <w:tabs>
        <w:tab w:val="left" w:pos="8853"/>
      </w:tabs>
      <w:rPr>
        <w:lang w:val="uk-UA"/>
      </w:rPr>
    </w:pPr>
    <w:r>
      <w:rPr>
        <w:lang w:val="uk-UA"/>
      </w:rPr>
      <w:tab/>
    </w:r>
    <w:r w:rsidRPr="0008289A">
      <w:rPr>
        <w:rFonts w:ascii="Arial Narrow" w:hAnsi="Arial Narrow"/>
        <w:noProof/>
      </w:rPr>
      <w:drawing>
        <wp:anchor distT="0" distB="0" distL="114300" distR="114300" simplePos="0" relativeHeight="251659264" behindDoc="0" locked="1" layoutInCell="1" allowOverlap="1" wp14:anchorId="0AA6A9AB" wp14:editId="36C7BC6B">
          <wp:simplePos x="0" y="0"/>
          <wp:positionH relativeFrom="page">
            <wp:posOffset>5831205</wp:posOffset>
          </wp:positionH>
          <wp:positionV relativeFrom="page">
            <wp:posOffset>474980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6869CD" w:rsidTr="00B6356C">
      <w:tc>
        <w:tcPr>
          <w:tcW w:w="5210" w:type="dxa"/>
        </w:tcPr>
        <w:p w:rsidR="006869CD" w:rsidRPr="00B278CE" w:rsidRDefault="006869CD" w:rsidP="00B278CE">
          <w:pPr>
            <w:tabs>
              <w:tab w:val="left" w:pos="851"/>
            </w:tabs>
            <w:jc w:val="both"/>
            <w:rPr>
              <w:rFonts w:ascii="Garamond" w:hAnsi="Garamond"/>
              <w:lang w:val="en-US"/>
            </w:rPr>
          </w:pPr>
        </w:p>
      </w:tc>
      <w:tc>
        <w:tcPr>
          <w:tcW w:w="5211" w:type="dxa"/>
        </w:tcPr>
        <w:p w:rsidR="006869CD" w:rsidRDefault="006869CD" w:rsidP="00B6356C">
          <w:pPr>
            <w:tabs>
              <w:tab w:val="left" w:pos="851"/>
            </w:tabs>
            <w:jc w:val="right"/>
            <w:rPr>
              <w:rFonts w:ascii="Garamond" w:hAnsi="Garamond"/>
            </w:rPr>
          </w:pPr>
        </w:p>
      </w:tc>
    </w:tr>
  </w:tbl>
  <w:p w:rsidR="006869CD" w:rsidRPr="009D2A3E" w:rsidRDefault="006869CD">
    <w:pPr>
      <w:pStyle w:val="Head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6B6"/>
    <w:multiLevelType w:val="hybridMultilevel"/>
    <w:tmpl w:val="7C486996"/>
    <w:lvl w:ilvl="0" w:tplc="408CBB20">
      <w:start w:val="1"/>
      <w:numFmt w:val="lowerLetter"/>
      <w:lvlText w:val="%1)"/>
      <w:lvlJc w:val="left"/>
      <w:pPr>
        <w:ind w:left="783" w:hanging="360"/>
      </w:pPr>
      <w:rPr>
        <w:rFonts w:ascii="Garamond" w:eastAsia="Times New Roman" w:hAnsi="Garamond" w:cs="Times New Roman"/>
        <w:lang w:val="uk-UA"/>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
    <w:nsid w:val="05497ECB"/>
    <w:multiLevelType w:val="hybridMultilevel"/>
    <w:tmpl w:val="FC7003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97975"/>
    <w:multiLevelType w:val="hybridMultilevel"/>
    <w:tmpl w:val="B14ADD0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EA27FC"/>
    <w:multiLevelType w:val="hybridMultilevel"/>
    <w:tmpl w:val="4D3A309C"/>
    <w:lvl w:ilvl="0" w:tplc="0194CEEA">
      <w:start w:val="1"/>
      <w:numFmt w:val="decimal"/>
      <w:lvlText w:val="%1."/>
      <w:lvlJc w:val="left"/>
      <w:pPr>
        <w:ind w:left="720" w:hanging="360"/>
      </w:pPr>
      <w:rPr>
        <w:rFonts w:hint="default"/>
      </w:rPr>
    </w:lvl>
    <w:lvl w:ilvl="1" w:tplc="3E4A2A88">
      <w:start w:val="1"/>
      <w:numFmt w:val="bullet"/>
      <w:lvlText w:val="-"/>
      <w:lvlJc w:val="left"/>
      <w:pPr>
        <w:ind w:left="1440" w:hanging="360"/>
      </w:pPr>
      <w:rPr>
        <w:rFonts w:ascii="Garamond" w:eastAsia="Times New Roman" w:hAnsi="Garamond"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F4D9E"/>
    <w:multiLevelType w:val="hybridMultilevel"/>
    <w:tmpl w:val="959AE262"/>
    <w:lvl w:ilvl="0" w:tplc="04090017">
      <w:start w:val="1"/>
      <w:numFmt w:val="lowerLetter"/>
      <w:lvlText w:val="%1)"/>
      <w:lvlJc w:val="left"/>
      <w:pPr>
        <w:ind w:left="1033" w:hanging="360"/>
      </w:pPr>
    </w:lvl>
    <w:lvl w:ilvl="1" w:tplc="786EAF36">
      <w:start w:val="1"/>
      <w:numFmt w:val="decimal"/>
      <w:lvlText w:val="%2."/>
      <w:lvlJc w:val="left"/>
      <w:pPr>
        <w:ind w:left="2113" w:hanging="720"/>
      </w:pPr>
      <w:rPr>
        <w:rFonts w:hint="default"/>
      </w:r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5">
    <w:nsid w:val="0EAB7277"/>
    <w:multiLevelType w:val="hybridMultilevel"/>
    <w:tmpl w:val="07B27442"/>
    <w:lvl w:ilvl="0" w:tplc="E3B40D20">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6">
    <w:nsid w:val="10B516E2"/>
    <w:multiLevelType w:val="multilevel"/>
    <w:tmpl w:val="E5A81E0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14F2B9C"/>
    <w:multiLevelType w:val="hybridMultilevel"/>
    <w:tmpl w:val="2C12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A2619"/>
    <w:multiLevelType w:val="hybridMultilevel"/>
    <w:tmpl w:val="1F426892"/>
    <w:lvl w:ilvl="0" w:tplc="E01AF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C7DCC"/>
    <w:multiLevelType w:val="hybridMultilevel"/>
    <w:tmpl w:val="33E647F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362D97"/>
    <w:multiLevelType w:val="hybridMultilevel"/>
    <w:tmpl w:val="0EB81F8A"/>
    <w:lvl w:ilvl="0" w:tplc="0409000F">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566E480A">
      <w:start w:val="1"/>
      <w:numFmt w:val="lowerLetter"/>
      <w:lvlText w:val="%3)"/>
      <w:lvlJc w:val="left"/>
      <w:pPr>
        <w:ind w:left="2122" w:hanging="360"/>
      </w:pPr>
      <w:rPr>
        <w:rFonts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194D47B3"/>
    <w:multiLevelType w:val="hybridMultilevel"/>
    <w:tmpl w:val="03DEBD36"/>
    <w:lvl w:ilvl="0" w:tplc="2FA07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D718A5"/>
    <w:multiLevelType w:val="hybridMultilevel"/>
    <w:tmpl w:val="F3A6C408"/>
    <w:lvl w:ilvl="0" w:tplc="3A1EEA4C">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3">
    <w:nsid w:val="22E67E56"/>
    <w:multiLevelType w:val="hybridMultilevel"/>
    <w:tmpl w:val="307451F8"/>
    <w:lvl w:ilvl="0" w:tplc="9FC49F00">
      <w:start w:val="1"/>
      <w:numFmt w:val="decimal"/>
      <w:lvlText w:val="%1."/>
      <w:lvlJc w:val="left"/>
      <w:pPr>
        <w:ind w:left="718" w:hanging="405"/>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4">
    <w:nsid w:val="22FC4549"/>
    <w:multiLevelType w:val="hybridMultilevel"/>
    <w:tmpl w:val="F574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453542"/>
    <w:multiLevelType w:val="hybridMultilevel"/>
    <w:tmpl w:val="7F42A2AC"/>
    <w:lvl w:ilvl="0" w:tplc="348EB0C4">
      <w:start w:val="1"/>
      <w:numFmt w:val="decimal"/>
      <w:lvlText w:val="%1."/>
      <w:lvlJc w:val="left"/>
      <w:pPr>
        <w:ind w:left="720" w:hanging="360"/>
      </w:pPr>
      <w:rPr>
        <w:rFonts w:hint="default"/>
        <w:b w:val="0"/>
        <w:sz w:val="22"/>
        <w:szCs w:val="22"/>
      </w:rPr>
    </w:lvl>
    <w:lvl w:ilvl="1" w:tplc="BF4EA9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1496E"/>
    <w:multiLevelType w:val="hybridMultilevel"/>
    <w:tmpl w:val="9D16D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460A95"/>
    <w:multiLevelType w:val="hybridMultilevel"/>
    <w:tmpl w:val="8354D1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D4E5318"/>
    <w:multiLevelType w:val="hybridMultilevel"/>
    <w:tmpl w:val="EDA45CBC"/>
    <w:lvl w:ilvl="0" w:tplc="1E3C5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7262F"/>
    <w:multiLevelType w:val="hybridMultilevel"/>
    <w:tmpl w:val="D53E5ED6"/>
    <w:lvl w:ilvl="0" w:tplc="2348E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173AE"/>
    <w:multiLevelType w:val="hybridMultilevel"/>
    <w:tmpl w:val="1E7E1D2A"/>
    <w:lvl w:ilvl="0" w:tplc="4BE4C86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52A96"/>
    <w:multiLevelType w:val="hybridMultilevel"/>
    <w:tmpl w:val="F86E5924"/>
    <w:lvl w:ilvl="0" w:tplc="3D343D58">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2B6E3F"/>
    <w:multiLevelType w:val="hybridMultilevel"/>
    <w:tmpl w:val="71CC1CC0"/>
    <w:lvl w:ilvl="0" w:tplc="FFFFFFFF">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B3D4F7C"/>
    <w:multiLevelType w:val="hybridMultilevel"/>
    <w:tmpl w:val="BB72A22C"/>
    <w:lvl w:ilvl="0" w:tplc="EE6430A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F55EB6"/>
    <w:multiLevelType w:val="hybridMultilevel"/>
    <w:tmpl w:val="EFD693EE"/>
    <w:lvl w:ilvl="0" w:tplc="8BEA2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B66579"/>
    <w:multiLevelType w:val="hybridMultilevel"/>
    <w:tmpl w:val="1E7849EA"/>
    <w:lvl w:ilvl="0" w:tplc="E3B40D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6B00522"/>
    <w:multiLevelType w:val="hybridMultilevel"/>
    <w:tmpl w:val="22BE2E30"/>
    <w:lvl w:ilvl="0" w:tplc="72D6F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87E80"/>
    <w:multiLevelType w:val="hybridMultilevel"/>
    <w:tmpl w:val="87C878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980ADD"/>
    <w:multiLevelType w:val="hybridMultilevel"/>
    <w:tmpl w:val="13AE3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E36E56"/>
    <w:multiLevelType w:val="hybridMultilevel"/>
    <w:tmpl w:val="53789514"/>
    <w:lvl w:ilvl="0" w:tplc="E3B40D20">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nsid w:val="58AA3031"/>
    <w:multiLevelType w:val="hybridMultilevel"/>
    <w:tmpl w:val="6D9EAA9A"/>
    <w:lvl w:ilvl="0" w:tplc="758ACFF8">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637F8D"/>
    <w:multiLevelType w:val="hybridMultilevel"/>
    <w:tmpl w:val="996E7A84"/>
    <w:lvl w:ilvl="0" w:tplc="A0BAA086">
      <w:start w:val="4"/>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2E6FF8"/>
    <w:multiLevelType w:val="hybridMultilevel"/>
    <w:tmpl w:val="C0A89F2C"/>
    <w:lvl w:ilvl="0" w:tplc="0409000F">
      <w:start w:val="2"/>
      <w:numFmt w:val="decimal"/>
      <w:lvlText w:val="%1."/>
      <w:lvlJc w:val="left"/>
      <w:pPr>
        <w:tabs>
          <w:tab w:val="num" w:pos="360"/>
        </w:tabs>
        <w:ind w:left="360" w:hanging="360"/>
      </w:pPr>
      <w:rPr>
        <w:rFonts w:cs="Times New Roman" w:hint="default"/>
        <w:lang w:val="ru-RU"/>
      </w:rPr>
    </w:lvl>
    <w:lvl w:ilvl="1" w:tplc="A48623B8">
      <w:start w:val="8"/>
      <w:numFmt w:val="bullet"/>
      <w:lvlText w:val="–"/>
      <w:lvlJc w:val="left"/>
      <w:pPr>
        <w:tabs>
          <w:tab w:val="num" w:pos="1080"/>
        </w:tabs>
        <w:ind w:left="1080" w:hanging="360"/>
      </w:pPr>
      <w:rPr>
        <w:rFonts w:ascii="Garamond" w:eastAsia="SimSun" w:hAnsi="Garamond"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5CFF645F"/>
    <w:multiLevelType w:val="hybridMultilevel"/>
    <w:tmpl w:val="5FBAD262"/>
    <w:lvl w:ilvl="0" w:tplc="3C585C2C">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35">
    <w:nsid w:val="60C06BDC"/>
    <w:multiLevelType w:val="singleLevel"/>
    <w:tmpl w:val="491645B6"/>
    <w:lvl w:ilvl="0">
      <w:start w:val="1"/>
      <w:numFmt w:val="decimal"/>
      <w:lvlText w:val="%1."/>
      <w:lvlJc w:val="left"/>
      <w:pPr>
        <w:tabs>
          <w:tab w:val="num" w:pos="705"/>
        </w:tabs>
        <w:ind w:left="705" w:hanging="705"/>
      </w:pPr>
      <w:rPr>
        <w:rFonts w:ascii="Garamond" w:hAnsi="Garamond" w:hint="default"/>
        <w:sz w:val="24"/>
      </w:rPr>
    </w:lvl>
  </w:abstractNum>
  <w:abstractNum w:abstractNumId="36">
    <w:nsid w:val="69967E57"/>
    <w:multiLevelType w:val="hybridMultilevel"/>
    <w:tmpl w:val="3550A08C"/>
    <w:lvl w:ilvl="0" w:tplc="04090017">
      <w:start w:val="1"/>
      <w:numFmt w:val="low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7">
    <w:nsid w:val="6B641FD4"/>
    <w:multiLevelType w:val="hybridMultilevel"/>
    <w:tmpl w:val="6240AB4C"/>
    <w:lvl w:ilvl="0" w:tplc="D736E596">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38">
    <w:nsid w:val="6BE20D73"/>
    <w:multiLevelType w:val="hybridMultilevel"/>
    <w:tmpl w:val="BE428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360A2A"/>
    <w:multiLevelType w:val="hybridMultilevel"/>
    <w:tmpl w:val="394A347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7963C2"/>
    <w:multiLevelType w:val="multilevel"/>
    <w:tmpl w:val="AAAE8A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6EC66E6C"/>
    <w:multiLevelType w:val="hybridMultilevel"/>
    <w:tmpl w:val="F508FB82"/>
    <w:lvl w:ilvl="0" w:tplc="E3B40D20">
      <w:start w:val="1"/>
      <w:numFmt w:val="bullet"/>
      <w:lvlText w:val=""/>
      <w:lvlJc w:val="left"/>
      <w:pPr>
        <w:tabs>
          <w:tab w:val="num" w:pos="1421"/>
        </w:tabs>
        <w:ind w:left="1421" w:hanging="570"/>
      </w:pPr>
      <w:rPr>
        <w:rFonts w:ascii="Symbol" w:hAnsi="Symbol"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42">
    <w:nsid w:val="721E32FE"/>
    <w:multiLevelType w:val="hybridMultilevel"/>
    <w:tmpl w:val="061A8E26"/>
    <w:lvl w:ilvl="0" w:tplc="2DDEEB20">
      <w:start w:val="2"/>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AA2011"/>
    <w:multiLevelType w:val="hybridMultilevel"/>
    <w:tmpl w:val="E9BECCF4"/>
    <w:lvl w:ilvl="0" w:tplc="BC06C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B77F3A"/>
    <w:multiLevelType w:val="hybridMultilevel"/>
    <w:tmpl w:val="66B80900"/>
    <w:lvl w:ilvl="0" w:tplc="E3B40D20">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45">
    <w:nsid w:val="77C6414A"/>
    <w:multiLevelType w:val="hybridMultilevel"/>
    <w:tmpl w:val="DCB0EB0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D1662A"/>
    <w:multiLevelType w:val="hybridMultilevel"/>
    <w:tmpl w:val="8154EF5E"/>
    <w:lvl w:ilvl="0" w:tplc="BC06C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805670"/>
    <w:multiLevelType w:val="hybridMultilevel"/>
    <w:tmpl w:val="FAA40344"/>
    <w:lvl w:ilvl="0" w:tplc="BC06C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02FB6"/>
    <w:multiLevelType w:val="hybridMultilevel"/>
    <w:tmpl w:val="7728C980"/>
    <w:lvl w:ilvl="0" w:tplc="B3847ED8">
      <w:start w:val="1"/>
      <w:numFmt w:val="lowerLetter"/>
      <w:lvlText w:val="%1)"/>
      <w:lvlJc w:val="left"/>
      <w:pPr>
        <w:ind w:left="720" w:hanging="360"/>
      </w:pPr>
      <w:rPr>
        <w:rFonts w:ascii="Garamond" w:eastAsia="Times New Roman" w:hAnsi="Garamond" w:cs="Times New Roman" w:hint="default"/>
      </w:rPr>
    </w:lvl>
    <w:lvl w:ilvl="1" w:tplc="AFF278E4">
      <w:start w:val="1"/>
      <w:numFmt w:val="decimal"/>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9"/>
  </w:num>
  <w:num w:numId="4">
    <w:abstractNumId w:val="15"/>
  </w:num>
  <w:num w:numId="5">
    <w:abstractNumId w:val="41"/>
  </w:num>
  <w:num w:numId="6">
    <w:abstractNumId w:val="6"/>
  </w:num>
  <w:num w:numId="7">
    <w:abstractNumId w:val="20"/>
  </w:num>
  <w:num w:numId="8">
    <w:abstractNumId w:val="10"/>
  </w:num>
  <w:num w:numId="9">
    <w:abstractNumId w:val="49"/>
  </w:num>
  <w:num w:numId="10">
    <w:abstractNumId w:val="38"/>
  </w:num>
  <w:num w:numId="11">
    <w:abstractNumId w:val="47"/>
  </w:num>
  <w:num w:numId="12">
    <w:abstractNumId w:val="35"/>
  </w:num>
  <w:num w:numId="13">
    <w:abstractNumId w:val="40"/>
  </w:num>
  <w:num w:numId="14">
    <w:abstractNumId w:val="7"/>
  </w:num>
  <w:num w:numId="15">
    <w:abstractNumId w:val="14"/>
  </w:num>
  <w:num w:numId="16">
    <w:abstractNumId w:val="21"/>
  </w:num>
  <w:num w:numId="17">
    <w:abstractNumId w:val="36"/>
  </w:num>
  <w:num w:numId="18">
    <w:abstractNumId w:val="22"/>
  </w:num>
  <w:num w:numId="19">
    <w:abstractNumId w:val="26"/>
  </w:num>
  <w:num w:numId="20">
    <w:abstractNumId w:val="1"/>
  </w:num>
  <w:num w:numId="21">
    <w:abstractNumId w:val="23"/>
  </w:num>
  <w:num w:numId="22">
    <w:abstractNumId w:val="30"/>
  </w:num>
  <w:num w:numId="23">
    <w:abstractNumId w:val="24"/>
  </w:num>
  <w:num w:numId="24">
    <w:abstractNumId w:val="31"/>
  </w:num>
  <w:num w:numId="25">
    <w:abstractNumId w:val="4"/>
  </w:num>
  <w:num w:numId="26">
    <w:abstractNumId w:val="17"/>
  </w:num>
  <w:num w:numId="27">
    <w:abstractNumId w:val="29"/>
  </w:num>
  <w:num w:numId="28">
    <w:abstractNumId w:val="28"/>
  </w:num>
  <w:num w:numId="29">
    <w:abstractNumId w:val="18"/>
  </w:num>
  <w:num w:numId="30">
    <w:abstractNumId w:val="0"/>
  </w:num>
  <w:num w:numId="31">
    <w:abstractNumId w:val="3"/>
  </w:num>
  <w:num w:numId="32">
    <w:abstractNumId w:val="44"/>
  </w:num>
  <w:num w:numId="33">
    <w:abstractNumId w:val="25"/>
  </w:num>
  <w:num w:numId="34">
    <w:abstractNumId w:val="39"/>
  </w:num>
  <w:num w:numId="35">
    <w:abstractNumId w:val="11"/>
  </w:num>
  <w:num w:numId="36">
    <w:abstractNumId w:val="27"/>
  </w:num>
  <w:num w:numId="37">
    <w:abstractNumId w:val="42"/>
  </w:num>
  <w:num w:numId="38">
    <w:abstractNumId w:val="32"/>
  </w:num>
  <w:num w:numId="39">
    <w:abstractNumId w:val="43"/>
  </w:num>
  <w:num w:numId="40">
    <w:abstractNumId w:val="48"/>
  </w:num>
  <w:num w:numId="41">
    <w:abstractNumId w:val="13"/>
  </w:num>
  <w:num w:numId="42">
    <w:abstractNumId w:val="46"/>
  </w:num>
  <w:num w:numId="43">
    <w:abstractNumId w:val="45"/>
  </w:num>
  <w:num w:numId="44">
    <w:abstractNumId w:val="12"/>
  </w:num>
  <w:num w:numId="45">
    <w:abstractNumId w:val="19"/>
  </w:num>
  <w:num w:numId="46">
    <w:abstractNumId w:val="34"/>
  </w:num>
  <w:num w:numId="47">
    <w:abstractNumId w:val="37"/>
  </w:num>
  <w:num w:numId="48">
    <w:abstractNumId w:val="8"/>
  </w:num>
  <w:num w:numId="49">
    <w:abstractNumId w:val="5"/>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6C"/>
    <w:rsid w:val="00005CE9"/>
    <w:rsid w:val="0001046D"/>
    <w:rsid w:val="00015309"/>
    <w:rsid w:val="00023CB6"/>
    <w:rsid w:val="00023E28"/>
    <w:rsid w:val="000F2677"/>
    <w:rsid w:val="00107A10"/>
    <w:rsid w:val="0012545B"/>
    <w:rsid w:val="00193982"/>
    <w:rsid w:val="001B0F80"/>
    <w:rsid w:val="001D4C3F"/>
    <w:rsid w:val="00214AC8"/>
    <w:rsid w:val="00222443"/>
    <w:rsid w:val="00252FAF"/>
    <w:rsid w:val="00266418"/>
    <w:rsid w:val="002C0839"/>
    <w:rsid w:val="0030661D"/>
    <w:rsid w:val="0035093E"/>
    <w:rsid w:val="003516CE"/>
    <w:rsid w:val="003630DA"/>
    <w:rsid w:val="003A6EC5"/>
    <w:rsid w:val="003D7508"/>
    <w:rsid w:val="003F07F4"/>
    <w:rsid w:val="00401817"/>
    <w:rsid w:val="00425093"/>
    <w:rsid w:val="004F768C"/>
    <w:rsid w:val="00506814"/>
    <w:rsid w:val="0051197B"/>
    <w:rsid w:val="0052578B"/>
    <w:rsid w:val="0054108C"/>
    <w:rsid w:val="00553C10"/>
    <w:rsid w:val="00577A7F"/>
    <w:rsid w:val="00592AD3"/>
    <w:rsid w:val="005A7784"/>
    <w:rsid w:val="005D5F84"/>
    <w:rsid w:val="005E5DFB"/>
    <w:rsid w:val="006224D5"/>
    <w:rsid w:val="00625858"/>
    <w:rsid w:val="0063059A"/>
    <w:rsid w:val="00661913"/>
    <w:rsid w:val="006869CD"/>
    <w:rsid w:val="006F0D4D"/>
    <w:rsid w:val="0070679F"/>
    <w:rsid w:val="00746DC7"/>
    <w:rsid w:val="00754677"/>
    <w:rsid w:val="007852B8"/>
    <w:rsid w:val="007E0DF8"/>
    <w:rsid w:val="00820926"/>
    <w:rsid w:val="00847A90"/>
    <w:rsid w:val="0089047A"/>
    <w:rsid w:val="00897D17"/>
    <w:rsid w:val="008D6AF4"/>
    <w:rsid w:val="009107F7"/>
    <w:rsid w:val="009212CA"/>
    <w:rsid w:val="00990E61"/>
    <w:rsid w:val="009C5A98"/>
    <w:rsid w:val="009D0147"/>
    <w:rsid w:val="00A055B5"/>
    <w:rsid w:val="00A113F3"/>
    <w:rsid w:val="00A54836"/>
    <w:rsid w:val="00A96718"/>
    <w:rsid w:val="00AD019F"/>
    <w:rsid w:val="00AE7A73"/>
    <w:rsid w:val="00B06AB1"/>
    <w:rsid w:val="00B125A3"/>
    <w:rsid w:val="00B15264"/>
    <w:rsid w:val="00B278CE"/>
    <w:rsid w:val="00B6356C"/>
    <w:rsid w:val="00B6368F"/>
    <w:rsid w:val="00B76714"/>
    <w:rsid w:val="00B82149"/>
    <w:rsid w:val="00B91191"/>
    <w:rsid w:val="00B97BE3"/>
    <w:rsid w:val="00BE687E"/>
    <w:rsid w:val="00BF1FC7"/>
    <w:rsid w:val="00C17A4B"/>
    <w:rsid w:val="00C219CB"/>
    <w:rsid w:val="00C5572F"/>
    <w:rsid w:val="00C71B6E"/>
    <w:rsid w:val="00CB372C"/>
    <w:rsid w:val="00CC0E1D"/>
    <w:rsid w:val="00CF54F1"/>
    <w:rsid w:val="00D544DB"/>
    <w:rsid w:val="00D85CF1"/>
    <w:rsid w:val="00D8737A"/>
    <w:rsid w:val="00DA3343"/>
    <w:rsid w:val="00DB007F"/>
    <w:rsid w:val="00DB7C9B"/>
    <w:rsid w:val="00E00077"/>
    <w:rsid w:val="00E01A4D"/>
    <w:rsid w:val="00E47807"/>
    <w:rsid w:val="00E54E8E"/>
    <w:rsid w:val="00EE0FD3"/>
    <w:rsid w:val="00EE4F2E"/>
    <w:rsid w:val="00F05462"/>
    <w:rsid w:val="00F45DDD"/>
    <w:rsid w:val="00F7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56C"/>
  </w:style>
  <w:style w:type="paragraph" w:styleId="Footer">
    <w:name w:val="footer"/>
    <w:basedOn w:val="Normal"/>
    <w:link w:val="FooterChar"/>
    <w:uiPriority w:val="99"/>
    <w:semiHidden/>
    <w:unhideWhenUsed/>
    <w:rsid w:val="00B635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356C"/>
  </w:style>
  <w:style w:type="paragraph" w:styleId="FootnoteText">
    <w:name w:val="footnote text"/>
    <w:basedOn w:val="Normal"/>
    <w:link w:val="FootnoteTextChar"/>
    <w:uiPriority w:val="99"/>
    <w:semiHidden/>
    <w:unhideWhenUsed/>
    <w:rsid w:val="00B635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56C"/>
    <w:rPr>
      <w:sz w:val="20"/>
      <w:szCs w:val="20"/>
    </w:rPr>
  </w:style>
  <w:style w:type="character" w:styleId="FootnoteReference">
    <w:name w:val="footnote reference"/>
    <w:semiHidden/>
    <w:rsid w:val="00B6356C"/>
    <w:rPr>
      <w:vertAlign w:val="superscript"/>
    </w:rPr>
  </w:style>
  <w:style w:type="table" w:styleId="TableGrid">
    <w:name w:val="Table Grid"/>
    <w:basedOn w:val="TableNormal"/>
    <w:rsid w:val="00B6356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6C"/>
    <w:rPr>
      <w:rFonts w:ascii="Tahoma" w:hAnsi="Tahoma" w:cs="Tahoma"/>
      <w:sz w:val="16"/>
      <w:szCs w:val="16"/>
    </w:rPr>
  </w:style>
  <w:style w:type="paragraph" w:styleId="ListParagraph">
    <w:name w:val="List Paragraph"/>
    <w:basedOn w:val="Normal"/>
    <w:uiPriority w:val="34"/>
    <w:qFormat/>
    <w:rsid w:val="00B6356C"/>
    <w:pPr>
      <w:ind w:left="720"/>
      <w:contextualSpacing/>
    </w:pPr>
  </w:style>
  <w:style w:type="character" w:styleId="Hyperlink">
    <w:name w:val="Hyperlink"/>
    <w:basedOn w:val="DefaultParagraphFont"/>
    <w:uiPriority w:val="99"/>
    <w:unhideWhenUsed/>
    <w:rsid w:val="00B6356C"/>
    <w:rPr>
      <w:color w:val="0000FF" w:themeColor="hyperlink"/>
      <w:u w:val="single"/>
    </w:rPr>
  </w:style>
  <w:style w:type="character" w:customStyle="1" w:styleId="shorttext">
    <w:name w:val="short_text"/>
    <w:basedOn w:val="DefaultParagraphFont"/>
    <w:rsid w:val="00897D17"/>
  </w:style>
  <w:style w:type="character" w:customStyle="1" w:styleId="Style1">
    <w:name w:val="Style1"/>
    <w:basedOn w:val="DefaultParagraphFont"/>
    <w:rsid w:val="00AD019F"/>
    <w:rPr>
      <w:rFonts w:ascii="Garamond" w:hAnsi="Garamond"/>
      <w:color w:val="000000" w:themeColor="text1"/>
      <w:sz w:val="20"/>
    </w:rPr>
  </w:style>
  <w:style w:type="paragraph" w:styleId="BodyText3">
    <w:name w:val="Body Text 3"/>
    <w:basedOn w:val="Normal"/>
    <w:link w:val="BodyText3Char"/>
    <w:rsid w:val="00506814"/>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basedOn w:val="DefaultParagraphFont"/>
    <w:link w:val="BodyText3"/>
    <w:rsid w:val="00506814"/>
    <w:rPr>
      <w:rFonts w:ascii="Times New Roman" w:eastAsia="Times New Roman" w:hAnsi="Times New Roman" w:cs="Times New Roman"/>
      <w:sz w:val="16"/>
      <w:szCs w:val="16"/>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56C"/>
  </w:style>
  <w:style w:type="paragraph" w:styleId="Footer">
    <w:name w:val="footer"/>
    <w:basedOn w:val="Normal"/>
    <w:link w:val="FooterChar"/>
    <w:uiPriority w:val="99"/>
    <w:semiHidden/>
    <w:unhideWhenUsed/>
    <w:rsid w:val="00B635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356C"/>
  </w:style>
  <w:style w:type="paragraph" w:styleId="FootnoteText">
    <w:name w:val="footnote text"/>
    <w:basedOn w:val="Normal"/>
    <w:link w:val="FootnoteTextChar"/>
    <w:uiPriority w:val="99"/>
    <w:semiHidden/>
    <w:unhideWhenUsed/>
    <w:rsid w:val="00B635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56C"/>
    <w:rPr>
      <w:sz w:val="20"/>
      <w:szCs w:val="20"/>
    </w:rPr>
  </w:style>
  <w:style w:type="character" w:styleId="FootnoteReference">
    <w:name w:val="footnote reference"/>
    <w:semiHidden/>
    <w:rsid w:val="00B6356C"/>
    <w:rPr>
      <w:vertAlign w:val="superscript"/>
    </w:rPr>
  </w:style>
  <w:style w:type="table" w:styleId="TableGrid">
    <w:name w:val="Table Grid"/>
    <w:basedOn w:val="TableNormal"/>
    <w:rsid w:val="00B6356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6C"/>
    <w:rPr>
      <w:rFonts w:ascii="Tahoma" w:hAnsi="Tahoma" w:cs="Tahoma"/>
      <w:sz w:val="16"/>
      <w:szCs w:val="16"/>
    </w:rPr>
  </w:style>
  <w:style w:type="paragraph" w:styleId="ListParagraph">
    <w:name w:val="List Paragraph"/>
    <w:basedOn w:val="Normal"/>
    <w:uiPriority w:val="34"/>
    <w:qFormat/>
    <w:rsid w:val="00B6356C"/>
    <w:pPr>
      <w:ind w:left="720"/>
      <w:contextualSpacing/>
    </w:pPr>
  </w:style>
  <w:style w:type="character" w:styleId="Hyperlink">
    <w:name w:val="Hyperlink"/>
    <w:basedOn w:val="DefaultParagraphFont"/>
    <w:uiPriority w:val="99"/>
    <w:unhideWhenUsed/>
    <w:rsid w:val="00B6356C"/>
    <w:rPr>
      <w:color w:val="0000FF" w:themeColor="hyperlink"/>
      <w:u w:val="single"/>
    </w:rPr>
  </w:style>
  <w:style w:type="character" w:customStyle="1" w:styleId="shorttext">
    <w:name w:val="short_text"/>
    <w:basedOn w:val="DefaultParagraphFont"/>
    <w:rsid w:val="00897D17"/>
  </w:style>
  <w:style w:type="character" w:customStyle="1" w:styleId="Style1">
    <w:name w:val="Style1"/>
    <w:basedOn w:val="DefaultParagraphFont"/>
    <w:rsid w:val="00AD019F"/>
    <w:rPr>
      <w:rFonts w:ascii="Garamond" w:hAnsi="Garamond"/>
      <w:color w:val="000000" w:themeColor="text1"/>
      <w:sz w:val="20"/>
    </w:rPr>
  </w:style>
  <w:style w:type="paragraph" w:styleId="BodyText3">
    <w:name w:val="Body Text 3"/>
    <w:basedOn w:val="Normal"/>
    <w:link w:val="BodyText3Char"/>
    <w:rsid w:val="00506814"/>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basedOn w:val="DefaultParagraphFont"/>
    <w:link w:val="BodyText3"/>
    <w:rsid w:val="00506814"/>
    <w:rPr>
      <w:rFonts w:ascii="Times New Roman" w:eastAsia="Times New Roman" w:hAnsi="Times New Roman" w:cs="Times New Roman"/>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A2C89-5208-4625-BC92-7A8B1F29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4066</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ZUBAR Inna</dc:creator>
  <cp:lastModifiedBy>SHEVCHENKO Olha</cp:lastModifiedBy>
  <cp:revision>14</cp:revision>
  <cp:lastPrinted>2016-09-19T13:40:00Z</cp:lastPrinted>
  <dcterms:created xsi:type="dcterms:W3CDTF">2017-04-21T15:07:00Z</dcterms:created>
  <dcterms:modified xsi:type="dcterms:W3CDTF">2017-04-24T09:49:00Z</dcterms:modified>
</cp:coreProperties>
</file>