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64A6" w14:textId="77777777" w:rsidR="00374C64" w:rsidRPr="008071C0" w:rsidRDefault="00374C64" w:rsidP="008071C0">
      <w:pPr>
        <w:jc w:val="both"/>
        <w:rPr>
          <w:rFonts w:ascii="Tahoma" w:hAnsi="Tahoma" w:cs="Tahoma"/>
          <w:sz w:val="22"/>
          <w:szCs w:val="22"/>
        </w:rPr>
      </w:pPr>
    </w:p>
    <w:p w14:paraId="74EC1B07" w14:textId="77777777" w:rsidR="00374C64" w:rsidRPr="00522584" w:rsidRDefault="00374C64" w:rsidP="00374C64">
      <w:pPr>
        <w:tabs>
          <w:tab w:val="right" w:pos="9026"/>
        </w:tabs>
        <w:jc w:val="both"/>
        <w:rPr>
          <w:rFonts w:ascii="Tahoma" w:hAnsi="Tahoma" w:cs="Tahoma"/>
          <w:sz w:val="22"/>
          <w:szCs w:val="22"/>
          <w:lang w:val="en-GB"/>
        </w:rPr>
      </w:pPr>
    </w:p>
    <w:p w14:paraId="19857CAF" w14:textId="2E2A76AA" w:rsidR="00374C64" w:rsidRPr="002D2E80" w:rsidRDefault="00374C64" w:rsidP="008C1F6F">
      <w:pPr>
        <w:tabs>
          <w:tab w:val="right" w:pos="9026"/>
        </w:tabs>
        <w:rPr>
          <w:rFonts w:asciiTheme="minorHAnsi" w:hAnsiTheme="minorHAnsi" w:cs="Tahoma"/>
          <w:bCs/>
          <w:sz w:val="22"/>
          <w:szCs w:val="22"/>
          <w:lang w:val="fr-FR" w:eastAsia="fr-FR"/>
        </w:rPr>
      </w:pPr>
      <w:r w:rsidRPr="002D2E80">
        <w:rPr>
          <w:rFonts w:asciiTheme="minorHAnsi" w:hAnsiTheme="minorHAnsi" w:cs="Tahoma"/>
          <w:sz w:val="22"/>
          <w:szCs w:val="22"/>
          <w:lang w:val="fr-FR"/>
        </w:rPr>
        <w:t xml:space="preserve">Strasbourg, </w:t>
      </w:r>
      <w:r w:rsidR="002D2E80">
        <w:rPr>
          <w:rFonts w:asciiTheme="minorHAnsi" w:hAnsiTheme="minorHAnsi" w:cs="Tahoma"/>
          <w:sz w:val="22"/>
          <w:szCs w:val="22"/>
          <w:lang w:val="fr-FR"/>
        </w:rPr>
        <w:t xml:space="preserve">17 février </w:t>
      </w:r>
      <w:r w:rsidR="008C1F6F" w:rsidRPr="002D2E80">
        <w:rPr>
          <w:rFonts w:asciiTheme="minorHAnsi" w:hAnsiTheme="minorHAnsi" w:cs="Tahoma"/>
          <w:sz w:val="22"/>
          <w:szCs w:val="22"/>
          <w:lang w:val="fr-FR"/>
        </w:rPr>
        <w:t>2017</w:t>
      </w:r>
      <w:r w:rsidR="00156BE9" w:rsidRPr="002D2E80">
        <w:rPr>
          <w:rFonts w:asciiTheme="minorHAnsi" w:hAnsiTheme="minorHAnsi" w:cs="Tahoma"/>
          <w:sz w:val="22"/>
          <w:szCs w:val="22"/>
          <w:lang w:val="fr-FR"/>
        </w:rPr>
        <w:tab/>
      </w:r>
    </w:p>
    <w:p w14:paraId="310D17EC" w14:textId="77777777" w:rsidR="00374C64" w:rsidRPr="002D2E80" w:rsidRDefault="00374C64" w:rsidP="00374C64">
      <w:pPr>
        <w:pStyle w:val="Title"/>
        <w:tabs>
          <w:tab w:val="center" w:pos="4479"/>
          <w:tab w:val="left" w:pos="6000"/>
        </w:tabs>
        <w:rPr>
          <w:rFonts w:ascii="Tahoma" w:hAnsi="Tahoma" w:cs="Tahoma"/>
          <w:bCs/>
          <w:sz w:val="22"/>
          <w:szCs w:val="22"/>
          <w:lang w:eastAsia="fr-FR"/>
        </w:rPr>
      </w:pPr>
    </w:p>
    <w:p w14:paraId="5E5B841C" w14:textId="77777777" w:rsidR="00374C64" w:rsidRPr="002D2E80" w:rsidRDefault="00374C64" w:rsidP="00374C64">
      <w:pPr>
        <w:pStyle w:val="Title"/>
        <w:tabs>
          <w:tab w:val="center" w:pos="4479"/>
          <w:tab w:val="left" w:pos="6000"/>
        </w:tabs>
        <w:rPr>
          <w:rFonts w:ascii="Tahoma" w:hAnsi="Tahoma" w:cs="Tahoma"/>
          <w:bCs/>
          <w:sz w:val="22"/>
          <w:szCs w:val="22"/>
          <w:lang w:eastAsia="fr-FR"/>
        </w:rPr>
      </w:pPr>
    </w:p>
    <w:p w14:paraId="77E81C08" w14:textId="77777777" w:rsidR="00374C64" w:rsidRPr="002D2E80" w:rsidRDefault="00374C64" w:rsidP="00E133D5">
      <w:pPr>
        <w:pStyle w:val="Title"/>
        <w:tabs>
          <w:tab w:val="center" w:pos="4479"/>
          <w:tab w:val="left" w:pos="6000"/>
        </w:tabs>
        <w:rPr>
          <w:rFonts w:ascii="Tahoma" w:hAnsi="Tahoma" w:cs="Tahoma"/>
          <w:bCs/>
          <w:sz w:val="22"/>
          <w:szCs w:val="22"/>
          <w:lang w:eastAsia="fr-FR"/>
        </w:rPr>
      </w:pPr>
    </w:p>
    <w:p w14:paraId="1E885465" w14:textId="77777777" w:rsidR="00374C64" w:rsidRPr="002D2E80" w:rsidRDefault="00374C64" w:rsidP="00E133D5">
      <w:pPr>
        <w:pStyle w:val="Title"/>
        <w:tabs>
          <w:tab w:val="center" w:pos="4479"/>
          <w:tab w:val="left" w:pos="6000"/>
        </w:tabs>
        <w:rPr>
          <w:rFonts w:ascii="Tahoma" w:hAnsi="Tahoma" w:cs="Tahoma"/>
          <w:bCs/>
          <w:sz w:val="22"/>
          <w:szCs w:val="22"/>
          <w:lang w:eastAsia="fr-FR"/>
        </w:rPr>
      </w:pPr>
    </w:p>
    <w:p w14:paraId="6B8094AD" w14:textId="77777777" w:rsidR="002D2E80" w:rsidRPr="000D3EC0" w:rsidRDefault="002D2E80" w:rsidP="002D2E80">
      <w:pPr>
        <w:spacing w:before="100" w:beforeAutospacing="1" w:after="100" w:afterAutospacing="1"/>
        <w:jc w:val="center"/>
        <w:rPr>
          <w:lang w:val="fr-FR"/>
        </w:rPr>
      </w:pPr>
      <w:r>
        <w:rPr>
          <w:rFonts w:ascii="Calibri" w:hAnsi="Calibri"/>
          <w:b/>
          <w:bCs/>
          <w:color w:val="000000"/>
          <w:sz w:val="28"/>
          <w:szCs w:val="28"/>
          <w:lang w:val="fr-FR"/>
        </w:rPr>
        <w:t>Priorités d</w:t>
      </w:r>
      <w:r w:rsidRPr="000D3EC0">
        <w:rPr>
          <w:rFonts w:ascii="Calibri" w:hAnsi="Calibri"/>
          <w:b/>
          <w:bCs/>
          <w:color w:val="000000"/>
          <w:sz w:val="28"/>
          <w:szCs w:val="28"/>
          <w:lang w:val="fr-FR"/>
        </w:rPr>
        <w:t>u secteur jeunesse du Conseil de l’Europe pour</w:t>
      </w:r>
      <w:r>
        <w:rPr>
          <w:rFonts w:ascii="Calibri" w:hAnsi="Calibri"/>
          <w:b/>
          <w:bCs/>
          <w:color w:val="000000"/>
          <w:sz w:val="28"/>
          <w:szCs w:val="28"/>
          <w:lang w:val="fr-FR"/>
        </w:rPr>
        <w:t xml:space="preserve"> le programme d’activités</w:t>
      </w:r>
      <w:r w:rsidRPr="000D3EC0">
        <w:rPr>
          <w:rFonts w:ascii="Calibri" w:hAnsi="Calibri"/>
          <w:b/>
          <w:bCs/>
          <w:color w:val="000000"/>
          <w:sz w:val="28"/>
          <w:szCs w:val="28"/>
          <w:lang w:val="fr-FR"/>
        </w:rPr>
        <w:t xml:space="preserve"> 2018-2019</w:t>
      </w:r>
    </w:p>
    <w:p w14:paraId="3ED4A8A9" w14:textId="77777777" w:rsidR="002D2E80" w:rsidRPr="000D3EC0" w:rsidRDefault="002D2E80" w:rsidP="002D2E80">
      <w:pPr>
        <w:spacing w:before="100" w:beforeAutospacing="1" w:after="100" w:afterAutospacing="1"/>
        <w:rPr>
          <w:lang w:val="fr-FR"/>
        </w:rPr>
      </w:pPr>
      <w:r w:rsidRPr="000D3EC0">
        <w:rPr>
          <w:rFonts w:ascii="Calibri" w:hAnsi="Calibri"/>
          <w:b/>
          <w:bCs/>
          <w:color w:val="000000"/>
          <w:sz w:val="28"/>
          <w:szCs w:val="28"/>
          <w:lang w:val="fr-FR"/>
        </w:rPr>
        <w:t> </w:t>
      </w:r>
      <w:r w:rsidRPr="000D3EC0">
        <w:rPr>
          <w:lang w:val="fr-FR"/>
        </w:rPr>
        <w:t xml:space="preserve"> </w:t>
      </w:r>
    </w:p>
    <w:p w14:paraId="7F571FF3" w14:textId="77777777" w:rsidR="002D2E80" w:rsidRPr="000D3EC0" w:rsidRDefault="002D2E80" w:rsidP="002D2E80">
      <w:pPr>
        <w:shd w:val="clear" w:color="auto" w:fill="92CDDC" w:themeFill="accent5" w:themeFillTint="99"/>
        <w:spacing w:before="100" w:beforeAutospacing="1" w:after="100" w:afterAutospacing="1"/>
        <w:jc w:val="center"/>
        <w:rPr>
          <w:lang w:val="fr-FR"/>
        </w:rPr>
      </w:pPr>
      <w:r w:rsidRPr="000D3EC0">
        <w:rPr>
          <w:rFonts w:ascii="Calibri" w:hAnsi="Calibri"/>
          <w:b/>
          <w:bCs/>
          <w:color w:val="000000"/>
          <w:sz w:val="28"/>
          <w:szCs w:val="28"/>
          <w:lang w:val="fr-FR"/>
        </w:rPr>
        <w:t> </w:t>
      </w:r>
      <w:r w:rsidRPr="000D3EC0">
        <w:rPr>
          <w:lang w:val="fr-FR"/>
        </w:rPr>
        <w:t xml:space="preserve"> </w:t>
      </w:r>
    </w:p>
    <w:p w14:paraId="4C71B532" w14:textId="77777777" w:rsidR="002D2E80" w:rsidRPr="00F42AED" w:rsidRDefault="002D2E80" w:rsidP="002D2E80">
      <w:pPr>
        <w:shd w:val="clear" w:color="auto" w:fill="92CDDC" w:themeFill="accent5" w:themeFillTint="99"/>
        <w:spacing w:before="100" w:beforeAutospacing="1" w:after="100" w:afterAutospacing="1"/>
        <w:jc w:val="center"/>
        <w:rPr>
          <w:lang w:val="fr-FR"/>
        </w:rPr>
      </w:pPr>
      <w:r>
        <w:rPr>
          <w:rFonts w:ascii="Calibri" w:hAnsi="Calibri"/>
          <w:b/>
          <w:bCs/>
          <w:color w:val="000000"/>
          <w:sz w:val="28"/>
          <w:szCs w:val="28"/>
          <w:lang w:val="fr-FR"/>
        </w:rPr>
        <w:t xml:space="preserve">Directives pour la soumission des </w:t>
      </w:r>
      <w:r w:rsidRPr="000D3EC0">
        <w:rPr>
          <w:rFonts w:ascii="Calibri" w:hAnsi="Calibri"/>
          <w:b/>
          <w:bCs/>
          <w:color w:val="000000"/>
          <w:sz w:val="28"/>
          <w:szCs w:val="28"/>
          <w:lang w:val="fr-FR"/>
        </w:rPr>
        <w:t>demande</w:t>
      </w:r>
      <w:r>
        <w:rPr>
          <w:rFonts w:ascii="Calibri" w:hAnsi="Calibri"/>
          <w:b/>
          <w:bCs/>
          <w:color w:val="000000"/>
          <w:sz w:val="28"/>
          <w:szCs w:val="28"/>
          <w:lang w:val="fr-FR"/>
        </w:rPr>
        <w:t>s</w:t>
      </w:r>
      <w:r w:rsidRPr="000D3EC0">
        <w:rPr>
          <w:rFonts w:ascii="Calibri" w:hAnsi="Calibri"/>
          <w:b/>
          <w:bCs/>
          <w:color w:val="000000"/>
          <w:sz w:val="28"/>
          <w:szCs w:val="28"/>
          <w:lang w:val="fr-FR"/>
        </w:rPr>
        <w:t xml:space="preserve"> de subvention </w:t>
      </w:r>
      <w:r>
        <w:rPr>
          <w:rFonts w:ascii="Calibri" w:hAnsi="Calibri"/>
          <w:b/>
          <w:bCs/>
          <w:color w:val="000000"/>
          <w:sz w:val="28"/>
          <w:szCs w:val="28"/>
          <w:lang w:val="fr-FR"/>
        </w:rPr>
        <w:t>au Fonds Européen</w:t>
      </w:r>
      <w:r w:rsidRPr="000D3EC0">
        <w:rPr>
          <w:rFonts w:ascii="Calibri" w:hAnsi="Calibri"/>
          <w:b/>
          <w:bCs/>
          <w:color w:val="000000"/>
          <w:sz w:val="28"/>
          <w:szCs w:val="28"/>
          <w:lang w:val="fr-FR"/>
        </w:rPr>
        <w:t xml:space="preserve"> pour la Jeunesse </w:t>
      </w:r>
    </w:p>
    <w:p w14:paraId="41412C09" w14:textId="77777777" w:rsidR="002D2E80" w:rsidRPr="000D3EC0" w:rsidRDefault="002D2E80" w:rsidP="002D2E80">
      <w:pPr>
        <w:shd w:val="clear" w:color="auto" w:fill="92CDDC" w:themeFill="accent5" w:themeFillTint="99"/>
        <w:spacing w:before="100" w:beforeAutospacing="1" w:after="100" w:afterAutospacing="1"/>
        <w:jc w:val="center"/>
        <w:rPr>
          <w:lang w:val="fr-FR"/>
        </w:rPr>
      </w:pPr>
      <w:r w:rsidRPr="003A690B">
        <w:rPr>
          <w:rFonts w:ascii="Calibri" w:hAnsi="Calibri"/>
          <w:b/>
          <w:bCs/>
          <w:color w:val="000000"/>
          <w:sz w:val="28"/>
          <w:szCs w:val="28"/>
          <w:lang w:val="fr-FR"/>
        </w:rPr>
        <w:t> </w:t>
      </w:r>
      <w:r w:rsidRPr="000D3EC0">
        <w:rPr>
          <w:lang w:val="fr-FR"/>
        </w:rPr>
        <w:t xml:space="preserve"> </w:t>
      </w:r>
    </w:p>
    <w:p w14:paraId="7C432C2F" w14:textId="77777777" w:rsidR="002D2E80" w:rsidRPr="002D2E80" w:rsidRDefault="002D2E80" w:rsidP="002D2E80">
      <w:pPr>
        <w:spacing w:before="100" w:beforeAutospacing="1" w:after="100" w:afterAutospacing="1"/>
        <w:rPr>
          <w:rFonts w:asciiTheme="minorHAnsi" w:hAnsiTheme="minorHAnsi"/>
          <w:lang w:val="fr-FR"/>
        </w:rPr>
      </w:pPr>
      <w:r w:rsidRPr="003A690B">
        <w:rPr>
          <w:rFonts w:ascii="Calibri" w:hAnsi="Calibri"/>
          <w:b/>
          <w:bCs/>
          <w:color w:val="000000"/>
          <w:lang w:val="fr-FR"/>
        </w:rPr>
        <w:t> </w:t>
      </w:r>
      <w:r w:rsidRPr="000D3EC0">
        <w:rPr>
          <w:lang w:val="fr-FR"/>
        </w:rPr>
        <w:t xml:space="preserve"> </w:t>
      </w:r>
    </w:p>
    <w:p w14:paraId="3802FBE3" w14:textId="77777777" w:rsidR="002D2E80" w:rsidRPr="002D2E80" w:rsidRDefault="002D2E80" w:rsidP="002D2E80">
      <w:pPr>
        <w:spacing w:before="100" w:beforeAutospacing="1" w:after="100" w:afterAutospacing="1"/>
        <w:rPr>
          <w:rFonts w:asciiTheme="minorHAnsi" w:hAnsiTheme="minorHAnsi"/>
          <w:lang w:val="fr-FR"/>
        </w:rPr>
      </w:pPr>
      <w:r w:rsidRPr="002D2E80">
        <w:rPr>
          <w:rFonts w:asciiTheme="minorHAnsi" w:hAnsiTheme="minorHAnsi"/>
          <w:color w:val="000000"/>
          <w:lang w:val="fr-FR"/>
        </w:rPr>
        <w:t>Les priorités stratégiques pour le programme bisannuel  2018-2019 sont définies par le Conseil Mixte pour la Jeunesse (CMJ), qui constitue l’organe central de co-gestion politique du secteur jeunesse.</w:t>
      </w:r>
    </w:p>
    <w:p w14:paraId="65861432" w14:textId="77777777" w:rsidR="002D2E80" w:rsidRPr="002D2E80" w:rsidRDefault="002D2E80" w:rsidP="002D2E80">
      <w:pPr>
        <w:spacing w:before="100" w:beforeAutospacing="1" w:after="100" w:afterAutospacing="1"/>
        <w:jc w:val="both"/>
        <w:rPr>
          <w:rFonts w:asciiTheme="minorHAnsi" w:hAnsiTheme="minorHAnsi"/>
          <w:color w:val="000000"/>
          <w:lang w:val="fr-FR"/>
        </w:rPr>
      </w:pPr>
      <w:r w:rsidRPr="002D2E80">
        <w:rPr>
          <w:rFonts w:asciiTheme="minorHAnsi" w:hAnsiTheme="minorHAnsi"/>
          <w:color w:val="000000"/>
          <w:lang w:val="fr-FR"/>
        </w:rPr>
        <w:t>Les trois priorités stratégiques pour le biennium 2018-2019</w:t>
      </w:r>
      <w:r w:rsidRPr="002D2E80">
        <w:rPr>
          <w:rStyle w:val="FootnoteReference"/>
          <w:rFonts w:asciiTheme="minorHAnsi" w:hAnsiTheme="minorHAnsi"/>
          <w:color w:val="000000"/>
          <w:lang w:val="fr-FR"/>
        </w:rPr>
        <w:footnoteReference w:id="1"/>
      </w:r>
      <w:r w:rsidRPr="002D2E80">
        <w:rPr>
          <w:rFonts w:asciiTheme="minorHAnsi" w:hAnsiTheme="minorHAnsi"/>
          <w:color w:val="000000"/>
          <w:lang w:val="fr-FR"/>
        </w:rPr>
        <w:t xml:space="preserve"> seront les suivantes :</w:t>
      </w:r>
    </w:p>
    <w:p w14:paraId="63C1AF1C" w14:textId="77777777" w:rsidR="002D2E80" w:rsidRPr="002D2E80" w:rsidRDefault="002D2E80" w:rsidP="002D2E80">
      <w:pPr>
        <w:shd w:val="clear" w:color="auto" w:fill="92CDDC" w:themeFill="accent5" w:themeFillTint="99"/>
        <w:jc w:val="both"/>
        <w:rPr>
          <w:rFonts w:asciiTheme="minorHAnsi" w:hAnsiTheme="minorHAnsi" w:cs="Tahoma"/>
          <w:bCs/>
          <w:color w:val="000000"/>
          <w:lang w:val="fr-FR" w:eastAsia="pt-PT"/>
        </w:rPr>
      </w:pPr>
      <w:r w:rsidRPr="002D2E80">
        <w:rPr>
          <w:rFonts w:asciiTheme="minorHAnsi" w:hAnsiTheme="minorHAnsi" w:cs="Tahoma"/>
          <w:bCs/>
          <w:color w:val="000000"/>
          <w:lang w:val="fr-FR" w:eastAsia="pt-PT"/>
        </w:rPr>
        <w:t>1.</w:t>
      </w:r>
      <w:r w:rsidRPr="002D2E80">
        <w:rPr>
          <w:rFonts w:asciiTheme="minorHAnsi" w:hAnsiTheme="minorHAnsi" w:cs="Tahoma"/>
          <w:bCs/>
          <w:color w:val="000000"/>
          <w:lang w:val="fr-FR" w:eastAsia="pt-PT"/>
        </w:rPr>
        <w:tab/>
        <w:t>L’accès aux droits</w:t>
      </w:r>
    </w:p>
    <w:p w14:paraId="1867A30F" w14:textId="77777777" w:rsidR="002D2E80" w:rsidRPr="002D2E80" w:rsidRDefault="002D2E80" w:rsidP="002D2E80">
      <w:pPr>
        <w:shd w:val="clear" w:color="auto" w:fill="92CDDC" w:themeFill="accent5" w:themeFillTint="99"/>
        <w:jc w:val="both"/>
        <w:rPr>
          <w:rFonts w:asciiTheme="minorHAnsi" w:hAnsiTheme="minorHAnsi" w:cs="Tahoma"/>
          <w:bCs/>
          <w:color w:val="000000"/>
          <w:lang w:val="fr-FR" w:eastAsia="pt-PT"/>
        </w:rPr>
      </w:pPr>
      <w:r w:rsidRPr="002D2E80">
        <w:rPr>
          <w:rFonts w:asciiTheme="minorHAnsi" w:hAnsiTheme="minorHAnsi" w:cs="Tahoma"/>
          <w:bCs/>
          <w:color w:val="000000"/>
          <w:lang w:val="fr-FR" w:eastAsia="pt-PT"/>
        </w:rPr>
        <w:t>2.</w:t>
      </w:r>
      <w:r w:rsidRPr="002D2E80">
        <w:rPr>
          <w:rFonts w:asciiTheme="minorHAnsi" w:hAnsiTheme="minorHAnsi" w:cs="Tahoma"/>
          <w:bCs/>
          <w:color w:val="000000"/>
          <w:lang w:val="fr-FR" w:eastAsia="pt-PT"/>
        </w:rPr>
        <w:tab/>
        <w:t>La participation des jeunes et le travail de jeunesse</w:t>
      </w:r>
    </w:p>
    <w:p w14:paraId="5AE740C7" w14:textId="77777777" w:rsidR="002D2E80" w:rsidRPr="002D2E80" w:rsidRDefault="002D2E80" w:rsidP="002D2E80">
      <w:pPr>
        <w:shd w:val="clear" w:color="auto" w:fill="92CDDC" w:themeFill="accent5" w:themeFillTint="99"/>
        <w:jc w:val="both"/>
        <w:rPr>
          <w:rFonts w:asciiTheme="minorHAnsi" w:hAnsiTheme="minorHAnsi" w:cs="Tahoma"/>
          <w:bCs/>
          <w:color w:val="000000"/>
          <w:lang w:val="fr-FR" w:eastAsia="pt-PT"/>
        </w:rPr>
      </w:pPr>
      <w:r w:rsidRPr="002D2E80">
        <w:rPr>
          <w:rFonts w:asciiTheme="minorHAnsi" w:hAnsiTheme="minorHAnsi" w:cs="Tahoma"/>
          <w:bCs/>
          <w:color w:val="000000"/>
          <w:lang w:val="fr-FR" w:eastAsia="pt-PT"/>
        </w:rPr>
        <w:t>3.</w:t>
      </w:r>
      <w:r w:rsidRPr="002D2E80">
        <w:rPr>
          <w:rFonts w:asciiTheme="minorHAnsi" w:hAnsiTheme="minorHAnsi" w:cs="Tahoma"/>
          <w:bCs/>
          <w:color w:val="000000"/>
          <w:lang w:val="fr-FR" w:eastAsia="pt-PT"/>
        </w:rPr>
        <w:tab/>
        <w:t>Des sociétés inclusives et pacifiques</w:t>
      </w:r>
    </w:p>
    <w:p w14:paraId="74ACF352" w14:textId="77777777" w:rsidR="002D2E80" w:rsidRPr="002D2E80" w:rsidRDefault="002D2E80" w:rsidP="002D2E80">
      <w:pPr>
        <w:jc w:val="both"/>
        <w:rPr>
          <w:rFonts w:asciiTheme="minorHAnsi" w:hAnsiTheme="minorHAnsi" w:cstheme="minorHAnsi"/>
          <w:color w:val="000000"/>
          <w:lang w:val="fr-FR" w:eastAsia="fi-FI"/>
        </w:rPr>
      </w:pPr>
    </w:p>
    <w:p w14:paraId="29FF999C" w14:textId="77777777" w:rsidR="002D2E80" w:rsidRPr="002D2E80" w:rsidRDefault="002D2E80" w:rsidP="002D2E80">
      <w:pPr>
        <w:spacing w:before="100" w:beforeAutospacing="1" w:after="100" w:afterAutospacing="1"/>
        <w:jc w:val="both"/>
        <w:rPr>
          <w:rFonts w:asciiTheme="minorHAnsi" w:hAnsiTheme="minorHAnsi"/>
          <w:color w:val="000000"/>
          <w:lang w:val="fr-FR"/>
        </w:rPr>
      </w:pPr>
      <w:r w:rsidRPr="002D2E80">
        <w:rPr>
          <w:rFonts w:asciiTheme="minorHAnsi" w:hAnsiTheme="minorHAnsi"/>
          <w:color w:val="000000"/>
          <w:lang w:val="fr-FR"/>
        </w:rPr>
        <w:t xml:space="preserve">Le Comité de Programmation pour la Jeunesse (CPJ) est l’organe de co-gestion qui prend des décisions relatives au programme du secteur jeunesse, y compris celles relatives aux subventions accordées par le Fonds Européen pour la Jeunesse (FEJ). </w:t>
      </w:r>
    </w:p>
    <w:p w14:paraId="4DB4C313" w14:textId="77777777" w:rsidR="002D2E80" w:rsidRPr="002D2E80" w:rsidRDefault="002D2E80" w:rsidP="002D2E80">
      <w:pPr>
        <w:spacing w:before="100" w:beforeAutospacing="1" w:after="100" w:afterAutospacing="1"/>
        <w:jc w:val="both"/>
        <w:rPr>
          <w:rFonts w:asciiTheme="minorHAnsi" w:hAnsiTheme="minorHAnsi"/>
          <w:color w:val="000000"/>
          <w:lang w:val="fr-FR"/>
        </w:rPr>
      </w:pPr>
      <w:r w:rsidRPr="002D2E80">
        <w:rPr>
          <w:rFonts w:asciiTheme="minorHAnsi" w:hAnsiTheme="minorHAnsi"/>
          <w:color w:val="000000"/>
          <w:lang w:val="fr-FR"/>
        </w:rPr>
        <w:t xml:space="preserve">Lors de sa prise de décision, le CPJ examine les liens du projet proposé avec les résultats attendus et comment il peut contribuer à la réalisation des objectifs globaux du secteur de la jeunesse. </w:t>
      </w:r>
    </w:p>
    <w:p w14:paraId="2AAC7BBB" w14:textId="77777777" w:rsidR="002D2E80" w:rsidRPr="002D2E80" w:rsidRDefault="002D2E80" w:rsidP="002D2E80">
      <w:pPr>
        <w:spacing w:before="100" w:beforeAutospacing="1" w:after="100" w:afterAutospacing="1"/>
        <w:jc w:val="both"/>
        <w:rPr>
          <w:rFonts w:asciiTheme="minorHAnsi" w:hAnsiTheme="minorHAnsi"/>
          <w:lang w:val="fr-FR"/>
        </w:rPr>
      </w:pPr>
      <w:r w:rsidRPr="002D2E80">
        <w:rPr>
          <w:rFonts w:asciiTheme="minorHAnsi" w:hAnsiTheme="minorHAnsi"/>
          <w:color w:val="000000"/>
          <w:lang w:val="fr-FR"/>
        </w:rPr>
        <w:lastRenderedPageBreak/>
        <w:t>Les résultats attendus et les orientations de programme qui suivent, ont été définis pour 2018-2019 et doivent être pris en compte par les organisations de jeunesse qui soumettent une demande de subvention au FEJ.</w:t>
      </w:r>
      <w:r w:rsidRPr="002D2E80">
        <w:rPr>
          <w:rFonts w:asciiTheme="minorHAnsi" w:hAnsiTheme="minorHAnsi"/>
          <w:lang w:val="fr-FR"/>
        </w:rPr>
        <w:t xml:space="preserve"> </w:t>
      </w:r>
    </w:p>
    <w:p w14:paraId="7E03C664" w14:textId="77777777" w:rsidR="002D2E80" w:rsidRPr="002D2E80" w:rsidRDefault="002D2E80" w:rsidP="002D2E80">
      <w:pPr>
        <w:spacing w:before="100" w:beforeAutospacing="1" w:after="100" w:afterAutospacing="1"/>
        <w:jc w:val="both"/>
        <w:rPr>
          <w:rFonts w:asciiTheme="minorHAnsi" w:hAnsiTheme="minorHAnsi"/>
          <w:lang w:val="fr-FR"/>
        </w:rPr>
      </w:pPr>
    </w:p>
    <w:tbl>
      <w:tblPr>
        <w:tblW w:w="0" w:type="auto"/>
        <w:tblCellMar>
          <w:left w:w="0" w:type="dxa"/>
          <w:right w:w="0" w:type="dxa"/>
        </w:tblCellMar>
        <w:tblLook w:val="04A0" w:firstRow="1" w:lastRow="0" w:firstColumn="1" w:lastColumn="0" w:noHBand="0" w:noVBand="1"/>
      </w:tblPr>
      <w:tblGrid>
        <w:gridCol w:w="9026"/>
      </w:tblGrid>
      <w:tr w:rsidR="002D2E80" w:rsidRPr="00D332FD" w14:paraId="1128AB3F" w14:textId="77777777" w:rsidTr="003B4CEC">
        <w:tc>
          <w:tcPr>
            <w:tcW w:w="902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0" w:type="dxa"/>
              <w:left w:w="101" w:type="dxa"/>
              <w:bottom w:w="0" w:type="dxa"/>
              <w:right w:w="101" w:type="dxa"/>
            </w:tcMar>
            <w:hideMark/>
          </w:tcPr>
          <w:p w14:paraId="71DEE2CF" w14:textId="77777777" w:rsidR="002D2E80" w:rsidRPr="002D2E80" w:rsidRDefault="002D2E80" w:rsidP="003B4CEC">
            <w:pPr>
              <w:spacing w:before="100" w:beforeAutospacing="1"/>
              <w:rPr>
                <w:rFonts w:asciiTheme="minorHAnsi" w:hAnsiTheme="minorHAnsi"/>
                <w:b/>
                <w:bCs/>
                <w:color w:val="000000"/>
                <w:lang w:val="fr-FR"/>
              </w:rPr>
            </w:pPr>
            <w:r w:rsidRPr="002D2E80">
              <w:rPr>
                <w:rFonts w:asciiTheme="minorHAnsi" w:hAnsiTheme="minorHAnsi"/>
                <w:b/>
                <w:bCs/>
                <w:color w:val="000000"/>
                <w:lang w:val="fr-FR"/>
              </w:rPr>
              <w:t>Priorité 1 : L’accès aux droits</w:t>
            </w:r>
          </w:p>
          <w:p w14:paraId="0EB02267"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b/>
                <w:bCs/>
                <w:color w:val="000000"/>
                <w:lang w:val="fr-FR"/>
              </w:rPr>
              <w:t>Résultat attendu 1: Les jeunes jouissent de leurs droits et militent pour l’éducation aux droits de l’homme et à la citoyenneté, en conséquence du soutien apporté par le Conseil de l’Europe aux jeunes, aux organisations de jeunesse et aux Etats membres. </w:t>
            </w:r>
            <w:r w:rsidRPr="002D2E80">
              <w:rPr>
                <w:rFonts w:asciiTheme="minorHAnsi" w:hAnsiTheme="minorHAnsi"/>
                <w:lang w:val="fr-FR"/>
              </w:rPr>
              <w:t xml:space="preserve"> </w:t>
            </w:r>
          </w:p>
          <w:p w14:paraId="16247EFF" w14:textId="77777777" w:rsidR="002D2E80" w:rsidRPr="002D2E80" w:rsidRDefault="002D2E80" w:rsidP="003B4CEC">
            <w:pPr>
              <w:spacing w:before="100" w:beforeAutospacing="1"/>
              <w:rPr>
                <w:rFonts w:asciiTheme="minorHAnsi" w:hAnsiTheme="minorHAnsi"/>
                <w:lang w:val="fr-FR"/>
              </w:rPr>
            </w:pPr>
          </w:p>
        </w:tc>
      </w:tr>
    </w:tbl>
    <w:p w14:paraId="63DCA391" w14:textId="77777777" w:rsidR="00D332FD" w:rsidRDefault="00D332FD" w:rsidP="002D2E80">
      <w:pPr>
        <w:spacing w:before="100" w:beforeAutospacing="1" w:after="100" w:afterAutospacing="1"/>
        <w:jc w:val="both"/>
        <w:rPr>
          <w:rFonts w:asciiTheme="minorHAnsi" w:hAnsiTheme="minorHAnsi"/>
          <w:color w:val="000000"/>
        </w:rPr>
      </w:pPr>
    </w:p>
    <w:p w14:paraId="4F8E59C0" w14:textId="22234600" w:rsidR="002D2E80" w:rsidRPr="002D2E80" w:rsidRDefault="002D2E80" w:rsidP="002D2E80">
      <w:pPr>
        <w:spacing w:before="100" w:beforeAutospacing="1" w:after="100" w:afterAutospacing="1"/>
        <w:jc w:val="both"/>
        <w:rPr>
          <w:rFonts w:asciiTheme="minorHAnsi" w:hAnsiTheme="minorHAnsi"/>
        </w:rPr>
      </w:pPr>
      <w:bookmarkStart w:id="0" w:name="_GoBack"/>
      <w:bookmarkEnd w:id="0"/>
      <w:r w:rsidRPr="002D2E80">
        <w:rPr>
          <w:rFonts w:asciiTheme="minorHAnsi" w:hAnsiTheme="minorHAnsi"/>
          <w:color w:val="000000"/>
        </w:rPr>
        <w:t>Orientations du programme</w:t>
      </w:r>
      <w:r w:rsidR="00973756">
        <w:rPr>
          <w:rFonts w:asciiTheme="minorHAnsi" w:hAnsiTheme="minorHAnsi"/>
          <w:color w:val="000000"/>
        </w:rPr>
        <w:t xml:space="preserve"> </w:t>
      </w:r>
      <w:r w:rsidRPr="002D2E80">
        <w:rPr>
          <w:rFonts w:asciiTheme="minorHAnsi" w:hAnsiTheme="minorHAnsi"/>
          <w:color w:val="000000"/>
        </w:rPr>
        <w:t>:</w:t>
      </w:r>
      <w:r w:rsidRPr="002D2E80">
        <w:rPr>
          <w:rFonts w:asciiTheme="minorHAnsi" w:hAnsiTheme="minorHAnsi"/>
        </w:rPr>
        <w:t xml:space="preserve"> </w:t>
      </w:r>
    </w:p>
    <w:tbl>
      <w:tblPr>
        <w:tblW w:w="0" w:type="auto"/>
        <w:tblCellMar>
          <w:left w:w="0" w:type="dxa"/>
          <w:right w:w="0" w:type="dxa"/>
        </w:tblCellMar>
        <w:tblLook w:val="04A0" w:firstRow="1" w:lastRow="0" w:firstColumn="1" w:lastColumn="0" w:noHBand="0" w:noVBand="1"/>
      </w:tblPr>
      <w:tblGrid>
        <w:gridCol w:w="8964"/>
      </w:tblGrid>
      <w:tr w:rsidR="002D2E80" w:rsidRPr="00D332FD" w14:paraId="1CB11264"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315F6FD"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color w:val="000000"/>
                <w:lang w:val="fr-FR"/>
              </w:rPr>
              <w:t>a. Mise en œuvre et diffusion de la Recommandation du Comité des Ministres CM/Rec (2016)7 sur l’accès des jeunes aux droits (suite à une feuille de route qui sera approuvée par le Conseil Mixte pour la Jeunesse en 2017)</w:t>
            </w:r>
          </w:p>
        </w:tc>
      </w:tr>
      <w:tr w:rsidR="002D2E80" w:rsidRPr="00D332FD" w14:paraId="42B0010A"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01B4EEF"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color w:val="000000"/>
                <w:lang w:val="fr-FR"/>
              </w:rPr>
              <w:t>b. Mesures de soutien en direction des Etats membres, des autorités locales et des organisations de jeunesse pour la mise en œuvre et la révision de la Recommandation du Comité des Ministres CM/Rec(2015)3 sur l’accès des jeunes des quartiers défavorisés aux droits sociaux (Recommandation ENTER)</w:t>
            </w:r>
            <w:r w:rsidRPr="002D2E80">
              <w:rPr>
                <w:rFonts w:asciiTheme="minorHAnsi" w:hAnsiTheme="minorHAnsi"/>
                <w:lang w:val="fr-FR"/>
              </w:rPr>
              <w:t xml:space="preserve"> </w:t>
            </w:r>
          </w:p>
        </w:tc>
      </w:tr>
      <w:tr w:rsidR="002D2E80" w:rsidRPr="00D332FD" w14:paraId="1AB8A5CE"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524AAC8"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color w:val="000000"/>
                <w:lang w:val="fr-FR"/>
              </w:rPr>
              <w:t>c. Poursuite du programme Jeunesse d’éducation aux droits de l’homme, y compris l’éducation en matière de medias conduit auprès des enfants et des jeunes</w:t>
            </w:r>
          </w:p>
        </w:tc>
      </w:tr>
      <w:tr w:rsidR="002D2E80" w:rsidRPr="00D332FD" w14:paraId="5DAD7455"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8BD9FEF"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color w:val="000000"/>
                <w:lang w:val="fr-FR"/>
              </w:rPr>
              <w:t>d. Mise en œuvre de la Charte du Conseil de l’Europe sur l’éducation à la citoyenneté démocratique et l’éducation aux droits de l’homme, sur la base des conclusions de l’examen</w:t>
            </w:r>
          </w:p>
        </w:tc>
      </w:tr>
    </w:tbl>
    <w:p w14:paraId="6254B8EB" w14:textId="77777777" w:rsidR="002D2E80" w:rsidRPr="002D2E80" w:rsidRDefault="002D2E80" w:rsidP="002D2E80">
      <w:pPr>
        <w:spacing w:before="100" w:beforeAutospacing="1" w:after="100" w:afterAutospacing="1"/>
        <w:jc w:val="both"/>
        <w:rPr>
          <w:rFonts w:asciiTheme="minorHAnsi" w:hAnsiTheme="minorHAnsi" w:cs="Tahoma"/>
          <w:lang w:val="fr-FR"/>
        </w:rPr>
      </w:pPr>
    </w:p>
    <w:p w14:paraId="6746F99E" w14:textId="77777777" w:rsidR="002D2E80" w:rsidRPr="002D2E80" w:rsidRDefault="002D2E80" w:rsidP="002D2E80">
      <w:pPr>
        <w:spacing w:before="100" w:beforeAutospacing="1" w:after="100" w:afterAutospacing="1"/>
        <w:jc w:val="both"/>
        <w:rPr>
          <w:rFonts w:asciiTheme="minorHAnsi" w:hAnsiTheme="minorHAnsi" w:cs="Tahoma"/>
          <w:i/>
          <w:lang w:val="fr-FR"/>
        </w:rPr>
      </w:pPr>
      <w:r w:rsidRPr="002D2E80">
        <w:rPr>
          <w:rFonts w:asciiTheme="minorHAnsi" w:hAnsiTheme="minorHAnsi" w:cs="Tahoma"/>
          <w:i/>
          <w:lang w:val="fr-FR"/>
        </w:rPr>
        <w:t xml:space="preserve">Le secteur de la jeunesse du Conseil de l’Europe consolidera l’approche fondée sur les droits qu’il applique aux politiques de jeunesse, afin de répondre aux besoins des jeunes dans les différents domaines d’action politique. Les Etats membres et les organisations de jeunesse s’attacheront à promouvoir l’accès de tous les jeunes à leurs droits au moyen de mesures visant à soutenir la mise en œuvre (au niveau local, national et européen) des Recommandations du Comité des Ministres CM/Rec(2016)7 sur l'accès des jeunes aux droits et CM/Rec(2015)3 sur l’accès des jeunes des quartiers défavorisés aux droits sociaux. Une attention particulière sera portée à la poursuite du programme Jeunesse d’éducation aux droits de l’homme, en ligne et hors ligne, à l’examen de la mise en œuvre de la Charte ECD/EDH et des expériences pertinentes de la campagne contre le discours de haine, à l’évaluation et aux développements les plus récents au sein du Conseil de l’Europe en matière d’éducation à l’internet et aux médias. </w:t>
      </w:r>
      <w:r w:rsidRPr="002D2E80">
        <w:rPr>
          <w:rFonts w:asciiTheme="minorHAnsi" w:hAnsiTheme="minorHAnsi"/>
          <w:i/>
          <w:color w:val="000000"/>
          <w:lang w:val="fr-FR"/>
        </w:rPr>
        <w:t> </w:t>
      </w:r>
      <w:r w:rsidRPr="002D2E80">
        <w:rPr>
          <w:rFonts w:asciiTheme="minorHAnsi" w:hAnsiTheme="minorHAnsi"/>
          <w:i/>
          <w:lang w:val="fr-FR"/>
        </w:rPr>
        <w:t xml:space="preserve"> </w:t>
      </w:r>
    </w:p>
    <w:p w14:paraId="28E311F8" w14:textId="77777777" w:rsidR="002D2E80" w:rsidRPr="002D2E80" w:rsidRDefault="002D2E80" w:rsidP="002D2E80">
      <w:pPr>
        <w:spacing w:before="100" w:beforeAutospacing="1" w:after="100" w:afterAutospacing="1"/>
        <w:jc w:val="both"/>
        <w:rPr>
          <w:rFonts w:asciiTheme="minorHAnsi" w:hAnsiTheme="minorHAnsi"/>
          <w:lang w:val="fr-FR"/>
        </w:rPr>
      </w:pPr>
    </w:p>
    <w:tbl>
      <w:tblPr>
        <w:tblW w:w="0" w:type="auto"/>
        <w:tblCellMar>
          <w:left w:w="0" w:type="dxa"/>
          <w:right w:w="0" w:type="dxa"/>
        </w:tblCellMar>
        <w:tblLook w:val="04A0" w:firstRow="1" w:lastRow="0" w:firstColumn="1" w:lastColumn="0" w:noHBand="0" w:noVBand="1"/>
      </w:tblPr>
      <w:tblGrid>
        <w:gridCol w:w="9026"/>
      </w:tblGrid>
      <w:tr w:rsidR="002D2E80" w:rsidRPr="00D332FD" w14:paraId="2C24C6DE" w14:textId="77777777" w:rsidTr="003B4CEC">
        <w:tc>
          <w:tcPr>
            <w:tcW w:w="902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0" w:type="dxa"/>
              <w:left w:w="101" w:type="dxa"/>
              <w:bottom w:w="0" w:type="dxa"/>
              <w:right w:w="101" w:type="dxa"/>
            </w:tcMar>
            <w:vAlign w:val="center"/>
            <w:hideMark/>
          </w:tcPr>
          <w:p w14:paraId="7665AB97" w14:textId="77777777" w:rsidR="002D2E80" w:rsidRPr="002D2E80" w:rsidRDefault="002D2E80" w:rsidP="003B4CEC">
            <w:pPr>
              <w:spacing w:before="100" w:beforeAutospacing="1"/>
              <w:rPr>
                <w:rFonts w:asciiTheme="minorHAnsi" w:hAnsiTheme="minorHAnsi"/>
                <w:b/>
                <w:bCs/>
                <w:color w:val="000000"/>
                <w:lang w:val="fr-FR"/>
              </w:rPr>
            </w:pPr>
            <w:r w:rsidRPr="002D2E80">
              <w:rPr>
                <w:rFonts w:asciiTheme="minorHAnsi" w:hAnsiTheme="minorHAnsi"/>
                <w:b/>
                <w:bCs/>
                <w:color w:val="000000"/>
                <w:lang w:val="fr-FR"/>
              </w:rPr>
              <w:lastRenderedPageBreak/>
              <w:t>Priorité 2 : Participation des jeunes et le travail de jeunesse</w:t>
            </w:r>
          </w:p>
          <w:p w14:paraId="3574C082" w14:textId="77777777" w:rsidR="002D2E80" w:rsidRPr="002D2E80" w:rsidRDefault="002D2E80" w:rsidP="003B4CEC">
            <w:pPr>
              <w:spacing w:before="100" w:beforeAutospacing="1"/>
              <w:rPr>
                <w:rFonts w:asciiTheme="minorHAnsi" w:hAnsiTheme="minorHAnsi"/>
                <w:lang w:val="fr-FR"/>
              </w:rPr>
            </w:pPr>
            <w:r w:rsidRPr="002D2E80">
              <w:rPr>
                <w:rFonts w:asciiTheme="minorHAnsi" w:hAnsiTheme="minorHAnsi"/>
                <w:b/>
                <w:bCs/>
                <w:color w:val="000000"/>
                <w:lang w:val="fr-FR"/>
              </w:rPr>
              <w:t xml:space="preserve">Résultat attendu 2:  Les jeunes participent à la </w:t>
            </w:r>
            <w:r w:rsidRPr="002D2E80">
              <w:rPr>
                <w:rFonts w:asciiTheme="minorHAnsi" w:hAnsiTheme="minorHAnsi" w:cs="Tahoma"/>
                <w:b/>
                <w:lang w:val="fr-FR" w:eastAsia="ar-SA"/>
              </w:rPr>
              <w:t>démocratie et au développement de la politique de jeunesse et du travail de jeunesse au niveau local, régional, national et européen, en conséquence du soutien apporté par le Conseil de l’Europe aux jeunes, aux organisations de jeunesse et aux Etats membres.</w:t>
            </w:r>
            <w:r w:rsidRPr="002D2E80">
              <w:rPr>
                <w:rFonts w:asciiTheme="minorHAnsi" w:hAnsiTheme="minorHAnsi"/>
                <w:lang w:val="fr-FR"/>
              </w:rPr>
              <w:t xml:space="preserve">  </w:t>
            </w:r>
          </w:p>
          <w:p w14:paraId="5B0A106B" w14:textId="77777777" w:rsidR="002D2E80" w:rsidRPr="002D2E80" w:rsidRDefault="002D2E80" w:rsidP="003B4CEC">
            <w:pPr>
              <w:spacing w:before="100" w:beforeAutospacing="1"/>
              <w:rPr>
                <w:rFonts w:asciiTheme="minorHAnsi" w:hAnsiTheme="minorHAnsi"/>
                <w:lang w:val="fr-FR"/>
              </w:rPr>
            </w:pPr>
          </w:p>
        </w:tc>
      </w:tr>
    </w:tbl>
    <w:p w14:paraId="19EDFF01" w14:textId="29A018B3" w:rsidR="002D2E80" w:rsidRPr="002D2E80" w:rsidRDefault="002D2E80" w:rsidP="002D2E80">
      <w:pPr>
        <w:spacing w:before="100" w:beforeAutospacing="1" w:after="100" w:afterAutospacing="1"/>
        <w:jc w:val="both"/>
        <w:rPr>
          <w:rFonts w:asciiTheme="minorHAnsi" w:hAnsiTheme="minorHAnsi"/>
        </w:rPr>
      </w:pPr>
      <w:r w:rsidRPr="002D2E80">
        <w:rPr>
          <w:rFonts w:asciiTheme="minorHAnsi" w:hAnsiTheme="minorHAnsi"/>
          <w:lang w:val="fr-FR"/>
        </w:rPr>
        <w:t xml:space="preserve">  </w:t>
      </w:r>
      <w:r w:rsidRPr="002D2E80">
        <w:rPr>
          <w:rFonts w:asciiTheme="minorHAnsi" w:hAnsiTheme="minorHAnsi"/>
          <w:color w:val="000000"/>
        </w:rPr>
        <w:t>Orientations du programme</w:t>
      </w:r>
      <w:r w:rsidR="00973756">
        <w:rPr>
          <w:rFonts w:asciiTheme="minorHAnsi" w:hAnsiTheme="minorHAnsi"/>
          <w:color w:val="000000"/>
        </w:rPr>
        <w:t xml:space="preserve"> </w:t>
      </w:r>
      <w:r w:rsidRPr="002D2E80">
        <w:rPr>
          <w:rFonts w:asciiTheme="minorHAnsi" w:hAnsiTheme="minorHAnsi"/>
          <w:color w:val="000000"/>
        </w:rPr>
        <w:t>:</w:t>
      </w:r>
      <w:r w:rsidRPr="002D2E80">
        <w:rPr>
          <w:rFonts w:asciiTheme="minorHAnsi" w:hAnsiTheme="minorHAnsi"/>
        </w:rPr>
        <w:t xml:space="preserve"> </w:t>
      </w:r>
    </w:p>
    <w:tbl>
      <w:tblPr>
        <w:tblW w:w="0" w:type="auto"/>
        <w:tblCellMar>
          <w:left w:w="0" w:type="dxa"/>
          <w:right w:w="0" w:type="dxa"/>
        </w:tblCellMar>
        <w:tblLook w:val="04A0" w:firstRow="1" w:lastRow="0" w:firstColumn="1" w:lastColumn="0" w:noHBand="0" w:noVBand="1"/>
      </w:tblPr>
      <w:tblGrid>
        <w:gridCol w:w="8964"/>
      </w:tblGrid>
      <w:tr w:rsidR="002D2E80" w:rsidRPr="002D2E80" w14:paraId="29B52FB3"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5A5C805C" w14:textId="77777777" w:rsidR="002D2E80" w:rsidRPr="002455AB" w:rsidRDefault="002D2E80" w:rsidP="003B4CEC">
            <w:pPr>
              <w:tabs>
                <w:tab w:val="left" w:pos="3015"/>
              </w:tabs>
              <w:contextualSpacing/>
              <w:rPr>
                <w:rFonts w:asciiTheme="minorHAnsi" w:hAnsiTheme="minorHAnsi" w:cs="Tahoma"/>
                <w:b/>
                <w:i/>
                <w:lang w:val="fr-FR"/>
              </w:rPr>
            </w:pPr>
            <w:r w:rsidRPr="002455AB">
              <w:rPr>
                <w:rFonts w:asciiTheme="minorHAnsi" w:hAnsiTheme="minorHAnsi"/>
                <w:b/>
                <w:i/>
                <w:color w:val="000000"/>
                <w:lang w:val="fr-FR"/>
              </w:rPr>
              <w:t>Participation des jeunes</w:t>
            </w:r>
          </w:p>
        </w:tc>
      </w:tr>
      <w:tr w:rsidR="002D2E80" w:rsidRPr="00D332FD" w14:paraId="6FBB5D54"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26F3BD8C"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a. Supprimer les obstacles (y compris juridiques) pour permettre aux jeunes de s’organiser et de participer à la société civile;</w:t>
            </w:r>
          </w:p>
        </w:tc>
      </w:tr>
      <w:tr w:rsidR="002D2E80" w:rsidRPr="00D332FD" w14:paraId="2C91B4A7"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01F84592"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b. faciliter la participation des jeunes aux processus de gouvernance de l’internet (en prenant en compte les résultats de l’évaluation de la campagne contre le discours de haine) ;</w:t>
            </w:r>
          </w:p>
        </w:tc>
      </w:tr>
      <w:tr w:rsidR="002D2E80" w:rsidRPr="00D332FD" w14:paraId="706D9A6E"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CCC3080"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 xml:space="preserve">c. aider les Etats membres et les organisations de jeunesse à mettre en œuvre les principes de la </w:t>
            </w:r>
            <w:r w:rsidRPr="002D2E80">
              <w:rPr>
                <w:rFonts w:asciiTheme="minorHAnsi" w:hAnsiTheme="minorHAnsi" w:cs="Tahoma"/>
                <w:lang w:val="fr-FR" w:eastAsia="fi-FI"/>
              </w:rPr>
              <w:t>Charte européenne révisée de la participation des jeunes à la vie locale et régionale</w:t>
            </w:r>
            <w:r w:rsidRPr="002D2E80">
              <w:rPr>
                <w:rFonts w:asciiTheme="minorHAnsi" w:hAnsiTheme="minorHAnsi" w:cs="Tahoma"/>
                <w:lang w:val="fr-FR"/>
              </w:rPr>
              <w:t xml:space="preserve">, poursuite de la diffusion du manuel « Parole aux jeunes ! » auprès des pouvoirs publics et du secteur non gouvernemental. </w:t>
            </w:r>
          </w:p>
        </w:tc>
      </w:tr>
      <w:tr w:rsidR="002D2E80" w:rsidRPr="002D2E80" w14:paraId="68AF7882"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37CA586F" w14:textId="77777777" w:rsidR="002D2E80" w:rsidRPr="002455AB" w:rsidRDefault="002D2E80" w:rsidP="003B4CEC">
            <w:pPr>
              <w:spacing w:before="100" w:beforeAutospacing="1"/>
              <w:rPr>
                <w:rFonts w:asciiTheme="minorHAnsi" w:hAnsiTheme="minorHAnsi"/>
                <w:b/>
                <w:i/>
                <w:color w:val="000000"/>
                <w:lang w:val="fr-FR"/>
              </w:rPr>
            </w:pPr>
            <w:r w:rsidRPr="002455AB">
              <w:rPr>
                <w:rFonts w:asciiTheme="minorHAnsi" w:hAnsiTheme="minorHAnsi"/>
                <w:b/>
                <w:i/>
                <w:color w:val="000000"/>
                <w:lang w:val="fr-FR"/>
              </w:rPr>
              <w:t>Travail de jeunesse</w:t>
            </w:r>
          </w:p>
        </w:tc>
      </w:tr>
      <w:tr w:rsidR="002D2E80" w:rsidRPr="00D332FD" w14:paraId="09A3C183"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2EAEF96E"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d. Soutenir la diffusion et la mise en œuvre de la future Recommandation du Comité des Ministres sur le travail de jeunesse (suite à la feuille de route et la stratégie à moyen terme devant être développée en 2017) ;</w:t>
            </w:r>
          </w:p>
        </w:tc>
      </w:tr>
      <w:tr w:rsidR="002D2E80" w:rsidRPr="00D332FD" w14:paraId="39FFD664"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6A437C2E"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e. faciliter la diffusion du Portfolio du Conseil de l'Europe sur le travail de jeunesse ;</w:t>
            </w:r>
          </w:p>
        </w:tc>
      </w:tr>
      <w:tr w:rsidR="002D2E80" w:rsidRPr="00D332FD" w14:paraId="27DD094F" w14:textId="77777777" w:rsidTr="003B4CEC">
        <w:tc>
          <w:tcPr>
            <w:tcW w:w="89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6D08076" w14:textId="77777777" w:rsidR="002D2E80" w:rsidRPr="002D2E80" w:rsidRDefault="002D2E80" w:rsidP="003B4CEC">
            <w:pPr>
              <w:tabs>
                <w:tab w:val="left" w:pos="3015"/>
              </w:tabs>
              <w:contextualSpacing/>
              <w:rPr>
                <w:rFonts w:asciiTheme="minorHAnsi" w:hAnsiTheme="minorHAnsi" w:cs="Tahoma"/>
                <w:lang w:val="fr-FR"/>
              </w:rPr>
            </w:pPr>
            <w:r w:rsidRPr="002D2E80">
              <w:rPr>
                <w:rFonts w:asciiTheme="minorHAnsi" w:hAnsiTheme="minorHAnsi" w:cs="Tahoma"/>
                <w:lang w:val="fr-FR"/>
              </w:rPr>
              <w:t xml:space="preserve">f. déployer des mesures pour promouvoir le développement de la qualité et la reconnaissance du travail de jeunesse, de l’éducation et l’apprentissage non formels dans le programme des Centres européens de la jeunesse, et leur diffusion dans les Etats membres (par exemple, par la formation du personnel des centres de jeunesse ayant obtenu le label de qualité du Conseil de l’Europe pour les centres de jeunesse). </w:t>
            </w:r>
          </w:p>
        </w:tc>
      </w:tr>
    </w:tbl>
    <w:p w14:paraId="65BAD864" w14:textId="77777777" w:rsidR="002D2E80" w:rsidRPr="002D2E80" w:rsidRDefault="002D2E80" w:rsidP="002D2E80">
      <w:pPr>
        <w:spacing w:before="100" w:beforeAutospacing="1" w:after="100" w:afterAutospacing="1"/>
        <w:jc w:val="both"/>
        <w:rPr>
          <w:rFonts w:asciiTheme="minorHAnsi" w:hAnsiTheme="minorHAnsi" w:cs="Tahoma"/>
          <w:i/>
          <w:lang w:val="fr-FR" w:eastAsia="ar-SA"/>
        </w:rPr>
      </w:pPr>
      <w:r w:rsidRPr="002D2E80">
        <w:rPr>
          <w:rFonts w:asciiTheme="minorHAnsi" w:hAnsiTheme="minorHAnsi" w:cs="Tahoma"/>
          <w:i/>
          <w:lang w:val="fr-FR" w:eastAsia="ar-SA"/>
        </w:rPr>
        <w:t xml:space="preserve">La pérennité des valeurs fondamentales du Conseil de l’Europe repose également sur la créativité, les compétences, l’engagement social et la contribution des jeunes, ainsi que sur leur confiance dans l’avenir. Les politiques de jeunesse et la pratique du travail de jeunesse doivent aider les jeunes à concrétiser pleinement leur potentiel de membres autonomes de la société, en leur permettant de faire des projets de vie et d’exercer leur citoyenneté démocratique. Le travail de jeunesse en tant que pratique sociale contribue de manière significative à la citoyenneté active et à la participation des jeunes, en ce qu’il leur offre les possibilités d’acquérir les valeurs, les attitudes, les capacités, les connaissances et l’esprit critique qui sont nécessaires à un engagement civique effectif et à une action sociale concrète dans une culture de la démocratie. Les jeunes actifs au sein de la société civile ont besoin de soutien et d’aide pour surmonter les obstacles à leur participation et pour jouir pleinement de leur droit à la liberté d’association.  </w:t>
      </w:r>
    </w:p>
    <w:p w14:paraId="4C0C531D" w14:textId="77777777" w:rsidR="002D2E80" w:rsidRPr="002D2E80" w:rsidRDefault="002D2E80" w:rsidP="002D2E80">
      <w:pPr>
        <w:spacing w:before="100" w:beforeAutospacing="1" w:after="100" w:afterAutospacing="1"/>
        <w:jc w:val="both"/>
        <w:rPr>
          <w:rFonts w:asciiTheme="minorHAnsi" w:hAnsiTheme="minorHAnsi" w:cs="Tahoma"/>
          <w:i/>
          <w:lang w:val="fr-FR" w:eastAsia="ar-SA"/>
        </w:rPr>
      </w:pPr>
    </w:p>
    <w:tbl>
      <w:tblPr>
        <w:tblW w:w="0" w:type="auto"/>
        <w:shd w:val="clear" w:color="auto" w:fill="92CDDC" w:themeFill="accent5" w:themeFillTint="99"/>
        <w:tblCellMar>
          <w:left w:w="0" w:type="dxa"/>
          <w:right w:w="0" w:type="dxa"/>
        </w:tblCellMar>
        <w:tblLook w:val="04A0" w:firstRow="1" w:lastRow="0" w:firstColumn="1" w:lastColumn="0" w:noHBand="0" w:noVBand="1"/>
      </w:tblPr>
      <w:tblGrid>
        <w:gridCol w:w="9026"/>
      </w:tblGrid>
      <w:tr w:rsidR="002D2E80" w:rsidRPr="00D332FD" w14:paraId="3A9A07D3" w14:textId="77777777" w:rsidTr="003B4CEC">
        <w:tc>
          <w:tcPr>
            <w:tcW w:w="9026"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0" w:type="dxa"/>
              <w:left w:w="101" w:type="dxa"/>
              <w:bottom w:w="0" w:type="dxa"/>
              <w:right w:w="101" w:type="dxa"/>
            </w:tcMar>
            <w:vAlign w:val="center"/>
            <w:hideMark/>
          </w:tcPr>
          <w:p w14:paraId="0FDD50C3" w14:textId="77777777" w:rsidR="002D2E80" w:rsidRPr="002D2E80" w:rsidRDefault="002D2E80" w:rsidP="003B4CEC">
            <w:pPr>
              <w:shd w:val="clear" w:color="auto" w:fill="92CDDC" w:themeFill="accent5" w:themeFillTint="99"/>
              <w:spacing w:before="100" w:beforeAutospacing="1"/>
              <w:rPr>
                <w:rFonts w:asciiTheme="minorHAnsi" w:hAnsiTheme="minorHAnsi"/>
                <w:b/>
                <w:bCs/>
                <w:color w:val="000000"/>
                <w:lang w:val="fr-FR"/>
              </w:rPr>
            </w:pPr>
            <w:r w:rsidRPr="002D2E80">
              <w:rPr>
                <w:rFonts w:asciiTheme="minorHAnsi" w:hAnsiTheme="minorHAnsi"/>
                <w:b/>
                <w:bCs/>
                <w:color w:val="000000"/>
                <w:lang w:val="fr-FR"/>
              </w:rPr>
              <w:lastRenderedPageBreak/>
              <w:t>Priorité 3 : Promouvoir des sociétés inclusives et pacifiques</w:t>
            </w:r>
          </w:p>
          <w:p w14:paraId="386FF86C" w14:textId="77777777" w:rsidR="002D2E80" w:rsidRPr="002D2E80" w:rsidRDefault="002D2E80" w:rsidP="003B4CEC">
            <w:pPr>
              <w:shd w:val="clear" w:color="auto" w:fill="92CDDC" w:themeFill="accent5" w:themeFillTint="99"/>
              <w:spacing w:before="100" w:beforeAutospacing="1"/>
              <w:rPr>
                <w:rFonts w:asciiTheme="minorHAnsi" w:hAnsiTheme="minorHAnsi"/>
                <w:b/>
                <w:bCs/>
                <w:color w:val="000000"/>
                <w:lang w:val="fr-FR"/>
              </w:rPr>
            </w:pPr>
            <w:r w:rsidRPr="002D2E80">
              <w:rPr>
                <w:rFonts w:asciiTheme="minorHAnsi" w:hAnsiTheme="minorHAnsi"/>
                <w:b/>
                <w:bCs/>
                <w:color w:val="000000"/>
                <w:lang w:val="fr-FR"/>
              </w:rPr>
              <w:t xml:space="preserve">Résultat attendu 3:  </w:t>
            </w:r>
            <w:r w:rsidRPr="002D2E80">
              <w:rPr>
                <w:rFonts w:asciiTheme="minorHAnsi" w:hAnsiTheme="minorHAnsi" w:cs="Tahoma"/>
                <w:b/>
                <w:lang w:val="fr-FR" w:eastAsia="pt-PT"/>
              </w:rPr>
              <w:t>Les jeunes établissent et conduisent activement le dialogue interculturel, en conséquence du soutien apporté par le Conseil de l’Europe aux jeunes, aux organisations de jeunesse et aux travailleurs de jeunesse dans la prévention et la lutte contre la discrimination, l’exclusion et l’extrémisme violent.</w:t>
            </w:r>
          </w:p>
        </w:tc>
      </w:tr>
    </w:tbl>
    <w:p w14:paraId="422AF328" w14:textId="7DE054D4" w:rsidR="002D2E80" w:rsidRPr="002D2E80" w:rsidRDefault="002D2E80" w:rsidP="002D2E80">
      <w:pPr>
        <w:spacing w:before="100" w:beforeAutospacing="1" w:after="100" w:afterAutospacing="1"/>
        <w:jc w:val="both"/>
        <w:rPr>
          <w:rFonts w:asciiTheme="minorHAnsi" w:hAnsiTheme="minorHAnsi"/>
        </w:rPr>
      </w:pPr>
      <w:r w:rsidRPr="002D2E80">
        <w:rPr>
          <w:rFonts w:asciiTheme="minorHAnsi" w:hAnsiTheme="minorHAnsi"/>
          <w:color w:val="000000"/>
          <w:lang w:val="fr-FR"/>
        </w:rPr>
        <w:t xml:space="preserve">Orientations du </w:t>
      </w:r>
      <w:r w:rsidRPr="002D2E80">
        <w:rPr>
          <w:rFonts w:asciiTheme="minorHAnsi" w:hAnsiTheme="minorHAnsi"/>
          <w:color w:val="000000"/>
        </w:rPr>
        <w:t>programme</w:t>
      </w:r>
      <w:r w:rsidR="00973756">
        <w:rPr>
          <w:rFonts w:asciiTheme="minorHAnsi" w:hAnsiTheme="minorHAnsi"/>
          <w:color w:val="000000"/>
        </w:rPr>
        <w:t xml:space="preserve"> </w:t>
      </w:r>
      <w:r w:rsidRPr="002D2E80">
        <w:rPr>
          <w:rFonts w:asciiTheme="minorHAnsi" w:hAnsiTheme="minorHAnsi"/>
          <w:color w:val="000000"/>
        </w:rPr>
        <w:t>:</w:t>
      </w:r>
      <w:r w:rsidRPr="002D2E80">
        <w:rPr>
          <w:rFonts w:asciiTheme="minorHAnsi" w:hAnsiTheme="minorHAnsi"/>
        </w:rPr>
        <w:t xml:space="preserve"> </w:t>
      </w:r>
    </w:p>
    <w:tbl>
      <w:tblPr>
        <w:tblW w:w="0" w:type="auto"/>
        <w:tblCellMar>
          <w:left w:w="0" w:type="dxa"/>
          <w:right w:w="0" w:type="dxa"/>
        </w:tblCellMar>
        <w:tblLook w:val="04A0" w:firstRow="1" w:lastRow="0" w:firstColumn="1" w:lastColumn="0" w:noHBand="0" w:noVBand="1"/>
      </w:tblPr>
      <w:tblGrid>
        <w:gridCol w:w="9026"/>
      </w:tblGrid>
      <w:tr w:rsidR="002D2E80" w:rsidRPr="00D332FD" w14:paraId="343A24A4"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04BF26A4" w14:textId="77777777" w:rsidR="002D2E80" w:rsidRPr="002D2E80" w:rsidRDefault="002D2E80" w:rsidP="003B4CEC">
            <w:pPr>
              <w:rPr>
                <w:rFonts w:asciiTheme="minorHAnsi" w:hAnsiTheme="minorHAnsi" w:cs="Tahoma"/>
                <w:b/>
                <w:i/>
                <w:lang w:val="fr-FR"/>
              </w:rPr>
            </w:pPr>
            <w:r w:rsidRPr="002D2E80">
              <w:rPr>
                <w:rFonts w:asciiTheme="minorHAnsi" w:hAnsiTheme="minorHAnsi" w:cs="Tahoma"/>
                <w:b/>
                <w:i/>
                <w:lang w:val="fr-FR"/>
              </w:rPr>
              <w:t>Combattre toutes les formes de discrimination et l’exclusion, en mettant l’accent sur :</w:t>
            </w:r>
          </w:p>
        </w:tc>
      </w:tr>
      <w:tr w:rsidR="002D2E80" w:rsidRPr="00D332FD" w14:paraId="4DA27420"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359C70DC" w14:textId="3C8FD5B2" w:rsidR="002D2E80" w:rsidRPr="00083B0A" w:rsidRDefault="002D2E80" w:rsidP="00083B0A">
            <w:pPr>
              <w:pStyle w:val="ListParagraph"/>
              <w:numPr>
                <w:ilvl w:val="0"/>
                <w:numId w:val="49"/>
              </w:numPr>
              <w:rPr>
                <w:rFonts w:asciiTheme="minorHAnsi" w:hAnsiTheme="minorHAnsi" w:cs="Tahoma"/>
                <w:sz w:val="22"/>
                <w:szCs w:val="22"/>
                <w:lang w:val="fr-FR"/>
              </w:rPr>
            </w:pPr>
            <w:r w:rsidRPr="00083B0A">
              <w:rPr>
                <w:rFonts w:asciiTheme="minorHAnsi" w:hAnsiTheme="minorHAnsi" w:cs="Tahoma"/>
                <w:sz w:val="22"/>
                <w:szCs w:val="22"/>
                <w:lang w:val="fr-FR"/>
              </w:rPr>
              <w:t>la participation des jeunes Roms ;</w:t>
            </w:r>
          </w:p>
        </w:tc>
      </w:tr>
      <w:tr w:rsidR="002D2E80" w:rsidRPr="00D332FD" w14:paraId="7DA71DE0"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6C4DBF0C" w14:textId="027CECA7" w:rsidR="002D2E80" w:rsidRPr="00083B0A" w:rsidRDefault="002D2E80" w:rsidP="00083B0A">
            <w:pPr>
              <w:pStyle w:val="ListParagraph"/>
              <w:numPr>
                <w:ilvl w:val="0"/>
                <w:numId w:val="49"/>
              </w:numPr>
              <w:rPr>
                <w:rFonts w:asciiTheme="minorHAnsi" w:hAnsiTheme="minorHAnsi" w:cs="Tahoma"/>
                <w:sz w:val="22"/>
                <w:szCs w:val="22"/>
                <w:lang w:val="fr-FR"/>
              </w:rPr>
            </w:pPr>
            <w:r w:rsidRPr="00083B0A">
              <w:rPr>
                <w:rFonts w:asciiTheme="minorHAnsi" w:hAnsiTheme="minorHAnsi" w:cs="Tahoma"/>
                <w:sz w:val="22"/>
                <w:szCs w:val="22"/>
                <w:lang w:val="fr-FR"/>
              </w:rPr>
              <w:t>l’inclusion sociale des jeunes réfugiés et leur passage de l’enfance à l’âge adulte ;</w:t>
            </w:r>
          </w:p>
        </w:tc>
      </w:tr>
      <w:tr w:rsidR="002D2E80" w:rsidRPr="00D332FD" w14:paraId="0FBF76B0"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F321795" w14:textId="77777777" w:rsidR="002D2E80" w:rsidRPr="002D2E80" w:rsidRDefault="002D2E80" w:rsidP="00083B0A">
            <w:pPr>
              <w:pStyle w:val="ListParagraph"/>
              <w:numPr>
                <w:ilvl w:val="0"/>
                <w:numId w:val="49"/>
              </w:numPr>
              <w:rPr>
                <w:rFonts w:asciiTheme="minorHAnsi" w:hAnsiTheme="minorHAnsi" w:cs="Tahoma"/>
                <w:sz w:val="22"/>
                <w:szCs w:val="22"/>
                <w:lang w:val="fr-FR"/>
              </w:rPr>
            </w:pPr>
            <w:r w:rsidRPr="002D2E80">
              <w:rPr>
                <w:rFonts w:asciiTheme="minorHAnsi" w:hAnsiTheme="minorHAnsi" w:cs="Tahoma"/>
                <w:sz w:val="22"/>
                <w:szCs w:val="22"/>
                <w:lang w:val="fr-FR"/>
              </w:rPr>
              <w:t>la discrimination multiple et l’intersectionnalité</w:t>
            </w:r>
            <w:r w:rsidRPr="002D2E80">
              <w:rPr>
                <w:rStyle w:val="FootnoteReference"/>
                <w:rFonts w:asciiTheme="minorHAnsi" w:hAnsiTheme="minorHAnsi" w:cs="Tahoma"/>
                <w:sz w:val="22"/>
                <w:szCs w:val="22"/>
                <w:lang w:val="fr-FR"/>
              </w:rPr>
              <w:footnoteReference w:id="2"/>
            </w:r>
            <w:r w:rsidRPr="002D2E80">
              <w:rPr>
                <w:rFonts w:asciiTheme="minorHAnsi" w:hAnsiTheme="minorHAnsi" w:cs="Tahoma"/>
                <w:sz w:val="22"/>
                <w:szCs w:val="22"/>
                <w:lang w:val="fr-FR"/>
              </w:rPr>
              <w:t xml:space="preserve"> (y compris l’égalité des genres, l’orientation sexuelle </w:t>
            </w:r>
            <w:r w:rsidRPr="002D2E80">
              <w:rPr>
                <w:rFonts w:asciiTheme="minorHAnsi" w:hAnsiTheme="minorHAnsi" w:cs="Tahoma"/>
                <w:i/>
                <w:sz w:val="22"/>
                <w:szCs w:val="22"/>
                <w:lang w:val="fr-FR"/>
              </w:rPr>
              <w:t>LGBTQI</w:t>
            </w:r>
            <w:r w:rsidRPr="002D2E80">
              <w:rPr>
                <w:rFonts w:asciiTheme="minorHAnsi" w:hAnsiTheme="minorHAnsi" w:cs="Tahoma"/>
                <w:sz w:val="22"/>
                <w:szCs w:val="22"/>
                <w:lang w:val="fr-FR"/>
              </w:rPr>
              <w:t>, l’identité de genre et le handicap).</w:t>
            </w:r>
          </w:p>
        </w:tc>
      </w:tr>
      <w:tr w:rsidR="002D2E80" w:rsidRPr="00D332FD" w14:paraId="09414246"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3F390352" w14:textId="77777777" w:rsidR="002D2E80" w:rsidRPr="002D2E80" w:rsidRDefault="002D2E80" w:rsidP="003B4CEC">
            <w:pPr>
              <w:rPr>
                <w:rFonts w:asciiTheme="minorHAnsi" w:hAnsiTheme="minorHAnsi" w:cs="Tahoma"/>
                <w:b/>
                <w:i/>
                <w:lang w:val="fr-FR"/>
              </w:rPr>
            </w:pPr>
            <w:r w:rsidRPr="002D2E80">
              <w:rPr>
                <w:rFonts w:asciiTheme="minorHAnsi" w:hAnsiTheme="minorHAnsi" w:cs="Tahoma"/>
                <w:b/>
                <w:i/>
                <w:lang w:val="fr-FR"/>
              </w:rPr>
              <w:t>Permettre aux jeunes de promouvoir des sociétés pacifiques en leur donnant la possibilité de jouer un rôle actif dans :</w:t>
            </w:r>
          </w:p>
        </w:tc>
      </w:tr>
      <w:tr w:rsidR="002D2E80" w:rsidRPr="002D2E80" w14:paraId="1581A322"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279836F8" w14:textId="4ED1B10C" w:rsidR="002D2E80" w:rsidRPr="00083B0A" w:rsidRDefault="002D2E80" w:rsidP="00083B0A">
            <w:pPr>
              <w:pStyle w:val="ListParagraph"/>
              <w:numPr>
                <w:ilvl w:val="0"/>
                <w:numId w:val="49"/>
              </w:numPr>
              <w:rPr>
                <w:rFonts w:asciiTheme="minorHAnsi" w:hAnsiTheme="minorHAnsi" w:cs="Tahoma"/>
                <w:sz w:val="22"/>
                <w:szCs w:val="22"/>
                <w:lang w:val="fr-FR"/>
              </w:rPr>
            </w:pPr>
            <w:r w:rsidRPr="00083B0A">
              <w:rPr>
                <w:rFonts w:asciiTheme="minorHAnsi" w:hAnsiTheme="minorHAnsi" w:cs="Tahoma"/>
                <w:sz w:val="22"/>
                <w:szCs w:val="22"/>
                <w:lang w:val="fr-FR"/>
              </w:rPr>
              <w:t>le dialogue/l’apprentissage interculturel ;</w:t>
            </w:r>
          </w:p>
        </w:tc>
      </w:tr>
      <w:tr w:rsidR="002D2E80" w:rsidRPr="00D332FD" w14:paraId="4DE1C2C7"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295C1D6E" w14:textId="77777777" w:rsidR="002D2E80" w:rsidRPr="002D2E80" w:rsidRDefault="002D2E80" w:rsidP="00083B0A">
            <w:pPr>
              <w:pStyle w:val="ListParagraph"/>
              <w:numPr>
                <w:ilvl w:val="0"/>
                <w:numId w:val="49"/>
              </w:numPr>
              <w:rPr>
                <w:rFonts w:asciiTheme="minorHAnsi" w:hAnsiTheme="minorHAnsi" w:cs="Tahoma"/>
                <w:sz w:val="22"/>
                <w:szCs w:val="22"/>
                <w:lang w:val="fr-FR"/>
              </w:rPr>
            </w:pPr>
            <w:r w:rsidRPr="002D2E80">
              <w:rPr>
                <w:rFonts w:asciiTheme="minorHAnsi" w:hAnsiTheme="minorHAnsi" w:cs="Tahoma"/>
                <w:sz w:val="22"/>
                <w:szCs w:val="22"/>
                <w:lang w:val="fr-FR"/>
              </w:rPr>
              <w:t>la prévention de l’extrémisme violent (suite à la campagne contre le discours de haine) ;</w:t>
            </w:r>
          </w:p>
        </w:tc>
      </w:tr>
      <w:tr w:rsidR="002D2E80" w:rsidRPr="00D332FD" w14:paraId="5EBE21B9"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14:paraId="68FA2083" w14:textId="77777777" w:rsidR="002D2E80" w:rsidRPr="002D2E80" w:rsidRDefault="002D2E80" w:rsidP="00083B0A">
            <w:pPr>
              <w:pStyle w:val="ListParagraph"/>
              <w:numPr>
                <w:ilvl w:val="0"/>
                <w:numId w:val="49"/>
              </w:numPr>
              <w:rPr>
                <w:rFonts w:asciiTheme="minorHAnsi" w:hAnsiTheme="minorHAnsi" w:cs="Tahoma"/>
                <w:sz w:val="22"/>
                <w:szCs w:val="22"/>
                <w:lang w:val="fr-FR"/>
              </w:rPr>
            </w:pPr>
            <w:r w:rsidRPr="002D2E80">
              <w:rPr>
                <w:rFonts w:asciiTheme="minorHAnsi" w:hAnsiTheme="minorHAnsi" w:cs="Tahoma"/>
                <w:sz w:val="22"/>
                <w:szCs w:val="22"/>
                <w:lang w:val="fr-FR"/>
              </w:rPr>
              <w:t>l’instauration de la paix et la transformation des conflits ;</w:t>
            </w:r>
          </w:p>
        </w:tc>
      </w:tr>
      <w:tr w:rsidR="002D2E80" w:rsidRPr="00D332FD" w14:paraId="5F850B0E" w14:textId="77777777" w:rsidTr="003B4CEC">
        <w:tc>
          <w:tcPr>
            <w:tcW w:w="90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F2091C5" w14:textId="77777777" w:rsidR="002D2E80" w:rsidRPr="002D2E80" w:rsidRDefault="002D2E80" w:rsidP="00083B0A">
            <w:pPr>
              <w:pStyle w:val="ListParagraph"/>
              <w:numPr>
                <w:ilvl w:val="0"/>
                <w:numId w:val="49"/>
              </w:numPr>
              <w:rPr>
                <w:rFonts w:asciiTheme="minorHAnsi" w:hAnsiTheme="minorHAnsi" w:cs="Tahoma"/>
                <w:sz w:val="22"/>
                <w:szCs w:val="22"/>
                <w:lang w:val="fr-FR"/>
              </w:rPr>
            </w:pPr>
            <w:r w:rsidRPr="002D2E80">
              <w:rPr>
                <w:rFonts w:asciiTheme="minorHAnsi" w:hAnsiTheme="minorHAnsi" w:cs="Tahoma"/>
                <w:sz w:val="22"/>
                <w:szCs w:val="22"/>
                <w:lang w:val="fr-FR"/>
              </w:rPr>
              <w:t>la coopération avec les régions voisines et d’autres régions du monde.</w:t>
            </w:r>
          </w:p>
        </w:tc>
      </w:tr>
    </w:tbl>
    <w:p w14:paraId="0E0605C9" w14:textId="77777777" w:rsidR="002D2E80" w:rsidRPr="002D2E80" w:rsidRDefault="002D2E80" w:rsidP="002D2E80">
      <w:pPr>
        <w:spacing w:before="100" w:beforeAutospacing="1" w:after="100" w:afterAutospacing="1"/>
        <w:jc w:val="both"/>
        <w:rPr>
          <w:rFonts w:asciiTheme="minorHAnsi" w:hAnsiTheme="minorHAnsi" w:cs="Tahoma"/>
          <w:i/>
          <w:lang w:val="fr-FR"/>
        </w:rPr>
      </w:pPr>
      <w:r w:rsidRPr="002D2E80">
        <w:rPr>
          <w:rFonts w:asciiTheme="minorHAnsi" w:hAnsiTheme="minorHAnsi" w:cs="Tahoma"/>
          <w:i/>
          <w:lang w:val="fr-FR"/>
        </w:rPr>
        <w:t xml:space="preserve">Les formes persistantes de discrimination structurelle, associées aux préjugés et au mépris, font obstacle aux perspectives d’inclusion sociale et au bien-être des groupes de jeunes vulnérables et/ou minoritaires, et notamment les jeunes Roms, les jeunes réfugiés et migrants et les jeunes handicapés. L’orientation sexuelle et l’identité de genre de ces jeunes peuvent aggraver leur vulnérabilité. Enfin, les fragilités mentales sont aussi un terrain de discrimination à leur encontre. Prévenir et combattre la discrimination, pour permettre la participation des jeunes, reste une priorité de la politique de jeunesse du Conseil de l’Europe et une préoccupation constante pour ses partenaires. En outre, la vie de trop nombreux jeunes est encore et toujours marquée par des situations de conflits armés et leurs séquelles. Les organisations de jeunesse et les animateurs ont un rôle important à jouer qui consiste notamment à soutenir les jeunes dans ces situations et à promouvoir l’application des normes et expériences du Conseil de l’Europe dans tous les Etats membres, mais aussi à favoriser le dialogue interculturel avec les régions voisines et faire participer les jeunes à des activités de restauration de la confiance et de transformation des conflits dans l’esprit de la Résolution du Conseil de sécurité des Nations Unies sur la jeunesse, la paix et la sécurité, et du Livre blanc sur le dialogue interculturel. </w:t>
      </w:r>
    </w:p>
    <w:p w14:paraId="68B08725" w14:textId="40892148" w:rsidR="00FD6D0D" w:rsidRPr="002D2E80" w:rsidRDefault="00FD6D0D" w:rsidP="002D2E80">
      <w:pPr>
        <w:pStyle w:val="Title"/>
        <w:tabs>
          <w:tab w:val="center" w:pos="4479"/>
          <w:tab w:val="left" w:pos="6000"/>
        </w:tabs>
        <w:rPr>
          <w:rFonts w:asciiTheme="minorHAnsi" w:eastAsia="Calibri" w:hAnsiTheme="minorHAnsi" w:cs="Tahoma"/>
          <w:sz w:val="22"/>
          <w:szCs w:val="22"/>
        </w:rPr>
      </w:pPr>
    </w:p>
    <w:sectPr w:rsidR="00FD6D0D" w:rsidRPr="002D2E80" w:rsidSect="008071C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7195" w14:textId="77777777" w:rsidR="00003D01" w:rsidRDefault="00003D01" w:rsidP="007E2E8E">
      <w:r>
        <w:separator/>
      </w:r>
    </w:p>
  </w:endnote>
  <w:endnote w:type="continuationSeparator" w:id="0">
    <w:p w14:paraId="492C81C1" w14:textId="77777777" w:rsidR="00003D01" w:rsidRDefault="00003D01" w:rsidP="007E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47527"/>
      <w:docPartObj>
        <w:docPartGallery w:val="Page Numbers (Bottom of Page)"/>
        <w:docPartUnique/>
      </w:docPartObj>
    </w:sdtPr>
    <w:sdtEndPr>
      <w:rPr>
        <w:noProof/>
      </w:rPr>
    </w:sdtEndPr>
    <w:sdtContent>
      <w:p w14:paraId="3D6AA0CB" w14:textId="525295DC" w:rsidR="009028AD" w:rsidRDefault="009028AD">
        <w:pPr>
          <w:pStyle w:val="Footer"/>
          <w:jc w:val="center"/>
        </w:pPr>
        <w:r>
          <w:fldChar w:fldCharType="begin"/>
        </w:r>
        <w:r>
          <w:instrText xml:space="preserve"> PAGE   \* MERGEFORMAT </w:instrText>
        </w:r>
        <w:r>
          <w:fldChar w:fldCharType="separate"/>
        </w:r>
        <w:r w:rsidR="00D332FD">
          <w:rPr>
            <w:noProof/>
          </w:rPr>
          <w:t>2</w:t>
        </w:r>
        <w:r>
          <w:rPr>
            <w:noProof/>
          </w:rPr>
          <w:fldChar w:fldCharType="end"/>
        </w:r>
      </w:p>
    </w:sdtContent>
  </w:sdt>
  <w:p w14:paraId="48000311" w14:textId="77777777" w:rsidR="009028AD" w:rsidRDefault="0090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C5B1" w14:textId="77777777" w:rsidR="00003D01" w:rsidRDefault="00003D01" w:rsidP="007E2E8E">
      <w:r>
        <w:separator/>
      </w:r>
    </w:p>
  </w:footnote>
  <w:footnote w:type="continuationSeparator" w:id="0">
    <w:p w14:paraId="7D59EB01" w14:textId="77777777" w:rsidR="00003D01" w:rsidRDefault="00003D01" w:rsidP="007E2E8E">
      <w:r>
        <w:continuationSeparator/>
      </w:r>
    </w:p>
  </w:footnote>
  <w:footnote w:id="1">
    <w:p w14:paraId="1818A080" w14:textId="77777777" w:rsidR="002D2E80" w:rsidRPr="008669BE" w:rsidRDefault="002D2E80" w:rsidP="002D2E80">
      <w:pPr>
        <w:pStyle w:val="FootnoteText"/>
        <w:rPr>
          <w:lang w:val="fr-FR"/>
        </w:rPr>
      </w:pPr>
      <w:r>
        <w:rPr>
          <w:rStyle w:val="FootnoteReference"/>
        </w:rPr>
        <w:footnoteRef/>
      </w:r>
      <w:r w:rsidRPr="008669BE">
        <w:rPr>
          <w:lang w:val="fr-FR"/>
        </w:rPr>
        <w:t xml:space="preserve"> </w:t>
      </w:r>
      <w:r>
        <w:rPr>
          <w:lang w:val="fr-FR"/>
        </w:rPr>
        <w:t>Sous réserve de l’approbation du Comité des Ministres du Conseil de l’Europe</w:t>
      </w:r>
    </w:p>
  </w:footnote>
  <w:footnote w:id="2">
    <w:p w14:paraId="03D215FC" w14:textId="77777777" w:rsidR="002D2E80" w:rsidRDefault="002D2E80" w:rsidP="002D2E80">
      <w:pPr>
        <w:pStyle w:val="ListParagraph"/>
        <w:ind w:left="0"/>
        <w:rPr>
          <w:i/>
          <w:sz w:val="16"/>
          <w:szCs w:val="16"/>
          <w:lang w:val="fr-FR"/>
        </w:rPr>
      </w:pPr>
      <w:r>
        <w:rPr>
          <w:rStyle w:val="FootnoteReference"/>
          <w:lang w:val="fr-FR"/>
        </w:rPr>
        <w:footnoteRef/>
      </w:r>
      <w:r>
        <w:rPr>
          <w:sz w:val="16"/>
          <w:szCs w:val="16"/>
          <w:lang w:val="fr-FR"/>
        </w:rPr>
        <w:t xml:space="preserve"> « L’intersectionnalité est une théorie sociologique selon laquelle un individu peut être confronté à de multiples formes /menaces de discrimination lorsque son identité recouvre plusieurs facteurs minoritaires tels que la race, le genre, l’âge, l’origine ethnique, la santé et autres caractéristiques ».  C’est à Kimberlé Crenshaw que l’on doit la théorie de l’intersectionnalité, voir son </w:t>
      </w:r>
      <w:hyperlink r:id="rId1" w:history="1">
        <w:r>
          <w:rPr>
            <w:rStyle w:val="Hyperlink"/>
            <w:sz w:val="16"/>
            <w:szCs w:val="16"/>
            <w:lang w:val="fr-FR"/>
          </w:rPr>
          <w:t>essai de 1989</w:t>
        </w:r>
      </w:hyperlink>
      <w:r>
        <w:rPr>
          <w:sz w:val="16"/>
          <w:szCs w:val="16"/>
          <w:lang w:val="fr-FR"/>
        </w:rPr>
        <w:t> :« </w:t>
      </w:r>
      <w:r>
        <w:rPr>
          <w:i/>
          <w:sz w:val="16"/>
          <w:szCs w:val="16"/>
          <w:lang w:val="fr-FR"/>
        </w:rPr>
        <w:t>Cartographies des marges : intersectionnalité, politique de l'identité et violences contre les femmes de couleur</w:t>
      </w:r>
      <w:r>
        <w:rPr>
          <w:sz w:val="16"/>
          <w:szCs w:val="16"/>
          <w:lang w:val="fr-FR"/>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63EE" w14:textId="16E0967A" w:rsidR="00727386" w:rsidRPr="00727386" w:rsidRDefault="00727386" w:rsidP="00727386">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BB2F" w14:textId="57735A75" w:rsidR="008071C0" w:rsidRDefault="008071C0" w:rsidP="008071C0">
    <w:pPr>
      <w:pStyle w:val="Header"/>
      <w:jc w:val="right"/>
    </w:pPr>
    <w:r>
      <w:rPr>
        <w:noProof/>
      </w:rPr>
      <w:drawing>
        <wp:inline distT="0" distB="0" distL="0" distR="0" wp14:anchorId="7F6227D2" wp14:editId="739EA403">
          <wp:extent cx="1691640" cy="1325880"/>
          <wp:effectExtent l="0" t="0" r="0" b="0"/>
          <wp:docPr id="1" name="Picture 1" descr="http://www.coe.int/documents/16695/995226/COE-Logo-Fil-BW.png/bb17a17e-5308-4fc0-929d-5c4baf3ab99d?t=1371222816000?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16695/995226/COE-Logo-Fil-BW.png/bb17a17e-5308-4fc0-929d-5c4baf3ab99d?t=1371222816000?t=137122281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325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1C"/>
    <w:multiLevelType w:val="hybridMultilevel"/>
    <w:tmpl w:val="BAC6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0574A"/>
    <w:multiLevelType w:val="hybridMultilevel"/>
    <w:tmpl w:val="D1C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06324"/>
    <w:multiLevelType w:val="hybridMultilevel"/>
    <w:tmpl w:val="383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65BA8"/>
    <w:multiLevelType w:val="hybridMultilevel"/>
    <w:tmpl w:val="F7B0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B62D0"/>
    <w:multiLevelType w:val="hybridMultilevel"/>
    <w:tmpl w:val="ECEA670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CA12D1"/>
    <w:multiLevelType w:val="hybridMultilevel"/>
    <w:tmpl w:val="2EB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41FE2"/>
    <w:multiLevelType w:val="hybridMultilevel"/>
    <w:tmpl w:val="D4A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C41CE0"/>
    <w:multiLevelType w:val="hybridMultilevel"/>
    <w:tmpl w:val="F208CD3A"/>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3CC1081"/>
    <w:multiLevelType w:val="hybridMultilevel"/>
    <w:tmpl w:val="E410FC1A"/>
    <w:lvl w:ilvl="0" w:tplc="1E18D2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B3294"/>
    <w:multiLevelType w:val="hybridMultilevel"/>
    <w:tmpl w:val="31D4E8EE"/>
    <w:lvl w:ilvl="0" w:tplc="27065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622367"/>
    <w:multiLevelType w:val="hybridMultilevel"/>
    <w:tmpl w:val="AFDE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C5636"/>
    <w:multiLevelType w:val="hybridMultilevel"/>
    <w:tmpl w:val="1AB0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DD77BB"/>
    <w:multiLevelType w:val="hybridMultilevel"/>
    <w:tmpl w:val="07FA7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D01CC6"/>
    <w:multiLevelType w:val="hybridMultilevel"/>
    <w:tmpl w:val="1AC08FE0"/>
    <w:lvl w:ilvl="0" w:tplc="F76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F4E09"/>
    <w:multiLevelType w:val="hybridMultilevel"/>
    <w:tmpl w:val="CACEE18A"/>
    <w:lvl w:ilvl="0" w:tplc="D02470B4">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B4750"/>
    <w:multiLevelType w:val="hybridMultilevel"/>
    <w:tmpl w:val="49F80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7F33AB"/>
    <w:multiLevelType w:val="hybridMultilevel"/>
    <w:tmpl w:val="DE2C0316"/>
    <w:lvl w:ilvl="0" w:tplc="27065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62B287F"/>
    <w:multiLevelType w:val="hybridMultilevel"/>
    <w:tmpl w:val="9B7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D6C64"/>
    <w:multiLevelType w:val="hybridMultilevel"/>
    <w:tmpl w:val="F9B645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505A59E7"/>
    <w:multiLevelType w:val="hybridMultilevel"/>
    <w:tmpl w:val="7F545C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nsid w:val="54383F63"/>
    <w:multiLevelType w:val="hybridMultilevel"/>
    <w:tmpl w:val="D188027C"/>
    <w:lvl w:ilvl="0" w:tplc="040C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6FE290E"/>
    <w:multiLevelType w:val="hybridMultilevel"/>
    <w:tmpl w:val="0BF04E90"/>
    <w:lvl w:ilvl="0" w:tplc="27065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7679D0"/>
    <w:multiLevelType w:val="hybridMultilevel"/>
    <w:tmpl w:val="F59C0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C5E5687"/>
    <w:multiLevelType w:val="hybridMultilevel"/>
    <w:tmpl w:val="5C7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04544"/>
    <w:multiLevelType w:val="hybridMultilevel"/>
    <w:tmpl w:val="DF8A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D1A25"/>
    <w:multiLevelType w:val="hybridMultilevel"/>
    <w:tmpl w:val="DE482C02"/>
    <w:lvl w:ilvl="0" w:tplc="08090001">
      <w:start w:val="1"/>
      <w:numFmt w:val="bullet"/>
      <w:lvlText w:val=""/>
      <w:lvlJc w:val="left"/>
      <w:pPr>
        <w:ind w:left="720" w:hanging="360"/>
      </w:pPr>
      <w:rPr>
        <w:rFonts w:ascii="Symbol" w:hAnsi="Symbol" w:hint="default"/>
      </w:rPr>
    </w:lvl>
    <w:lvl w:ilvl="1" w:tplc="A4003292">
      <w:numFmt w:val="bullet"/>
      <w:lvlText w:val="-"/>
      <w:lvlJc w:val="left"/>
      <w:pPr>
        <w:ind w:left="1440" w:hanging="360"/>
      </w:pPr>
      <w:rPr>
        <w:rFonts w:ascii="Tahoma" w:eastAsia="Times New Roman" w:hAnsi="Tahoma" w:cs="Tahoma"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6D4"/>
    <w:multiLevelType w:val="hybridMultilevel"/>
    <w:tmpl w:val="BB58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BA3731"/>
    <w:multiLevelType w:val="hybridMultilevel"/>
    <w:tmpl w:val="0A6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73064"/>
    <w:multiLevelType w:val="hybridMultilevel"/>
    <w:tmpl w:val="4D2A9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FF27A6"/>
    <w:multiLevelType w:val="hybridMultilevel"/>
    <w:tmpl w:val="A764372C"/>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3B30EF6"/>
    <w:multiLevelType w:val="hybridMultilevel"/>
    <w:tmpl w:val="2F66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6E7B89"/>
    <w:multiLevelType w:val="hybridMultilevel"/>
    <w:tmpl w:val="36C0B04E"/>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BB3A02"/>
    <w:multiLevelType w:val="hybridMultilevel"/>
    <w:tmpl w:val="3D00AD42"/>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1FC0FC0"/>
    <w:multiLevelType w:val="hybridMultilevel"/>
    <w:tmpl w:val="22BE3012"/>
    <w:lvl w:ilvl="0" w:tplc="28CA154A">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228434F"/>
    <w:multiLevelType w:val="hybridMultilevel"/>
    <w:tmpl w:val="DE0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B43D9"/>
    <w:multiLevelType w:val="hybridMultilevel"/>
    <w:tmpl w:val="05E453FA"/>
    <w:lvl w:ilvl="0" w:tplc="18F6D8AC">
      <w:start w:val="1"/>
      <w:numFmt w:val="lowerLetter"/>
      <w:lvlText w:val="%1."/>
      <w:lvlJc w:val="left"/>
      <w:pPr>
        <w:ind w:left="720" w:hanging="360"/>
      </w:pPr>
      <w:rPr>
        <w:rFonts w:asciiTheme="minorHAnsi" w:eastAsiaTheme="minorHAnsi" w:hAnsiTheme="minorHAnsi" w:cs="Tahoma"/>
      </w:rPr>
    </w:lvl>
    <w:lvl w:ilvl="1" w:tplc="F024483E">
      <w:start w:val="1"/>
      <w:numFmt w:val="bullet"/>
      <w:lvlText w:val="o"/>
      <w:lvlJc w:val="left"/>
      <w:pPr>
        <w:ind w:left="1440" w:hanging="360"/>
      </w:pPr>
      <w:rPr>
        <w:rFonts w:ascii="Courier New" w:hAnsi="Courier New" w:cs="Courier New" w:hint="default"/>
      </w:rPr>
    </w:lvl>
    <w:lvl w:ilvl="2" w:tplc="F1283B74">
      <w:start w:val="1"/>
      <w:numFmt w:val="bullet"/>
      <w:lvlText w:val=""/>
      <w:lvlJc w:val="left"/>
      <w:pPr>
        <w:ind w:left="2160" w:hanging="360"/>
      </w:pPr>
      <w:rPr>
        <w:rFonts w:ascii="Wingdings" w:hAnsi="Wingdings" w:hint="default"/>
      </w:rPr>
    </w:lvl>
    <w:lvl w:ilvl="3" w:tplc="65BEB9A6">
      <w:start w:val="1"/>
      <w:numFmt w:val="bullet"/>
      <w:lvlText w:val=""/>
      <w:lvlJc w:val="left"/>
      <w:pPr>
        <w:ind w:left="2880" w:hanging="360"/>
      </w:pPr>
      <w:rPr>
        <w:rFonts w:ascii="Symbol" w:hAnsi="Symbol" w:hint="default"/>
      </w:rPr>
    </w:lvl>
    <w:lvl w:ilvl="4" w:tplc="A83219DE">
      <w:start w:val="1"/>
      <w:numFmt w:val="bullet"/>
      <w:lvlText w:val="o"/>
      <w:lvlJc w:val="left"/>
      <w:pPr>
        <w:ind w:left="3600" w:hanging="360"/>
      </w:pPr>
      <w:rPr>
        <w:rFonts w:ascii="Courier New" w:hAnsi="Courier New" w:cs="Courier New" w:hint="default"/>
      </w:rPr>
    </w:lvl>
    <w:lvl w:ilvl="5" w:tplc="D1C896B0">
      <w:start w:val="1"/>
      <w:numFmt w:val="bullet"/>
      <w:lvlText w:val=""/>
      <w:lvlJc w:val="left"/>
      <w:pPr>
        <w:ind w:left="4320" w:hanging="360"/>
      </w:pPr>
      <w:rPr>
        <w:rFonts w:ascii="Wingdings" w:hAnsi="Wingdings" w:hint="default"/>
      </w:rPr>
    </w:lvl>
    <w:lvl w:ilvl="6" w:tplc="85F6A8A6">
      <w:start w:val="1"/>
      <w:numFmt w:val="bullet"/>
      <w:lvlText w:val=""/>
      <w:lvlJc w:val="left"/>
      <w:pPr>
        <w:ind w:left="5040" w:hanging="360"/>
      </w:pPr>
      <w:rPr>
        <w:rFonts w:ascii="Symbol" w:hAnsi="Symbol" w:hint="default"/>
      </w:rPr>
    </w:lvl>
    <w:lvl w:ilvl="7" w:tplc="73F877E4">
      <w:start w:val="1"/>
      <w:numFmt w:val="bullet"/>
      <w:lvlText w:val="o"/>
      <w:lvlJc w:val="left"/>
      <w:pPr>
        <w:ind w:left="5760" w:hanging="360"/>
      </w:pPr>
      <w:rPr>
        <w:rFonts w:ascii="Courier New" w:hAnsi="Courier New" w:cs="Courier New" w:hint="default"/>
      </w:rPr>
    </w:lvl>
    <w:lvl w:ilvl="8" w:tplc="E490EED4">
      <w:start w:val="1"/>
      <w:numFmt w:val="bullet"/>
      <w:lvlText w:val=""/>
      <w:lvlJc w:val="left"/>
      <w:pPr>
        <w:ind w:left="6480" w:hanging="360"/>
      </w:pPr>
      <w:rPr>
        <w:rFonts w:ascii="Wingdings" w:hAnsi="Wingdings" w:hint="default"/>
      </w:rPr>
    </w:lvl>
  </w:abstractNum>
  <w:abstractNum w:abstractNumId="36">
    <w:nsid w:val="74D31D4A"/>
    <w:multiLevelType w:val="hybridMultilevel"/>
    <w:tmpl w:val="D0F259BC"/>
    <w:lvl w:ilvl="0" w:tplc="6DBAF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47B2A"/>
    <w:multiLevelType w:val="hybridMultilevel"/>
    <w:tmpl w:val="02605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B4390"/>
    <w:multiLevelType w:val="hybridMultilevel"/>
    <w:tmpl w:val="513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54741"/>
    <w:multiLevelType w:val="hybridMultilevel"/>
    <w:tmpl w:val="D9BA6090"/>
    <w:lvl w:ilvl="0" w:tplc="D77686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26394D"/>
    <w:multiLevelType w:val="hybridMultilevel"/>
    <w:tmpl w:val="0AA8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
  </w:num>
  <w:num w:numId="6">
    <w:abstractNumId w:val="25"/>
  </w:num>
  <w:num w:numId="7">
    <w:abstractNumId w:val="36"/>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6"/>
  </w:num>
  <w:num w:numId="13">
    <w:abstractNumId w:val="16"/>
  </w:num>
  <w:num w:numId="14">
    <w:abstractNumId w:val="9"/>
  </w:num>
  <w:num w:numId="15">
    <w:abstractNumId w:val="19"/>
  </w:num>
  <w:num w:numId="16">
    <w:abstractNumId w:val="32"/>
  </w:num>
  <w:num w:numId="17">
    <w:abstractNumId w:val="1"/>
  </w:num>
  <w:num w:numId="18">
    <w:abstractNumId w:val="38"/>
  </w:num>
  <w:num w:numId="19">
    <w:abstractNumId w:val="34"/>
  </w:num>
  <w:num w:numId="20">
    <w:abstractNumId w:val="8"/>
  </w:num>
  <w:num w:numId="21">
    <w:abstractNumId w:val="20"/>
  </w:num>
  <w:num w:numId="22">
    <w:abstractNumId w:val="31"/>
  </w:num>
  <w:num w:numId="23">
    <w:abstractNumId w:val="29"/>
  </w:num>
  <w:num w:numId="24">
    <w:abstractNumId w:val="18"/>
  </w:num>
  <w:num w:numId="25">
    <w:abstractNumId w:val="38"/>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2"/>
  </w:num>
  <w:num w:numId="30">
    <w:abstractNumId w:val="39"/>
  </w:num>
  <w:num w:numId="31">
    <w:abstractNumId w:val="24"/>
  </w:num>
  <w:num w:numId="32">
    <w:abstractNumId w:val="15"/>
  </w:num>
  <w:num w:numId="33">
    <w:abstractNumId w:val="30"/>
  </w:num>
  <w:num w:numId="34">
    <w:abstractNumId w:val="5"/>
  </w:num>
  <w:num w:numId="35">
    <w:abstractNumId w:val="23"/>
  </w:num>
  <w:num w:numId="36">
    <w:abstractNumId w:val="10"/>
  </w:num>
  <w:num w:numId="37">
    <w:abstractNumId w:val="14"/>
  </w:num>
  <w:num w:numId="38">
    <w:abstractNumId w:val="12"/>
  </w:num>
  <w:num w:numId="39">
    <w:abstractNumId w:val="11"/>
  </w:num>
  <w:num w:numId="40">
    <w:abstractNumId w:val="28"/>
  </w:num>
  <w:num w:numId="41">
    <w:abstractNumId w:val="2"/>
  </w:num>
  <w:num w:numId="42">
    <w:abstractNumId w:val="27"/>
  </w:num>
  <w:num w:numId="43">
    <w:abstractNumId w:val="3"/>
  </w:num>
  <w:num w:numId="44">
    <w:abstractNumId w:val="0"/>
  </w:num>
  <w:num w:numId="45">
    <w:abstractNumId w:val="40"/>
  </w:num>
  <w:num w:numId="46">
    <w:abstractNumId w:val="13"/>
  </w:num>
  <w:num w:numId="47">
    <w:abstractNumId w:val="17"/>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9F"/>
    <w:rsid w:val="00003D01"/>
    <w:rsid w:val="00030E9C"/>
    <w:rsid w:val="000442B1"/>
    <w:rsid w:val="00067F14"/>
    <w:rsid w:val="00083B0A"/>
    <w:rsid w:val="00087B3F"/>
    <w:rsid w:val="000D598C"/>
    <w:rsid w:val="000E0A59"/>
    <w:rsid w:val="000F532E"/>
    <w:rsid w:val="001008F6"/>
    <w:rsid w:val="00110114"/>
    <w:rsid w:val="0011656E"/>
    <w:rsid w:val="00137488"/>
    <w:rsid w:val="001408C8"/>
    <w:rsid w:val="001434B2"/>
    <w:rsid w:val="001435FE"/>
    <w:rsid w:val="00156BE9"/>
    <w:rsid w:val="0019682A"/>
    <w:rsid w:val="001B39C5"/>
    <w:rsid w:val="001F0309"/>
    <w:rsid w:val="00211C1E"/>
    <w:rsid w:val="0021710A"/>
    <w:rsid w:val="00223BFE"/>
    <w:rsid w:val="002455AB"/>
    <w:rsid w:val="002722CB"/>
    <w:rsid w:val="00284C9F"/>
    <w:rsid w:val="002870FB"/>
    <w:rsid w:val="00295142"/>
    <w:rsid w:val="002967FE"/>
    <w:rsid w:val="00297EC3"/>
    <w:rsid w:val="002A10B0"/>
    <w:rsid w:val="002B27AD"/>
    <w:rsid w:val="002D2E80"/>
    <w:rsid w:val="002E0C87"/>
    <w:rsid w:val="0030256A"/>
    <w:rsid w:val="00302810"/>
    <w:rsid w:val="0030517A"/>
    <w:rsid w:val="00332E01"/>
    <w:rsid w:val="00337F43"/>
    <w:rsid w:val="00346DB6"/>
    <w:rsid w:val="0035075B"/>
    <w:rsid w:val="00354B89"/>
    <w:rsid w:val="00360CA2"/>
    <w:rsid w:val="003677AC"/>
    <w:rsid w:val="00374C64"/>
    <w:rsid w:val="003858DF"/>
    <w:rsid w:val="003A130E"/>
    <w:rsid w:val="003B210F"/>
    <w:rsid w:val="003B30DE"/>
    <w:rsid w:val="003C1C50"/>
    <w:rsid w:val="003C1F94"/>
    <w:rsid w:val="003C6449"/>
    <w:rsid w:val="003D24D6"/>
    <w:rsid w:val="003D5A7C"/>
    <w:rsid w:val="003E34B2"/>
    <w:rsid w:val="003E64B4"/>
    <w:rsid w:val="00404EED"/>
    <w:rsid w:val="00410099"/>
    <w:rsid w:val="00415C2B"/>
    <w:rsid w:val="00420757"/>
    <w:rsid w:val="004240FD"/>
    <w:rsid w:val="0042418F"/>
    <w:rsid w:val="00430681"/>
    <w:rsid w:val="004405A9"/>
    <w:rsid w:val="00457173"/>
    <w:rsid w:val="00461571"/>
    <w:rsid w:val="004651C8"/>
    <w:rsid w:val="0049221D"/>
    <w:rsid w:val="004B4CB0"/>
    <w:rsid w:val="004B77CD"/>
    <w:rsid w:val="004D64AB"/>
    <w:rsid w:val="004F6C57"/>
    <w:rsid w:val="00515791"/>
    <w:rsid w:val="00522584"/>
    <w:rsid w:val="00532648"/>
    <w:rsid w:val="0053601F"/>
    <w:rsid w:val="00554D1D"/>
    <w:rsid w:val="00560035"/>
    <w:rsid w:val="005619C7"/>
    <w:rsid w:val="00561AC7"/>
    <w:rsid w:val="00595704"/>
    <w:rsid w:val="00597A15"/>
    <w:rsid w:val="005A1816"/>
    <w:rsid w:val="005A1A29"/>
    <w:rsid w:val="005A7FDC"/>
    <w:rsid w:val="005C3D93"/>
    <w:rsid w:val="005C556C"/>
    <w:rsid w:val="005E63B0"/>
    <w:rsid w:val="005F0FDF"/>
    <w:rsid w:val="005F57E4"/>
    <w:rsid w:val="00601EB9"/>
    <w:rsid w:val="00613548"/>
    <w:rsid w:val="00613B29"/>
    <w:rsid w:val="00614A30"/>
    <w:rsid w:val="00637FDE"/>
    <w:rsid w:val="00640F49"/>
    <w:rsid w:val="00677B9F"/>
    <w:rsid w:val="006A0682"/>
    <w:rsid w:val="006B1F90"/>
    <w:rsid w:val="006B2466"/>
    <w:rsid w:val="006B7A3B"/>
    <w:rsid w:val="006C02B2"/>
    <w:rsid w:val="006C28C8"/>
    <w:rsid w:val="006D2020"/>
    <w:rsid w:val="006E2F77"/>
    <w:rsid w:val="006F396A"/>
    <w:rsid w:val="007266FF"/>
    <w:rsid w:val="00727386"/>
    <w:rsid w:val="00736011"/>
    <w:rsid w:val="00781160"/>
    <w:rsid w:val="00785E75"/>
    <w:rsid w:val="00795556"/>
    <w:rsid w:val="00795B83"/>
    <w:rsid w:val="007A22E2"/>
    <w:rsid w:val="007E2E8E"/>
    <w:rsid w:val="007F4D75"/>
    <w:rsid w:val="008068A7"/>
    <w:rsid w:val="008071C0"/>
    <w:rsid w:val="00821B81"/>
    <w:rsid w:val="008660B4"/>
    <w:rsid w:val="00873E5E"/>
    <w:rsid w:val="008914F2"/>
    <w:rsid w:val="00891C50"/>
    <w:rsid w:val="008A7169"/>
    <w:rsid w:val="008B5818"/>
    <w:rsid w:val="008B6D01"/>
    <w:rsid w:val="008C1F6F"/>
    <w:rsid w:val="008D6022"/>
    <w:rsid w:val="008E1F21"/>
    <w:rsid w:val="008E53F3"/>
    <w:rsid w:val="008F3130"/>
    <w:rsid w:val="008F4838"/>
    <w:rsid w:val="009028AD"/>
    <w:rsid w:val="009136A6"/>
    <w:rsid w:val="0092474B"/>
    <w:rsid w:val="00934B8E"/>
    <w:rsid w:val="00967EE1"/>
    <w:rsid w:val="009705EE"/>
    <w:rsid w:val="009717E2"/>
    <w:rsid w:val="00973756"/>
    <w:rsid w:val="009B088D"/>
    <w:rsid w:val="00A16A46"/>
    <w:rsid w:val="00A37400"/>
    <w:rsid w:val="00A520AB"/>
    <w:rsid w:val="00A55124"/>
    <w:rsid w:val="00A70766"/>
    <w:rsid w:val="00A7399B"/>
    <w:rsid w:val="00A9585F"/>
    <w:rsid w:val="00AA6CAE"/>
    <w:rsid w:val="00AB64EE"/>
    <w:rsid w:val="00AB658D"/>
    <w:rsid w:val="00AB6A9F"/>
    <w:rsid w:val="00AC7D4B"/>
    <w:rsid w:val="00AF35A5"/>
    <w:rsid w:val="00B06FCD"/>
    <w:rsid w:val="00B1007A"/>
    <w:rsid w:val="00B15DDE"/>
    <w:rsid w:val="00B532EA"/>
    <w:rsid w:val="00B66412"/>
    <w:rsid w:val="00B75968"/>
    <w:rsid w:val="00B92523"/>
    <w:rsid w:val="00B93D4E"/>
    <w:rsid w:val="00BD1537"/>
    <w:rsid w:val="00BD5CB8"/>
    <w:rsid w:val="00BE520A"/>
    <w:rsid w:val="00BE59A6"/>
    <w:rsid w:val="00C1290D"/>
    <w:rsid w:val="00C13DC5"/>
    <w:rsid w:val="00C4157D"/>
    <w:rsid w:val="00C46816"/>
    <w:rsid w:val="00C51FFD"/>
    <w:rsid w:val="00C54B34"/>
    <w:rsid w:val="00C55299"/>
    <w:rsid w:val="00C801AA"/>
    <w:rsid w:val="00C8437B"/>
    <w:rsid w:val="00C87595"/>
    <w:rsid w:val="00C87AEA"/>
    <w:rsid w:val="00C94FF1"/>
    <w:rsid w:val="00C966D0"/>
    <w:rsid w:val="00CD2A85"/>
    <w:rsid w:val="00CE342C"/>
    <w:rsid w:val="00D03213"/>
    <w:rsid w:val="00D1544E"/>
    <w:rsid w:val="00D27512"/>
    <w:rsid w:val="00D332FD"/>
    <w:rsid w:val="00D5043B"/>
    <w:rsid w:val="00D6172B"/>
    <w:rsid w:val="00D660DA"/>
    <w:rsid w:val="00D70845"/>
    <w:rsid w:val="00D938C7"/>
    <w:rsid w:val="00D94743"/>
    <w:rsid w:val="00D96B2E"/>
    <w:rsid w:val="00DA1F0F"/>
    <w:rsid w:val="00DA6F90"/>
    <w:rsid w:val="00DB4551"/>
    <w:rsid w:val="00DB4E7E"/>
    <w:rsid w:val="00DC196B"/>
    <w:rsid w:val="00DF02F6"/>
    <w:rsid w:val="00DF4414"/>
    <w:rsid w:val="00E02A37"/>
    <w:rsid w:val="00E133D5"/>
    <w:rsid w:val="00E16040"/>
    <w:rsid w:val="00E35CFF"/>
    <w:rsid w:val="00E40E37"/>
    <w:rsid w:val="00E46D74"/>
    <w:rsid w:val="00E74FA6"/>
    <w:rsid w:val="00E75708"/>
    <w:rsid w:val="00E84DFA"/>
    <w:rsid w:val="00E91501"/>
    <w:rsid w:val="00E91770"/>
    <w:rsid w:val="00EB29F2"/>
    <w:rsid w:val="00EC7F67"/>
    <w:rsid w:val="00F04A42"/>
    <w:rsid w:val="00F12542"/>
    <w:rsid w:val="00F158FC"/>
    <w:rsid w:val="00F406A1"/>
    <w:rsid w:val="00F50673"/>
    <w:rsid w:val="00F72692"/>
    <w:rsid w:val="00F8712A"/>
    <w:rsid w:val="00F905FB"/>
    <w:rsid w:val="00F96873"/>
    <w:rsid w:val="00FA7D37"/>
    <w:rsid w:val="00FB5963"/>
    <w:rsid w:val="00FC7696"/>
    <w:rsid w:val="00FD6D0D"/>
    <w:rsid w:val="00FD71AF"/>
    <w:rsid w:val="00FE0E51"/>
    <w:rsid w:val="00FF4ACA"/>
    <w:rsid w:val="00FF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B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C9F"/>
    <w:pPr>
      <w:spacing w:before="100" w:beforeAutospacing="1" w:after="100" w:afterAutospacing="1"/>
    </w:pPr>
    <w:rPr>
      <w:lang w:val="fi-FI" w:eastAsia="fi-FI"/>
    </w:rPr>
  </w:style>
  <w:style w:type="paragraph" w:styleId="CommentText">
    <w:name w:val="annotation text"/>
    <w:basedOn w:val="Normal"/>
    <w:link w:val="CommentTextChar"/>
    <w:uiPriority w:val="99"/>
    <w:unhideWhenUsed/>
    <w:rsid w:val="00284C9F"/>
    <w:rPr>
      <w:sz w:val="20"/>
      <w:szCs w:val="20"/>
    </w:rPr>
  </w:style>
  <w:style w:type="character" w:customStyle="1" w:styleId="CommentTextChar">
    <w:name w:val="Comment Text Char"/>
    <w:basedOn w:val="DefaultParagraphFont"/>
    <w:link w:val="CommentText"/>
    <w:uiPriority w:val="99"/>
    <w:rsid w:val="00284C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4C9F"/>
    <w:pPr>
      <w:ind w:left="720"/>
    </w:pPr>
  </w:style>
  <w:style w:type="paragraph" w:styleId="FootnoteText">
    <w:name w:val="footnote text"/>
    <w:basedOn w:val="Normal"/>
    <w:link w:val="FootnoteTextChar"/>
    <w:uiPriority w:val="99"/>
    <w:semiHidden/>
    <w:unhideWhenUsed/>
    <w:rsid w:val="007E2E8E"/>
    <w:rPr>
      <w:sz w:val="20"/>
      <w:szCs w:val="20"/>
    </w:rPr>
  </w:style>
  <w:style w:type="character" w:customStyle="1" w:styleId="FootnoteTextChar">
    <w:name w:val="Footnote Text Char"/>
    <w:basedOn w:val="DefaultParagraphFont"/>
    <w:link w:val="FootnoteText"/>
    <w:uiPriority w:val="99"/>
    <w:semiHidden/>
    <w:rsid w:val="007E2E8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2E8E"/>
    <w:rPr>
      <w:vertAlign w:val="superscript"/>
    </w:rPr>
  </w:style>
  <w:style w:type="character" w:styleId="CommentReference">
    <w:name w:val="annotation reference"/>
    <w:basedOn w:val="DefaultParagraphFont"/>
    <w:uiPriority w:val="99"/>
    <w:semiHidden/>
    <w:unhideWhenUsed/>
    <w:rsid w:val="00E74FA6"/>
    <w:rPr>
      <w:sz w:val="16"/>
      <w:szCs w:val="16"/>
    </w:rPr>
  </w:style>
  <w:style w:type="paragraph" w:styleId="BalloonText">
    <w:name w:val="Balloon Text"/>
    <w:basedOn w:val="Normal"/>
    <w:link w:val="BalloonTextChar"/>
    <w:uiPriority w:val="99"/>
    <w:semiHidden/>
    <w:unhideWhenUsed/>
    <w:rsid w:val="00E74FA6"/>
    <w:rPr>
      <w:rFonts w:ascii="Tahoma" w:hAnsi="Tahoma" w:cs="Tahoma"/>
      <w:sz w:val="16"/>
      <w:szCs w:val="16"/>
    </w:rPr>
  </w:style>
  <w:style w:type="character" w:customStyle="1" w:styleId="BalloonTextChar">
    <w:name w:val="Balloon Text Char"/>
    <w:basedOn w:val="DefaultParagraphFont"/>
    <w:link w:val="BalloonText"/>
    <w:uiPriority w:val="99"/>
    <w:semiHidden/>
    <w:rsid w:val="00E74FA6"/>
    <w:rPr>
      <w:rFonts w:ascii="Tahoma" w:eastAsia="Times New Roman" w:hAnsi="Tahoma" w:cs="Tahoma"/>
      <w:sz w:val="16"/>
      <w:szCs w:val="16"/>
      <w:lang w:val="en-US"/>
    </w:rPr>
  </w:style>
  <w:style w:type="paragraph" w:styleId="NoSpacing">
    <w:name w:val="No Spacing"/>
    <w:basedOn w:val="Normal"/>
    <w:uiPriority w:val="1"/>
    <w:qFormat/>
    <w:rsid w:val="00C13DC5"/>
    <w:rPr>
      <w:rFonts w:eastAsiaTheme="minorHAnsi"/>
      <w:lang w:val="en-GB"/>
    </w:rPr>
  </w:style>
  <w:style w:type="paragraph" w:styleId="Header">
    <w:name w:val="header"/>
    <w:basedOn w:val="Normal"/>
    <w:link w:val="HeaderChar"/>
    <w:unhideWhenUsed/>
    <w:rsid w:val="00374C64"/>
    <w:pPr>
      <w:tabs>
        <w:tab w:val="center" w:pos="4513"/>
        <w:tab w:val="right" w:pos="9026"/>
      </w:tabs>
    </w:pPr>
  </w:style>
  <w:style w:type="character" w:customStyle="1" w:styleId="HeaderChar">
    <w:name w:val="Header Char"/>
    <w:basedOn w:val="DefaultParagraphFont"/>
    <w:link w:val="Header"/>
    <w:rsid w:val="00374C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C64"/>
    <w:pPr>
      <w:tabs>
        <w:tab w:val="center" w:pos="4513"/>
        <w:tab w:val="right" w:pos="9026"/>
      </w:tabs>
    </w:pPr>
  </w:style>
  <w:style w:type="character" w:customStyle="1" w:styleId="FooterChar">
    <w:name w:val="Footer Char"/>
    <w:basedOn w:val="DefaultParagraphFont"/>
    <w:link w:val="Footer"/>
    <w:uiPriority w:val="99"/>
    <w:rsid w:val="00374C64"/>
    <w:rPr>
      <w:rFonts w:ascii="Times New Roman" w:eastAsia="Times New Roman" w:hAnsi="Times New Roman" w:cs="Times New Roman"/>
      <w:sz w:val="24"/>
      <w:szCs w:val="24"/>
      <w:lang w:val="en-US"/>
    </w:rPr>
  </w:style>
  <w:style w:type="paragraph" w:customStyle="1" w:styleId="CharChar">
    <w:name w:val="Char Char"/>
    <w:basedOn w:val="Normal"/>
    <w:semiHidden/>
    <w:rsid w:val="00374C64"/>
    <w:pPr>
      <w:autoSpaceDE w:val="0"/>
      <w:autoSpaceDN w:val="0"/>
      <w:spacing w:after="160" w:line="240" w:lineRule="exact"/>
    </w:pPr>
    <w:rPr>
      <w:rFonts w:ascii="Arial" w:hAnsi="Arial" w:cs="Arial"/>
      <w:sz w:val="20"/>
    </w:rPr>
  </w:style>
  <w:style w:type="paragraph" w:styleId="Title">
    <w:name w:val="Title"/>
    <w:basedOn w:val="Normal"/>
    <w:link w:val="TitleChar"/>
    <w:qFormat/>
    <w:rsid w:val="00374C64"/>
    <w:pPr>
      <w:jc w:val="center"/>
    </w:pPr>
    <w:rPr>
      <w:szCs w:val="20"/>
      <w:lang w:val="fr-FR"/>
    </w:rPr>
  </w:style>
  <w:style w:type="character" w:customStyle="1" w:styleId="TitleChar">
    <w:name w:val="Title Char"/>
    <w:basedOn w:val="DefaultParagraphFont"/>
    <w:link w:val="Title"/>
    <w:rsid w:val="00374C64"/>
    <w:rPr>
      <w:rFonts w:ascii="Times New Roman" w:eastAsia="Times New Roman" w:hAnsi="Times New Roman" w:cs="Times New Roman"/>
      <w:sz w:val="24"/>
      <w:szCs w:val="20"/>
      <w:lang w:val="fr-FR"/>
    </w:rPr>
  </w:style>
  <w:style w:type="paragraph" w:styleId="CommentSubject">
    <w:name w:val="annotation subject"/>
    <w:basedOn w:val="CommentText"/>
    <w:next w:val="CommentText"/>
    <w:link w:val="CommentSubjectChar"/>
    <w:uiPriority w:val="99"/>
    <w:semiHidden/>
    <w:unhideWhenUsed/>
    <w:rsid w:val="00C87AEA"/>
    <w:rPr>
      <w:b/>
      <w:bCs/>
    </w:rPr>
  </w:style>
  <w:style w:type="character" w:customStyle="1" w:styleId="CommentSubjectChar">
    <w:name w:val="Comment Subject Char"/>
    <w:basedOn w:val="CommentTextChar"/>
    <w:link w:val="CommentSubject"/>
    <w:uiPriority w:val="99"/>
    <w:semiHidden/>
    <w:rsid w:val="00C87AEA"/>
    <w:rPr>
      <w:rFonts w:ascii="Times New Roman" w:eastAsia="Times New Roman" w:hAnsi="Times New Roman" w:cs="Times New Roman"/>
      <w:b/>
      <w:bCs/>
      <w:sz w:val="20"/>
      <w:szCs w:val="20"/>
      <w:lang w:val="en-US"/>
    </w:rPr>
  </w:style>
  <w:style w:type="paragraph" w:customStyle="1" w:styleId="CMNormal">
    <w:name w:val="CM_Normal"/>
    <w:basedOn w:val="Normal"/>
    <w:rsid w:val="006B7A3B"/>
    <w:rPr>
      <w:rFonts w:ascii="Arial" w:hAnsi="Arial" w:cs="Arial"/>
      <w:color w:val="000000"/>
      <w:sz w:val="20"/>
      <w:szCs w:val="20"/>
      <w:lang w:val="en-GB" w:eastAsia="fr-FR"/>
    </w:rPr>
  </w:style>
  <w:style w:type="paragraph" w:styleId="Revision">
    <w:name w:val="Revision"/>
    <w:hidden/>
    <w:uiPriority w:val="99"/>
    <w:semiHidden/>
    <w:rsid w:val="008B5818"/>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91501"/>
    <w:rPr>
      <w:vertAlign w:val="superscript"/>
    </w:rPr>
  </w:style>
  <w:style w:type="character" w:styleId="Hyperlink">
    <w:name w:val="Hyperlink"/>
    <w:basedOn w:val="DefaultParagraphFont"/>
    <w:uiPriority w:val="99"/>
    <w:semiHidden/>
    <w:unhideWhenUsed/>
    <w:rsid w:val="00E91501"/>
    <w:rPr>
      <w:color w:val="0000FF"/>
      <w:u w:val="single"/>
    </w:rPr>
  </w:style>
  <w:style w:type="table" w:styleId="TableGrid">
    <w:name w:val="Table Grid"/>
    <w:basedOn w:val="TableNormal"/>
    <w:uiPriority w:val="59"/>
    <w:unhideWhenUsed/>
    <w:rsid w:val="008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C9F"/>
    <w:pPr>
      <w:spacing w:before="100" w:beforeAutospacing="1" w:after="100" w:afterAutospacing="1"/>
    </w:pPr>
    <w:rPr>
      <w:lang w:val="fi-FI" w:eastAsia="fi-FI"/>
    </w:rPr>
  </w:style>
  <w:style w:type="paragraph" w:styleId="CommentText">
    <w:name w:val="annotation text"/>
    <w:basedOn w:val="Normal"/>
    <w:link w:val="CommentTextChar"/>
    <w:uiPriority w:val="99"/>
    <w:unhideWhenUsed/>
    <w:rsid w:val="00284C9F"/>
    <w:rPr>
      <w:sz w:val="20"/>
      <w:szCs w:val="20"/>
    </w:rPr>
  </w:style>
  <w:style w:type="character" w:customStyle="1" w:styleId="CommentTextChar">
    <w:name w:val="Comment Text Char"/>
    <w:basedOn w:val="DefaultParagraphFont"/>
    <w:link w:val="CommentText"/>
    <w:uiPriority w:val="99"/>
    <w:rsid w:val="00284C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4C9F"/>
    <w:pPr>
      <w:ind w:left="720"/>
    </w:pPr>
  </w:style>
  <w:style w:type="paragraph" w:styleId="FootnoteText">
    <w:name w:val="footnote text"/>
    <w:basedOn w:val="Normal"/>
    <w:link w:val="FootnoteTextChar"/>
    <w:uiPriority w:val="99"/>
    <w:semiHidden/>
    <w:unhideWhenUsed/>
    <w:rsid w:val="007E2E8E"/>
    <w:rPr>
      <w:sz w:val="20"/>
      <w:szCs w:val="20"/>
    </w:rPr>
  </w:style>
  <w:style w:type="character" w:customStyle="1" w:styleId="FootnoteTextChar">
    <w:name w:val="Footnote Text Char"/>
    <w:basedOn w:val="DefaultParagraphFont"/>
    <w:link w:val="FootnoteText"/>
    <w:uiPriority w:val="99"/>
    <w:semiHidden/>
    <w:rsid w:val="007E2E8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2E8E"/>
    <w:rPr>
      <w:vertAlign w:val="superscript"/>
    </w:rPr>
  </w:style>
  <w:style w:type="character" w:styleId="CommentReference">
    <w:name w:val="annotation reference"/>
    <w:basedOn w:val="DefaultParagraphFont"/>
    <w:uiPriority w:val="99"/>
    <w:semiHidden/>
    <w:unhideWhenUsed/>
    <w:rsid w:val="00E74FA6"/>
    <w:rPr>
      <w:sz w:val="16"/>
      <w:szCs w:val="16"/>
    </w:rPr>
  </w:style>
  <w:style w:type="paragraph" w:styleId="BalloonText">
    <w:name w:val="Balloon Text"/>
    <w:basedOn w:val="Normal"/>
    <w:link w:val="BalloonTextChar"/>
    <w:uiPriority w:val="99"/>
    <w:semiHidden/>
    <w:unhideWhenUsed/>
    <w:rsid w:val="00E74FA6"/>
    <w:rPr>
      <w:rFonts w:ascii="Tahoma" w:hAnsi="Tahoma" w:cs="Tahoma"/>
      <w:sz w:val="16"/>
      <w:szCs w:val="16"/>
    </w:rPr>
  </w:style>
  <w:style w:type="character" w:customStyle="1" w:styleId="BalloonTextChar">
    <w:name w:val="Balloon Text Char"/>
    <w:basedOn w:val="DefaultParagraphFont"/>
    <w:link w:val="BalloonText"/>
    <w:uiPriority w:val="99"/>
    <w:semiHidden/>
    <w:rsid w:val="00E74FA6"/>
    <w:rPr>
      <w:rFonts w:ascii="Tahoma" w:eastAsia="Times New Roman" w:hAnsi="Tahoma" w:cs="Tahoma"/>
      <w:sz w:val="16"/>
      <w:szCs w:val="16"/>
      <w:lang w:val="en-US"/>
    </w:rPr>
  </w:style>
  <w:style w:type="paragraph" w:styleId="NoSpacing">
    <w:name w:val="No Spacing"/>
    <w:basedOn w:val="Normal"/>
    <w:uiPriority w:val="1"/>
    <w:qFormat/>
    <w:rsid w:val="00C13DC5"/>
    <w:rPr>
      <w:rFonts w:eastAsiaTheme="minorHAnsi"/>
      <w:lang w:val="en-GB"/>
    </w:rPr>
  </w:style>
  <w:style w:type="paragraph" w:styleId="Header">
    <w:name w:val="header"/>
    <w:basedOn w:val="Normal"/>
    <w:link w:val="HeaderChar"/>
    <w:unhideWhenUsed/>
    <w:rsid w:val="00374C64"/>
    <w:pPr>
      <w:tabs>
        <w:tab w:val="center" w:pos="4513"/>
        <w:tab w:val="right" w:pos="9026"/>
      </w:tabs>
    </w:pPr>
  </w:style>
  <w:style w:type="character" w:customStyle="1" w:styleId="HeaderChar">
    <w:name w:val="Header Char"/>
    <w:basedOn w:val="DefaultParagraphFont"/>
    <w:link w:val="Header"/>
    <w:rsid w:val="00374C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C64"/>
    <w:pPr>
      <w:tabs>
        <w:tab w:val="center" w:pos="4513"/>
        <w:tab w:val="right" w:pos="9026"/>
      </w:tabs>
    </w:pPr>
  </w:style>
  <w:style w:type="character" w:customStyle="1" w:styleId="FooterChar">
    <w:name w:val="Footer Char"/>
    <w:basedOn w:val="DefaultParagraphFont"/>
    <w:link w:val="Footer"/>
    <w:uiPriority w:val="99"/>
    <w:rsid w:val="00374C64"/>
    <w:rPr>
      <w:rFonts w:ascii="Times New Roman" w:eastAsia="Times New Roman" w:hAnsi="Times New Roman" w:cs="Times New Roman"/>
      <w:sz w:val="24"/>
      <w:szCs w:val="24"/>
      <w:lang w:val="en-US"/>
    </w:rPr>
  </w:style>
  <w:style w:type="paragraph" w:customStyle="1" w:styleId="CharChar">
    <w:name w:val="Char Char"/>
    <w:basedOn w:val="Normal"/>
    <w:semiHidden/>
    <w:rsid w:val="00374C64"/>
    <w:pPr>
      <w:autoSpaceDE w:val="0"/>
      <w:autoSpaceDN w:val="0"/>
      <w:spacing w:after="160" w:line="240" w:lineRule="exact"/>
    </w:pPr>
    <w:rPr>
      <w:rFonts w:ascii="Arial" w:hAnsi="Arial" w:cs="Arial"/>
      <w:sz w:val="20"/>
    </w:rPr>
  </w:style>
  <w:style w:type="paragraph" w:styleId="Title">
    <w:name w:val="Title"/>
    <w:basedOn w:val="Normal"/>
    <w:link w:val="TitleChar"/>
    <w:qFormat/>
    <w:rsid w:val="00374C64"/>
    <w:pPr>
      <w:jc w:val="center"/>
    </w:pPr>
    <w:rPr>
      <w:szCs w:val="20"/>
      <w:lang w:val="fr-FR"/>
    </w:rPr>
  </w:style>
  <w:style w:type="character" w:customStyle="1" w:styleId="TitleChar">
    <w:name w:val="Title Char"/>
    <w:basedOn w:val="DefaultParagraphFont"/>
    <w:link w:val="Title"/>
    <w:rsid w:val="00374C64"/>
    <w:rPr>
      <w:rFonts w:ascii="Times New Roman" w:eastAsia="Times New Roman" w:hAnsi="Times New Roman" w:cs="Times New Roman"/>
      <w:sz w:val="24"/>
      <w:szCs w:val="20"/>
      <w:lang w:val="fr-FR"/>
    </w:rPr>
  </w:style>
  <w:style w:type="paragraph" w:styleId="CommentSubject">
    <w:name w:val="annotation subject"/>
    <w:basedOn w:val="CommentText"/>
    <w:next w:val="CommentText"/>
    <w:link w:val="CommentSubjectChar"/>
    <w:uiPriority w:val="99"/>
    <w:semiHidden/>
    <w:unhideWhenUsed/>
    <w:rsid w:val="00C87AEA"/>
    <w:rPr>
      <w:b/>
      <w:bCs/>
    </w:rPr>
  </w:style>
  <w:style w:type="character" w:customStyle="1" w:styleId="CommentSubjectChar">
    <w:name w:val="Comment Subject Char"/>
    <w:basedOn w:val="CommentTextChar"/>
    <w:link w:val="CommentSubject"/>
    <w:uiPriority w:val="99"/>
    <w:semiHidden/>
    <w:rsid w:val="00C87AEA"/>
    <w:rPr>
      <w:rFonts w:ascii="Times New Roman" w:eastAsia="Times New Roman" w:hAnsi="Times New Roman" w:cs="Times New Roman"/>
      <w:b/>
      <w:bCs/>
      <w:sz w:val="20"/>
      <w:szCs w:val="20"/>
      <w:lang w:val="en-US"/>
    </w:rPr>
  </w:style>
  <w:style w:type="paragraph" w:customStyle="1" w:styleId="CMNormal">
    <w:name w:val="CM_Normal"/>
    <w:basedOn w:val="Normal"/>
    <w:rsid w:val="006B7A3B"/>
    <w:rPr>
      <w:rFonts w:ascii="Arial" w:hAnsi="Arial" w:cs="Arial"/>
      <w:color w:val="000000"/>
      <w:sz w:val="20"/>
      <w:szCs w:val="20"/>
      <w:lang w:val="en-GB" w:eastAsia="fr-FR"/>
    </w:rPr>
  </w:style>
  <w:style w:type="paragraph" w:styleId="Revision">
    <w:name w:val="Revision"/>
    <w:hidden/>
    <w:uiPriority w:val="99"/>
    <w:semiHidden/>
    <w:rsid w:val="008B5818"/>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91501"/>
    <w:rPr>
      <w:vertAlign w:val="superscript"/>
    </w:rPr>
  </w:style>
  <w:style w:type="character" w:styleId="Hyperlink">
    <w:name w:val="Hyperlink"/>
    <w:basedOn w:val="DefaultParagraphFont"/>
    <w:uiPriority w:val="99"/>
    <w:semiHidden/>
    <w:unhideWhenUsed/>
    <w:rsid w:val="00E91501"/>
    <w:rPr>
      <w:color w:val="0000FF"/>
      <w:u w:val="single"/>
    </w:rPr>
  </w:style>
  <w:style w:type="table" w:styleId="TableGrid">
    <w:name w:val="Table Grid"/>
    <w:basedOn w:val="TableNormal"/>
    <w:uiPriority w:val="59"/>
    <w:unhideWhenUsed/>
    <w:rsid w:val="008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237">
      <w:bodyDiv w:val="1"/>
      <w:marLeft w:val="0"/>
      <w:marRight w:val="0"/>
      <w:marTop w:val="0"/>
      <w:marBottom w:val="0"/>
      <w:divBdr>
        <w:top w:val="none" w:sz="0" w:space="0" w:color="auto"/>
        <w:left w:val="none" w:sz="0" w:space="0" w:color="auto"/>
        <w:bottom w:val="none" w:sz="0" w:space="0" w:color="auto"/>
        <w:right w:val="none" w:sz="0" w:space="0" w:color="auto"/>
      </w:divBdr>
    </w:div>
    <w:div w:id="102068736">
      <w:bodyDiv w:val="1"/>
      <w:marLeft w:val="0"/>
      <w:marRight w:val="0"/>
      <w:marTop w:val="0"/>
      <w:marBottom w:val="0"/>
      <w:divBdr>
        <w:top w:val="none" w:sz="0" w:space="0" w:color="auto"/>
        <w:left w:val="none" w:sz="0" w:space="0" w:color="auto"/>
        <w:bottom w:val="none" w:sz="0" w:space="0" w:color="auto"/>
        <w:right w:val="none" w:sz="0" w:space="0" w:color="auto"/>
      </w:divBdr>
    </w:div>
    <w:div w:id="166291674">
      <w:bodyDiv w:val="1"/>
      <w:marLeft w:val="0"/>
      <w:marRight w:val="0"/>
      <w:marTop w:val="0"/>
      <w:marBottom w:val="0"/>
      <w:divBdr>
        <w:top w:val="none" w:sz="0" w:space="0" w:color="auto"/>
        <w:left w:val="none" w:sz="0" w:space="0" w:color="auto"/>
        <w:bottom w:val="none" w:sz="0" w:space="0" w:color="auto"/>
        <w:right w:val="none" w:sz="0" w:space="0" w:color="auto"/>
      </w:divBdr>
    </w:div>
    <w:div w:id="462887148">
      <w:bodyDiv w:val="1"/>
      <w:marLeft w:val="0"/>
      <w:marRight w:val="0"/>
      <w:marTop w:val="0"/>
      <w:marBottom w:val="0"/>
      <w:divBdr>
        <w:top w:val="none" w:sz="0" w:space="0" w:color="auto"/>
        <w:left w:val="none" w:sz="0" w:space="0" w:color="auto"/>
        <w:bottom w:val="none" w:sz="0" w:space="0" w:color="auto"/>
        <w:right w:val="none" w:sz="0" w:space="0" w:color="auto"/>
      </w:divBdr>
    </w:div>
    <w:div w:id="570775121">
      <w:bodyDiv w:val="1"/>
      <w:marLeft w:val="0"/>
      <w:marRight w:val="0"/>
      <w:marTop w:val="0"/>
      <w:marBottom w:val="0"/>
      <w:divBdr>
        <w:top w:val="none" w:sz="0" w:space="0" w:color="auto"/>
        <w:left w:val="none" w:sz="0" w:space="0" w:color="auto"/>
        <w:bottom w:val="none" w:sz="0" w:space="0" w:color="auto"/>
        <w:right w:val="none" w:sz="0" w:space="0" w:color="auto"/>
      </w:divBdr>
    </w:div>
    <w:div w:id="573199852">
      <w:bodyDiv w:val="1"/>
      <w:marLeft w:val="0"/>
      <w:marRight w:val="0"/>
      <w:marTop w:val="0"/>
      <w:marBottom w:val="0"/>
      <w:divBdr>
        <w:top w:val="none" w:sz="0" w:space="0" w:color="auto"/>
        <w:left w:val="none" w:sz="0" w:space="0" w:color="auto"/>
        <w:bottom w:val="none" w:sz="0" w:space="0" w:color="auto"/>
        <w:right w:val="none" w:sz="0" w:space="0" w:color="auto"/>
      </w:divBdr>
    </w:div>
    <w:div w:id="1003631631">
      <w:bodyDiv w:val="1"/>
      <w:marLeft w:val="0"/>
      <w:marRight w:val="0"/>
      <w:marTop w:val="0"/>
      <w:marBottom w:val="0"/>
      <w:divBdr>
        <w:top w:val="none" w:sz="0" w:space="0" w:color="auto"/>
        <w:left w:val="none" w:sz="0" w:space="0" w:color="auto"/>
        <w:bottom w:val="none" w:sz="0" w:space="0" w:color="auto"/>
        <w:right w:val="none" w:sz="0" w:space="0" w:color="auto"/>
      </w:divBdr>
    </w:div>
    <w:div w:id="1223836369">
      <w:bodyDiv w:val="1"/>
      <w:marLeft w:val="0"/>
      <w:marRight w:val="0"/>
      <w:marTop w:val="0"/>
      <w:marBottom w:val="0"/>
      <w:divBdr>
        <w:top w:val="none" w:sz="0" w:space="0" w:color="auto"/>
        <w:left w:val="none" w:sz="0" w:space="0" w:color="auto"/>
        <w:bottom w:val="none" w:sz="0" w:space="0" w:color="auto"/>
        <w:right w:val="none" w:sz="0" w:space="0" w:color="auto"/>
      </w:divBdr>
    </w:div>
    <w:div w:id="14973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jenbered.fr/2005/20051231-9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2703-0196-4B6C-BC1E-44DE35FA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cescon</dc:creator>
  <cp:lastModifiedBy>BIRAMBAUX Isabelle</cp:lastModifiedBy>
  <cp:revision>7</cp:revision>
  <cp:lastPrinted>2016-11-21T08:15:00Z</cp:lastPrinted>
  <dcterms:created xsi:type="dcterms:W3CDTF">2017-02-17T11:51:00Z</dcterms:created>
  <dcterms:modified xsi:type="dcterms:W3CDTF">2017-02-17T16:21:00Z</dcterms:modified>
</cp:coreProperties>
</file>