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BE9C9" w14:textId="77777777" w:rsidR="004C2F37" w:rsidRPr="00411718" w:rsidRDefault="004C2F37" w:rsidP="00F64EBD">
      <w:pPr>
        <w:pStyle w:val="TKMAINTITLE"/>
        <w:rPr>
          <w:lang w:val="fr-FR"/>
        </w:rPr>
      </w:pPr>
      <w:r w:rsidRPr="00411718">
        <w:rPr>
          <w:lang w:val="fr-FR"/>
        </w:rPr>
        <w:t>39 - Aider les réfugiés à réfléchir sur leur apprentissage</w:t>
      </w:r>
    </w:p>
    <w:p w14:paraId="3464C725" w14:textId="77777777" w:rsidR="004C2F37" w:rsidRPr="00411718" w:rsidRDefault="004C2F37" w:rsidP="00CF0E3E">
      <w:pPr>
        <w:pStyle w:val="TKAIM"/>
        <w:tabs>
          <w:tab w:val="clear" w:pos="709"/>
          <w:tab w:val="left" w:pos="1276"/>
        </w:tabs>
        <w:ind w:left="1276" w:hanging="1276"/>
        <w:rPr>
          <w:lang w:val="fr-FR"/>
        </w:rPr>
      </w:pPr>
      <w:r>
        <w:rPr>
          <w:lang w:val="fr-FR"/>
        </w:rPr>
        <w:t xml:space="preserve">Objectif </w:t>
      </w:r>
      <w:r w:rsidRPr="00411718">
        <w:rPr>
          <w:lang w:val="fr-FR"/>
        </w:rPr>
        <w:t xml:space="preserve">: </w:t>
      </w:r>
      <w:r w:rsidRPr="00411718">
        <w:rPr>
          <w:lang w:val="fr-FR"/>
        </w:rPr>
        <w:tab/>
      </w:r>
      <w:r>
        <w:rPr>
          <w:lang w:val="fr-FR"/>
        </w:rPr>
        <w:t>Aider les réfugiés à</w:t>
      </w:r>
      <w:r w:rsidRPr="00411718">
        <w:rPr>
          <w:lang w:val="fr-FR"/>
        </w:rPr>
        <w:t xml:space="preserve"> </w:t>
      </w:r>
      <w:r>
        <w:rPr>
          <w:lang w:val="fr-FR"/>
        </w:rPr>
        <w:t>réfléchir sur leur apprentissage avant et après une activité d’accompagnement linguistique</w:t>
      </w:r>
      <w:r w:rsidRPr="00411718">
        <w:rPr>
          <w:lang w:val="fr-FR"/>
        </w:rPr>
        <w:t>.</w:t>
      </w:r>
    </w:p>
    <w:p w14:paraId="1938AB7D" w14:textId="77777777" w:rsidR="004C2F37" w:rsidRPr="00411718" w:rsidRDefault="004C2F37" w:rsidP="0086350A">
      <w:pPr>
        <w:pStyle w:val="TKTITRE1"/>
        <w:rPr>
          <w:rFonts w:cs="Arial"/>
          <w:lang w:val="fr-FR"/>
        </w:rPr>
      </w:pPr>
      <w:r>
        <w:rPr>
          <w:lang w:val="fr-FR"/>
        </w:rPr>
        <w:t>Comment utiliser cette activité de réflexion ?</w:t>
      </w:r>
    </w:p>
    <w:p w14:paraId="2E17941B" w14:textId="77777777" w:rsidR="004C2F37" w:rsidRPr="00411718" w:rsidRDefault="004C2F37" w:rsidP="0086350A">
      <w:pPr>
        <w:pStyle w:val="TKTEXTE"/>
        <w:rPr>
          <w:lang w:val="fr-FR"/>
        </w:rPr>
      </w:pPr>
      <w:r>
        <w:rPr>
          <w:lang w:val="fr-FR"/>
        </w:rPr>
        <w:t xml:space="preserve">Le fait de réfléchir à une séance avant de commencer </w:t>
      </w:r>
      <w:r w:rsidR="001A1433">
        <w:rPr>
          <w:lang w:val="fr-FR"/>
        </w:rPr>
        <w:t>une</w:t>
      </w:r>
      <w:r>
        <w:rPr>
          <w:lang w:val="fr-FR"/>
        </w:rPr>
        <w:t xml:space="preserve"> activité pédagogique permet à l’apprenant de mobiliser toutes les connaissances qu’il a déjà sur le thème/scénario prévu (c’est-à-dire celles qu’il possède dans sa première langue ou dans toute autre langue, et celles qu’il a acquises par expérience ou par observation) et de regrouper toutes les questions qu’il aimerait poser pour mieux comprendre l’environnement dans lequel il vit</w:t>
      </w:r>
      <w:r w:rsidRPr="00411718">
        <w:rPr>
          <w:lang w:val="fr-FR"/>
        </w:rPr>
        <w:t>.</w:t>
      </w:r>
    </w:p>
    <w:p w14:paraId="5999A467" w14:textId="77777777" w:rsidR="004C2F37" w:rsidRPr="00411718" w:rsidRDefault="004C2F37" w:rsidP="0086350A">
      <w:pPr>
        <w:pStyle w:val="TKTITRE1"/>
        <w:rPr>
          <w:rFonts w:cs="Arial"/>
          <w:lang w:val="fr-FR"/>
        </w:rPr>
      </w:pPr>
      <w:r>
        <w:rPr>
          <w:lang w:val="fr-FR"/>
        </w:rPr>
        <w:t>Un exercice à pratiquer régulièrement</w:t>
      </w:r>
    </w:p>
    <w:p w14:paraId="7644E007" w14:textId="280B634F" w:rsidR="004C2F37" w:rsidRPr="00411718" w:rsidRDefault="004C2F37" w:rsidP="0086350A">
      <w:pPr>
        <w:pStyle w:val="TKTEXTE"/>
        <w:rPr>
          <w:lang w:val="fr-FR"/>
        </w:rPr>
      </w:pPr>
      <w:r>
        <w:rPr>
          <w:lang w:val="fr-FR"/>
        </w:rPr>
        <w:t xml:space="preserve">Il est important de pratiquer cet exercice avant chaque séance pour </w:t>
      </w:r>
      <w:r w:rsidR="001A1433">
        <w:rPr>
          <w:lang w:val="fr-FR"/>
        </w:rPr>
        <w:t xml:space="preserve">que </w:t>
      </w:r>
      <w:r>
        <w:rPr>
          <w:lang w:val="fr-FR"/>
        </w:rPr>
        <w:t xml:space="preserve">l’anticipation et la réflexion </w:t>
      </w:r>
      <w:r w:rsidR="001A1433">
        <w:rPr>
          <w:lang w:val="fr-FR"/>
        </w:rPr>
        <w:t xml:space="preserve">deviennent </w:t>
      </w:r>
      <w:r>
        <w:rPr>
          <w:lang w:val="fr-FR"/>
        </w:rPr>
        <w:t>des composantes à part entière du processus d’apprentissage</w:t>
      </w:r>
      <w:r w:rsidRPr="00411718">
        <w:rPr>
          <w:lang w:val="fr-FR"/>
        </w:rPr>
        <w:t xml:space="preserve">. </w:t>
      </w:r>
      <w:r>
        <w:rPr>
          <w:lang w:val="fr-FR"/>
        </w:rPr>
        <w:t xml:space="preserve">Cependant, gardez à l’esprit qu’il ne s’agit pas forcément d’une pratique éducative courante dans les pays d’origine des réfugiés ; certains risquent donc d’être un peu désorientés face à cette activité, qui peut en outre être relativement difficile pour les </w:t>
      </w:r>
      <w:r w:rsidR="000F12B7">
        <w:rPr>
          <w:lang w:val="fr-FR"/>
        </w:rPr>
        <w:t>personnes</w:t>
      </w:r>
      <w:r>
        <w:rPr>
          <w:lang w:val="fr-FR"/>
        </w:rPr>
        <w:t xml:space="preserve"> ayant un bagage éducatif limité et/ou un faible niveau de littératie</w:t>
      </w:r>
      <w:r w:rsidRPr="00411718">
        <w:rPr>
          <w:lang w:val="fr-FR"/>
        </w:rPr>
        <w:t>.</w:t>
      </w:r>
    </w:p>
    <w:p w14:paraId="4B5359DD" w14:textId="0480F0A4" w:rsidR="004C2F37" w:rsidRPr="00411718" w:rsidRDefault="002D42C9" w:rsidP="0086350A">
      <w:pPr>
        <w:pStyle w:val="TKTITRE1"/>
        <w:rPr>
          <w:rFonts w:cs="Arial"/>
          <w:lang w:val="fr-FR"/>
        </w:rPr>
      </w:pPr>
      <w:r>
        <w:rPr>
          <w:lang w:val="fr-FR"/>
        </w:rPr>
        <w:t>Le cas des réfugiés qui ne savent</w:t>
      </w:r>
      <w:r w:rsidR="004C2F37">
        <w:rPr>
          <w:lang w:val="fr-FR"/>
        </w:rPr>
        <w:t xml:space="preserve"> pas écrire</w:t>
      </w:r>
    </w:p>
    <w:p w14:paraId="57AB4DB9" w14:textId="77777777" w:rsidR="004C2F37" w:rsidRPr="00411718" w:rsidRDefault="004C2F37" w:rsidP="0086350A">
      <w:pPr>
        <w:pStyle w:val="TKTEXTE"/>
        <w:rPr>
          <w:lang w:val="fr-FR"/>
        </w:rPr>
      </w:pPr>
      <w:r>
        <w:rPr>
          <w:lang w:val="fr-FR"/>
        </w:rPr>
        <w:t>Dans le cas des réfugiés qui ne s</w:t>
      </w:r>
      <w:r w:rsidR="001A1433">
        <w:rPr>
          <w:lang w:val="fr-FR"/>
        </w:rPr>
        <w:t xml:space="preserve">avent pas </w:t>
      </w:r>
      <w:r>
        <w:rPr>
          <w:lang w:val="fr-FR"/>
        </w:rPr>
        <w:t>écrire, il est recommandé d</w:t>
      </w:r>
      <w:r w:rsidR="001A1433">
        <w:rPr>
          <w:lang w:val="fr-FR"/>
        </w:rPr>
        <w:t>’aborder</w:t>
      </w:r>
      <w:r>
        <w:rPr>
          <w:lang w:val="fr-FR"/>
        </w:rPr>
        <w:t xml:space="preserve"> ces questions</w:t>
      </w:r>
      <w:r w:rsidR="001A1433">
        <w:rPr>
          <w:lang w:val="fr-FR"/>
        </w:rPr>
        <w:t xml:space="preserve"> oralement</w:t>
      </w:r>
      <w:r>
        <w:rPr>
          <w:lang w:val="fr-FR"/>
        </w:rPr>
        <w:t>, si possible en faisant intervenir un médiateur linguistique</w:t>
      </w:r>
      <w:r w:rsidRPr="00411718">
        <w:rPr>
          <w:lang w:val="fr-FR"/>
        </w:rPr>
        <w:t>.</w:t>
      </w:r>
    </w:p>
    <w:p w14:paraId="61D19543" w14:textId="77777777" w:rsidR="004C2F37" w:rsidRPr="00411718" w:rsidRDefault="004C2F37" w:rsidP="0086350A">
      <w:pPr>
        <w:pStyle w:val="TKTEXTE"/>
        <w:rPr>
          <w:lang w:val="fr-FR"/>
        </w:rPr>
      </w:pPr>
      <w:r>
        <w:rPr>
          <w:lang w:val="fr-FR"/>
        </w:rPr>
        <w:t xml:space="preserve">D’autres activités de réflexion sont proposées dans les pages suivantes du </w:t>
      </w:r>
      <w:bookmarkStart w:id="0" w:name="_GoBack"/>
      <w:r w:rsidR="00B35EF6" w:rsidRPr="00A866E2">
        <w:fldChar w:fldCharType="begin"/>
      </w:r>
      <w:r w:rsidR="00B35EF6" w:rsidRPr="00A866E2">
        <w:rPr>
          <w:lang w:val="fr-FR"/>
        </w:rPr>
        <w:instrText xml:space="preserve"> HYPERLINK "https://rm.coe.int/16802fc3ac" </w:instrText>
      </w:r>
      <w:r w:rsidR="00B35EF6" w:rsidRPr="00A866E2">
        <w:fldChar w:fldCharType="separate"/>
      </w:r>
      <w:r w:rsidRPr="00A866E2">
        <w:rPr>
          <w:rStyle w:val="Lienhypertexte"/>
          <w:i/>
          <w:iCs/>
          <w:u w:val="none"/>
          <w:lang w:val="fr-FR"/>
        </w:rPr>
        <w:t>Portfolio européen des langues (PEL) : Migrants adultes apprenant la langue du pays d'accueil</w:t>
      </w:r>
      <w:r w:rsidR="00B35EF6" w:rsidRPr="00A866E2">
        <w:rPr>
          <w:rStyle w:val="Lienhypertexte"/>
          <w:i/>
          <w:iCs/>
          <w:u w:val="none"/>
          <w:lang w:val="fr-FR"/>
        </w:rPr>
        <w:fldChar w:fldCharType="end"/>
      </w:r>
      <w:r w:rsidRPr="00A866E2">
        <w:rPr>
          <w:lang w:val="fr-FR"/>
        </w:rPr>
        <w:t xml:space="preserve"> </w:t>
      </w:r>
      <w:bookmarkEnd w:id="0"/>
      <w:r w:rsidRPr="00411718">
        <w:rPr>
          <w:lang w:val="fr-FR"/>
        </w:rPr>
        <w:t>(www.coe.int/lang-migrants</w:t>
      </w:r>
      <w:hyperlink r:id="rId7" w:history="1"/>
      <w:r w:rsidRPr="00411718">
        <w:rPr>
          <w:lang w:val="fr-FR"/>
        </w:rPr>
        <w:t xml:space="preserve"> </w:t>
      </w:r>
      <w:r w:rsidRPr="00411718">
        <w:rPr>
          <w:rFonts w:cs="Arial"/>
          <w:lang w:val="fr-FR"/>
        </w:rPr>
        <w:sym w:font="Symbol" w:char="F0AE"/>
      </w:r>
      <w:r w:rsidRPr="00411718">
        <w:rPr>
          <w:lang w:val="fr-FR"/>
        </w:rPr>
        <w:t xml:space="preserve"> Instruments </w:t>
      </w:r>
      <w:r w:rsidRPr="00411718">
        <w:rPr>
          <w:rFonts w:cs="Arial"/>
          <w:lang w:val="fr-FR"/>
        </w:rPr>
        <w:sym w:font="Symbol" w:char="F0AE"/>
      </w:r>
      <w:r w:rsidRPr="00411718">
        <w:rPr>
          <w:lang w:val="fr-FR"/>
        </w:rPr>
        <w:t xml:space="preserve"> </w:t>
      </w:r>
      <w:r>
        <w:rPr>
          <w:lang w:val="fr-FR"/>
        </w:rPr>
        <w:t>Portfolio européen des langues</w:t>
      </w:r>
      <w:r w:rsidRPr="00411718">
        <w:rPr>
          <w:lang w:val="fr-FR"/>
        </w:rPr>
        <w:t>).</w:t>
      </w:r>
    </w:p>
    <w:p w14:paraId="40580A20" w14:textId="77777777" w:rsidR="004C2F37" w:rsidRPr="00411718" w:rsidRDefault="004C2F37" w:rsidP="00D94910">
      <w:pPr>
        <w:pStyle w:val="TKBulletLevel1"/>
        <w:rPr>
          <w:lang w:val="fr-FR"/>
        </w:rPr>
      </w:pPr>
      <w:r w:rsidRPr="00411718">
        <w:rPr>
          <w:lang w:val="fr-FR"/>
        </w:rPr>
        <w:t xml:space="preserve">Page LB1(8) </w:t>
      </w:r>
      <w:r>
        <w:rPr>
          <w:i/>
          <w:iCs/>
          <w:lang w:val="fr-FR"/>
        </w:rPr>
        <w:t>Mes anciennes techniques d’apprentissage</w:t>
      </w:r>
    </w:p>
    <w:p w14:paraId="0C893EDA" w14:textId="77777777" w:rsidR="004C2F37" w:rsidRPr="00411718" w:rsidRDefault="004C2F37" w:rsidP="00D94910">
      <w:pPr>
        <w:pStyle w:val="TKBulletLevel1"/>
        <w:rPr>
          <w:lang w:val="fr-FR"/>
        </w:rPr>
      </w:pPr>
      <w:r w:rsidRPr="00411718">
        <w:rPr>
          <w:lang w:val="fr-FR"/>
        </w:rPr>
        <w:t xml:space="preserve">Page LB2(2) </w:t>
      </w:r>
      <w:r>
        <w:rPr>
          <w:i/>
          <w:iCs/>
          <w:lang w:val="fr-FR"/>
        </w:rPr>
        <w:t>Mes attentes personnelles vis-à-vis de cette formation en langue</w:t>
      </w:r>
    </w:p>
    <w:p w14:paraId="083CE0C7" w14:textId="77777777" w:rsidR="004C2F37" w:rsidRPr="00411718" w:rsidRDefault="004C2F37" w:rsidP="00D94910">
      <w:pPr>
        <w:pStyle w:val="TKBulletLevel1"/>
        <w:rPr>
          <w:lang w:val="fr-FR"/>
        </w:rPr>
      </w:pPr>
      <w:r w:rsidRPr="00411718">
        <w:rPr>
          <w:lang w:val="fr-FR"/>
        </w:rPr>
        <w:t xml:space="preserve">Page LB2(5) </w:t>
      </w:r>
      <w:r>
        <w:rPr>
          <w:i/>
          <w:iCs/>
          <w:lang w:val="fr-FR"/>
        </w:rPr>
        <w:t>Mon fonctionnement en tant qu’apprenant</w:t>
      </w:r>
    </w:p>
    <w:p w14:paraId="2287F2E2" w14:textId="77777777" w:rsidR="004C2F37" w:rsidRPr="00411718" w:rsidRDefault="004C2F37" w:rsidP="00D94910">
      <w:pPr>
        <w:pStyle w:val="TKBulletLevel1"/>
        <w:rPr>
          <w:lang w:val="fr-FR"/>
        </w:rPr>
      </w:pPr>
      <w:r w:rsidRPr="00411718">
        <w:rPr>
          <w:lang w:val="fr-FR"/>
        </w:rPr>
        <w:t xml:space="preserve">Page LB2(12) </w:t>
      </w:r>
      <w:r w:rsidRPr="00411718">
        <w:rPr>
          <w:i/>
          <w:iCs/>
          <w:lang w:val="fr-FR"/>
        </w:rPr>
        <w:t>M</w:t>
      </w:r>
      <w:r>
        <w:rPr>
          <w:i/>
          <w:iCs/>
          <w:lang w:val="fr-FR"/>
        </w:rPr>
        <w:t>on approche de l’apprentissage</w:t>
      </w:r>
    </w:p>
    <w:p w14:paraId="547D919B" w14:textId="77777777" w:rsidR="004C2F37" w:rsidRPr="00411718" w:rsidRDefault="004C2F37" w:rsidP="00D94910">
      <w:pPr>
        <w:pStyle w:val="TKBulletLevel1"/>
        <w:rPr>
          <w:lang w:val="fr-FR"/>
        </w:rPr>
      </w:pPr>
      <w:r w:rsidRPr="00411718">
        <w:rPr>
          <w:lang w:val="fr-FR"/>
        </w:rPr>
        <w:t xml:space="preserve">Page LB2(13) </w:t>
      </w:r>
      <w:r w:rsidRPr="00411718">
        <w:rPr>
          <w:i/>
          <w:iCs/>
          <w:lang w:val="fr-FR"/>
        </w:rPr>
        <w:t>Plan</w:t>
      </w:r>
      <w:r>
        <w:rPr>
          <w:i/>
          <w:iCs/>
          <w:lang w:val="fr-FR"/>
        </w:rPr>
        <w:t>ification de mon apprentissage actuel</w:t>
      </w:r>
    </w:p>
    <w:p w14:paraId="7047C86A" w14:textId="77777777" w:rsidR="004C2F37" w:rsidRPr="00411718" w:rsidRDefault="004C2F37" w:rsidP="00D94910">
      <w:pPr>
        <w:pStyle w:val="TKBulletLevel1"/>
        <w:rPr>
          <w:i/>
          <w:iCs/>
          <w:lang w:val="fr-FR"/>
        </w:rPr>
      </w:pPr>
      <w:r w:rsidRPr="00411718">
        <w:rPr>
          <w:lang w:val="fr-FR"/>
        </w:rPr>
        <w:t xml:space="preserve">Page LB2(14) </w:t>
      </w:r>
      <w:r>
        <w:rPr>
          <w:i/>
          <w:iCs/>
          <w:lang w:val="fr-FR"/>
        </w:rPr>
        <w:t>Réflexion sur ce que j’ai appris aujourd’hui</w:t>
      </w:r>
    </w:p>
    <w:p w14:paraId="0CE073EF" w14:textId="77777777" w:rsidR="004C2F37" w:rsidRPr="00411718" w:rsidRDefault="004C2F37" w:rsidP="00D94910">
      <w:pPr>
        <w:pStyle w:val="TKBulletLevel1"/>
        <w:rPr>
          <w:lang w:val="fr-FR"/>
        </w:rPr>
      </w:pPr>
      <w:r w:rsidRPr="00411718">
        <w:rPr>
          <w:lang w:val="fr-FR"/>
        </w:rPr>
        <w:t xml:space="preserve">Page LB2(16) </w:t>
      </w:r>
      <w:r>
        <w:rPr>
          <w:i/>
          <w:iCs/>
          <w:lang w:val="fr-FR"/>
        </w:rPr>
        <w:t>Journal d’apprentissage</w:t>
      </w:r>
    </w:p>
    <w:p w14:paraId="19CC612F" w14:textId="77777777" w:rsidR="004C2F37" w:rsidRPr="00411718" w:rsidRDefault="004C2F37" w:rsidP="00DE7768">
      <w:pPr>
        <w:pStyle w:val="TKTITRE1"/>
        <w:rPr>
          <w:rFonts w:cs="Arial"/>
          <w:lang w:val="fr-FR"/>
        </w:rPr>
      </w:pPr>
      <w:r w:rsidRPr="00411718">
        <w:rPr>
          <w:rFonts w:cs="Arial"/>
          <w:lang w:val="fr-FR"/>
        </w:rPr>
        <w:br w:type="page"/>
      </w:r>
      <w:r>
        <w:rPr>
          <w:lang w:val="fr-FR"/>
        </w:rPr>
        <w:lastRenderedPageBreak/>
        <w:t>Outil de réflexion pour soutenir l’apprentissage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8022"/>
      </w:tblGrid>
      <w:tr w:rsidR="004C2F37" w:rsidRPr="00411718" w14:paraId="6181574F" w14:textId="77777777">
        <w:trPr>
          <w:trHeight w:val="794"/>
        </w:trPr>
        <w:tc>
          <w:tcPr>
            <w:tcW w:w="2660" w:type="dxa"/>
            <w:vAlign w:val="center"/>
          </w:tcPr>
          <w:p w14:paraId="50B8F4E1" w14:textId="77777777" w:rsidR="004C2F37" w:rsidRPr="00411718" w:rsidRDefault="004C2F37" w:rsidP="0018043D">
            <w:pPr>
              <w:pStyle w:val="TKTextetableau"/>
              <w:rPr>
                <w:lang w:val="fr-FR" w:eastAsia="fr-FR"/>
              </w:rPr>
            </w:pPr>
            <w:r>
              <w:rPr>
                <w:lang w:val="fr-FR" w:eastAsia="fr-FR"/>
              </w:rPr>
              <w:t>Scénario ou thème</w:t>
            </w:r>
            <w:r w:rsidRPr="00411718">
              <w:rPr>
                <w:lang w:val="fr-FR" w:eastAsia="fr-FR"/>
              </w:rPr>
              <w:t>.</w:t>
            </w:r>
          </w:p>
        </w:tc>
        <w:tc>
          <w:tcPr>
            <w:tcW w:w="8022" w:type="dxa"/>
            <w:vAlign w:val="center"/>
          </w:tcPr>
          <w:p w14:paraId="62974D67" w14:textId="77777777" w:rsidR="004C2F37" w:rsidRPr="00411718" w:rsidRDefault="004C2F37" w:rsidP="00A64B45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</w:p>
        </w:tc>
      </w:tr>
    </w:tbl>
    <w:p w14:paraId="39FF6B4F" w14:textId="77777777" w:rsidR="004C2F37" w:rsidRPr="00411718" w:rsidRDefault="004C2F37" w:rsidP="00126B8B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Avant l’activité pédagogique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8022"/>
      </w:tblGrid>
      <w:tr w:rsidR="004C2F37" w:rsidRPr="00411718" w14:paraId="1C505B45" w14:textId="77777777">
        <w:trPr>
          <w:trHeight w:val="1077"/>
        </w:trPr>
        <w:tc>
          <w:tcPr>
            <w:tcW w:w="2660" w:type="dxa"/>
            <w:shd w:val="clear" w:color="auto" w:fill="D9D9D9"/>
            <w:vAlign w:val="center"/>
          </w:tcPr>
          <w:p w14:paraId="16C487F9" w14:textId="77777777" w:rsidR="004C2F37" w:rsidRPr="00411718" w:rsidRDefault="004C2F37" w:rsidP="000B71AA">
            <w:pPr>
              <w:pStyle w:val="TKTextetableau"/>
              <w:rPr>
                <w:rFonts w:cs="Arial"/>
                <w:lang w:val="fr-FR" w:eastAsia="fr-FR"/>
              </w:rPr>
            </w:pPr>
            <w:r>
              <w:rPr>
                <w:lang w:val="fr-FR" w:eastAsia="fr-FR"/>
              </w:rPr>
              <w:t>Ce que je m’attends à apprendre grâce à cette activité</w:t>
            </w:r>
          </w:p>
        </w:tc>
        <w:tc>
          <w:tcPr>
            <w:tcW w:w="8022" w:type="dxa"/>
            <w:shd w:val="clear" w:color="auto" w:fill="D9D9D9"/>
          </w:tcPr>
          <w:p w14:paraId="0CA11FDF" w14:textId="77777777" w:rsidR="004C2F37" w:rsidRPr="00411718" w:rsidRDefault="004C2F37" w:rsidP="0018043D">
            <w:pPr>
              <w:pStyle w:val="TKTextetableau"/>
              <w:rPr>
                <w:rFonts w:cs="Arial"/>
                <w:lang w:val="fr-FR" w:eastAsia="fr-FR"/>
              </w:rPr>
            </w:pPr>
          </w:p>
        </w:tc>
      </w:tr>
      <w:tr w:rsidR="004C2F37" w:rsidRPr="00411718" w14:paraId="5431CA36" w14:textId="77777777">
        <w:trPr>
          <w:trHeight w:val="1077"/>
        </w:trPr>
        <w:tc>
          <w:tcPr>
            <w:tcW w:w="2660" w:type="dxa"/>
            <w:vAlign w:val="center"/>
          </w:tcPr>
          <w:p w14:paraId="51CA34D1" w14:textId="77777777" w:rsidR="004C2F37" w:rsidRPr="00411718" w:rsidRDefault="004C2F37" w:rsidP="000B71AA">
            <w:pPr>
              <w:pStyle w:val="TKTextetableau"/>
              <w:rPr>
                <w:rFonts w:cs="Arial"/>
                <w:lang w:val="fr-FR" w:eastAsia="fr-FR"/>
              </w:rPr>
            </w:pPr>
            <w:r>
              <w:rPr>
                <w:lang w:val="fr-FR" w:eastAsia="fr-FR"/>
              </w:rPr>
              <w:t xml:space="preserve">Ce que j’attends du volontaire </w:t>
            </w:r>
          </w:p>
        </w:tc>
        <w:tc>
          <w:tcPr>
            <w:tcW w:w="8022" w:type="dxa"/>
          </w:tcPr>
          <w:p w14:paraId="55590C18" w14:textId="77777777" w:rsidR="004C2F37" w:rsidRPr="00411718" w:rsidRDefault="004C2F37" w:rsidP="0018043D">
            <w:pPr>
              <w:pStyle w:val="TKTextetableau"/>
              <w:rPr>
                <w:rFonts w:cs="Arial"/>
                <w:lang w:val="fr-FR" w:eastAsia="fr-FR"/>
              </w:rPr>
            </w:pPr>
          </w:p>
        </w:tc>
      </w:tr>
      <w:tr w:rsidR="004C2F37" w:rsidRPr="00411718" w14:paraId="1918D0A3" w14:textId="77777777">
        <w:trPr>
          <w:trHeight w:val="1077"/>
        </w:trPr>
        <w:tc>
          <w:tcPr>
            <w:tcW w:w="2660" w:type="dxa"/>
            <w:shd w:val="clear" w:color="auto" w:fill="D9D9D9"/>
            <w:vAlign w:val="center"/>
          </w:tcPr>
          <w:p w14:paraId="15275D20" w14:textId="77777777" w:rsidR="004C2F37" w:rsidRPr="00411718" w:rsidRDefault="004C2F37" w:rsidP="000B71AA">
            <w:pPr>
              <w:pStyle w:val="TKTextetableau"/>
              <w:rPr>
                <w:rFonts w:cs="Arial"/>
                <w:lang w:val="fr-FR" w:eastAsia="fr-FR"/>
              </w:rPr>
            </w:pPr>
            <w:r>
              <w:rPr>
                <w:lang w:val="fr-FR" w:eastAsia="fr-FR"/>
              </w:rPr>
              <w:t>Ce que j’attends de moi</w:t>
            </w:r>
          </w:p>
        </w:tc>
        <w:tc>
          <w:tcPr>
            <w:tcW w:w="8022" w:type="dxa"/>
            <w:shd w:val="clear" w:color="auto" w:fill="D9D9D9"/>
          </w:tcPr>
          <w:p w14:paraId="222C507F" w14:textId="77777777" w:rsidR="004C2F37" w:rsidRPr="00411718" w:rsidRDefault="004C2F37" w:rsidP="0018043D">
            <w:pPr>
              <w:pStyle w:val="TKTextetableau"/>
              <w:rPr>
                <w:rFonts w:cs="Arial"/>
                <w:lang w:val="fr-FR" w:eastAsia="fr-FR"/>
              </w:rPr>
            </w:pPr>
          </w:p>
        </w:tc>
      </w:tr>
    </w:tbl>
    <w:p w14:paraId="6808AF0A" w14:textId="77777777" w:rsidR="004C2F37" w:rsidRPr="00411718" w:rsidRDefault="004C2F37" w:rsidP="00126B8B">
      <w:pPr>
        <w:pStyle w:val="TKTITRE3"/>
        <w:rPr>
          <w:noProof w:val="0"/>
          <w:lang w:val="fr-FR"/>
        </w:rPr>
      </w:pPr>
      <w:r>
        <w:rPr>
          <w:noProof w:val="0"/>
          <w:lang w:val="fr-FR"/>
        </w:rPr>
        <w:t>Après l’activité pédagogique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101"/>
        <w:gridCol w:w="1666"/>
        <w:gridCol w:w="244"/>
        <w:gridCol w:w="1988"/>
        <w:gridCol w:w="2023"/>
      </w:tblGrid>
      <w:tr w:rsidR="004C2F37" w:rsidRPr="00411718" w14:paraId="4DB71299" w14:textId="77777777">
        <w:trPr>
          <w:trHeight w:val="1077"/>
        </w:trPr>
        <w:tc>
          <w:tcPr>
            <w:tcW w:w="2660" w:type="dxa"/>
            <w:shd w:val="clear" w:color="auto" w:fill="D9D9D9"/>
            <w:vAlign w:val="center"/>
          </w:tcPr>
          <w:p w14:paraId="30300AD2" w14:textId="77777777" w:rsidR="004C2F37" w:rsidRPr="00411718" w:rsidRDefault="004C2F37" w:rsidP="004A6299">
            <w:pPr>
              <w:pStyle w:val="TKTextetableau"/>
              <w:rPr>
                <w:lang w:val="fr-FR" w:eastAsia="fr-FR"/>
              </w:rPr>
            </w:pPr>
            <w:r>
              <w:rPr>
                <w:lang w:val="fr-FR" w:eastAsia="fr-FR"/>
              </w:rPr>
              <w:t xml:space="preserve">Lors de cette activité, nous avons parlé de </w:t>
            </w:r>
            <w:r w:rsidRPr="00411718">
              <w:rPr>
                <w:lang w:val="fr-FR" w:eastAsia="fr-FR"/>
              </w:rPr>
              <w:t>…</w:t>
            </w:r>
          </w:p>
        </w:tc>
        <w:tc>
          <w:tcPr>
            <w:tcW w:w="8022" w:type="dxa"/>
            <w:gridSpan w:val="5"/>
            <w:shd w:val="clear" w:color="auto" w:fill="D9D9D9"/>
            <w:vAlign w:val="center"/>
          </w:tcPr>
          <w:p w14:paraId="3E1BDB41" w14:textId="77777777" w:rsidR="004C2F37" w:rsidRPr="00411718" w:rsidRDefault="004C2F37" w:rsidP="00A64B45">
            <w:pPr>
              <w:pStyle w:val="TKTextetableau"/>
              <w:jc w:val="both"/>
              <w:rPr>
                <w:rFonts w:cs="Arial"/>
                <w:lang w:val="fr-FR" w:eastAsia="fr-FR"/>
              </w:rPr>
            </w:pPr>
          </w:p>
        </w:tc>
      </w:tr>
      <w:tr w:rsidR="004C2F37" w:rsidRPr="00411718" w14:paraId="522E1D13" w14:textId="77777777">
        <w:trPr>
          <w:trHeight w:val="624"/>
        </w:trPr>
        <w:tc>
          <w:tcPr>
            <w:tcW w:w="2660" w:type="dxa"/>
            <w:vMerge w:val="restart"/>
            <w:vAlign w:val="center"/>
          </w:tcPr>
          <w:p w14:paraId="03514416" w14:textId="77777777" w:rsidR="004C2F37" w:rsidRPr="00411718" w:rsidRDefault="004C2F37" w:rsidP="004A6299">
            <w:pPr>
              <w:pStyle w:val="TKTextetableau"/>
              <w:rPr>
                <w:lang w:val="fr-FR" w:eastAsia="fr-FR"/>
              </w:rPr>
            </w:pPr>
            <w:r>
              <w:rPr>
                <w:lang w:val="fr-FR" w:eastAsia="fr-FR"/>
              </w:rPr>
              <w:t xml:space="preserve">J’ai réussi à faire certaines choses dans la langue </w:t>
            </w:r>
            <w:r w:rsidRPr="00411718">
              <w:rPr>
                <w:lang w:val="fr-FR" w:eastAsia="fr-FR"/>
              </w:rPr>
              <w:t>[</w:t>
            </w:r>
            <w:r>
              <w:rPr>
                <w:lang w:val="fr-FR" w:eastAsia="fr-FR"/>
              </w:rPr>
              <w:t>entourez la bonne réponse</w:t>
            </w:r>
            <w:r w:rsidRPr="00411718">
              <w:rPr>
                <w:lang w:val="fr-FR" w:eastAsia="fr-FR"/>
              </w:rPr>
              <w:t>]</w:t>
            </w:r>
          </w:p>
        </w:tc>
        <w:tc>
          <w:tcPr>
            <w:tcW w:w="2101" w:type="dxa"/>
            <w:tcBorders>
              <w:top w:val="nil"/>
              <w:bottom w:val="nil"/>
              <w:right w:val="nil"/>
            </w:tcBorders>
            <w:vAlign w:val="center"/>
          </w:tcPr>
          <w:p w14:paraId="5FADC4ED" w14:textId="77777777" w:rsidR="004C2F37" w:rsidRPr="00411718" w:rsidRDefault="00584685" w:rsidP="00A64B45">
            <w:pPr>
              <w:pStyle w:val="TKTextetableau"/>
              <w:jc w:val="center"/>
              <w:rPr>
                <w:rFonts w:cs="Arial"/>
                <w:sz w:val="20"/>
                <w:szCs w:val="20"/>
                <w:lang w:val="fr-FR" w:eastAsia="fr-FR"/>
              </w:rPr>
            </w:pPr>
            <w:r>
              <w:rPr>
                <w:rFonts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3939E174" wp14:editId="7C8AF228">
                  <wp:extent cx="355600" cy="3556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89623" w14:textId="77777777" w:rsidR="004C2F37" w:rsidRPr="00411718" w:rsidRDefault="004C2F37" w:rsidP="00A64B45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  <w:r>
              <w:rPr>
                <w:lang w:val="fr-FR" w:eastAsia="fr-FR"/>
              </w:rPr>
              <w:t>OUI</w:t>
            </w:r>
            <w:r w:rsidRPr="00411718">
              <w:rPr>
                <w:lang w:val="fr-FR" w:eastAsia="fr-FR"/>
              </w:rPr>
              <w:t xml:space="preserve"> </w:t>
            </w:r>
            <w:r>
              <w:rPr>
                <w:lang w:val="fr-FR" w:eastAsia="fr-FR"/>
              </w:rPr>
              <w:t>–</w:t>
            </w:r>
            <w:r w:rsidRPr="00411718">
              <w:rPr>
                <w:lang w:val="fr-FR" w:eastAsia="fr-FR"/>
              </w:rPr>
              <w:t xml:space="preserve"> NO</w:t>
            </w:r>
            <w:r>
              <w:rPr>
                <w:lang w:val="fr-FR" w:eastAsia="fr-FR"/>
              </w:rPr>
              <w:t>N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4859F" w14:textId="77777777" w:rsidR="004C2F37" w:rsidRPr="00411718" w:rsidRDefault="00584685" w:rsidP="00A64B45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  <w:r>
              <w:rPr>
                <w:rFonts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7978F29F" wp14:editId="3000B4F9">
                  <wp:extent cx="355600" cy="355600"/>
                  <wp:effectExtent l="0" t="0" r="0" b="0"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</w:tcBorders>
            <w:vAlign w:val="center"/>
          </w:tcPr>
          <w:p w14:paraId="7896F47B" w14:textId="77777777" w:rsidR="004C2F37" w:rsidRPr="00411718" w:rsidRDefault="004C2F37" w:rsidP="00A64B45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  <w:r>
              <w:rPr>
                <w:lang w:val="fr-FR" w:eastAsia="fr-FR"/>
              </w:rPr>
              <w:t>OUI</w:t>
            </w:r>
            <w:r w:rsidRPr="00411718">
              <w:rPr>
                <w:lang w:val="fr-FR" w:eastAsia="fr-FR"/>
              </w:rPr>
              <w:t xml:space="preserve"> - NO</w:t>
            </w:r>
            <w:r>
              <w:rPr>
                <w:lang w:val="fr-FR" w:eastAsia="fr-FR"/>
              </w:rPr>
              <w:t>N</w:t>
            </w:r>
          </w:p>
        </w:tc>
      </w:tr>
      <w:tr w:rsidR="004C2F37" w:rsidRPr="00411718" w14:paraId="6F4D1237" w14:textId="77777777">
        <w:trPr>
          <w:trHeight w:val="624"/>
        </w:trPr>
        <w:tc>
          <w:tcPr>
            <w:tcW w:w="2660" w:type="dxa"/>
            <w:vMerge/>
            <w:vAlign w:val="center"/>
          </w:tcPr>
          <w:p w14:paraId="4E1E4E9F" w14:textId="77777777" w:rsidR="004C2F37" w:rsidRPr="00411718" w:rsidRDefault="004C2F37" w:rsidP="004A6299">
            <w:pPr>
              <w:pStyle w:val="TKTextetableau"/>
              <w:rPr>
                <w:rFonts w:cs="Arial"/>
                <w:lang w:val="fr-FR" w:eastAsia="fr-FR"/>
              </w:rPr>
            </w:pPr>
          </w:p>
        </w:tc>
        <w:tc>
          <w:tcPr>
            <w:tcW w:w="2101" w:type="dxa"/>
            <w:tcBorders>
              <w:top w:val="nil"/>
              <w:bottom w:val="nil"/>
              <w:right w:val="nil"/>
            </w:tcBorders>
            <w:vAlign w:val="center"/>
          </w:tcPr>
          <w:p w14:paraId="7BBB191A" w14:textId="77777777" w:rsidR="004C2F37" w:rsidRPr="00411718" w:rsidRDefault="00584685" w:rsidP="00A64B45">
            <w:pPr>
              <w:pStyle w:val="TKTextetableau"/>
              <w:jc w:val="center"/>
              <w:rPr>
                <w:rFonts w:cs="Arial"/>
                <w:sz w:val="20"/>
                <w:szCs w:val="20"/>
                <w:lang w:val="fr-FR" w:eastAsia="fr-FR"/>
              </w:rPr>
            </w:pPr>
            <w:r>
              <w:rPr>
                <w:rFonts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262B8E00" wp14:editId="6FF34BCC">
                  <wp:extent cx="355600" cy="355600"/>
                  <wp:effectExtent l="0" t="0" r="0" b="0"/>
                  <wp:docPr id="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EF780" w14:textId="77777777" w:rsidR="004C2F37" w:rsidRPr="00411718" w:rsidRDefault="004C2F37" w:rsidP="00A64B45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  <w:r>
              <w:rPr>
                <w:lang w:val="fr-FR" w:eastAsia="fr-FR"/>
              </w:rPr>
              <w:t>OUI</w:t>
            </w:r>
            <w:r w:rsidRPr="00411718">
              <w:rPr>
                <w:lang w:val="fr-FR" w:eastAsia="fr-FR"/>
              </w:rPr>
              <w:t xml:space="preserve"> </w:t>
            </w:r>
            <w:r>
              <w:rPr>
                <w:lang w:val="fr-FR" w:eastAsia="fr-FR"/>
              </w:rPr>
              <w:t>–</w:t>
            </w:r>
            <w:r w:rsidRPr="00411718">
              <w:rPr>
                <w:lang w:val="fr-FR" w:eastAsia="fr-FR"/>
              </w:rPr>
              <w:t xml:space="preserve"> NO</w:t>
            </w:r>
            <w:r>
              <w:rPr>
                <w:lang w:val="fr-FR" w:eastAsia="fr-FR"/>
              </w:rPr>
              <w:t>N</w:t>
            </w:r>
          </w:p>
        </w:tc>
        <w:tc>
          <w:tcPr>
            <w:tcW w:w="22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9C97B" w14:textId="77777777" w:rsidR="004C2F37" w:rsidRPr="00411718" w:rsidRDefault="00584685" w:rsidP="00A64B45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  <w:r>
              <w:rPr>
                <w:rFonts w:cs="Arial"/>
                <w:noProof/>
                <w:sz w:val="20"/>
                <w:szCs w:val="20"/>
                <w:lang w:val="fr-FR" w:eastAsia="fr-FR"/>
              </w:rPr>
              <w:drawing>
                <wp:inline distT="0" distB="0" distL="0" distR="0" wp14:anchorId="63AFBAFB" wp14:editId="67A52259">
                  <wp:extent cx="355600" cy="355600"/>
                  <wp:effectExtent l="0" t="0" r="0" b="0"/>
                  <wp:docPr id="4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0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</w:tcBorders>
            <w:vAlign w:val="center"/>
          </w:tcPr>
          <w:p w14:paraId="3E2367AC" w14:textId="77777777" w:rsidR="004C2F37" w:rsidRPr="00411718" w:rsidRDefault="004C2F37" w:rsidP="00A64B45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  <w:r>
              <w:rPr>
                <w:lang w:val="fr-FR" w:eastAsia="fr-FR"/>
              </w:rPr>
              <w:t>OUI</w:t>
            </w:r>
            <w:r w:rsidRPr="00411718">
              <w:rPr>
                <w:lang w:val="fr-FR" w:eastAsia="fr-FR"/>
              </w:rPr>
              <w:t xml:space="preserve"> - NO</w:t>
            </w:r>
            <w:r>
              <w:rPr>
                <w:lang w:val="fr-FR" w:eastAsia="fr-FR"/>
              </w:rPr>
              <w:t>N</w:t>
            </w:r>
          </w:p>
        </w:tc>
      </w:tr>
      <w:tr w:rsidR="004C2F37" w:rsidRPr="00411718" w14:paraId="1C62DEB2" w14:textId="77777777">
        <w:trPr>
          <w:trHeight w:val="1020"/>
        </w:trPr>
        <w:tc>
          <w:tcPr>
            <w:tcW w:w="2660" w:type="dxa"/>
            <w:shd w:val="clear" w:color="auto" w:fill="D9D9D9"/>
            <w:vAlign w:val="center"/>
          </w:tcPr>
          <w:p w14:paraId="7AC0B4EC" w14:textId="77777777" w:rsidR="004C2F37" w:rsidRPr="00411718" w:rsidRDefault="004C2F37" w:rsidP="004A6299">
            <w:pPr>
              <w:pStyle w:val="TKTextetableau"/>
              <w:rPr>
                <w:lang w:val="fr-FR" w:eastAsia="fr-FR"/>
              </w:rPr>
            </w:pPr>
            <w:r>
              <w:rPr>
                <w:lang w:val="fr-FR" w:eastAsia="fr-FR"/>
              </w:rPr>
              <w:t>J’ai trouvé cette activité utile parce que</w:t>
            </w:r>
            <w:r w:rsidRPr="00411718">
              <w:rPr>
                <w:lang w:val="fr-FR" w:eastAsia="fr-FR"/>
              </w:rPr>
              <w:t xml:space="preserve"> …</w:t>
            </w:r>
          </w:p>
        </w:tc>
        <w:tc>
          <w:tcPr>
            <w:tcW w:w="8022" w:type="dxa"/>
            <w:gridSpan w:val="5"/>
            <w:shd w:val="clear" w:color="auto" w:fill="D9D9D9"/>
            <w:vAlign w:val="center"/>
          </w:tcPr>
          <w:p w14:paraId="4DE9C622" w14:textId="77777777" w:rsidR="004C2F37" w:rsidRPr="00411718" w:rsidRDefault="004C2F37" w:rsidP="00A64B45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</w:p>
        </w:tc>
      </w:tr>
      <w:tr w:rsidR="004C2F37" w:rsidRPr="00411718" w14:paraId="75AEA080" w14:textId="77777777">
        <w:trPr>
          <w:trHeight w:val="1020"/>
        </w:trPr>
        <w:tc>
          <w:tcPr>
            <w:tcW w:w="2660" w:type="dxa"/>
            <w:vAlign w:val="center"/>
          </w:tcPr>
          <w:p w14:paraId="18060C10" w14:textId="77777777" w:rsidR="004C2F37" w:rsidRPr="00411718" w:rsidRDefault="004C2F37" w:rsidP="004A6299">
            <w:pPr>
              <w:pStyle w:val="TKTextetableau"/>
              <w:rPr>
                <w:lang w:val="fr-FR" w:eastAsia="fr-FR"/>
              </w:rPr>
            </w:pPr>
            <w:r>
              <w:rPr>
                <w:lang w:val="fr-FR" w:eastAsia="fr-FR"/>
              </w:rPr>
              <w:t>Le moment ou la partie les plus utiles ont été quand je/nous</w:t>
            </w:r>
            <w:r w:rsidRPr="00411718">
              <w:rPr>
                <w:lang w:val="fr-FR" w:eastAsia="fr-FR"/>
              </w:rPr>
              <w:t xml:space="preserve"> …</w:t>
            </w:r>
          </w:p>
        </w:tc>
        <w:tc>
          <w:tcPr>
            <w:tcW w:w="8022" w:type="dxa"/>
            <w:gridSpan w:val="5"/>
            <w:vAlign w:val="center"/>
          </w:tcPr>
          <w:p w14:paraId="3B097A89" w14:textId="77777777" w:rsidR="004C2F37" w:rsidRPr="00411718" w:rsidRDefault="004C2F37" w:rsidP="00A64B45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</w:p>
        </w:tc>
      </w:tr>
      <w:tr w:rsidR="004C2F37" w:rsidRPr="00411718" w14:paraId="2F7B99D0" w14:textId="77777777">
        <w:trPr>
          <w:trHeight w:val="1020"/>
        </w:trPr>
        <w:tc>
          <w:tcPr>
            <w:tcW w:w="2660" w:type="dxa"/>
            <w:shd w:val="clear" w:color="auto" w:fill="D9D9D9"/>
            <w:vAlign w:val="center"/>
          </w:tcPr>
          <w:p w14:paraId="47503A52" w14:textId="77777777" w:rsidR="004C2F37" w:rsidRPr="00411718" w:rsidRDefault="004C2F37" w:rsidP="004A6299">
            <w:pPr>
              <w:pStyle w:val="TKTextetableau"/>
              <w:rPr>
                <w:lang w:val="fr-FR" w:eastAsia="fr-FR"/>
              </w:rPr>
            </w:pPr>
            <w:r>
              <w:rPr>
                <w:lang w:val="fr-FR" w:eastAsia="fr-FR"/>
              </w:rPr>
              <w:t>J’ai trouvé cette activité facile/difficile parce que</w:t>
            </w:r>
            <w:r w:rsidRPr="00411718">
              <w:rPr>
                <w:lang w:val="fr-FR" w:eastAsia="fr-FR"/>
              </w:rPr>
              <w:t>…</w:t>
            </w:r>
          </w:p>
        </w:tc>
        <w:tc>
          <w:tcPr>
            <w:tcW w:w="8022" w:type="dxa"/>
            <w:gridSpan w:val="5"/>
            <w:shd w:val="clear" w:color="auto" w:fill="D9D9D9"/>
            <w:vAlign w:val="center"/>
          </w:tcPr>
          <w:p w14:paraId="6BDA4450" w14:textId="77777777" w:rsidR="004C2F37" w:rsidRPr="00411718" w:rsidRDefault="004C2F37" w:rsidP="00A64B45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</w:p>
        </w:tc>
      </w:tr>
      <w:tr w:rsidR="004C2F37" w:rsidRPr="00411718" w14:paraId="055F963F" w14:textId="77777777">
        <w:trPr>
          <w:trHeight w:val="1020"/>
        </w:trPr>
        <w:tc>
          <w:tcPr>
            <w:tcW w:w="2660" w:type="dxa"/>
            <w:vAlign w:val="center"/>
          </w:tcPr>
          <w:p w14:paraId="33C89801" w14:textId="77777777" w:rsidR="004C2F37" w:rsidRPr="00411718" w:rsidRDefault="004C2F37" w:rsidP="004A6299">
            <w:pPr>
              <w:pStyle w:val="TKTextetableau"/>
              <w:rPr>
                <w:rFonts w:cs="Arial"/>
                <w:lang w:val="fr-FR" w:eastAsia="fr-FR"/>
              </w:rPr>
            </w:pPr>
            <w:r>
              <w:rPr>
                <w:lang w:val="fr-FR" w:eastAsia="fr-FR"/>
              </w:rPr>
              <w:t>Maintenant, je sais faire les choses suivantes :</w:t>
            </w:r>
          </w:p>
        </w:tc>
        <w:tc>
          <w:tcPr>
            <w:tcW w:w="8022" w:type="dxa"/>
            <w:gridSpan w:val="5"/>
            <w:vAlign w:val="center"/>
          </w:tcPr>
          <w:p w14:paraId="317C373B" w14:textId="77777777" w:rsidR="004C2F37" w:rsidRPr="00411718" w:rsidRDefault="004C2F37" w:rsidP="00A64B45">
            <w:pPr>
              <w:pStyle w:val="TKTextetableau"/>
              <w:jc w:val="center"/>
              <w:rPr>
                <w:rFonts w:cs="Arial"/>
                <w:lang w:val="fr-FR" w:eastAsia="fr-FR"/>
              </w:rPr>
            </w:pPr>
          </w:p>
        </w:tc>
      </w:tr>
      <w:tr w:rsidR="004C2F37" w:rsidRPr="00411718" w14:paraId="20C8C783" w14:textId="77777777">
        <w:trPr>
          <w:trHeight w:val="1020"/>
        </w:trPr>
        <w:tc>
          <w:tcPr>
            <w:tcW w:w="2660" w:type="dxa"/>
            <w:shd w:val="clear" w:color="auto" w:fill="D9D9D9"/>
            <w:vAlign w:val="center"/>
          </w:tcPr>
          <w:p w14:paraId="3F13B120" w14:textId="77777777" w:rsidR="004C2F37" w:rsidRPr="00411718" w:rsidRDefault="004C2F37" w:rsidP="004A6299">
            <w:pPr>
              <w:pStyle w:val="TKTextetableau"/>
              <w:rPr>
                <w:rFonts w:cs="Arial"/>
                <w:lang w:val="fr-FR" w:eastAsia="fr-FR"/>
              </w:rPr>
            </w:pPr>
            <w:r>
              <w:rPr>
                <w:lang w:val="fr-FR" w:eastAsia="fr-FR"/>
              </w:rPr>
              <w:t>Cette expérience d’apprentissage était (entourez la réponse pertinente) :</w:t>
            </w:r>
          </w:p>
        </w:tc>
        <w:tc>
          <w:tcPr>
            <w:tcW w:w="4011" w:type="dxa"/>
            <w:gridSpan w:val="3"/>
            <w:tcBorders>
              <w:right w:val="nil"/>
            </w:tcBorders>
            <w:shd w:val="clear" w:color="auto" w:fill="D9D9D9"/>
            <w:vAlign w:val="center"/>
          </w:tcPr>
          <w:p w14:paraId="717EE1FA" w14:textId="77777777" w:rsidR="004C2F37" w:rsidRPr="00411718" w:rsidRDefault="004C2F37" w:rsidP="00A64B45">
            <w:pPr>
              <w:jc w:val="center"/>
              <w:rPr>
                <w:rFonts w:cs="Arial"/>
                <w:lang w:eastAsia="fr-FR"/>
              </w:rPr>
            </w:pPr>
            <w:r>
              <w:rPr>
                <w:lang w:eastAsia="fr-FR"/>
              </w:rPr>
              <w:t>Mauvaise</w:t>
            </w:r>
          </w:p>
        </w:tc>
        <w:tc>
          <w:tcPr>
            <w:tcW w:w="4011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14:paraId="2BB02D5B" w14:textId="77777777" w:rsidR="004C2F37" w:rsidRPr="00411718" w:rsidRDefault="004C2F37" w:rsidP="00A64B45">
            <w:pPr>
              <w:jc w:val="center"/>
              <w:rPr>
                <w:rFonts w:cs="Arial"/>
                <w:lang w:eastAsia="fr-FR"/>
              </w:rPr>
            </w:pPr>
            <w:r>
              <w:rPr>
                <w:lang w:eastAsia="fr-FR"/>
              </w:rPr>
              <w:t>Bonne</w:t>
            </w:r>
          </w:p>
        </w:tc>
      </w:tr>
    </w:tbl>
    <w:p w14:paraId="519AC30E" w14:textId="77777777" w:rsidR="004C2F37" w:rsidRPr="00411718" w:rsidRDefault="004C2F37" w:rsidP="0086306B">
      <w:pPr>
        <w:rPr>
          <w:rFonts w:cs="Arial"/>
        </w:rPr>
      </w:pPr>
    </w:p>
    <w:sectPr w:rsidR="004C2F37" w:rsidRPr="00411718" w:rsidSect="007F5F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F8857" w14:textId="77777777" w:rsidR="00B35EF6" w:rsidRDefault="00B35EF6" w:rsidP="00C523EA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14:paraId="0A2C1A8A" w14:textId="77777777" w:rsidR="00B35EF6" w:rsidRDefault="00B35EF6" w:rsidP="00C523EA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18A35" w14:textId="77777777" w:rsidR="00CF0E3E" w:rsidRDefault="00CF0E3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2D42C9" w14:paraId="7425E45D" w14:textId="77777777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14:paraId="3556AE71" w14:textId="77777777" w:rsidR="00CF0E3E" w:rsidRPr="00971310" w:rsidRDefault="00CF0E3E" w:rsidP="00CF0E3E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971310">
            <w:rPr>
              <w:sz w:val="18"/>
              <w:szCs w:val="18"/>
              <w:lang w:eastAsia="fr-FR"/>
            </w:rPr>
            <w:t>Programme des Politiques linguistiques</w:t>
          </w:r>
        </w:p>
        <w:p w14:paraId="596EEDA8" w14:textId="77777777" w:rsidR="00CF0E3E" w:rsidRPr="00C16F21" w:rsidRDefault="00CF0E3E" w:rsidP="00CF0E3E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  <w:r w:rsidRPr="00C16F21">
            <w:rPr>
              <w:sz w:val="18"/>
              <w:szCs w:val="18"/>
              <w:lang w:eastAsia="fr-FR"/>
            </w:rPr>
            <w:t>Strasbourg</w:t>
          </w:r>
        </w:p>
        <w:p w14:paraId="0FA02040" w14:textId="77777777" w:rsidR="00CF0E3E" w:rsidRPr="00C16F21" w:rsidRDefault="00CF0E3E" w:rsidP="00CF0E3E">
          <w:pPr>
            <w:tabs>
              <w:tab w:val="center" w:pos="4820"/>
            </w:tabs>
            <w:spacing w:before="60"/>
            <w:rPr>
              <w:sz w:val="18"/>
              <w:szCs w:val="18"/>
              <w:lang w:eastAsia="fr-FR"/>
            </w:rPr>
          </w:pPr>
        </w:p>
        <w:p w14:paraId="64359618" w14:textId="0D01DF0A" w:rsidR="002D42C9" w:rsidRPr="00A64B45" w:rsidRDefault="00CF0E3E" w:rsidP="00CF0E3E">
          <w:pPr>
            <w:tabs>
              <w:tab w:val="center" w:pos="4820"/>
            </w:tabs>
            <w:spacing w:before="60"/>
            <w:rPr>
              <w:rFonts w:cs="Arial"/>
              <w:sz w:val="18"/>
              <w:szCs w:val="18"/>
              <w:lang w:val="en-US" w:eastAsia="fr-FR"/>
            </w:rPr>
          </w:pPr>
          <w:r w:rsidRPr="00C16F21">
            <w:rPr>
              <w:b/>
              <w:bCs/>
              <w:sz w:val="18"/>
              <w:szCs w:val="18"/>
              <w:lang w:eastAsia="fr-FR"/>
            </w:rPr>
            <w:t xml:space="preserve">Outil </w:t>
          </w:r>
          <w:r w:rsidR="002D42C9" w:rsidRPr="00A64B45">
            <w:rPr>
              <w:b/>
              <w:bCs/>
              <w:sz w:val="18"/>
              <w:szCs w:val="18"/>
              <w:lang w:val="en-US" w:eastAsia="fr-FR"/>
            </w:rPr>
            <w:t>39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14:paraId="76CBF341" w14:textId="1D72FDCD" w:rsidR="002D42C9" w:rsidRPr="00A64B45" w:rsidRDefault="002D42C9" w:rsidP="00A64B45">
          <w:pPr>
            <w:tabs>
              <w:tab w:val="center" w:pos="4820"/>
            </w:tabs>
            <w:spacing w:before="60"/>
            <w:jc w:val="center"/>
            <w:rPr>
              <w:rFonts w:cs="Arial"/>
              <w:sz w:val="18"/>
              <w:szCs w:val="18"/>
              <w:lang w:val="en-US" w:eastAsia="fr-FR"/>
            </w:rPr>
          </w:pPr>
          <w:r w:rsidRPr="00A64B45">
            <w:rPr>
              <w:sz w:val="18"/>
              <w:szCs w:val="18"/>
              <w:lang w:val="en-US" w:eastAsia="fr-FR"/>
            </w:rPr>
            <w:t xml:space="preserve">Page </w:t>
          </w:r>
          <w:r w:rsidRPr="00A64B45">
            <w:rPr>
              <w:sz w:val="18"/>
              <w:szCs w:val="18"/>
              <w:lang w:val="en-US" w:eastAsia="fr-FR"/>
            </w:rPr>
            <w:fldChar w:fldCharType="begin"/>
          </w:r>
          <w:r w:rsidRPr="00A64B45">
            <w:rPr>
              <w:sz w:val="18"/>
              <w:szCs w:val="18"/>
              <w:lang w:val="en-US" w:eastAsia="fr-FR"/>
            </w:rPr>
            <w:instrText>PAGE</w:instrText>
          </w:r>
          <w:r w:rsidRPr="00A64B45">
            <w:rPr>
              <w:sz w:val="18"/>
              <w:szCs w:val="18"/>
              <w:lang w:val="en-US" w:eastAsia="fr-FR"/>
            </w:rPr>
            <w:fldChar w:fldCharType="separate"/>
          </w:r>
          <w:r w:rsidR="00A866E2">
            <w:rPr>
              <w:noProof/>
              <w:sz w:val="18"/>
              <w:szCs w:val="18"/>
              <w:lang w:val="en-US" w:eastAsia="fr-FR"/>
            </w:rPr>
            <w:t>2</w:t>
          </w:r>
          <w:r w:rsidRPr="00A64B45">
            <w:rPr>
              <w:sz w:val="18"/>
              <w:szCs w:val="18"/>
              <w:lang w:val="en-US" w:eastAsia="fr-FR"/>
            </w:rPr>
            <w:fldChar w:fldCharType="end"/>
          </w:r>
          <w:r w:rsidRPr="00A64B45">
            <w:rPr>
              <w:sz w:val="18"/>
              <w:szCs w:val="18"/>
              <w:lang w:val="en-US" w:eastAsia="fr-FR"/>
            </w:rPr>
            <w:t>/</w:t>
          </w:r>
          <w:r w:rsidRPr="00A64B45">
            <w:rPr>
              <w:sz w:val="18"/>
              <w:szCs w:val="18"/>
              <w:lang w:val="en-US" w:eastAsia="fr-FR"/>
            </w:rPr>
            <w:fldChar w:fldCharType="begin"/>
          </w:r>
          <w:r w:rsidRPr="00A64B45">
            <w:rPr>
              <w:sz w:val="18"/>
              <w:szCs w:val="18"/>
              <w:lang w:val="en-US" w:eastAsia="fr-FR"/>
            </w:rPr>
            <w:instrText>NUMPAGES</w:instrText>
          </w:r>
          <w:r w:rsidRPr="00A64B45">
            <w:rPr>
              <w:sz w:val="18"/>
              <w:szCs w:val="18"/>
              <w:lang w:val="en-US" w:eastAsia="fr-FR"/>
            </w:rPr>
            <w:fldChar w:fldCharType="separate"/>
          </w:r>
          <w:r w:rsidR="00A866E2">
            <w:rPr>
              <w:noProof/>
              <w:sz w:val="18"/>
              <w:szCs w:val="18"/>
              <w:lang w:val="en-US" w:eastAsia="fr-FR"/>
            </w:rPr>
            <w:t>2</w:t>
          </w:r>
          <w:r w:rsidRPr="00A64B45">
            <w:rPr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14:paraId="093FEAF8" w14:textId="77777777" w:rsidR="002D42C9" w:rsidRPr="00A64B45" w:rsidRDefault="002D42C9" w:rsidP="00A64B45">
          <w:pPr>
            <w:tabs>
              <w:tab w:val="center" w:pos="4820"/>
            </w:tabs>
            <w:spacing w:before="60"/>
            <w:jc w:val="right"/>
            <w:rPr>
              <w:rFonts w:cs="Arial"/>
              <w:sz w:val="18"/>
              <w:szCs w:val="18"/>
              <w:lang w:val="en-US" w:eastAsia="fr-FR"/>
            </w:rPr>
          </w:pPr>
          <w:r>
            <w:rPr>
              <w:rFonts w:cs="Arial"/>
              <w:noProof/>
              <w:sz w:val="18"/>
              <w:szCs w:val="18"/>
              <w:lang w:eastAsia="fr-FR"/>
            </w:rPr>
            <w:drawing>
              <wp:inline distT="0" distB="0" distL="0" distR="0" wp14:anchorId="1DC48655" wp14:editId="17622AA5">
                <wp:extent cx="812800" cy="677545"/>
                <wp:effectExtent l="0" t="0" r="0" b="8255"/>
                <wp:docPr id="6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67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CB6AD6F" w14:textId="77777777" w:rsidR="002D42C9" w:rsidRPr="002860CD" w:rsidRDefault="002D42C9" w:rsidP="002860CD">
    <w:pPr>
      <w:pStyle w:val="Pieddepage"/>
      <w:rPr>
        <w:rFonts w:cs="Arial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F8A6E" w14:textId="77777777" w:rsidR="00CF0E3E" w:rsidRDefault="00CF0E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1E42D" w14:textId="77777777" w:rsidR="00B35EF6" w:rsidRDefault="00B35EF6" w:rsidP="00C523EA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14:paraId="6ACF5F3D" w14:textId="77777777" w:rsidR="00B35EF6" w:rsidRDefault="00B35EF6" w:rsidP="00C523EA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890C2" w14:textId="77777777" w:rsidR="00CF0E3E" w:rsidRDefault="00CF0E3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CF0E3E" w:rsidRPr="00CF0E3E" w14:paraId="45CDC544" w14:textId="77777777" w:rsidTr="00CF0E3E">
      <w:trPr>
        <w:trHeight w:val="1304"/>
      </w:trPr>
      <w:tc>
        <w:tcPr>
          <w:tcW w:w="2228" w:type="dxa"/>
          <w:tcBorders>
            <w:bottom w:val="single" w:sz="12" w:space="0" w:color="auto"/>
          </w:tcBorders>
        </w:tcPr>
        <w:p w14:paraId="1325FCC1" w14:textId="3094A8EC" w:rsidR="00CF0E3E" w:rsidRPr="00CB5C65" w:rsidRDefault="006D4E98" w:rsidP="00186952">
          <w:pPr>
            <w:rPr>
              <w:rFonts w:cs="Arial"/>
            </w:rPr>
          </w:pPr>
          <w:r>
            <w:rPr>
              <w:noProof/>
              <w:lang w:eastAsia="fr-FR"/>
            </w:rPr>
            <w:drawing>
              <wp:inline distT="0" distB="0" distL="0" distR="0" wp14:anchorId="5F0D4BA6" wp14:editId="23814083">
                <wp:extent cx="956945" cy="690880"/>
                <wp:effectExtent l="0" t="0" r="0" b="0"/>
                <wp:docPr id="7" name="Picture 7" descr="IL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L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tcBorders>
            <w:bottom w:val="single" w:sz="12" w:space="0" w:color="auto"/>
          </w:tcBorders>
        </w:tcPr>
        <w:p w14:paraId="2C33C0DE" w14:textId="77777777" w:rsidR="00CF0E3E" w:rsidRPr="00971310" w:rsidRDefault="00CF0E3E" w:rsidP="00B86A5E">
          <w:pPr>
            <w:jc w:val="center"/>
            <w:rPr>
              <w:b/>
              <w:bCs/>
            </w:rPr>
          </w:pPr>
          <w:r w:rsidRPr="00971310">
            <w:rPr>
              <w:b/>
              <w:bCs/>
            </w:rPr>
            <w:t>Accompagnement linguistique des réfugiés adultes</w:t>
          </w:r>
          <w:r>
            <w:rPr>
              <w:b/>
              <w:bCs/>
            </w:rPr>
            <w:t> :</w:t>
          </w:r>
        </w:p>
        <w:p w14:paraId="587AC157" w14:textId="77777777" w:rsidR="00CF0E3E" w:rsidRPr="00971310" w:rsidRDefault="00CF0E3E" w:rsidP="00B86A5E">
          <w:pPr>
            <w:jc w:val="center"/>
            <w:rPr>
              <w:b/>
              <w:bCs/>
              <w:i/>
              <w:iCs/>
            </w:rPr>
          </w:pPr>
          <w:r w:rsidRPr="00971310">
            <w:rPr>
              <w:b/>
              <w:bCs/>
              <w:i/>
              <w:iCs/>
            </w:rPr>
            <w:t>La boîte à outils du Conseil de l’Europe</w:t>
          </w:r>
        </w:p>
        <w:p w14:paraId="1BB07374" w14:textId="78580563" w:rsidR="00CF0E3E" w:rsidRPr="00CF0E3E" w:rsidRDefault="00B35EF6" w:rsidP="00186952">
          <w:pPr>
            <w:jc w:val="center"/>
            <w:rPr>
              <w:rFonts w:cs="Arial"/>
              <w:color w:val="0000FF"/>
              <w:u w:val="single"/>
            </w:rPr>
          </w:pPr>
          <w:hyperlink r:id="rId2" w:history="1">
            <w:r w:rsidR="00CF0E3E" w:rsidRPr="00C16F21">
              <w:rPr>
                <w:rStyle w:val="Lienhypertexte"/>
              </w:rPr>
              <w:t>www.coe.int/lang-refugees</w:t>
            </w:r>
          </w:hyperlink>
        </w:p>
      </w:tc>
      <w:tc>
        <w:tcPr>
          <w:tcW w:w="2732" w:type="dxa"/>
          <w:tcBorders>
            <w:bottom w:val="single" w:sz="12" w:space="0" w:color="auto"/>
          </w:tcBorders>
        </w:tcPr>
        <w:p w14:paraId="48765D2A" w14:textId="77777777" w:rsidR="00CF0E3E" w:rsidRPr="00971310" w:rsidRDefault="00CF0E3E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Intégration linguistique</w:t>
          </w:r>
        </w:p>
        <w:p w14:paraId="7FE0FB35" w14:textId="77777777" w:rsidR="00CF0E3E" w:rsidRPr="00971310" w:rsidRDefault="00CF0E3E" w:rsidP="00B86A5E">
          <w:pPr>
            <w:tabs>
              <w:tab w:val="center" w:pos="4607"/>
              <w:tab w:val="right" w:pos="9214"/>
            </w:tabs>
            <w:jc w:val="right"/>
            <w:rPr>
              <w:sz w:val="20"/>
              <w:szCs w:val="20"/>
            </w:rPr>
          </w:pPr>
          <w:r w:rsidRPr="00971310">
            <w:rPr>
              <w:sz w:val="20"/>
              <w:szCs w:val="20"/>
            </w:rPr>
            <w:t>des migrants adultes</w:t>
          </w:r>
        </w:p>
        <w:p w14:paraId="305847F8" w14:textId="7512101E" w:rsidR="00CF0E3E" w:rsidRPr="00CF0E3E" w:rsidRDefault="00B35EF6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</w:rPr>
          </w:pPr>
          <w:hyperlink r:id="rId3" w:history="1">
            <w:r w:rsidR="00CF0E3E" w:rsidRPr="00971310">
              <w:rPr>
                <w:rStyle w:val="Lienhypertexte"/>
                <w:sz w:val="20"/>
                <w:szCs w:val="20"/>
              </w:rPr>
              <w:t>www.coe.int/lang-migrants</w:t>
            </w:r>
          </w:hyperlink>
          <w:r w:rsidR="00CF0E3E" w:rsidRPr="00971310">
            <w:rPr>
              <w:rStyle w:val="Lienhypertexte"/>
              <w:sz w:val="20"/>
              <w:szCs w:val="20"/>
            </w:rPr>
            <w:t>/fr</w:t>
          </w:r>
        </w:p>
      </w:tc>
    </w:tr>
  </w:tbl>
  <w:p w14:paraId="0215A92F" w14:textId="77777777" w:rsidR="002D42C9" w:rsidRPr="00CF0E3E" w:rsidRDefault="002D42C9" w:rsidP="00FB70A6">
    <w:pPr>
      <w:pStyle w:val="En-tte"/>
      <w:rPr>
        <w:rFonts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22513" w14:textId="77777777" w:rsidR="00CF0E3E" w:rsidRDefault="00CF0E3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203"/>
    <w:rsid w:val="00004C66"/>
    <w:rsid w:val="00010EAF"/>
    <w:rsid w:val="00013516"/>
    <w:rsid w:val="00022DE2"/>
    <w:rsid w:val="000338F0"/>
    <w:rsid w:val="00034B92"/>
    <w:rsid w:val="00037B0E"/>
    <w:rsid w:val="00043C45"/>
    <w:rsid w:val="000618A7"/>
    <w:rsid w:val="000937FA"/>
    <w:rsid w:val="000A080D"/>
    <w:rsid w:val="000B2A6F"/>
    <w:rsid w:val="000B71AA"/>
    <w:rsid w:val="000C5F40"/>
    <w:rsid w:val="000E0C6F"/>
    <w:rsid w:val="000E706C"/>
    <w:rsid w:val="000E7AFD"/>
    <w:rsid w:val="000F12B7"/>
    <w:rsid w:val="000F42D6"/>
    <w:rsid w:val="00110B4B"/>
    <w:rsid w:val="00113442"/>
    <w:rsid w:val="00121C7F"/>
    <w:rsid w:val="00124DB6"/>
    <w:rsid w:val="00126A5E"/>
    <w:rsid w:val="00126B8B"/>
    <w:rsid w:val="0013356A"/>
    <w:rsid w:val="001347DC"/>
    <w:rsid w:val="00140B7E"/>
    <w:rsid w:val="00154B1F"/>
    <w:rsid w:val="0016622B"/>
    <w:rsid w:val="0017200A"/>
    <w:rsid w:val="00172C07"/>
    <w:rsid w:val="001741D1"/>
    <w:rsid w:val="0017676C"/>
    <w:rsid w:val="0018043D"/>
    <w:rsid w:val="00180D0B"/>
    <w:rsid w:val="001833E6"/>
    <w:rsid w:val="00186952"/>
    <w:rsid w:val="001965B4"/>
    <w:rsid w:val="001A1433"/>
    <w:rsid w:val="001A1B4C"/>
    <w:rsid w:val="001B0010"/>
    <w:rsid w:val="001B29DB"/>
    <w:rsid w:val="001B602D"/>
    <w:rsid w:val="001B71AD"/>
    <w:rsid w:val="001C7918"/>
    <w:rsid w:val="001D358A"/>
    <w:rsid w:val="001E08DB"/>
    <w:rsid w:val="001E45B0"/>
    <w:rsid w:val="001F7AFA"/>
    <w:rsid w:val="00201D74"/>
    <w:rsid w:val="0020300A"/>
    <w:rsid w:val="002124F5"/>
    <w:rsid w:val="00214CD0"/>
    <w:rsid w:val="00233192"/>
    <w:rsid w:val="00246E8E"/>
    <w:rsid w:val="00254DC5"/>
    <w:rsid w:val="0026293F"/>
    <w:rsid w:val="002860CD"/>
    <w:rsid w:val="00294848"/>
    <w:rsid w:val="002A0CEF"/>
    <w:rsid w:val="002A1F35"/>
    <w:rsid w:val="002A3476"/>
    <w:rsid w:val="002C304C"/>
    <w:rsid w:val="002C791F"/>
    <w:rsid w:val="002D42C9"/>
    <w:rsid w:val="002F089F"/>
    <w:rsid w:val="002F2562"/>
    <w:rsid w:val="0030060E"/>
    <w:rsid w:val="00303A5A"/>
    <w:rsid w:val="003128C2"/>
    <w:rsid w:val="00323BF3"/>
    <w:rsid w:val="00327BBC"/>
    <w:rsid w:val="0033137E"/>
    <w:rsid w:val="00334800"/>
    <w:rsid w:val="00334DB7"/>
    <w:rsid w:val="003428B9"/>
    <w:rsid w:val="0035492A"/>
    <w:rsid w:val="00354CAA"/>
    <w:rsid w:val="003575BD"/>
    <w:rsid w:val="00373B9F"/>
    <w:rsid w:val="0037570C"/>
    <w:rsid w:val="00382E8A"/>
    <w:rsid w:val="0038409C"/>
    <w:rsid w:val="003847AD"/>
    <w:rsid w:val="003A30D7"/>
    <w:rsid w:val="003B337F"/>
    <w:rsid w:val="003C0495"/>
    <w:rsid w:val="003C050D"/>
    <w:rsid w:val="003C32F5"/>
    <w:rsid w:val="003D37D2"/>
    <w:rsid w:val="003D6E50"/>
    <w:rsid w:val="003E358D"/>
    <w:rsid w:val="003F121D"/>
    <w:rsid w:val="003F5E0F"/>
    <w:rsid w:val="00411718"/>
    <w:rsid w:val="0041784C"/>
    <w:rsid w:val="00450203"/>
    <w:rsid w:val="00457DD9"/>
    <w:rsid w:val="00460BCC"/>
    <w:rsid w:val="00470AA9"/>
    <w:rsid w:val="00472385"/>
    <w:rsid w:val="0049006B"/>
    <w:rsid w:val="00490099"/>
    <w:rsid w:val="004A486D"/>
    <w:rsid w:val="004A6299"/>
    <w:rsid w:val="004A73D5"/>
    <w:rsid w:val="004B189C"/>
    <w:rsid w:val="004B5DD8"/>
    <w:rsid w:val="004C1652"/>
    <w:rsid w:val="004C2F37"/>
    <w:rsid w:val="004E32A8"/>
    <w:rsid w:val="004E687E"/>
    <w:rsid w:val="004E69B4"/>
    <w:rsid w:val="004F2E30"/>
    <w:rsid w:val="00503E91"/>
    <w:rsid w:val="005131E2"/>
    <w:rsid w:val="00526886"/>
    <w:rsid w:val="00555D25"/>
    <w:rsid w:val="005713EB"/>
    <w:rsid w:val="00575698"/>
    <w:rsid w:val="00577525"/>
    <w:rsid w:val="005833E5"/>
    <w:rsid w:val="00584685"/>
    <w:rsid w:val="00592F6C"/>
    <w:rsid w:val="005C2E50"/>
    <w:rsid w:val="005E487C"/>
    <w:rsid w:val="005E4CA5"/>
    <w:rsid w:val="005F3597"/>
    <w:rsid w:val="00617D74"/>
    <w:rsid w:val="00634900"/>
    <w:rsid w:val="0064154F"/>
    <w:rsid w:val="006455D0"/>
    <w:rsid w:val="00651E90"/>
    <w:rsid w:val="00655B1E"/>
    <w:rsid w:val="00655CCE"/>
    <w:rsid w:val="006627B2"/>
    <w:rsid w:val="0069012B"/>
    <w:rsid w:val="00691114"/>
    <w:rsid w:val="006919D2"/>
    <w:rsid w:val="00694482"/>
    <w:rsid w:val="006968FC"/>
    <w:rsid w:val="006A1A21"/>
    <w:rsid w:val="006C0689"/>
    <w:rsid w:val="006C08C3"/>
    <w:rsid w:val="006C7764"/>
    <w:rsid w:val="006D234F"/>
    <w:rsid w:val="006D4E98"/>
    <w:rsid w:val="006D71C7"/>
    <w:rsid w:val="006E3844"/>
    <w:rsid w:val="006F56BB"/>
    <w:rsid w:val="00705BF1"/>
    <w:rsid w:val="00734E55"/>
    <w:rsid w:val="0074542C"/>
    <w:rsid w:val="007458E1"/>
    <w:rsid w:val="00773ACD"/>
    <w:rsid w:val="00786599"/>
    <w:rsid w:val="007B4D14"/>
    <w:rsid w:val="007C19A8"/>
    <w:rsid w:val="007C6439"/>
    <w:rsid w:val="007F5F10"/>
    <w:rsid w:val="0080462C"/>
    <w:rsid w:val="00805257"/>
    <w:rsid w:val="008067EC"/>
    <w:rsid w:val="0083366C"/>
    <w:rsid w:val="00844534"/>
    <w:rsid w:val="008469DE"/>
    <w:rsid w:val="008475DA"/>
    <w:rsid w:val="008506D5"/>
    <w:rsid w:val="0086306B"/>
    <w:rsid w:val="0086350A"/>
    <w:rsid w:val="00892B00"/>
    <w:rsid w:val="008A1F9F"/>
    <w:rsid w:val="008A685F"/>
    <w:rsid w:val="008A71FD"/>
    <w:rsid w:val="008B45A3"/>
    <w:rsid w:val="008C53DF"/>
    <w:rsid w:val="008E6FB9"/>
    <w:rsid w:val="008F0189"/>
    <w:rsid w:val="008F10FC"/>
    <w:rsid w:val="008F1473"/>
    <w:rsid w:val="008F24DC"/>
    <w:rsid w:val="008F51C9"/>
    <w:rsid w:val="008F5269"/>
    <w:rsid w:val="008F557F"/>
    <w:rsid w:val="009025F0"/>
    <w:rsid w:val="00921AD4"/>
    <w:rsid w:val="0093428B"/>
    <w:rsid w:val="0094551C"/>
    <w:rsid w:val="00953DC1"/>
    <w:rsid w:val="00953E6A"/>
    <w:rsid w:val="00970C63"/>
    <w:rsid w:val="0097497F"/>
    <w:rsid w:val="00981A86"/>
    <w:rsid w:val="00990990"/>
    <w:rsid w:val="00992699"/>
    <w:rsid w:val="009A3B00"/>
    <w:rsid w:val="009A4759"/>
    <w:rsid w:val="009A5131"/>
    <w:rsid w:val="009B4CDF"/>
    <w:rsid w:val="009B7F95"/>
    <w:rsid w:val="009C0600"/>
    <w:rsid w:val="009D29B6"/>
    <w:rsid w:val="009D7994"/>
    <w:rsid w:val="009E617B"/>
    <w:rsid w:val="009F6920"/>
    <w:rsid w:val="00A03292"/>
    <w:rsid w:val="00A1258A"/>
    <w:rsid w:val="00A32BEC"/>
    <w:rsid w:val="00A36998"/>
    <w:rsid w:val="00A3749C"/>
    <w:rsid w:val="00A37741"/>
    <w:rsid w:val="00A50A09"/>
    <w:rsid w:val="00A5196F"/>
    <w:rsid w:val="00A64B45"/>
    <w:rsid w:val="00A6623D"/>
    <w:rsid w:val="00A67362"/>
    <w:rsid w:val="00A7554F"/>
    <w:rsid w:val="00A802F2"/>
    <w:rsid w:val="00A80895"/>
    <w:rsid w:val="00A81C9B"/>
    <w:rsid w:val="00A866E2"/>
    <w:rsid w:val="00AA0713"/>
    <w:rsid w:val="00AA20E6"/>
    <w:rsid w:val="00AB255A"/>
    <w:rsid w:val="00AB6DBD"/>
    <w:rsid w:val="00AD36D4"/>
    <w:rsid w:val="00AE03CF"/>
    <w:rsid w:val="00AE1774"/>
    <w:rsid w:val="00AE4F9B"/>
    <w:rsid w:val="00AE657E"/>
    <w:rsid w:val="00AF4A1E"/>
    <w:rsid w:val="00AF56A8"/>
    <w:rsid w:val="00B11A77"/>
    <w:rsid w:val="00B14386"/>
    <w:rsid w:val="00B25C82"/>
    <w:rsid w:val="00B33421"/>
    <w:rsid w:val="00B35EF6"/>
    <w:rsid w:val="00B35EFB"/>
    <w:rsid w:val="00B53093"/>
    <w:rsid w:val="00B5669A"/>
    <w:rsid w:val="00B60977"/>
    <w:rsid w:val="00B73A35"/>
    <w:rsid w:val="00B849FF"/>
    <w:rsid w:val="00B85B33"/>
    <w:rsid w:val="00B87D33"/>
    <w:rsid w:val="00B94E15"/>
    <w:rsid w:val="00BA1340"/>
    <w:rsid w:val="00BA25B4"/>
    <w:rsid w:val="00BA3C32"/>
    <w:rsid w:val="00BB182D"/>
    <w:rsid w:val="00BC0303"/>
    <w:rsid w:val="00BC3EFC"/>
    <w:rsid w:val="00BC64F9"/>
    <w:rsid w:val="00BD1557"/>
    <w:rsid w:val="00BD2F15"/>
    <w:rsid w:val="00BE6428"/>
    <w:rsid w:val="00BF2B09"/>
    <w:rsid w:val="00BF693D"/>
    <w:rsid w:val="00C11DD0"/>
    <w:rsid w:val="00C24B3F"/>
    <w:rsid w:val="00C35A15"/>
    <w:rsid w:val="00C35F1A"/>
    <w:rsid w:val="00C36B49"/>
    <w:rsid w:val="00C478A6"/>
    <w:rsid w:val="00C50AF6"/>
    <w:rsid w:val="00C523EA"/>
    <w:rsid w:val="00C622D7"/>
    <w:rsid w:val="00C7477C"/>
    <w:rsid w:val="00C77992"/>
    <w:rsid w:val="00C8086F"/>
    <w:rsid w:val="00C866B1"/>
    <w:rsid w:val="00C94196"/>
    <w:rsid w:val="00CA4EF8"/>
    <w:rsid w:val="00CB09C3"/>
    <w:rsid w:val="00CB5C65"/>
    <w:rsid w:val="00CC0991"/>
    <w:rsid w:val="00CD41DE"/>
    <w:rsid w:val="00CD42D1"/>
    <w:rsid w:val="00CF0B90"/>
    <w:rsid w:val="00CF0E3E"/>
    <w:rsid w:val="00CF10CC"/>
    <w:rsid w:val="00CF1E64"/>
    <w:rsid w:val="00CF36D3"/>
    <w:rsid w:val="00D00DA4"/>
    <w:rsid w:val="00D0517A"/>
    <w:rsid w:val="00D07616"/>
    <w:rsid w:val="00D205C2"/>
    <w:rsid w:val="00D2211A"/>
    <w:rsid w:val="00D305D6"/>
    <w:rsid w:val="00D54315"/>
    <w:rsid w:val="00D57D70"/>
    <w:rsid w:val="00D61794"/>
    <w:rsid w:val="00D81172"/>
    <w:rsid w:val="00D8328F"/>
    <w:rsid w:val="00D83A78"/>
    <w:rsid w:val="00D94910"/>
    <w:rsid w:val="00D94E06"/>
    <w:rsid w:val="00DA1F23"/>
    <w:rsid w:val="00DA5A92"/>
    <w:rsid w:val="00DC59A0"/>
    <w:rsid w:val="00DD0635"/>
    <w:rsid w:val="00DD35DF"/>
    <w:rsid w:val="00DD53DC"/>
    <w:rsid w:val="00DE5B7D"/>
    <w:rsid w:val="00DE7768"/>
    <w:rsid w:val="00DF5B76"/>
    <w:rsid w:val="00DF60EB"/>
    <w:rsid w:val="00DF6268"/>
    <w:rsid w:val="00E04A34"/>
    <w:rsid w:val="00E05496"/>
    <w:rsid w:val="00E076C3"/>
    <w:rsid w:val="00E21B21"/>
    <w:rsid w:val="00E24A86"/>
    <w:rsid w:val="00E35A43"/>
    <w:rsid w:val="00E40311"/>
    <w:rsid w:val="00E4038E"/>
    <w:rsid w:val="00E53152"/>
    <w:rsid w:val="00E55FA4"/>
    <w:rsid w:val="00E633FF"/>
    <w:rsid w:val="00E826A8"/>
    <w:rsid w:val="00E90A39"/>
    <w:rsid w:val="00EB13B1"/>
    <w:rsid w:val="00EB3411"/>
    <w:rsid w:val="00ED4CB7"/>
    <w:rsid w:val="00EF4157"/>
    <w:rsid w:val="00F031C4"/>
    <w:rsid w:val="00F07895"/>
    <w:rsid w:val="00F2284E"/>
    <w:rsid w:val="00F260E9"/>
    <w:rsid w:val="00F31F7C"/>
    <w:rsid w:val="00F43A05"/>
    <w:rsid w:val="00F4620A"/>
    <w:rsid w:val="00F5126A"/>
    <w:rsid w:val="00F64EBD"/>
    <w:rsid w:val="00F87471"/>
    <w:rsid w:val="00F934F1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486765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Calibri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 w:cs="Calibri Light"/>
      <w:b/>
      <w:bCs/>
      <w:color w:val="0070C0"/>
      <w:sz w:val="40"/>
      <w:szCs w:val="40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 w:cs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hAnsi="Times New Roman" w:cs="Times New Roman"/>
      <w:i/>
      <w:iCs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 w:cs="Times New Roman"/>
      <w:i/>
      <w:iCs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hAnsi="Calibri Light" w:cs="Calibri Light"/>
      <w:b/>
      <w:bCs/>
      <w:color w:val="0070C0"/>
      <w:sz w:val="32"/>
      <w:szCs w:val="32"/>
      <w:lang w:val="en-US" w:eastAsia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hAnsi="Arial Black" w:cs="Arial Black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hAnsi="Calibri" w:cs="Calibri"/>
      <w:sz w:val="24"/>
      <w:szCs w:val="24"/>
    </w:rPr>
  </w:style>
  <w:style w:type="character" w:styleId="Lienhypertexte">
    <w:name w:val="Hyperlink"/>
    <w:basedOn w:val="Policepardfaut"/>
    <w:uiPriority w:val="99"/>
    <w:rsid w:val="00BB182D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BB182D"/>
    <w:pPr>
      <w:shd w:val="clear" w:color="auto" w:fill="000080"/>
    </w:pPr>
    <w:rPr>
      <w:rFonts w:ascii="Tahoma" w:hAnsi="Tahoma" w:cs="Tahoma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rFonts w:cs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Calibri"/>
      <w:b/>
      <w:bCs/>
      <w:sz w:val="28"/>
      <w:szCs w:val="28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hAnsi="Consolas" w:cs="Consolas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8F55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hAnsi="Calibri" w:cs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rsid w:val="009025F0"/>
    <w:rPr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Calibri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 w:val="20"/>
      <w:szCs w:val="20"/>
      <w:lang w:val="en-GB" w:eastAsia="en-US"/>
    </w:rPr>
  </w:style>
  <w:style w:type="paragraph" w:customStyle="1" w:styleId="TKLettersLevel1">
    <w:name w:val="TK_Letters Level 1"/>
    <w:basedOn w:val="TKNbrsLevel1"/>
    <w:uiPriority w:val="99"/>
    <w:rsid w:val="00921AD4"/>
    <w:pPr>
      <w:numPr>
        <w:numId w:val="12"/>
      </w:numPr>
      <w:ind w:left="357" w:hanging="357"/>
    </w:pPr>
    <w:rPr>
      <w:lang w:val="en-US"/>
    </w:rPr>
  </w:style>
  <w:style w:type="character" w:customStyle="1" w:styleId="Mention1">
    <w:name w:val="Mention1"/>
    <w:basedOn w:val="Policepardfaut"/>
    <w:uiPriority w:val="99"/>
    <w:semiHidden/>
    <w:rsid w:val="0041784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e.int/en/web/lang-migrants/instrument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4</TotalTime>
  <Pages>2</Pages>
  <Words>499</Words>
  <Characters>2409</Characters>
  <Application>Microsoft Office Word</Application>
  <DocSecurity>0</DocSecurity>
  <Lines>37</Lines>
  <Paragraphs>18</Paragraphs>
  <ScaleCrop>false</ScaleCrop>
  <Company>Council of Europe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39 - Aider les réfugiés à réfléchir sur leur apprentissage</dc:title>
  <dc:subject/>
  <dc:creator>utilisateur</dc:creator>
  <cp:keywords/>
  <dc:description/>
  <cp:lastModifiedBy>Carole</cp:lastModifiedBy>
  <cp:revision>6</cp:revision>
  <cp:lastPrinted>2017-03-21T18:43:00Z</cp:lastPrinted>
  <dcterms:created xsi:type="dcterms:W3CDTF">2017-09-16T09:56:00Z</dcterms:created>
  <dcterms:modified xsi:type="dcterms:W3CDTF">2017-11-10T06:37:00Z</dcterms:modified>
</cp:coreProperties>
</file>