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D0" w:rsidRPr="00330CF9" w:rsidRDefault="00B12FD0" w:rsidP="00844BDE">
      <w:pPr>
        <w:pStyle w:val="TKMAINTITLE"/>
        <w:rPr>
          <w:lang w:val="fr-FR"/>
        </w:rPr>
      </w:pPr>
      <w:r w:rsidRPr="00330CF9">
        <w:rPr>
          <w:lang w:val="fr-FR"/>
        </w:rPr>
        <w:t xml:space="preserve">11 </w:t>
      </w:r>
      <w:r>
        <w:rPr>
          <w:lang w:val="fr-FR"/>
        </w:rPr>
        <w:t>–</w:t>
      </w:r>
      <w:r w:rsidRPr="00330CF9">
        <w:rPr>
          <w:lang w:val="fr-FR"/>
        </w:rPr>
        <w:t xml:space="preserve"> </w:t>
      </w:r>
      <w:r>
        <w:rPr>
          <w:lang w:val="fr-FR"/>
        </w:rPr>
        <w:t>Les réfugiés comme utilisateurs et apprenants de langues</w:t>
      </w:r>
    </w:p>
    <w:p w:rsidR="00B12FD0" w:rsidRPr="00330CF9" w:rsidRDefault="00B12FD0" w:rsidP="001228F7">
      <w:pPr>
        <w:pStyle w:val="TKAIM"/>
        <w:tabs>
          <w:tab w:val="clear" w:pos="709"/>
          <w:tab w:val="left" w:pos="1276"/>
        </w:tabs>
        <w:ind w:left="1276" w:hanging="1276"/>
        <w:rPr>
          <w:lang w:val="fr-FR"/>
        </w:rPr>
      </w:pPr>
      <w:r>
        <w:rPr>
          <w:lang w:val="fr-FR"/>
        </w:rPr>
        <w:t>Objectif :</w:t>
      </w:r>
      <w:r>
        <w:rPr>
          <w:lang w:val="fr-FR"/>
        </w:rPr>
        <w:tab/>
        <w:t>Introduire les concepts de plurilinguisme et de répertoire linguistique et encourager la réflexion sur les facteurs qui favorisent la réussite de l’apprentissage des langues</w:t>
      </w:r>
      <w:r w:rsidRPr="00330CF9">
        <w:rPr>
          <w:lang w:val="fr-FR"/>
        </w:rPr>
        <w:t>.</w:t>
      </w:r>
    </w:p>
    <w:p w:rsidR="00B12FD0" w:rsidRPr="00330CF9" w:rsidRDefault="00B12FD0" w:rsidP="002C5D04">
      <w:pPr>
        <w:pStyle w:val="TKTITRE1"/>
        <w:rPr>
          <w:lang w:val="fr-FR"/>
        </w:rPr>
      </w:pPr>
      <w:r w:rsidRPr="00330CF9">
        <w:rPr>
          <w:lang w:val="fr-FR"/>
        </w:rPr>
        <w:t>Introduction</w:t>
      </w:r>
    </w:p>
    <w:p w:rsidR="00B12FD0" w:rsidRPr="00330CF9" w:rsidRDefault="00B12FD0" w:rsidP="00844BDE">
      <w:pPr>
        <w:pStyle w:val="TKTEXTE"/>
        <w:rPr>
          <w:lang w:val="fr-FR"/>
        </w:rPr>
      </w:pPr>
      <w:r>
        <w:rPr>
          <w:lang w:val="fr-FR"/>
        </w:rPr>
        <w:t xml:space="preserve">Les activités du Conseil de l’Europe dans le domaine de l’enseignement et de l’apprentissage des langues reposent sur le principe du </w:t>
      </w:r>
      <w:hyperlink r:id="rId8" w:history="1">
        <w:r w:rsidRPr="00E02DA6">
          <w:rPr>
            <w:rStyle w:val="Hyperlink"/>
            <w:u w:val="none"/>
            <w:lang w:val="fr-FR"/>
          </w:rPr>
          <w:t>plurilinguisme</w:t>
        </w:r>
      </w:hyperlink>
      <w:r>
        <w:rPr>
          <w:lang w:val="fr-FR"/>
        </w:rPr>
        <w:t>, selon lequel nous avons tous la capacité de communiquer dans plus d’une langue</w:t>
      </w:r>
      <w:r w:rsidRPr="00330CF9">
        <w:rPr>
          <w:lang w:val="fr-FR"/>
        </w:rPr>
        <w:t xml:space="preserve">. </w:t>
      </w:r>
      <w:r>
        <w:rPr>
          <w:lang w:val="fr-FR"/>
        </w:rPr>
        <w:t xml:space="preserve">Cette </w:t>
      </w:r>
      <w:r w:rsidRPr="00A24DF4">
        <w:rPr>
          <w:b/>
          <w:bCs/>
          <w:lang w:val="fr-FR"/>
        </w:rPr>
        <w:t>compétence plurilingue</w:t>
      </w:r>
      <w:r>
        <w:rPr>
          <w:lang w:val="fr-FR"/>
        </w:rPr>
        <w:t xml:space="preserve"> se reflète dans notre ré</w:t>
      </w:r>
      <w:r w:rsidRPr="00330CF9">
        <w:rPr>
          <w:lang w:val="fr-FR"/>
        </w:rPr>
        <w:t>pertoire</w:t>
      </w:r>
      <w:r>
        <w:rPr>
          <w:lang w:val="fr-FR"/>
        </w:rPr>
        <w:t xml:space="preserve"> linguistique</w:t>
      </w:r>
      <w:r w:rsidRPr="00330CF9">
        <w:rPr>
          <w:lang w:val="fr-FR"/>
        </w:rPr>
        <w:t xml:space="preserve">, </w:t>
      </w:r>
      <w:r>
        <w:rPr>
          <w:lang w:val="fr-FR"/>
        </w:rPr>
        <w:t>composé de langues que nous avons apprises à différents stades de notre vie et que nous utilisons de diverses manières en fonction de nos objectifs du moment</w:t>
      </w:r>
      <w:r w:rsidRPr="00330CF9">
        <w:rPr>
          <w:lang w:val="fr-FR"/>
        </w:rPr>
        <w:t xml:space="preserve">. </w:t>
      </w:r>
      <w:r>
        <w:rPr>
          <w:lang w:val="fr-FR"/>
        </w:rPr>
        <w:t>Nous ne possédons pas nécessairement le même niveau de compétence dans toutes les langues</w:t>
      </w:r>
      <w:r>
        <w:rPr>
          <w:rFonts w:cs="Arial"/>
          <w:lang w:val="fr-FR"/>
        </w:rPr>
        <w:t> </w:t>
      </w:r>
      <w:r>
        <w:rPr>
          <w:lang w:val="fr-FR"/>
        </w:rPr>
        <w:t>: il se peut que, dans une langue, nous soyons plus à l’aise à l’écrit qu’à l’oral et que, dans une autre, nous puissions uniquement tenir une conversation simple</w:t>
      </w:r>
      <w:r w:rsidRPr="00330CF9">
        <w:rPr>
          <w:lang w:val="fr-FR"/>
        </w:rPr>
        <w:t xml:space="preserve">. </w:t>
      </w:r>
      <w:r>
        <w:rPr>
          <w:lang w:val="fr-FR"/>
        </w:rPr>
        <w:t>Établir le</w:t>
      </w:r>
      <w:r w:rsidRPr="00EF3C38">
        <w:rPr>
          <w:lang w:val="fr-FR"/>
        </w:rPr>
        <w:t xml:space="preserve"> profil linguistique</w:t>
      </w:r>
      <w:r w:rsidRPr="00330CF9">
        <w:rPr>
          <w:lang w:val="fr-FR"/>
        </w:rPr>
        <w:t xml:space="preserve"> </w:t>
      </w:r>
      <w:r>
        <w:rPr>
          <w:lang w:val="fr-FR"/>
        </w:rPr>
        <w:t xml:space="preserve">d’une personne </w:t>
      </w:r>
      <w:r w:rsidRPr="00330CF9">
        <w:rPr>
          <w:lang w:val="fr-FR"/>
        </w:rPr>
        <w:t>(</w:t>
      </w:r>
      <w:r>
        <w:rPr>
          <w:lang w:val="fr-FR"/>
        </w:rPr>
        <w:t>voir l’Outil n°</w:t>
      </w:r>
      <w:r w:rsidRPr="00330CF9">
        <w:rPr>
          <w:lang w:val="fr-FR"/>
        </w:rPr>
        <w:t>38</w:t>
      </w:r>
      <w:r>
        <w:rPr>
          <w:lang w:val="fr-FR"/>
        </w:rPr>
        <w:t>, intitulé</w:t>
      </w:r>
      <w:r w:rsidRPr="00330CF9">
        <w:rPr>
          <w:lang w:val="fr-FR"/>
        </w:rPr>
        <w:t xml:space="preserve"> </w:t>
      </w:r>
      <w:r>
        <w:rPr>
          <w:lang w:val="fr-FR"/>
        </w:rPr>
        <w:t>« </w:t>
      </w:r>
      <w:hyperlink r:id="rId9" w:history="1">
        <w:r w:rsidRPr="00E02DA6">
          <w:rPr>
            <w:rStyle w:val="Hyperlink"/>
            <w:i/>
            <w:iCs/>
            <w:u w:val="none"/>
            <w:lang w:val="fr-FR"/>
          </w:rPr>
          <w:t>Portrait plurilingue : une tâche réflexive pour les réfugiés</w:t>
        </w:r>
      </w:hyperlink>
      <w:r w:rsidRPr="00145A02">
        <w:rPr>
          <w:rFonts w:cs="Arial"/>
          <w:lang w:val="fr-FR"/>
        </w:rPr>
        <w:t> </w:t>
      </w:r>
      <w:r w:rsidRPr="00145A02">
        <w:rPr>
          <w:lang w:val="fr-FR"/>
        </w:rPr>
        <w:t xml:space="preserve">») </w:t>
      </w:r>
      <w:r>
        <w:rPr>
          <w:lang w:val="fr-FR"/>
        </w:rPr>
        <w:t>est un bon moyen de définir sa compétence plurilingue ou son répertoire linguistique et de mener une réflexion à ce sujet</w:t>
      </w:r>
      <w:r w:rsidRPr="00330CF9">
        <w:rPr>
          <w:lang w:val="fr-FR"/>
        </w:rPr>
        <w:t>.</w:t>
      </w:r>
    </w:p>
    <w:p w:rsidR="00B12FD0" w:rsidRPr="00330CF9" w:rsidRDefault="00B12FD0" w:rsidP="002C5D04">
      <w:pPr>
        <w:pStyle w:val="TKTITRE1"/>
        <w:rPr>
          <w:rFonts w:cs="Arial"/>
          <w:lang w:val="fr-FR"/>
        </w:rPr>
      </w:pPr>
      <w:r>
        <w:rPr>
          <w:lang w:val="fr-FR"/>
        </w:rPr>
        <w:t>Le plurilingui</w:t>
      </w:r>
      <w:r w:rsidRPr="00330CF9">
        <w:rPr>
          <w:lang w:val="fr-FR"/>
        </w:rPr>
        <w:t>sm</w:t>
      </w:r>
      <w:r>
        <w:rPr>
          <w:lang w:val="fr-FR"/>
        </w:rPr>
        <w:t>e des</w:t>
      </w:r>
      <w:r w:rsidRPr="00330CF9">
        <w:rPr>
          <w:lang w:val="fr-FR"/>
        </w:rPr>
        <w:t xml:space="preserve"> </w:t>
      </w:r>
      <w:r>
        <w:rPr>
          <w:lang w:val="fr-FR"/>
        </w:rPr>
        <w:t>réfugiés adultes</w:t>
      </w:r>
    </w:p>
    <w:p w:rsidR="00B12FD0" w:rsidRPr="00330CF9" w:rsidRDefault="00B12FD0" w:rsidP="00844BDE">
      <w:pPr>
        <w:pStyle w:val="TKTEXTE"/>
        <w:rPr>
          <w:lang w:val="fr-FR"/>
        </w:rPr>
      </w:pPr>
      <w:r>
        <w:rPr>
          <w:lang w:val="fr-FR"/>
        </w:rPr>
        <w:t>Souvent, les réfugiés adultes ont un répertoire plurilingue assez riche. En effet, bon nombre d’entre eux sont originaires de sociétés multilingues où l’on communique fréquemment dans au moins deux langues ; certains ont aussi appris au moins une langue étrangère à l’école. Par ailleurs, étant « sur la route</w:t>
      </w:r>
      <w:r>
        <w:rPr>
          <w:rFonts w:cs="Arial"/>
          <w:lang w:val="fr-FR"/>
        </w:rPr>
        <w:t> </w:t>
      </w:r>
      <w:r>
        <w:rPr>
          <w:lang w:val="fr-FR"/>
        </w:rPr>
        <w:t>» depuis un certain temps, ils ont dû apprendre à communiquer dans les langues des pays qu’ils ont traversés. En d’autres termes, beaucoup de migrants ont une expérience très variée de l’uti</w:t>
      </w:r>
      <w:r w:rsidR="00E02DA6">
        <w:rPr>
          <w:lang w:val="fr-FR"/>
        </w:rPr>
        <w:t xml:space="preserve">lisation et de l’apprentissage </w:t>
      </w:r>
      <w:r>
        <w:rPr>
          <w:lang w:val="fr-FR"/>
        </w:rPr>
        <w:t>des langues (</w:t>
      </w:r>
      <w:r w:rsidRPr="00A276B1">
        <w:rPr>
          <w:lang w:val="fr-FR"/>
        </w:rPr>
        <w:t xml:space="preserve">il est d’ailleurs souvent très difficile de </w:t>
      </w:r>
      <w:r>
        <w:rPr>
          <w:lang w:val="fr-FR"/>
        </w:rPr>
        <w:t xml:space="preserve">distinguer clairement les deux </w:t>
      </w:r>
      <w:r w:rsidRPr="00A276B1">
        <w:rPr>
          <w:lang w:val="fr-FR"/>
        </w:rPr>
        <w:t>dans ce contexte</w:t>
      </w:r>
      <w:r>
        <w:rPr>
          <w:lang w:val="fr-FR"/>
        </w:rPr>
        <w:t>). Cependant, d’autres n’ont jamais pratiqué que leur langue maternelle</w:t>
      </w:r>
      <w:r>
        <w:rPr>
          <w:rFonts w:cs="Arial"/>
          <w:lang w:val="fr-FR"/>
        </w:rPr>
        <w:t> </w:t>
      </w:r>
      <w:r>
        <w:rPr>
          <w:lang w:val="fr-FR"/>
        </w:rPr>
        <w:t>; c’est le cas notamment de ceux qui, jusqu’ici, ont essentiellement vécu dans un seul et même pays</w:t>
      </w:r>
      <w:r w:rsidRPr="00330CF9">
        <w:rPr>
          <w:lang w:val="fr-FR"/>
        </w:rPr>
        <w:t>.</w:t>
      </w:r>
    </w:p>
    <w:p w:rsidR="00B12FD0" w:rsidRPr="00330CF9" w:rsidRDefault="00B12FD0" w:rsidP="002C5D04">
      <w:pPr>
        <w:pStyle w:val="TKTITRE1"/>
        <w:rPr>
          <w:rFonts w:cs="Arial"/>
          <w:lang w:val="fr-FR"/>
        </w:rPr>
      </w:pPr>
      <w:r>
        <w:rPr>
          <w:lang w:val="fr-FR"/>
        </w:rPr>
        <w:t>Tenir compte des répertoires linguistiques des réfugiés</w:t>
      </w:r>
    </w:p>
    <w:p w:rsidR="00B12FD0" w:rsidRDefault="00B12FD0" w:rsidP="00844BDE">
      <w:pPr>
        <w:pStyle w:val="TKTEXTE"/>
        <w:rPr>
          <w:rFonts w:cs="Arial"/>
          <w:lang w:val="fr-FR"/>
        </w:rPr>
      </w:pPr>
      <w:r>
        <w:rPr>
          <w:lang w:val="fr-FR"/>
        </w:rPr>
        <w:t>Il convient de garder ces considérations à l’esprit avant de vouloir assurer un accompagnement linguistique de réfugiés adultes</w:t>
      </w:r>
      <w:r w:rsidRPr="00330CF9">
        <w:rPr>
          <w:lang w:val="fr-FR"/>
        </w:rPr>
        <w:t xml:space="preserve">. </w:t>
      </w:r>
      <w:r>
        <w:rPr>
          <w:lang w:val="fr-FR"/>
        </w:rPr>
        <w:t>Quelle que soit l’étendue de leur répertoire linguistique, ces personnes savent (bien que pas toujours consciemment) comment fonctionne une langue et elles sont capables de communiquer dans une grande diversité de situations. Elles ont aussi conscience de l’importance de la prononciation, souvent considérée par les adultes comme l’un des aspects les plus difficiles de l’apprentissage. En outre, les apprenants réfugiés qui sont alphabétisés savent qu’une langue comprend des mots, des segments de phrases et des phrases</w:t>
      </w:r>
      <w:r w:rsidRPr="00330CF9">
        <w:rPr>
          <w:lang w:val="fr-FR"/>
        </w:rPr>
        <w:t xml:space="preserve">. </w:t>
      </w:r>
      <w:r>
        <w:rPr>
          <w:lang w:val="fr-FR"/>
        </w:rPr>
        <w:t>Enfin, s’ils ont étudié une ou plusieurs langues ét</w:t>
      </w:r>
      <w:r w:rsidR="00E02DA6">
        <w:rPr>
          <w:lang w:val="fr-FR"/>
        </w:rPr>
        <w:t>rangères à l’école, ils peuvent</w:t>
      </w:r>
      <w:r>
        <w:rPr>
          <w:lang w:val="fr-FR"/>
        </w:rPr>
        <w:t xml:space="preserve"> garder de ces études des souvenirs positifs et négatifs qui influeront sur leur apprentissage</w:t>
      </w:r>
      <w:r w:rsidRPr="00330CF9">
        <w:rPr>
          <w:lang w:val="fr-FR"/>
        </w:rPr>
        <w:t>.</w:t>
      </w:r>
    </w:p>
    <w:p w:rsidR="00B12FD0" w:rsidRDefault="00B12FD0" w:rsidP="00844BDE">
      <w:pPr>
        <w:pStyle w:val="TKTEXTE"/>
        <w:rPr>
          <w:rFonts w:cs="Arial"/>
          <w:lang w:val="fr-FR"/>
        </w:rPr>
      </w:pPr>
    </w:p>
    <w:p w:rsidR="00B12FD0" w:rsidRPr="00330CF9" w:rsidRDefault="00B12FD0" w:rsidP="00844BDE">
      <w:pPr>
        <w:pStyle w:val="TKTEXTE"/>
        <w:rPr>
          <w:rFonts w:cs="Arial"/>
          <w:lang w:val="fr-FR"/>
        </w:rPr>
      </w:pPr>
    </w:p>
    <w:p w:rsidR="00B12FD0" w:rsidRPr="00330CF9" w:rsidRDefault="00B12FD0" w:rsidP="002C5D04">
      <w:pPr>
        <w:pStyle w:val="TKTITRE1"/>
        <w:rPr>
          <w:rFonts w:cs="Arial"/>
          <w:lang w:val="fr-FR"/>
        </w:rPr>
      </w:pPr>
      <w:r>
        <w:rPr>
          <w:lang w:val="fr-FR"/>
        </w:rPr>
        <w:lastRenderedPageBreak/>
        <w:t>Réflexion sur les facteurs qu</w:t>
      </w:r>
      <w:r w:rsidRPr="00330CF9">
        <w:rPr>
          <w:lang w:val="fr-FR"/>
        </w:rPr>
        <w:t>i</w:t>
      </w:r>
      <w:r>
        <w:rPr>
          <w:lang w:val="fr-FR"/>
        </w:rPr>
        <w:t xml:space="preserve"> favorisent la réussite de l’apprentissage des langues</w:t>
      </w:r>
    </w:p>
    <w:p w:rsidR="00B12FD0" w:rsidRPr="00330CF9" w:rsidRDefault="00B12FD0" w:rsidP="00844BDE">
      <w:pPr>
        <w:pStyle w:val="TKTEXTE"/>
        <w:rPr>
          <w:rFonts w:cs="Arial"/>
          <w:lang w:val="fr-FR"/>
        </w:rPr>
      </w:pPr>
      <w:r w:rsidRPr="00EC6CD4">
        <w:rPr>
          <w:lang w:val="fr-FR"/>
        </w:rPr>
        <w:t xml:space="preserve">La réussite de l’apprentissage des langues </w:t>
      </w:r>
      <w:r>
        <w:rPr>
          <w:lang w:val="fr-FR"/>
        </w:rPr>
        <w:t xml:space="preserve">par </w:t>
      </w:r>
      <w:r w:rsidRPr="00EC6CD4">
        <w:rPr>
          <w:lang w:val="fr-FR"/>
        </w:rPr>
        <w:t>des réfugiés dépend de nombreux facteurs, tant internes qu’externes. Vous en trouverez quelques exemples dans le tableau ci-dessous. Identifiez ceux sur lesquels vous pensez avoir une influence, et, dans la case « commentaires », explique</w:t>
      </w:r>
      <w:r>
        <w:rPr>
          <w:lang w:val="fr-FR"/>
        </w:rPr>
        <w:t>z</w:t>
      </w:r>
      <w:r w:rsidRPr="00EC6CD4">
        <w:rPr>
          <w:lang w:val="fr-FR"/>
        </w:rPr>
        <w:t xml:space="preserve"> comment vous pourriez agir</w:t>
      </w:r>
      <w:r>
        <w:rPr>
          <w:lang w:val="fr-FR"/>
        </w:rPr>
        <w:t>. S’agissant d</w:t>
      </w:r>
      <w:r w:rsidRPr="00EC6CD4">
        <w:rPr>
          <w:lang w:val="fr-FR"/>
        </w:rPr>
        <w:t>es autres facteurs (ceux sur lesquels vous pensez ne pas avoir de prise), précisez comment vous feriez pour les prendre en compte dans le cadre de l’accompagnement linguistique.</w:t>
      </w:r>
    </w:p>
    <w:p w:rsidR="00B12FD0" w:rsidRPr="00330CF9" w:rsidRDefault="00B12FD0">
      <w:pPr>
        <w:spacing w:after="160" w:line="259" w:lineRule="auto"/>
        <w:rPr>
          <w:rFonts w:cs="Arial"/>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7"/>
        <w:gridCol w:w="1397"/>
        <w:gridCol w:w="4478"/>
      </w:tblGrid>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cs="Arial"/>
                <w:lang w:val="fr-FR"/>
              </w:rPr>
            </w:pPr>
          </w:p>
        </w:tc>
        <w:tc>
          <w:tcPr>
            <w:tcW w:w="654" w:type="pct"/>
            <w:vAlign w:val="center"/>
          </w:tcPr>
          <w:p w:rsidR="00B12FD0" w:rsidRPr="00330CF9" w:rsidRDefault="00B12FD0" w:rsidP="000C43D6">
            <w:pPr>
              <w:pStyle w:val="TKTextetableau"/>
              <w:framePr w:hSpace="0" w:wrap="auto" w:vAnchor="margin" w:yAlign="inline"/>
              <w:jc w:val="center"/>
              <w:rPr>
                <w:rFonts w:eastAsia="MS Mincho"/>
                <w:b/>
                <w:bCs/>
                <w:lang w:val="fr-FR"/>
              </w:rPr>
            </w:pPr>
            <w:r>
              <w:rPr>
                <w:rFonts w:eastAsia="MS Mincho"/>
                <w:b/>
                <w:bCs/>
                <w:lang w:val="fr-FR"/>
              </w:rPr>
              <w:t>Puis-je influer sur ce facteur ?</w:t>
            </w:r>
            <w:r w:rsidRPr="00330CF9">
              <w:rPr>
                <w:rFonts w:eastAsia="MS Mincho" w:cs="Arial"/>
                <w:b/>
                <w:bCs/>
                <w:lang w:val="fr-FR"/>
              </w:rPr>
              <w:br/>
            </w:r>
            <w:r w:rsidRPr="00330CF9">
              <w:rPr>
                <w:rFonts w:eastAsia="MS Mincho"/>
                <w:b/>
                <w:bCs/>
                <w:lang w:val="fr-FR"/>
              </w:rPr>
              <w:t>(</w:t>
            </w:r>
            <w:r w:rsidRPr="00330CF9">
              <w:rPr>
                <w:rFonts w:eastAsia="MS Mincho" w:cs="Arial"/>
                <w:b/>
                <w:bCs/>
                <w:lang w:val="fr-FR"/>
              </w:rPr>
              <w:sym w:font="Wingdings" w:char="F0FC"/>
            </w:r>
            <w:r>
              <w:rPr>
                <w:rFonts w:eastAsia="MS Mincho"/>
                <w:b/>
                <w:bCs/>
                <w:lang w:val="fr-FR"/>
              </w:rPr>
              <w:t xml:space="preserve"> ou</w:t>
            </w:r>
            <w:r w:rsidRPr="00330CF9">
              <w:rPr>
                <w:rFonts w:eastAsia="MS Mincho"/>
                <w:b/>
                <w:bCs/>
                <w:lang w:val="fr-FR"/>
              </w:rPr>
              <w:t xml:space="preserve"> X)</w:t>
            </w:r>
          </w:p>
        </w:tc>
        <w:tc>
          <w:tcPr>
            <w:tcW w:w="2096" w:type="pct"/>
            <w:vAlign w:val="center"/>
          </w:tcPr>
          <w:p w:rsidR="00B12FD0" w:rsidRPr="00330CF9" w:rsidRDefault="00B12FD0" w:rsidP="000C43D6">
            <w:pPr>
              <w:pStyle w:val="TKTextetableau"/>
              <w:framePr w:hSpace="0" w:wrap="auto" w:vAnchor="margin" w:yAlign="inline"/>
              <w:jc w:val="center"/>
              <w:rPr>
                <w:rFonts w:eastAsia="MS Mincho"/>
                <w:b/>
                <w:bCs/>
                <w:lang w:val="fr-FR"/>
              </w:rPr>
            </w:pPr>
            <w:r w:rsidRPr="00330CF9">
              <w:rPr>
                <w:rFonts w:eastAsia="MS Mincho"/>
                <w:b/>
                <w:bCs/>
                <w:lang w:val="fr-FR"/>
              </w:rPr>
              <w:t>Comment</w:t>
            </w:r>
            <w:r>
              <w:rPr>
                <w:rFonts w:eastAsia="MS Mincho"/>
                <w:b/>
                <w:bCs/>
                <w:lang w:val="fr-FR"/>
              </w:rPr>
              <w:t>aire</w:t>
            </w:r>
            <w:r w:rsidRPr="00330CF9">
              <w:rPr>
                <w:rFonts w:eastAsia="MS Mincho"/>
                <w:b/>
                <w:bCs/>
                <w:lang w:val="fr-FR"/>
              </w:rPr>
              <w:t>s</w:t>
            </w:r>
          </w:p>
        </w:tc>
      </w:tr>
      <w:tr w:rsidR="00B12FD0" w:rsidRPr="00330CF9" w:rsidTr="000C43D6">
        <w:trPr>
          <w:trHeight w:val="907"/>
        </w:trPr>
        <w:tc>
          <w:tcPr>
            <w:tcW w:w="2250"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Expérience d’apprentissage préalable</w:t>
            </w:r>
            <w:r w:rsidRPr="00330CF9">
              <w:rPr>
                <w:rFonts w:eastAsia="MS Mincho"/>
                <w:lang w:val="fr-FR"/>
              </w:rPr>
              <w:t>.</w:t>
            </w:r>
          </w:p>
        </w:tc>
        <w:tc>
          <w:tcPr>
            <w:tcW w:w="654"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Santé et bien-être, y compris l’état d’esprit de l’apprenant</w:t>
            </w:r>
            <w:r w:rsidRPr="00330CF9">
              <w:rPr>
                <w:rFonts w:eastAsia="MS Mincho"/>
                <w:lang w:val="fr-FR"/>
              </w:rPr>
              <w:t>.</w:t>
            </w:r>
          </w:p>
        </w:tc>
        <w:tc>
          <w:tcPr>
            <w:tcW w:w="654" w:type="pct"/>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Degré d’exposition à la nouvelle langue</w:t>
            </w:r>
            <w:r w:rsidRPr="00330CF9">
              <w:rPr>
                <w:rFonts w:eastAsia="MS Mincho"/>
                <w:lang w:val="fr-FR"/>
              </w:rPr>
              <w:t>.</w:t>
            </w:r>
          </w:p>
        </w:tc>
        <w:tc>
          <w:tcPr>
            <w:tcW w:w="654"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Â</w:t>
            </w:r>
            <w:r w:rsidRPr="00330CF9">
              <w:rPr>
                <w:rFonts w:eastAsia="MS Mincho"/>
                <w:lang w:val="fr-FR"/>
              </w:rPr>
              <w:t>ge.</w:t>
            </w:r>
          </w:p>
        </w:tc>
        <w:tc>
          <w:tcPr>
            <w:tcW w:w="654" w:type="pct"/>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shd w:val="clear" w:color="auto" w:fill="D9D9D9"/>
            <w:vAlign w:val="center"/>
          </w:tcPr>
          <w:p w:rsidR="00B12FD0" w:rsidRPr="00330CF9" w:rsidRDefault="00B12FD0" w:rsidP="000C43D6">
            <w:pPr>
              <w:pStyle w:val="TKTextetableau"/>
              <w:framePr w:hSpace="0" w:wrap="auto" w:vAnchor="margin" w:yAlign="inline"/>
              <w:rPr>
                <w:rFonts w:eastAsia="MS Mincho" w:cs="Arial"/>
                <w:lang w:val="fr-FR"/>
              </w:rPr>
            </w:pPr>
            <w:r>
              <w:rPr>
                <w:rFonts w:eastAsia="MS Mincho"/>
                <w:lang w:val="fr-FR"/>
              </w:rPr>
              <w:t>Méthodes pédagogiques utilisées.</w:t>
            </w:r>
          </w:p>
        </w:tc>
        <w:tc>
          <w:tcPr>
            <w:tcW w:w="654" w:type="pct"/>
            <w:shd w:val="clear" w:color="auto" w:fill="D9D9D9"/>
            <w:vAlign w:val="center"/>
          </w:tcPr>
          <w:p w:rsidR="00B12FD0" w:rsidRPr="00330CF9" w:rsidRDefault="00B12FD0" w:rsidP="000C43D6">
            <w:pPr>
              <w:pStyle w:val="TKTextetableau"/>
              <w:framePr w:hSpace="0" w:wrap="auto" w:vAnchor="margin" w:yAlign="inline"/>
              <w:rPr>
                <w:rFonts w:eastAsia="MS Mincho" w:cs="Arial"/>
                <w:lang w:val="fr-FR"/>
              </w:rPr>
            </w:pPr>
          </w:p>
        </w:tc>
        <w:tc>
          <w:tcPr>
            <w:tcW w:w="2096" w:type="pct"/>
            <w:shd w:val="clear" w:color="auto" w:fill="D9D9D9"/>
            <w:vAlign w:val="center"/>
          </w:tcPr>
          <w:p w:rsidR="00B12FD0" w:rsidRPr="00330CF9" w:rsidRDefault="00B12FD0" w:rsidP="000C43D6">
            <w:pPr>
              <w:pStyle w:val="TKTextetableau"/>
              <w:framePr w:hSpace="0" w:wrap="auto" w:vAnchor="margin" w:yAlign="inline"/>
              <w:rPr>
                <w:rFonts w:eastAsia="MS Mincho" w:cs="Arial"/>
                <w:lang w:val="fr-FR"/>
              </w:rPr>
            </w:pPr>
          </w:p>
        </w:tc>
      </w:tr>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Expérience personnelle de l’apprentissage d’une nouvelle langue</w:t>
            </w:r>
            <w:r w:rsidRPr="00330CF9">
              <w:rPr>
                <w:rFonts w:eastAsia="MS Mincho"/>
                <w:lang w:val="fr-FR"/>
              </w:rPr>
              <w:t>.</w:t>
            </w:r>
          </w:p>
        </w:tc>
        <w:tc>
          <w:tcPr>
            <w:tcW w:w="654" w:type="pct"/>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Con</w:t>
            </w:r>
            <w:r w:rsidRPr="00330CF9">
              <w:rPr>
                <w:rFonts w:eastAsia="MS Mincho"/>
                <w:lang w:val="fr-FR"/>
              </w:rPr>
              <w:t>traint</w:t>
            </w:r>
            <w:r>
              <w:rPr>
                <w:rFonts w:eastAsia="MS Mincho"/>
                <w:lang w:val="fr-FR"/>
              </w:rPr>
              <w:t>e</w:t>
            </w:r>
            <w:r w:rsidRPr="00330CF9">
              <w:rPr>
                <w:rFonts w:eastAsia="MS Mincho"/>
                <w:lang w:val="fr-FR"/>
              </w:rPr>
              <w:t>s</w:t>
            </w:r>
            <w:r>
              <w:rPr>
                <w:rFonts w:eastAsia="MS Mincho"/>
                <w:lang w:val="fr-FR"/>
              </w:rPr>
              <w:t xml:space="preserve"> temporelles</w:t>
            </w:r>
            <w:r w:rsidRPr="00330CF9">
              <w:rPr>
                <w:rFonts w:eastAsia="MS Mincho"/>
                <w:lang w:val="fr-FR"/>
              </w:rPr>
              <w:t>.</w:t>
            </w:r>
          </w:p>
        </w:tc>
        <w:tc>
          <w:tcPr>
            <w:tcW w:w="654"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lang w:val="fr-FR"/>
              </w:rPr>
            </w:pPr>
            <w:r w:rsidRPr="00330CF9">
              <w:rPr>
                <w:rFonts w:eastAsia="MS Mincho"/>
                <w:lang w:val="fr-FR"/>
              </w:rPr>
              <w:t>Motivation.</w:t>
            </w:r>
          </w:p>
        </w:tc>
        <w:tc>
          <w:tcPr>
            <w:tcW w:w="654" w:type="pct"/>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Conditions sociales</w:t>
            </w:r>
            <w:r w:rsidRPr="00330CF9">
              <w:rPr>
                <w:rFonts w:eastAsia="MS Mincho"/>
                <w:lang w:val="fr-FR"/>
              </w:rPr>
              <w:t>.</w:t>
            </w:r>
          </w:p>
        </w:tc>
        <w:tc>
          <w:tcPr>
            <w:tcW w:w="654"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Disponibilité d’un service de garde d’enfants</w:t>
            </w:r>
            <w:r w:rsidRPr="00330CF9">
              <w:rPr>
                <w:rFonts w:eastAsia="MS Mincho"/>
                <w:lang w:val="fr-FR"/>
              </w:rPr>
              <w:t>.</w:t>
            </w:r>
          </w:p>
        </w:tc>
        <w:tc>
          <w:tcPr>
            <w:tcW w:w="654" w:type="pct"/>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lastRenderedPageBreak/>
              <w:t>Opportunités de</w:t>
            </w:r>
            <w:r w:rsidRPr="00330CF9">
              <w:rPr>
                <w:rFonts w:eastAsia="MS Mincho"/>
                <w:lang w:val="fr-FR"/>
              </w:rPr>
              <w:t xml:space="preserve"> perso</w:t>
            </w:r>
            <w:r>
              <w:rPr>
                <w:rFonts w:eastAsia="MS Mincho"/>
                <w:lang w:val="fr-FR"/>
              </w:rPr>
              <w:t>n</w:t>
            </w:r>
            <w:r w:rsidRPr="00330CF9">
              <w:rPr>
                <w:rFonts w:eastAsia="MS Mincho"/>
                <w:lang w:val="fr-FR"/>
              </w:rPr>
              <w:t>nalise</w:t>
            </w:r>
            <w:r>
              <w:rPr>
                <w:rFonts w:eastAsia="MS Mincho"/>
                <w:lang w:val="fr-FR"/>
              </w:rPr>
              <w:t>r l’apprentissage</w:t>
            </w:r>
            <w:r w:rsidRPr="00330CF9">
              <w:rPr>
                <w:rFonts w:eastAsia="MS Mincho"/>
                <w:lang w:val="fr-FR"/>
              </w:rPr>
              <w:t>.</w:t>
            </w:r>
          </w:p>
        </w:tc>
        <w:tc>
          <w:tcPr>
            <w:tcW w:w="654"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shd w:val="clear" w:color="auto" w:fill="D9D9D9"/>
            <w:vAlign w:val="center"/>
          </w:tcPr>
          <w:p w:rsidR="00B12FD0" w:rsidRPr="00330CF9" w:rsidRDefault="00B12FD0" w:rsidP="000C43D6">
            <w:pPr>
              <w:pStyle w:val="TKTextetableau"/>
              <w:framePr w:hSpace="0" w:wrap="auto" w:vAnchor="margin" w:yAlign="inline"/>
              <w:rPr>
                <w:rFonts w:eastAsia="MS Mincho"/>
                <w:lang w:val="fr-FR"/>
              </w:rPr>
            </w:pPr>
          </w:p>
        </w:tc>
      </w:tr>
      <w:tr w:rsidR="00B12FD0" w:rsidRPr="00330CF9" w:rsidTr="000C43D6">
        <w:trPr>
          <w:trHeight w:val="907"/>
        </w:trPr>
        <w:tc>
          <w:tcPr>
            <w:tcW w:w="2250" w:type="pct"/>
            <w:vAlign w:val="center"/>
          </w:tcPr>
          <w:p w:rsidR="00B12FD0" w:rsidRPr="00330CF9" w:rsidRDefault="00B12FD0" w:rsidP="000C43D6">
            <w:pPr>
              <w:pStyle w:val="TKTextetableau"/>
              <w:framePr w:hSpace="0" w:wrap="auto" w:vAnchor="margin" w:yAlign="inline"/>
              <w:rPr>
                <w:rFonts w:eastAsia="MS Mincho"/>
                <w:lang w:val="fr-FR"/>
              </w:rPr>
            </w:pPr>
            <w:r>
              <w:rPr>
                <w:rFonts w:eastAsia="MS Mincho"/>
                <w:lang w:val="fr-FR"/>
              </w:rPr>
              <w:t>Coût</w:t>
            </w:r>
            <w:r w:rsidRPr="00330CF9">
              <w:rPr>
                <w:rFonts w:eastAsia="MS Mincho"/>
                <w:lang w:val="fr-FR"/>
              </w:rPr>
              <w:t>.</w:t>
            </w:r>
          </w:p>
        </w:tc>
        <w:tc>
          <w:tcPr>
            <w:tcW w:w="654" w:type="pct"/>
            <w:vAlign w:val="center"/>
          </w:tcPr>
          <w:p w:rsidR="00B12FD0" w:rsidRPr="00330CF9" w:rsidRDefault="00B12FD0" w:rsidP="000C43D6">
            <w:pPr>
              <w:pStyle w:val="TKTextetableau"/>
              <w:framePr w:hSpace="0" w:wrap="auto" w:vAnchor="margin" w:yAlign="inline"/>
              <w:rPr>
                <w:rFonts w:eastAsia="MS Mincho"/>
                <w:lang w:val="fr-FR"/>
              </w:rPr>
            </w:pPr>
          </w:p>
        </w:tc>
        <w:tc>
          <w:tcPr>
            <w:tcW w:w="2096" w:type="pct"/>
            <w:vAlign w:val="center"/>
          </w:tcPr>
          <w:p w:rsidR="00B12FD0" w:rsidRPr="00330CF9" w:rsidRDefault="00B12FD0" w:rsidP="000C43D6">
            <w:pPr>
              <w:pStyle w:val="TKTextetableau"/>
              <w:framePr w:hSpace="0" w:wrap="auto" w:vAnchor="margin" w:yAlign="inline"/>
              <w:rPr>
                <w:rFonts w:eastAsia="MS Mincho"/>
                <w:lang w:val="fr-FR"/>
              </w:rPr>
            </w:pPr>
          </w:p>
        </w:tc>
      </w:tr>
    </w:tbl>
    <w:p w:rsidR="00B12FD0" w:rsidRDefault="00B12FD0" w:rsidP="003D7F7D">
      <w:pPr>
        <w:pStyle w:val="TKTITRE2"/>
        <w:rPr>
          <w:rFonts w:cs="Arial"/>
        </w:rPr>
      </w:pPr>
    </w:p>
    <w:p w:rsidR="00B12FD0" w:rsidRPr="00330CF9" w:rsidRDefault="00B12FD0" w:rsidP="003D7F7D">
      <w:pPr>
        <w:pStyle w:val="TKTITRE2"/>
        <w:rPr>
          <w:rFonts w:cs="Arial"/>
          <w:lang w:val="fr-FR"/>
        </w:rPr>
      </w:pPr>
      <w:r>
        <w:rPr>
          <w:lang w:val="fr-FR"/>
        </w:rPr>
        <w:t xml:space="preserve">Maintenant, lisez ce qui suit. Vos commentaires vont-ils dans le même sens ? </w:t>
      </w:r>
    </w:p>
    <w:p w:rsidR="00B12FD0" w:rsidRPr="00330CF9" w:rsidRDefault="00B12FD0" w:rsidP="002C5D04">
      <w:pPr>
        <w:pStyle w:val="TKTEXTE"/>
        <w:rPr>
          <w:lang w:val="fr-FR"/>
        </w:rPr>
      </w:pPr>
      <w:r>
        <w:rPr>
          <w:lang w:val="fr-FR"/>
        </w:rPr>
        <w:t>Vous ne pouvez pas influer sur</w:t>
      </w:r>
      <w:r w:rsidRPr="00330CF9">
        <w:rPr>
          <w:lang w:val="fr-FR"/>
        </w:rPr>
        <w:t xml:space="preserve"> </w:t>
      </w:r>
      <w:r>
        <w:rPr>
          <w:b/>
          <w:bCs/>
          <w:lang w:val="fr-FR"/>
        </w:rPr>
        <w:t>l’expé</w:t>
      </w:r>
      <w:r w:rsidRPr="00330CF9">
        <w:rPr>
          <w:b/>
          <w:bCs/>
          <w:lang w:val="fr-FR"/>
        </w:rPr>
        <w:t>rience</w:t>
      </w:r>
      <w:r>
        <w:rPr>
          <w:b/>
          <w:bCs/>
          <w:lang w:val="fr-FR"/>
        </w:rPr>
        <w:t xml:space="preserve"> d’apprentissage préalable</w:t>
      </w:r>
      <w:r>
        <w:rPr>
          <w:lang w:val="fr-FR"/>
        </w:rPr>
        <w:t xml:space="preserve"> des réfugiés mais vous pouvez naturellement la prendre en compte en constituant des petits groupes en fonction de cette expérience, ou en demandant aux participants les plus expérimentés d’aider ceux qui le sont moins</w:t>
      </w:r>
      <w:r w:rsidRPr="00330CF9">
        <w:rPr>
          <w:lang w:val="fr-FR"/>
        </w:rPr>
        <w:t>.</w:t>
      </w:r>
    </w:p>
    <w:p w:rsidR="00B12FD0" w:rsidRPr="00330CF9" w:rsidRDefault="00B12FD0" w:rsidP="002C5D04">
      <w:pPr>
        <w:pStyle w:val="TKTEXTE"/>
        <w:rPr>
          <w:lang w:val="fr-FR"/>
        </w:rPr>
      </w:pPr>
      <w:r>
        <w:rPr>
          <w:lang w:val="fr-FR"/>
        </w:rPr>
        <w:t>Vous ne pouvez pas non plus agir</w:t>
      </w:r>
      <w:r w:rsidRPr="00330CF9">
        <w:rPr>
          <w:lang w:val="fr-FR"/>
        </w:rPr>
        <w:t xml:space="preserve"> </w:t>
      </w:r>
      <w:r>
        <w:rPr>
          <w:b/>
          <w:bCs/>
          <w:lang w:val="fr-FR"/>
        </w:rPr>
        <w:t>sur le bien-être ou l’état d’esprit</w:t>
      </w:r>
      <w:r>
        <w:rPr>
          <w:lang w:val="fr-FR"/>
        </w:rPr>
        <w:t xml:space="preserve"> des réfugiés, mais vous devez tenir compte de ce facteur en choisissant des thèmes qui correspondent à leur situation, en leur laissant le temps de se parler entre eux, ou en les emmenant dans des lieux qui présentent un intérêt pour eux</w:t>
      </w:r>
      <w:r w:rsidRPr="00330CF9">
        <w:rPr>
          <w:lang w:val="fr-FR"/>
        </w:rPr>
        <w:t>.</w:t>
      </w:r>
    </w:p>
    <w:p w:rsidR="00B12FD0" w:rsidRPr="00330CF9" w:rsidRDefault="00B12FD0" w:rsidP="002C5D04">
      <w:pPr>
        <w:pStyle w:val="TKTEXTE"/>
        <w:rPr>
          <w:rFonts w:cs="Arial"/>
          <w:lang w:val="fr-FR"/>
        </w:rPr>
      </w:pPr>
      <w:r>
        <w:rPr>
          <w:lang w:val="fr-FR"/>
        </w:rPr>
        <w:t>En revanche, le degré</w:t>
      </w:r>
      <w:r w:rsidRPr="00330CF9">
        <w:rPr>
          <w:lang w:val="fr-FR"/>
        </w:rPr>
        <w:t xml:space="preserve"> </w:t>
      </w:r>
      <w:r>
        <w:rPr>
          <w:lang w:val="fr-FR"/>
        </w:rPr>
        <w:t>d</w:t>
      </w:r>
      <w:r>
        <w:rPr>
          <w:b/>
          <w:bCs/>
          <w:lang w:val="fr-FR"/>
        </w:rPr>
        <w:t>’exposition à la nouvelle langue</w:t>
      </w:r>
      <w:r>
        <w:rPr>
          <w:lang w:val="fr-FR"/>
        </w:rPr>
        <w:t xml:space="preserve"> est un facteur sur lequel vous pouvez – et devez – agir. Il est </w:t>
      </w:r>
      <w:r w:rsidRPr="00330CF9">
        <w:rPr>
          <w:lang w:val="fr-FR"/>
        </w:rPr>
        <w:t xml:space="preserve">important </w:t>
      </w:r>
      <w:r>
        <w:rPr>
          <w:lang w:val="fr-FR"/>
        </w:rPr>
        <w:t>que les personnes qui apprennent une nouvelle langue aient autant d’occasions que possible d’écouter des locuteurs de cette langue et d’interagir avec eux</w:t>
      </w:r>
      <w:r w:rsidRPr="00330CF9">
        <w:rPr>
          <w:lang w:val="fr-FR"/>
        </w:rPr>
        <w:t xml:space="preserve">. </w:t>
      </w:r>
      <w:r>
        <w:rPr>
          <w:lang w:val="fr-FR"/>
        </w:rPr>
        <w:t>Dans cette optique, il peut être utile d’organiser des sorties au niveau local (vous trouverez des suggestions à cet égard dans les Outils n°40 à</w:t>
      </w:r>
      <w:r w:rsidRPr="00330CF9">
        <w:rPr>
          <w:lang w:val="fr-FR"/>
        </w:rPr>
        <w:t xml:space="preserve"> </w:t>
      </w:r>
      <w:r>
        <w:rPr>
          <w:lang w:val="fr-FR"/>
        </w:rPr>
        <w:t>54, dans la section « Scénarios », ainsi que dans les Outils</w:t>
      </w:r>
      <w:r w:rsidRPr="00330CF9">
        <w:rPr>
          <w:lang w:val="fr-FR"/>
        </w:rPr>
        <w:t xml:space="preserve"> </w:t>
      </w:r>
      <w:r>
        <w:rPr>
          <w:lang w:val="fr-FR"/>
        </w:rPr>
        <w:t>n°</w:t>
      </w:r>
      <w:r w:rsidRPr="00330CF9">
        <w:rPr>
          <w:lang w:val="fr-FR"/>
        </w:rPr>
        <w:t xml:space="preserve">56 </w:t>
      </w:r>
      <w:r>
        <w:rPr>
          <w:lang w:val="fr-FR"/>
        </w:rPr>
        <w:t>(« </w:t>
      </w:r>
      <w:hyperlink r:id="rId10" w:history="1">
        <w:r w:rsidRPr="00E02DA6">
          <w:rPr>
            <w:rStyle w:val="Hyperlink"/>
            <w:i/>
            <w:iCs/>
            <w:u w:val="none"/>
            <w:lang w:val="fr-FR"/>
          </w:rPr>
          <w:t>Planifier les activités d’accompagnement linguistique au niveau local</w:t>
        </w:r>
        <w:r w:rsidRPr="00E02DA6">
          <w:rPr>
            <w:rStyle w:val="Hyperlink"/>
            <w:rFonts w:cs="Arial"/>
            <w:i/>
            <w:iCs/>
            <w:u w:val="none"/>
            <w:lang w:val="fr-FR"/>
          </w:rPr>
          <w:t> </w:t>
        </w:r>
      </w:hyperlink>
      <w:r w:rsidRPr="00145A02">
        <w:rPr>
          <w:lang w:val="fr-FR"/>
        </w:rPr>
        <w:t>»)</w:t>
      </w:r>
      <w:r>
        <w:rPr>
          <w:lang w:val="fr-FR"/>
        </w:rPr>
        <w:t xml:space="preserve"> et</w:t>
      </w:r>
      <w:r w:rsidRPr="00330CF9">
        <w:rPr>
          <w:lang w:val="fr-FR"/>
        </w:rPr>
        <w:t xml:space="preserve"> </w:t>
      </w:r>
      <w:r>
        <w:rPr>
          <w:lang w:val="fr-FR"/>
        </w:rPr>
        <w:t>n°</w:t>
      </w:r>
      <w:r w:rsidRPr="00330CF9">
        <w:rPr>
          <w:lang w:val="fr-FR"/>
        </w:rPr>
        <w:t xml:space="preserve">57 </w:t>
      </w:r>
      <w:r>
        <w:rPr>
          <w:lang w:val="fr-FR"/>
        </w:rPr>
        <w:t>(« </w:t>
      </w:r>
      <w:hyperlink r:id="rId11" w:history="1">
        <w:r w:rsidRPr="00E02DA6">
          <w:rPr>
            <w:rStyle w:val="Hyperlink"/>
            <w:i/>
            <w:iCs/>
            <w:u w:val="none"/>
            <w:lang w:val="fr-FR"/>
          </w:rPr>
          <w:t>Pratiquer la langue dans le monde réel</w:t>
        </w:r>
        <w:r w:rsidRPr="00E02DA6">
          <w:rPr>
            <w:rStyle w:val="Hyperlink"/>
            <w:rFonts w:cs="Arial"/>
            <w:i/>
            <w:iCs/>
            <w:u w:val="none"/>
            <w:lang w:val="fr-FR"/>
          </w:rPr>
          <w:t> </w:t>
        </w:r>
      </w:hyperlink>
      <w:r w:rsidRPr="00145A02">
        <w:rPr>
          <w:lang w:val="fr-FR"/>
        </w:rPr>
        <w:t>»)</w:t>
      </w:r>
      <w:r>
        <w:rPr>
          <w:lang w:val="fr-FR"/>
        </w:rPr>
        <w:t>).</w:t>
      </w:r>
    </w:p>
    <w:p w:rsidR="00B12FD0" w:rsidRPr="00330CF9" w:rsidRDefault="00B12FD0" w:rsidP="002C5D04">
      <w:pPr>
        <w:pStyle w:val="TKTEXTE"/>
        <w:rPr>
          <w:lang w:val="fr-FR"/>
        </w:rPr>
      </w:pPr>
      <w:r>
        <w:rPr>
          <w:lang w:val="fr-FR"/>
        </w:rPr>
        <w:t>Bien entendu, l’</w:t>
      </w:r>
      <w:r w:rsidRPr="004B7AA8">
        <w:rPr>
          <w:b/>
          <w:bCs/>
          <w:lang w:val="fr-FR"/>
        </w:rPr>
        <w:t>âg</w:t>
      </w:r>
      <w:r w:rsidRPr="00330CF9">
        <w:rPr>
          <w:b/>
          <w:bCs/>
          <w:lang w:val="fr-FR"/>
        </w:rPr>
        <w:t>e</w:t>
      </w:r>
      <w:r>
        <w:rPr>
          <w:lang w:val="fr-FR"/>
        </w:rPr>
        <w:t xml:space="preserve"> de vos apprenants est un facteur sur lequel vous n’avez aucune prise</w:t>
      </w:r>
      <w:r w:rsidRPr="00330CF9">
        <w:rPr>
          <w:lang w:val="fr-FR"/>
        </w:rPr>
        <w:t xml:space="preserve">, </w:t>
      </w:r>
      <w:r>
        <w:rPr>
          <w:lang w:val="fr-FR"/>
        </w:rPr>
        <w:t>mais vous pouvez essayer de profiter de l’expérience généralement acquise en matière de langues par les personnes plus âgées</w:t>
      </w:r>
      <w:r>
        <w:rPr>
          <w:rFonts w:cs="Arial"/>
          <w:lang w:val="fr-FR"/>
        </w:rPr>
        <w:t> </w:t>
      </w:r>
      <w:r>
        <w:rPr>
          <w:lang w:val="fr-FR"/>
        </w:rPr>
        <w:t xml:space="preserve">; de leur côté, les plus jeunes peuvent avoir des notions d’anglais, qui peut servir de </w:t>
      </w:r>
      <w:r w:rsidRPr="0029526B">
        <w:rPr>
          <w:i/>
          <w:iCs/>
          <w:lang w:val="fr-FR"/>
        </w:rPr>
        <w:t>lingua franca</w:t>
      </w:r>
      <w:r>
        <w:rPr>
          <w:lang w:val="fr-FR"/>
        </w:rPr>
        <w:t>. Demandez à vos apprenants de mettre leur expérience à profit pour s’entraider</w:t>
      </w:r>
      <w:r w:rsidRPr="00330CF9">
        <w:rPr>
          <w:lang w:val="fr-FR"/>
        </w:rPr>
        <w:t>.</w:t>
      </w:r>
    </w:p>
    <w:p w:rsidR="00B12FD0" w:rsidRPr="00330CF9" w:rsidRDefault="00B12FD0" w:rsidP="002C5D04">
      <w:pPr>
        <w:pStyle w:val="TKTEXTE"/>
        <w:rPr>
          <w:lang w:val="fr-FR"/>
        </w:rPr>
      </w:pPr>
      <w:r>
        <w:rPr>
          <w:lang w:val="fr-FR"/>
        </w:rPr>
        <w:t xml:space="preserve">Cette boîte à outils a été conçue pour vous aider à sélectionner </w:t>
      </w:r>
      <w:r>
        <w:rPr>
          <w:b/>
          <w:bCs/>
          <w:lang w:val="fr-FR"/>
        </w:rPr>
        <w:t>les méthodes pédagogiques les plus adaptées</w:t>
      </w:r>
      <w:r w:rsidRPr="00330CF9">
        <w:rPr>
          <w:lang w:val="fr-FR"/>
        </w:rPr>
        <w:t xml:space="preserve">. </w:t>
      </w:r>
      <w:r>
        <w:rPr>
          <w:lang w:val="fr-FR"/>
        </w:rPr>
        <w:t>Essayez de déterminer si tous vous apprenants réagissent de façon positive aux mêmes méthodes, ou s’il vaut mieux les répartir en groupes avec lesquels vous emploierez des méthodes différentes</w:t>
      </w:r>
      <w:r w:rsidRPr="00330CF9">
        <w:rPr>
          <w:lang w:val="fr-FR"/>
        </w:rPr>
        <w:t xml:space="preserve">. </w:t>
      </w:r>
      <w:r>
        <w:rPr>
          <w:lang w:val="fr-FR"/>
        </w:rPr>
        <w:t>Certains peuvent préférer les activités dans lesquelles ils sont guidés pas à pas, d’autres, des approches plus ouvertes</w:t>
      </w:r>
      <w:r w:rsidRPr="00330CF9">
        <w:rPr>
          <w:lang w:val="fr-FR"/>
        </w:rPr>
        <w:t xml:space="preserve">. </w:t>
      </w:r>
      <w:r>
        <w:rPr>
          <w:lang w:val="fr-FR"/>
        </w:rPr>
        <w:t>Vous pouvez par exemple proposer un ensemble de textes sur lesquels travailler et leur demander qui aimerait mieux effectuer l’exercice en binôme ou en petits groupes, et qui préfèrerait que tout le monde travaille ensemble. Organisez ensuite la séance en conséquence. Mieux vous connaîtrez les membres de votre groupe, mieux vous pourrez adapter vos approches à leurs besoins</w:t>
      </w:r>
      <w:r w:rsidRPr="00330CF9">
        <w:rPr>
          <w:lang w:val="fr-FR"/>
        </w:rPr>
        <w:t>.</w:t>
      </w:r>
    </w:p>
    <w:p w:rsidR="00B12FD0" w:rsidRPr="00330CF9" w:rsidRDefault="00B12FD0" w:rsidP="002C5D04">
      <w:pPr>
        <w:pStyle w:val="TKTEXTE"/>
        <w:rPr>
          <w:lang w:val="fr-FR"/>
        </w:rPr>
      </w:pPr>
      <w:r>
        <w:rPr>
          <w:lang w:val="fr-FR"/>
        </w:rPr>
        <w:t xml:space="preserve">Considérez les autres facteurs présentés dans le tableau et, si possible, discutez-en avec des collègues. La situation des réfugiés les place dans « l’obligation » d’utiliser la langue cible </w:t>
      </w:r>
      <w:r w:rsidRPr="00330CF9">
        <w:rPr>
          <w:lang w:val="fr-FR"/>
        </w:rPr>
        <w:t xml:space="preserve">: </w:t>
      </w:r>
      <w:r>
        <w:rPr>
          <w:lang w:val="fr-FR"/>
        </w:rPr>
        <w:t>ils ont besoin d’atteindre un certain niveau de compétence linguistique et communicative pour pouvoir survivre dans un nouveau pays, suivre les procédures d’asile, et parvenir à se nourrir et à se loger</w:t>
      </w:r>
      <w:r w:rsidRPr="00330CF9">
        <w:rPr>
          <w:lang w:val="fr-FR"/>
        </w:rPr>
        <w:t xml:space="preserve">. </w:t>
      </w:r>
      <w:r>
        <w:rPr>
          <w:lang w:val="fr-FR"/>
        </w:rPr>
        <w:t>Mais cela suffit-il pour les motiver à apprendre ? Dans la négative, qu’est-ce qui pourrait les motiver ? Si vous avez une langue en commun avec les réfugiés, servez-vous en pour discuter avec eux de ce qui, selon eux, pourrait renforcer leur motivation</w:t>
      </w:r>
      <w:r w:rsidRPr="00330CF9">
        <w:rPr>
          <w:lang w:val="fr-FR"/>
        </w:rPr>
        <w:t xml:space="preserve">. </w:t>
      </w:r>
      <w:r>
        <w:rPr>
          <w:lang w:val="fr-FR"/>
        </w:rPr>
        <w:t>L’absence de services de garde d’e</w:t>
      </w:r>
      <w:r w:rsidR="00E02DA6">
        <w:rPr>
          <w:lang w:val="fr-FR"/>
        </w:rPr>
        <w:t>nfants nuit-e</w:t>
      </w:r>
      <w:r>
        <w:rPr>
          <w:lang w:val="fr-FR"/>
        </w:rPr>
        <w:t>l</w:t>
      </w:r>
      <w:r w:rsidR="00E02DA6">
        <w:rPr>
          <w:lang w:val="fr-FR"/>
        </w:rPr>
        <w:t>le</w:t>
      </w:r>
      <w:r>
        <w:rPr>
          <w:lang w:val="fr-FR"/>
        </w:rPr>
        <w:t xml:space="preserve"> au bon déroulement de l’accompagnement linguistique</w:t>
      </w:r>
      <w:r w:rsidR="00E02DA6">
        <w:rPr>
          <w:lang w:val="fr-FR"/>
        </w:rPr>
        <w:t xml:space="preserve"> </w:t>
      </w:r>
      <w:r>
        <w:rPr>
          <w:lang w:val="fr-FR"/>
        </w:rPr>
        <w:t>? Si oui, que pouvez-vous faire à ce sujet ? Etc</w:t>
      </w:r>
      <w:r w:rsidRPr="00330CF9">
        <w:rPr>
          <w:lang w:val="fr-FR"/>
        </w:rPr>
        <w:t>.</w:t>
      </w:r>
    </w:p>
    <w:p w:rsidR="00B12FD0" w:rsidRPr="00330CF9" w:rsidRDefault="00B12FD0" w:rsidP="00844BDE">
      <w:pPr>
        <w:pStyle w:val="TKTEXTE"/>
        <w:rPr>
          <w:rFonts w:cs="Arial"/>
          <w:lang w:val="fr-FR"/>
        </w:rPr>
      </w:pPr>
      <w:r>
        <w:rPr>
          <w:lang w:val="fr-FR"/>
        </w:rPr>
        <w:lastRenderedPageBreak/>
        <w:t xml:space="preserve">La page consacrée à </w:t>
      </w:r>
      <w:r w:rsidRPr="003E325E">
        <w:rPr>
          <w:lang w:val="fr-FR"/>
        </w:rPr>
        <w:t>l’</w:t>
      </w:r>
      <w:r w:rsidRPr="003E325E">
        <w:rPr>
          <w:i/>
          <w:iCs/>
          <w:lang w:val="fr-FR"/>
        </w:rPr>
        <w:t>intégration linguistique des migrants adultes</w:t>
      </w:r>
      <w:r w:rsidRPr="00330CF9">
        <w:rPr>
          <w:i/>
          <w:iCs/>
          <w:lang w:val="fr-FR"/>
        </w:rPr>
        <w:t xml:space="preserve"> </w:t>
      </w:r>
      <w:r w:rsidRPr="00330CF9">
        <w:rPr>
          <w:lang w:val="fr-FR"/>
        </w:rPr>
        <w:t>(</w:t>
      </w:r>
      <w:r>
        <w:rPr>
          <w:lang w:val="fr-FR"/>
        </w:rPr>
        <w:t>ILMA</w:t>
      </w:r>
      <w:r w:rsidRPr="00330CF9">
        <w:rPr>
          <w:lang w:val="fr-FR"/>
        </w:rPr>
        <w:t xml:space="preserve">) </w:t>
      </w:r>
      <w:r>
        <w:rPr>
          <w:lang w:val="fr-FR"/>
        </w:rPr>
        <w:t>sur le site internet du Conseil de l’Europe comporte une section</w:t>
      </w:r>
      <w:r w:rsidRPr="00330CF9">
        <w:rPr>
          <w:lang w:val="fr-FR"/>
        </w:rPr>
        <w:t xml:space="preserve"> </w:t>
      </w:r>
      <w:r>
        <w:rPr>
          <w:lang w:val="fr-FR"/>
        </w:rPr>
        <w:t>intitulée « </w:t>
      </w:r>
      <w:hyperlink r:id="rId12" w:history="1">
        <w:r w:rsidRPr="00E02DA6">
          <w:rPr>
            <w:rStyle w:val="Hyperlink"/>
            <w:u w:val="none"/>
            <w:lang w:val="fr-FR"/>
          </w:rPr>
          <w:t>Notions clés</w:t>
        </w:r>
      </w:hyperlink>
      <w:r w:rsidRPr="001228F7">
        <w:rPr>
          <w:lang w:val="fr-FR"/>
        </w:rPr>
        <w:t xml:space="preserve"> </w:t>
      </w:r>
      <w:r>
        <w:rPr>
          <w:lang w:val="fr-FR"/>
        </w:rPr>
        <w:t>» dans laquelle vous trouvez des informations complémentaires sur des notions telles que :</w:t>
      </w:r>
    </w:p>
    <w:p w:rsidR="00B12FD0" w:rsidRPr="00330CF9" w:rsidRDefault="00B12FD0" w:rsidP="002C5D04">
      <w:pPr>
        <w:pStyle w:val="TKBulletLevel1"/>
        <w:rPr>
          <w:lang w:val="fr-FR"/>
        </w:rPr>
      </w:pPr>
      <w:r>
        <w:rPr>
          <w:lang w:val="fr-FR"/>
        </w:rPr>
        <w:t>l’alphabé</w:t>
      </w:r>
      <w:r w:rsidRPr="00330CF9">
        <w:rPr>
          <w:lang w:val="fr-FR"/>
        </w:rPr>
        <w:t xml:space="preserve">tisation / </w:t>
      </w:r>
      <w:r>
        <w:rPr>
          <w:lang w:val="fr-FR"/>
        </w:rPr>
        <w:t>la l</w:t>
      </w:r>
      <w:r w:rsidRPr="00330CF9">
        <w:rPr>
          <w:lang w:val="fr-FR"/>
        </w:rPr>
        <w:t>it</w:t>
      </w:r>
      <w:r>
        <w:rPr>
          <w:lang w:val="fr-FR"/>
        </w:rPr>
        <w:t>tératie ;</w:t>
      </w:r>
    </w:p>
    <w:p w:rsidR="00B12FD0" w:rsidRPr="00330CF9" w:rsidRDefault="00B12FD0" w:rsidP="002C5D04">
      <w:pPr>
        <w:pStyle w:val="TKBulletLevel1"/>
        <w:rPr>
          <w:lang w:val="fr-FR"/>
        </w:rPr>
      </w:pPr>
      <w:r>
        <w:rPr>
          <w:lang w:val="fr-FR"/>
        </w:rPr>
        <w:t xml:space="preserve">la compétence </w:t>
      </w:r>
      <w:r w:rsidRPr="00330CF9">
        <w:rPr>
          <w:lang w:val="fr-FR"/>
        </w:rPr>
        <w:t xml:space="preserve">/ </w:t>
      </w:r>
      <w:r>
        <w:rPr>
          <w:lang w:val="fr-FR"/>
        </w:rPr>
        <w:t>le plurilinguisme (compétence plurilingue) ;</w:t>
      </w:r>
    </w:p>
    <w:p w:rsidR="00B12FD0" w:rsidRPr="00330CF9" w:rsidRDefault="00B12FD0" w:rsidP="002C5D04">
      <w:pPr>
        <w:pStyle w:val="TKBulletLevel1"/>
        <w:rPr>
          <w:lang w:val="fr-FR"/>
        </w:rPr>
      </w:pPr>
      <w:r>
        <w:rPr>
          <w:lang w:val="fr-FR"/>
        </w:rPr>
        <w:t>la langue maternelle ;</w:t>
      </w:r>
    </w:p>
    <w:p w:rsidR="00B12FD0" w:rsidRPr="00330CF9" w:rsidRDefault="00B12FD0" w:rsidP="002C5D04">
      <w:pPr>
        <w:pStyle w:val="TKBulletLevel1"/>
        <w:rPr>
          <w:lang w:val="fr-FR"/>
        </w:rPr>
      </w:pPr>
      <w:r>
        <w:rPr>
          <w:lang w:val="fr-FR"/>
        </w:rPr>
        <w:t>l’apprentissage informel ;</w:t>
      </w:r>
    </w:p>
    <w:p w:rsidR="00B12FD0" w:rsidRPr="00330CF9" w:rsidRDefault="00B12FD0" w:rsidP="002C5D04">
      <w:pPr>
        <w:pStyle w:val="TKBulletLevel1"/>
        <w:rPr>
          <w:lang w:val="fr-FR"/>
        </w:rPr>
      </w:pPr>
      <w:r>
        <w:rPr>
          <w:lang w:val="fr-FR"/>
        </w:rPr>
        <w:t>les besoins langagiers ;</w:t>
      </w:r>
    </w:p>
    <w:p w:rsidR="00B12FD0" w:rsidRPr="00330CF9" w:rsidRDefault="00B12FD0" w:rsidP="002C5D04">
      <w:pPr>
        <w:pStyle w:val="TKBulletLevel1"/>
        <w:rPr>
          <w:lang w:val="fr-FR"/>
        </w:rPr>
      </w:pPr>
      <w:r>
        <w:rPr>
          <w:lang w:val="fr-FR"/>
        </w:rPr>
        <w:t>les groupes vulnérables ; etc.</w:t>
      </w:r>
    </w:p>
    <w:p w:rsidR="00B12FD0" w:rsidRDefault="00B12FD0" w:rsidP="007121DF">
      <w:pPr>
        <w:pStyle w:val="TKBulletLevel1"/>
        <w:numPr>
          <w:ilvl w:val="0"/>
          <w:numId w:val="0"/>
        </w:numPr>
        <w:ind w:left="850" w:hanging="283"/>
        <w:rPr>
          <w:lang w:val="fr-FR"/>
        </w:rPr>
      </w:pPr>
    </w:p>
    <w:sectPr w:rsidR="00B12FD0" w:rsidSect="002A69D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97" w:rsidRDefault="00287F97" w:rsidP="00C523EA">
      <w:pPr>
        <w:rPr>
          <w:rFonts w:cs="Arial"/>
        </w:rPr>
      </w:pPr>
      <w:r>
        <w:rPr>
          <w:rFonts w:cs="Arial"/>
        </w:rPr>
        <w:separator/>
      </w:r>
    </w:p>
  </w:endnote>
  <w:endnote w:type="continuationSeparator" w:id="0">
    <w:p w:rsidR="00287F97" w:rsidRDefault="00287F97"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22" w:rsidRDefault="00F95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CellMar>
        <w:left w:w="0" w:type="dxa"/>
        <w:right w:w="0" w:type="dxa"/>
      </w:tblCellMar>
      <w:tblLook w:val="00A0" w:firstRow="1" w:lastRow="0" w:firstColumn="1" w:lastColumn="0" w:noHBand="0" w:noVBand="0"/>
    </w:tblPr>
    <w:tblGrid>
      <w:gridCol w:w="3490"/>
      <w:gridCol w:w="3489"/>
      <w:gridCol w:w="3487"/>
    </w:tblGrid>
    <w:tr w:rsidR="00B12FD0">
      <w:tc>
        <w:tcPr>
          <w:tcW w:w="1667" w:type="pct"/>
          <w:tcBorders>
            <w:top w:val="single" w:sz="4" w:space="0" w:color="auto"/>
          </w:tcBorders>
          <w:vAlign w:val="bottom"/>
        </w:tcPr>
        <w:p w:rsidR="001228F7" w:rsidRPr="00971310" w:rsidRDefault="001228F7" w:rsidP="001228F7">
          <w:pPr>
            <w:tabs>
              <w:tab w:val="center" w:pos="4820"/>
            </w:tabs>
            <w:spacing w:before="60"/>
            <w:rPr>
              <w:sz w:val="18"/>
              <w:szCs w:val="18"/>
              <w:lang w:eastAsia="fr-FR"/>
            </w:rPr>
          </w:pPr>
          <w:r w:rsidRPr="00971310">
            <w:rPr>
              <w:sz w:val="18"/>
              <w:szCs w:val="18"/>
              <w:lang w:eastAsia="fr-FR"/>
            </w:rPr>
            <w:t>Programme des Politiques linguistiques</w:t>
          </w:r>
        </w:p>
        <w:p w:rsidR="00B12FD0" w:rsidRPr="001228F7" w:rsidRDefault="00B12FD0" w:rsidP="00CA79A2">
          <w:pPr>
            <w:tabs>
              <w:tab w:val="center" w:pos="4820"/>
            </w:tabs>
            <w:spacing w:before="60"/>
            <w:rPr>
              <w:sz w:val="18"/>
              <w:szCs w:val="18"/>
              <w:lang w:eastAsia="fr-FR"/>
            </w:rPr>
          </w:pPr>
          <w:r w:rsidRPr="001228F7">
            <w:rPr>
              <w:sz w:val="18"/>
              <w:szCs w:val="18"/>
              <w:lang w:eastAsia="fr-FR"/>
            </w:rPr>
            <w:t>Strasbourg</w:t>
          </w:r>
        </w:p>
        <w:p w:rsidR="00B12FD0" w:rsidRPr="001228F7" w:rsidRDefault="00B12FD0" w:rsidP="00CA79A2">
          <w:pPr>
            <w:tabs>
              <w:tab w:val="center" w:pos="4820"/>
            </w:tabs>
            <w:spacing w:before="60"/>
            <w:rPr>
              <w:sz w:val="18"/>
              <w:szCs w:val="18"/>
              <w:lang w:eastAsia="fr-FR"/>
            </w:rPr>
          </w:pPr>
        </w:p>
        <w:p w:rsidR="00B12FD0" w:rsidRPr="001228F7" w:rsidRDefault="001228F7" w:rsidP="00CA79A2">
          <w:pPr>
            <w:tabs>
              <w:tab w:val="center" w:pos="4820"/>
            </w:tabs>
            <w:spacing w:before="60"/>
            <w:rPr>
              <w:rFonts w:cs="Arial"/>
              <w:sz w:val="18"/>
              <w:szCs w:val="18"/>
              <w:lang w:eastAsia="fr-FR"/>
            </w:rPr>
          </w:pPr>
          <w:r w:rsidRPr="001228F7">
            <w:rPr>
              <w:b/>
              <w:bCs/>
              <w:sz w:val="18"/>
              <w:szCs w:val="18"/>
              <w:lang w:eastAsia="fr-FR"/>
            </w:rPr>
            <w:t xml:space="preserve">Outil </w:t>
          </w:r>
          <w:r w:rsidR="00B12FD0" w:rsidRPr="001228F7">
            <w:rPr>
              <w:b/>
              <w:bCs/>
              <w:sz w:val="18"/>
              <w:szCs w:val="18"/>
              <w:lang w:eastAsia="fr-FR"/>
            </w:rPr>
            <w:t>11</w:t>
          </w:r>
        </w:p>
      </w:tc>
      <w:tc>
        <w:tcPr>
          <w:tcW w:w="1667" w:type="pct"/>
          <w:tcBorders>
            <w:top w:val="single" w:sz="4" w:space="0" w:color="auto"/>
          </w:tcBorders>
          <w:vAlign w:val="bottom"/>
        </w:tcPr>
        <w:p w:rsidR="00B12FD0" w:rsidRPr="00CA79A2" w:rsidRDefault="00B12FD0" w:rsidP="00CA79A2">
          <w:pPr>
            <w:tabs>
              <w:tab w:val="center" w:pos="4820"/>
            </w:tabs>
            <w:spacing w:before="60"/>
            <w:jc w:val="center"/>
            <w:rPr>
              <w:rFonts w:cs="Arial"/>
              <w:sz w:val="18"/>
              <w:szCs w:val="18"/>
              <w:lang w:val="en-US" w:eastAsia="fr-FR"/>
            </w:rPr>
          </w:pPr>
          <w:r w:rsidRPr="00CA79A2">
            <w:rPr>
              <w:sz w:val="18"/>
              <w:szCs w:val="18"/>
              <w:lang w:val="en-US" w:eastAsia="fr-FR"/>
            </w:rPr>
            <w:t xml:space="preserve">Page </w:t>
          </w:r>
          <w:r w:rsidRPr="00CA79A2">
            <w:rPr>
              <w:sz w:val="18"/>
              <w:szCs w:val="18"/>
              <w:lang w:val="en-US" w:eastAsia="fr-FR"/>
            </w:rPr>
            <w:fldChar w:fldCharType="begin"/>
          </w:r>
          <w:r w:rsidRPr="00CA79A2">
            <w:rPr>
              <w:sz w:val="18"/>
              <w:szCs w:val="18"/>
              <w:lang w:val="en-US" w:eastAsia="fr-FR"/>
            </w:rPr>
            <w:instrText>PAGE</w:instrText>
          </w:r>
          <w:r w:rsidRPr="00CA79A2">
            <w:rPr>
              <w:sz w:val="18"/>
              <w:szCs w:val="18"/>
              <w:lang w:val="en-US" w:eastAsia="fr-FR"/>
            </w:rPr>
            <w:fldChar w:fldCharType="separate"/>
          </w:r>
          <w:r w:rsidR="005821F3">
            <w:rPr>
              <w:noProof/>
              <w:sz w:val="18"/>
              <w:szCs w:val="18"/>
              <w:lang w:val="en-US" w:eastAsia="fr-FR"/>
            </w:rPr>
            <w:t>1</w:t>
          </w:r>
          <w:r w:rsidRPr="00CA79A2">
            <w:rPr>
              <w:sz w:val="18"/>
              <w:szCs w:val="18"/>
              <w:lang w:val="en-US" w:eastAsia="fr-FR"/>
            </w:rPr>
            <w:fldChar w:fldCharType="end"/>
          </w:r>
          <w:r w:rsidRPr="00CA79A2">
            <w:rPr>
              <w:sz w:val="18"/>
              <w:szCs w:val="18"/>
              <w:lang w:val="en-US" w:eastAsia="fr-FR"/>
            </w:rPr>
            <w:t>/</w:t>
          </w:r>
          <w:r w:rsidRPr="00CA79A2">
            <w:rPr>
              <w:sz w:val="18"/>
              <w:szCs w:val="18"/>
              <w:lang w:val="en-US" w:eastAsia="fr-FR"/>
            </w:rPr>
            <w:fldChar w:fldCharType="begin"/>
          </w:r>
          <w:r w:rsidRPr="00CA79A2">
            <w:rPr>
              <w:sz w:val="18"/>
              <w:szCs w:val="18"/>
              <w:lang w:val="en-US" w:eastAsia="fr-FR"/>
            </w:rPr>
            <w:instrText>NUMPAGES</w:instrText>
          </w:r>
          <w:r w:rsidRPr="00CA79A2">
            <w:rPr>
              <w:sz w:val="18"/>
              <w:szCs w:val="18"/>
              <w:lang w:val="en-US" w:eastAsia="fr-FR"/>
            </w:rPr>
            <w:fldChar w:fldCharType="separate"/>
          </w:r>
          <w:r w:rsidR="005821F3">
            <w:rPr>
              <w:noProof/>
              <w:sz w:val="18"/>
              <w:szCs w:val="18"/>
              <w:lang w:val="en-US" w:eastAsia="fr-FR"/>
            </w:rPr>
            <w:t>4</w:t>
          </w:r>
          <w:r w:rsidRPr="00CA79A2">
            <w:rPr>
              <w:sz w:val="18"/>
              <w:szCs w:val="18"/>
              <w:lang w:val="en-US" w:eastAsia="fr-FR"/>
            </w:rPr>
            <w:fldChar w:fldCharType="end"/>
          </w:r>
        </w:p>
      </w:tc>
      <w:tc>
        <w:tcPr>
          <w:tcW w:w="1667" w:type="pct"/>
          <w:tcBorders>
            <w:top w:val="single" w:sz="4" w:space="0" w:color="auto"/>
          </w:tcBorders>
          <w:vAlign w:val="bottom"/>
        </w:tcPr>
        <w:p w:rsidR="00B12FD0" w:rsidRPr="00CA79A2" w:rsidRDefault="005821F3" w:rsidP="00CA79A2">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1pt;visibility:visible">
                <v:imagedata r:id="rId1" o:title=""/>
              </v:shape>
            </w:pict>
          </w:r>
        </w:p>
      </w:tc>
    </w:tr>
  </w:tbl>
  <w:p w:rsidR="00B12FD0" w:rsidRPr="002860CD" w:rsidRDefault="00B12FD0"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22" w:rsidRDefault="00F95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97" w:rsidRDefault="00287F97" w:rsidP="00C523EA">
      <w:pPr>
        <w:rPr>
          <w:rFonts w:cs="Arial"/>
        </w:rPr>
      </w:pPr>
      <w:r>
        <w:rPr>
          <w:rFonts w:cs="Arial"/>
        </w:rPr>
        <w:separator/>
      </w:r>
    </w:p>
  </w:footnote>
  <w:footnote w:type="continuationSeparator" w:id="0">
    <w:p w:rsidR="00287F97" w:rsidRDefault="00287F97"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22" w:rsidRDefault="00F95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ook w:val="00A0" w:firstRow="1" w:lastRow="0" w:firstColumn="1" w:lastColumn="0" w:noHBand="0" w:noVBand="0"/>
    </w:tblPr>
    <w:tblGrid>
      <w:gridCol w:w="2228"/>
      <w:gridCol w:w="5722"/>
      <w:gridCol w:w="2732"/>
    </w:tblGrid>
    <w:tr w:rsidR="001228F7" w:rsidRPr="001228F7" w:rsidTr="001228F7">
      <w:trPr>
        <w:trHeight w:val="1304"/>
      </w:trPr>
      <w:tc>
        <w:tcPr>
          <w:tcW w:w="2228" w:type="dxa"/>
          <w:tcBorders>
            <w:bottom w:val="single" w:sz="12" w:space="0" w:color="auto"/>
          </w:tcBorders>
        </w:tcPr>
        <w:p w:rsidR="001228F7" w:rsidRPr="00CB5C65" w:rsidRDefault="005821F3" w:rsidP="000C5F40">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1228F7" w:rsidRPr="00971310" w:rsidRDefault="001228F7" w:rsidP="006C56DA">
          <w:pPr>
            <w:jc w:val="center"/>
            <w:rPr>
              <w:b/>
              <w:bCs/>
            </w:rPr>
          </w:pPr>
          <w:r w:rsidRPr="00971310">
            <w:rPr>
              <w:b/>
              <w:bCs/>
            </w:rPr>
            <w:t>Accompagnement linguistique des réfugiés adultes</w:t>
          </w:r>
          <w:r>
            <w:rPr>
              <w:b/>
              <w:bCs/>
            </w:rPr>
            <w:t> :</w:t>
          </w:r>
        </w:p>
        <w:p w:rsidR="001228F7" w:rsidRPr="00971310" w:rsidRDefault="001228F7" w:rsidP="006C56DA">
          <w:pPr>
            <w:jc w:val="center"/>
            <w:rPr>
              <w:b/>
              <w:bCs/>
              <w:i/>
              <w:iCs/>
            </w:rPr>
          </w:pPr>
          <w:r w:rsidRPr="00971310">
            <w:rPr>
              <w:b/>
              <w:bCs/>
              <w:i/>
              <w:iCs/>
            </w:rPr>
            <w:t>La boîte à outils du Conseil de l’Europe</w:t>
          </w:r>
        </w:p>
        <w:p w:rsidR="001228F7" w:rsidRPr="005B5C27" w:rsidRDefault="00287F97" w:rsidP="006C56DA">
          <w:pPr>
            <w:jc w:val="center"/>
            <w:rPr>
              <w:rFonts w:cs="Arial"/>
              <w:color w:val="0000FF"/>
              <w:u w:val="single"/>
            </w:rPr>
          </w:pPr>
          <w:hyperlink r:id="rId2" w:history="1">
            <w:r w:rsidR="001228F7" w:rsidRPr="005B5C27">
              <w:rPr>
                <w:rStyle w:val="Hyperlink"/>
              </w:rPr>
              <w:t>www.coe.int/lang-refugees</w:t>
            </w:r>
          </w:hyperlink>
        </w:p>
      </w:tc>
      <w:tc>
        <w:tcPr>
          <w:tcW w:w="2732" w:type="dxa"/>
          <w:tcBorders>
            <w:bottom w:val="single" w:sz="12" w:space="0" w:color="auto"/>
          </w:tcBorders>
        </w:tcPr>
        <w:p w:rsidR="001228F7" w:rsidRPr="00971310" w:rsidRDefault="001228F7" w:rsidP="006C56DA">
          <w:pPr>
            <w:tabs>
              <w:tab w:val="center" w:pos="4607"/>
              <w:tab w:val="right" w:pos="9214"/>
            </w:tabs>
            <w:jc w:val="right"/>
            <w:rPr>
              <w:sz w:val="20"/>
              <w:szCs w:val="20"/>
            </w:rPr>
          </w:pPr>
          <w:r w:rsidRPr="00971310">
            <w:rPr>
              <w:sz w:val="20"/>
              <w:szCs w:val="20"/>
            </w:rPr>
            <w:t>Intégration linguistique</w:t>
          </w:r>
        </w:p>
        <w:p w:rsidR="001228F7" w:rsidRPr="00971310" w:rsidRDefault="001228F7" w:rsidP="006C56DA">
          <w:pPr>
            <w:tabs>
              <w:tab w:val="center" w:pos="4607"/>
              <w:tab w:val="right" w:pos="9214"/>
            </w:tabs>
            <w:jc w:val="right"/>
            <w:rPr>
              <w:sz w:val="20"/>
              <w:szCs w:val="20"/>
            </w:rPr>
          </w:pPr>
          <w:r w:rsidRPr="00971310">
            <w:rPr>
              <w:sz w:val="20"/>
              <w:szCs w:val="20"/>
            </w:rPr>
            <w:t>des migrants adultes</w:t>
          </w:r>
        </w:p>
        <w:p w:rsidR="001228F7" w:rsidRPr="00971310" w:rsidRDefault="00287F97" w:rsidP="006C56DA">
          <w:pPr>
            <w:tabs>
              <w:tab w:val="center" w:pos="4607"/>
              <w:tab w:val="right" w:pos="9214"/>
            </w:tabs>
            <w:jc w:val="right"/>
            <w:rPr>
              <w:rFonts w:ascii="Calibri Light" w:hAnsi="Calibri Light" w:cs="Calibri Light"/>
              <w:color w:val="0000FF"/>
              <w:u w:val="single"/>
            </w:rPr>
          </w:pPr>
          <w:hyperlink r:id="rId3" w:history="1">
            <w:r w:rsidR="001228F7" w:rsidRPr="00971310">
              <w:rPr>
                <w:rStyle w:val="Hyperlink"/>
                <w:sz w:val="20"/>
                <w:szCs w:val="20"/>
              </w:rPr>
              <w:t>www.coe.int/lang-migrants</w:t>
            </w:r>
          </w:hyperlink>
          <w:r w:rsidR="001228F7" w:rsidRPr="00971310">
            <w:rPr>
              <w:rStyle w:val="Hyperlink"/>
              <w:sz w:val="20"/>
              <w:szCs w:val="20"/>
            </w:rPr>
            <w:t>/fr</w:t>
          </w:r>
        </w:p>
      </w:tc>
    </w:tr>
  </w:tbl>
  <w:p w:rsidR="00B12FD0" w:rsidRPr="001228F7" w:rsidRDefault="00B12FD0"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22" w:rsidRDefault="00F95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D8D"/>
    <w:multiLevelType w:val="hybridMultilevel"/>
    <w:tmpl w:val="DF96F9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30572764"/>
    <w:multiLevelType w:val="hybridMultilevel"/>
    <w:tmpl w:val="B40EF0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4"/>
  </w:num>
  <w:num w:numId="3">
    <w:abstractNumId w:val="6"/>
  </w:num>
  <w:num w:numId="4">
    <w:abstractNumId w:val="0"/>
  </w:num>
  <w:num w:numId="5">
    <w:abstractNumId w:val="3"/>
  </w:num>
  <w:num w:numId="6">
    <w:abstractNumId w:val="4"/>
  </w:num>
  <w:num w:numId="7">
    <w:abstractNumId w:val="4"/>
  </w:num>
  <w:num w:numId="8">
    <w:abstractNumId w:val="1"/>
  </w:num>
  <w:num w:numId="9">
    <w:abstractNumId w:val="4"/>
  </w:num>
  <w:num w:numId="10">
    <w:abstractNumId w:val="4"/>
  </w:num>
  <w:num w:numId="11">
    <w:abstractNumId w:val="7"/>
  </w:num>
  <w:num w:numId="12">
    <w:abstractNumId w:val="5"/>
  </w:num>
  <w:num w:numId="13">
    <w:abstractNumId w:val="4"/>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2D"/>
    <w:rsid w:val="00004020"/>
    <w:rsid w:val="00010EAF"/>
    <w:rsid w:val="00013516"/>
    <w:rsid w:val="000167C6"/>
    <w:rsid w:val="000338F0"/>
    <w:rsid w:val="000362D8"/>
    <w:rsid w:val="00040AA8"/>
    <w:rsid w:val="000618A7"/>
    <w:rsid w:val="000632A5"/>
    <w:rsid w:val="00063727"/>
    <w:rsid w:val="00076F2F"/>
    <w:rsid w:val="000806DE"/>
    <w:rsid w:val="00091F7B"/>
    <w:rsid w:val="000937FA"/>
    <w:rsid w:val="000A080D"/>
    <w:rsid w:val="000A5892"/>
    <w:rsid w:val="000C173A"/>
    <w:rsid w:val="000C43D6"/>
    <w:rsid w:val="000C5F40"/>
    <w:rsid w:val="000D404C"/>
    <w:rsid w:val="000E2DC4"/>
    <w:rsid w:val="000E706C"/>
    <w:rsid w:val="000F42D6"/>
    <w:rsid w:val="00110B4B"/>
    <w:rsid w:val="001228F7"/>
    <w:rsid w:val="00125099"/>
    <w:rsid w:val="00125596"/>
    <w:rsid w:val="00126A5E"/>
    <w:rsid w:val="00145A02"/>
    <w:rsid w:val="00154B1F"/>
    <w:rsid w:val="001556A4"/>
    <w:rsid w:val="001566F1"/>
    <w:rsid w:val="001631D6"/>
    <w:rsid w:val="00163495"/>
    <w:rsid w:val="00171F8D"/>
    <w:rsid w:val="00172C07"/>
    <w:rsid w:val="001741D1"/>
    <w:rsid w:val="0017676C"/>
    <w:rsid w:val="00184C7A"/>
    <w:rsid w:val="001965B4"/>
    <w:rsid w:val="001A1B4C"/>
    <w:rsid w:val="001B0010"/>
    <w:rsid w:val="001B296A"/>
    <w:rsid w:val="001B501E"/>
    <w:rsid w:val="001B602D"/>
    <w:rsid w:val="001B71AD"/>
    <w:rsid w:val="001C17F7"/>
    <w:rsid w:val="001D1305"/>
    <w:rsid w:val="0020300A"/>
    <w:rsid w:val="00211331"/>
    <w:rsid w:val="00214CD0"/>
    <w:rsid w:val="00233192"/>
    <w:rsid w:val="0023567D"/>
    <w:rsid w:val="00236006"/>
    <w:rsid w:val="00240E93"/>
    <w:rsid w:val="002468B1"/>
    <w:rsid w:val="0026293F"/>
    <w:rsid w:val="002860CD"/>
    <w:rsid w:val="00287F97"/>
    <w:rsid w:val="0029526B"/>
    <w:rsid w:val="002A0CEF"/>
    <w:rsid w:val="002A19BE"/>
    <w:rsid w:val="002A3476"/>
    <w:rsid w:val="002A69DD"/>
    <w:rsid w:val="002C5D04"/>
    <w:rsid w:val="002D3BE8"/>
    <w:rsid w:val="002F2562"/>
    <w:rsid w:val="00303A5A"/>
    <w:rsid w:val="00330CF9"/>
    <w:rsid w:val="00344D9A"/>
    <w:rsid w:val="003575BD"/>
    <w:rsid w:val="0038409C"/>
    <w:rsid w:val="003A30BF"/>
    <w:rsid w:val="003B3D75"/>
    <w:rsid w:val="003B65E2"/>
    <w:rsid w:val="003B79BB"/>
    <w:rsid w:val="003C050D"/>
    <w:rsid w:val="003C32F5"/>
    <w:rsid w:val="003D7F7D"/>
    <w:rsid w:val="003E1F92"/>
    <w:rsid w:val="003E325E"/>
    <w:rsid w:val="003E358D"/>
    <w:rsid w:val="003F121D"/>
    <w:rsid w:val="003F1D12"/>
    <w:rsid w:val="00401D97"/>
    <w:rsid w:val="004201D7"/>
    <w:rsid w:val="00422B5F"/>
    <w:rsid w:val="0044208B"/>
    <w:rsid w:val="0044211F"/>
    <w:rsid w:val="00460BCC"/>
    <w:rsid w:val="00470AA9"/>
    <w:rsid w:val="0049006B"/>
    <w:rsid w:val="004A18E7"/>
    <w:rsid w:val="004B5DD8"/>
    <w:rsid w:val="004B7AA8"/>
    <w:rsid w:val="004C1652"/>
    <w:rsid w:val="004E32A8"/>
    <w:rsid w:val="004E687E"/>
    <w:rsid w:val="004F2E30"/>
    <w:rsid w:val="00503E91"/>
    <w:rsid w:val="00505136"/>
    <w:rsid w:val="00513DB8"/>
    <w:rsid w:val="0052172A"/>
    <w:rsid w:val="00526886"/>
    <w:rsid w:val="00531391"/>
    <w:rsid w:val="00570186"/>
    <w:rsid w:val="005713EB"/>
    <w:rsid w:val="00573F24"/>
    <w:rsid w:val="005821F3"/>
    <w:rsid w:val="005A47A9"/>
    <w:rsid w:val="005A63CE"/>
    <w:rsid w:val="005B2DB2"/>
    <w:rsid w:val="005C2E50"/>
    <w:rsid w:val="005E154A"/>
    <w:rsid w:val="005E4CA5"/>
    <w:rsid w:val="005F68FA"/>
    <w:rsid w:val="00617D74"/>
    <w:rsid w:val="0062607E"/>
    <w:rsid w:val="00640019"/>
    <w:rsid w:val="006455D0"/>
    <w:rsid w:val="00651E90"/>
    <w:rsid w:val="00655B1E"/>
    <w:rsid w:val="00655CCE"/>
    <w:rsid w:val="00655F0B"/>
    <w:rsid w:val="0067047C"/>
    <w:rsid w:val="00683603"/>
    <w:rsid w:val="0068580D"/>
    <w:rsid w:val="006A1A21"/>
    <w:rsid w:val="006C0689"/>
    <w:rsid w:val="006C08C3"/>
    <w:rsid w:val="006C4320"/>
    <w:rsid w:val="006C7764"/>
    <w:rsid w:val="006D234F"/>
    <w:rsid w:val="006F4FC1"/>
    <w:rsid w:val="00705A2D"/>
    <w:rsid w:val="007121DF"/>
    <w:rsid w:val="00734E55"/>
    <w:rsid w:val="0074542C"/>
    <w:rsid w:val="00783522"/>
    <w:rsid w:val="007A2110"/>
    <w:rsid w:val="007B4D14"/>
    <w:rsid w:val="007D336C"/>
    <w:rsid w:val="007E0DEB"/>
    <w:rsid w:val="00806475"/>
    <w:rsid w:val="008067EC"/>
    <w:rsid w:val="00825E40"/>
    <w:rsid w:val="0083366C"/>
    <w:rsid w:val="00844BDE"/>
    <w:rsid w:val="008469DE"/>
    <w:rsid w:val="008506D5"/>
    <w:rsid w:val="00852F72"/>
    <w:rsid w:val="00865589"/>
    <w:rsid w:val="00892B00"/>
    <w:rsid w:val="008A682A"/>
    <w:rsid w:val="008B0A5D"/>
    <w:rsid w:val="008B45A3"/>
    <w:rsid w:val="008C1C42"/>
    <w:rsid w:val="008C53DF"/>
    <w:rsid w:val="008D20FF"/>
    <w:rsid w:val="008E07E1"/>
    <w:rsid w:val="008E3894"/>
    <w:rsid w:val="008E6FB9"/>
    <w:rsid w:val="008F0189"/>
    <w:rsid w:val="008F24DC"/>
    <w:rsid w:val="009025F0"/>
    <w:rsid w:val="009150FB"/>
    <w:rsid w:val="0092623A"/>
    <w:rsid w:val="00930D18"/>
    <w:rsid w:val="00941836"/>
    <w:rsid w:val="0094232D"/>
    <w:rsid w:val="0094551C"/>
    <w:rsid w:val="00946E93"/>
    <w:rsid w:val="00953DC1"/>
    <w:rsid w:val="009674C3"/>
    <w:rsid w:val="00970C93"/>
    <w:rsid w:val="009A5131"/>
    <w:rsid w:val="009C4719"/>
    <w:rsid w:val="009D0AA9"/>
    <w:rsid w:val="00A03292"/>
    <w:rsid w:val="00A1258A"/>
    <w:rsid w:val="00A24DF4"/>
    <w:rsid w:val="00A276B1"/>
    <w:rsid w:val="00A31CDF"/>
    <w:rsid w:val="00A33EDE"/>
    <w:rsid w:val="00A65C9F"/>
    <w:rsid w:val="00A67362"/>
    <w:rsid w:val="00A802F2"/>
    <w:rsid w:val="00A80BBB"/>
    <w:rsid w:val="00A95C26"/>
    <w:rsid w:val="00AA2B3C"/>
    <w:rsid w:val="00AB255A"/>
    <w:rsid w:val="00AE657E"/>
    <w:rsid w:val="00AF4A1E"/>
    <w:rsid w:val="00AF56A8"/>
    <w:rsid w:val="00B12FD0"/>
    <w:rsid w:val="00B14F63"/>
    <w:rsid w:val="00B25239"/>
    <w:rsid w:val="00B35EFB"/>
    <w:rsid w:val="00B4405D"/>
    <w:rsid w:val="00B523AD"/>
    <w:rsid w:val="00B5256A"/>
    <w:rsid w:val="00B66043"/>
    <w:rsid w:val="00B73A35"/>
    <w:rsid w:val="00B86747"/>
    <w:rsid w:val="00B8691E"/>
    <w:rsid w:val="00B87D33"/>
    <w:rsid w:val="00B94E15"/>
    <w:rsid w:val="00BA3C32"/>
    <w:rsid w:val="00BA5566"/>
    <w:rsid w:val="00BB182D"/>
    <w:rsid w:val="00BB27BC"/>
    <w:rsid w:val="00BD2F15"/>
    <w:rsid w:val="00BD6CCA"/>
    <w:rsid w:val="00BE1CA0"/>
    <w:rsid w:val="00BE6E05"/>
    <w:rsid w:val="00BF2B09"/>
    <w:rsid w:val="00BF3AC0"/>
    <w:rsid w:val="00BF71C7"/>
    <w:rsid w:val="00C0792B"/>
    <w:rsid w:val="00C24B3F"/>
    <w:rsid w:val="00C523EA"/>
    <w:rsid w:val="00C566DF"/>
    <w:rsid w:val="00C622D7"/>
    <w:rsid w:val="00C7477C"/>
    <w:rsid w:val="00C771E5"/>
    <w:rsid w:val="00C77F17"/>
    <w:rsid w:val="00C8086F"/>
    <w:rsid w:val="00CA62E0"/>
    <w:rsid w:val="00CA79A2"/>
    <w:rsid w:val="00CB5C65"/>
    <w:rsid w:val="00CC0991"/>
    <w:rsid w:val="00CC30EB"/>
    <w:rsid w:val="00CC6E6F"/>
    <w:rsid w:val="00CD02DA"/>
    <w:rsid w:val="00CE4E5B"/>
    <w:rsid w:val="00CF0B90"/>
    <w:rsid w:val="00CF36D3"/>
    <w:rsid w:val="00D00DA4"/>
    <w:rsid w:val="00D07616"/>
    <w:rsid w:val="00D2211A"/>
    <w:rsid w:val="00D372C0"/>
    <w:rsid w:val="00D4472B"/>
    <w:rsid w:val="00D509F9"/>
    <w:rsid w:val="00D57D70"/>
    <w:rsid w:val="00D605C2"/>
    <w:rsid w:val="00D61311"/>
    <w:rsid w:val="00D65DEF"/>
    <w:rsid w:val="00D74472"/>
    <w:rsid w:val="00D8328F"/>
    <w:rsid w:val="00DA5A92"/>
    <w:rsid w:val="00DA61CA"/>
    <w:rsid w:val="00DD35DF"/>
    <w:rsid w:val="00DD35EE"/>
    <w:rsid w:val="00DE081E"/>
    <w:rsid w:val="00DE5B7D"/>
    <w:rsid w:val="00DF60EB"/>
    <w:rsid w:val="00E02DA6"/>
    <w:rsid w:val="00E06355"/>
    <w:rsid w:val="00E076C3"/>
    <w:rsid w:val="00E1589B"/>
    <w:rsid w:val="00E46EBE"/>
    <w:rsid w:val="00E918C7"/>
    <w:rsid w:val="00EA5843"/>
    <w:rsid w:val="00EB5AA4"/>
    <w:rsid w:val="00EC6CD4"/>
    <w:rsid w:val="00ED4CB7"/>
    <w:rsid w:val="00EF0266"/>
    <w:rsid w:val="00EF3C38"/>
    <w:rsid w:val="00EF4201"/>
    <w:rsid w:val="00F040C1"/>
    <w:rsid w:val="00F260E9"/>
    <w:rsid w:val="00F40F79"/>
    <w:rsid w:val="00F5126A"/>
    <w:rsid w:val="00F95822"/>
    <w:rsid w:val="00FA13F3"/>
    <w:rsid w:val="00FA4509"/>
    <w:rsid w:val="00FB70A6"/>
    <w:rsid w:val="00FC1844"/>
    <w:rsid w:val="00FC4F80"/>
    <w:rsid w:val="00FC636A"/>
    <w:rsid w:val="00FE12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04"/>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SS-TITRE2">
    <w:name w:val="TK SS-TITRE 2"/>
    <w:autoRedefine/>
    <w:uiPriority w:val="99"/>
    <w:rsid w:val="00BE6E05"/>
    <w:pPr>
      <w:spacing w:before="360" w:after="120"/>
    </w:pPr>
    <w:rPr>
      <w:rFonts w:eastAsia="Times New Roman" w:cs="Calibri"/>
      <w:b/>
      <w:bCs/>
      <w:sz w:val="28"/>
      <w:szCs w:val="28"/>
      <w:lang w:val="en-US" w:eastAsia="en-US"/>
    </w:rPr>
  </w:style>
  <w:style w:type="paragraph" w:customStyle="1" w:styleId="TK-SS-TITRE22">
    <w:name w:val="TK-SS-TITRE 2.2"/>
    <w:autoRedefine/>
    <w:uiPriority w:val="99"/>
    <w:rsid w:val="002860CD"/>
    <w:pPr>
      <w:spacing w:before="180" w:after="6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rFonts w:cs="Calibri"/>
      <w:sz w:val="24"/>
      <w:szCs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D00DA4"/>
    <w:pPr>
      <w:framePr w:hSpace="141" w:wrap="around" w:vAnchor="text" w:hAnchor="text" w:y="1"/>
    </w:pPr>
    <w:rPr>
      <w:rFonts w:eastAsia="Times New Roman" w:cs="Calibri"/>
      <w:sz w:val="22"/>
      <w:szCs w:val="22"/>
      <w:lang w:val="en-GB" w:eastAsia="en-US"/>
    </w:rPr>
  </w:style>
  <w:style w:type="paragraph" w:customStyle="1" w:styleId="TKAIM">
    <w:name w:val="TK AIM"/>
    <w:uiPriority w:val="99"/>
    <w:rsid w:val="00236006"/>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236006"/>
    <w:pPr>
      <w:spacing w:before="120" w:after="120"/>
      <w:jc w:val="center"/>
    </w:pPr>
    <w:rPr>
      <w:rFonts w:eastAsia="Calibri"/>
      <w:b/>
      <w:bCs/>
      <w:color w:val="2F5496"/>
      <w:sz w:val="40"/>
      <w:szCs w:val="40"/>
      <w:lang w:val="en-GB"/>
    </w:rPr>
  </w:style>
  <w:style w:type="paragraph" w:customStyle="1" w:styleId="TKSS-TITRE21">
    <w:name w:val="TK SS-TITRE 2.1"/>
    <w:basedOn w:val="TKSS-TITRE211"/>
    <w:autoRedefine/>
    <w:uiPriority w:val="99"/>
    <w:rsid w:val="00BD2F15"/>
  </w:style>
  <w:style w:type="paragraph" w:customStyle="1" w:styleId="TKTEXTE">
    <w:name w:val="TK TEXTE"/>
    <w:uiPriority w:val="99"/>
    <w:rsid w:val="00460BCC"/>
    <w:pPr>
      <w:spacing w:before="120" w:after="120"/>
    </w:pPr>
    <w:rPr>
      <w:rFonts w:eastAsia="Times New Roman" w:cs="Calibri"/>
      <w:sz w:val="24"/>
      <w:szCs w:val="24"/>
      <w:lang w:val="en-GB" w:eastAsia="en-US"/>
    </w:rPr>
  </w:style>
  <w:style w:type="paragraph" w:customStyle="1" w:styleId="TKbulletpoints">
    <w:name w:val="TK_bullet_points"/>
    <w:next w:val="Normal"/>
    <w:uiPriority w:val="99"/>
    <w:rsid w:val="00460BCC"/>
    <w:pPr>
      <w:tabs>
        <w:tab w:val="left" w:pos="567"/>
      </w:tabs>
    </w:pPr>
    <w:rPr>
      <w:rFonts w:cs="Calibri"/>
      <w:sz w:val="24"/>
      <w:szCs w:val="24"/>
      <w:lang w:val="en-US" w:eastAsia="en-US"/>
    </w:rPr>
  </w:style>
  <w:style w:type="paragraph" w:customStyle="1" w:styleId="TK-SS-TITRE2">
    <w:name w:val="TK-SS-TITRE2"/>
    <w:uiPriority w:val="99"/>
    <w:rsid w:val="00460BCC"/>
    <w:pPr>
      <w:spacing w:before="240" w:after="240"/>
    </w:pPr>
    <w:rPr>
      <w:rFonts w:eastAsia="Times New Roman" w:cs="Calibri"/>
      <w:b/>
      <w:bCs/>
      <w:i/>
      <w:iCs/>
      <w:sz w:val="28"/>
      <w:szCs w:val="28"/>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paragraph" w:customStyle="1" w:styleId="TKSS-TITRE211">
    <w:name w:val="TK SS-TITRE 2.11"/>
    <w:next w:val="TKSS-TITRE21"/>
    <w:autoRedefine/>
    <w:uiPriority w:val="99"/>
    <w:rsid w:val="002860CD"/>
    <w:pPr>
      <w:spacing w:before="160" w:after="160"/>
    </w:pPr>
    <w:rPr>
      <w:rFonts w:eastAsia="Times New Roman" w:cs="Calibri"/>
      <w:b/>
      <w:bCs/>
      <w:sz w:val="26"/>
      <w:szCs w:val="26"/>
      <w:lang w:val="en-US" w:eastAsia="en-US"/>
    </w:rPr>
  </w:style>
  <w:style w:type="character" w:styleId="FollowedHyperlink">
    <w:name w:val="FollowedHyperlink"/>
    <w:uiPriority w:val="99"/>
    <w:semiHidden/>
    <w:rsid w:val="009025F0"/>
    <w:rPr>
      <w:color w:val="954F72"/>
      <w:u w:val="single"/>
    </w:rPr>
  </w:style>
  <w:style w:type="paragraph" w:styleId="ListParagraph">
    <w:name w:val="List Paragraph"/>
    <w:basedOn w:val="Normal"/>
    <w:uiPriority w:val="99"/>
    <w:qFormat/>
    <w:rsid w:val="00184C7A"/>
    <w:pPr>
      <w:spacing w:after="200" w:line="276" w:lineRule="auto"/>
      <w:ind w:left="720"/>
      <w:contextualSpacing/>
    </w:pPr>
    <w:rPr>
      <w:lang w:val="en-GB" w:eastAsia="en-GB"/>
    </w:rPr>
  </w:style>
  <w:style w:type="paragraph" w:styleId="CommentText">
    <w:name w:val="annotation text"/>
    <w:basedOn w:val="Normal"/>
    <w:link w:val="CommentTextChar"/>
    <w:uiPriority w:val="99"/>
    <w:semiHidden/>
    <w:rsid w:val="00184C7A"/>
    <w:pPr>
      <w:widowControl w:val="0"/>
    </w:pPr>
    <w:rPr>
      <w:sz w:val="20"/>
      <w:szCs w:val="20"/>
      <w:lang w:val="en-GB" w:eastAsia="en-GB"/>
    </w:rPr>
  </w:style>
  <w:style w:type="character" w:customStyle="1" w:styleId="CommentTextChar">
    <w:name w:val="Comment Text Char"/>
    <w:link w:val="CommentText"/>
    <w:uiPriority w:val="99"/>
    <w:rsid w:val="00184C7A"/>
    <w:rPr>
      <w:rFonts w:ascii="Calibri" w:hAnsi="Calibri" w:cs="Calibri"/>
      <w:sz w:val="20"/>
      <w:szCs w:val="20"/>
      <w:lang w:val="en-GB" w:eastAsia="en-GB"/>
    </w:rPr>
  </w:style>
  <w:style w:type="paragraph" w:customStyle="1" w:styleId="TKBulletLevel1">
    <w:name w:val="TK Bullet Level1"/>
    <w:next w:val="Normal"/>
    <w:uiPriority w:val="99"/>
    <w:rsid w:val="00236006"/>
    <w:pPr>
      <w:numPr>
        <w:numId w:val="14"/>
      </w:numPr>
      <w:tabs>
        <w:tab w:val="left" w:pos="567"/>
      </w:tabs>
      <w:spacing w:before="60" w:after="60"/>
    </w:pPr>
    <w:rPr>
      <w:rFonts w:cs="Calibri"/>
      <w:sz w:val="24"/>
      <w:szCs w:val="24"/>
      <w:lang w:val="en-US" w:eastAsia="en-US"/>
    </w:rPr>
  </w:style>
  <w:style w:type="paragraph" w:customStyle="1" w:styleId="TKBulletLevel2">
    <w:name w:val="TK Bullet Level2"/>
    <w:basedOn w:val="TKBulletLevel1"/>
    <w:uiPriority w:val="99"/>
    <w:rsid w:val="00236006"/>
    <w:pPr>
      <w:ind w:left="1135"/>
    </w:pPr>
  </w:style>
  <w:style w:type="paragraph" w:customStyle="1" w:styleId="TKNbrsLevel2">
    <w:name w:val="TK Nbrs Level2"/>
    <w:uiPriority w:val="99"/>
    <w:rsid w:val="00236006"/>
    <w:pPr>
      <w:numPr>
        <w:numId w:val="15"/>
      </w:numPr>
      <w:spacing w:before="60" w:after="60"/>
    </w:pPr>
    <w:rPr>
      <w:rFonts w:cs="Calibri"/>
      <w:sz w:val="24"/>
      <w:szCs w:val="24"/>
      <w:lang w:val="en-US" w:eastAsia="en-US"/>
    </w:rPr>
  </w:style>
  <w:style w:type="paragraph" w:customStyle="1" w:styleId="TKTITRE2">
    <w:name w:val="TK TITRE 2"/>
    <w:next w:val="Normal"/>
    <w:uiPriority w:val="99"/>
    <w:rsid w:val="00236006"/>
    <w:pPr>
      <w:spacing w:before="120" w:after="120"/>
    </w:pPr>
    <w:rPr>
      <w:rFonts w:eastAsia="Times New Roman" w:cs="Calibri"/>
      <w:b/>
      <w:bCs/>
      <w:sz w:val="28"/>
      <w:szCs w:val="28"/>
      <w:lang w:val="en-US" w:eastAsia="en-US"/>
    </w:rPr>
  </w:style>
  <w:style w:type="paragraph" w:customStyle="1" w:styleId="TKTITRE3">
    <w:name w:val="TK TITRE 3"/>
    <w:uiPriority w:val="99"/>
    <w:rsid w:val="00236006"/>
    <w:pPr>
      <w:spacing w:before="120" w:after="120"/>
    </w:pPr>
    <w:rPr>
      <w:rFonts w:cs="Calibri"/>
      <w:i/>
      <w:iCs/>
      <w:noProof/>
      <w:sz w:val="24"/>
      <w:szCs w:val="24"/>
      <w:u w:val="single"/>
      <w:lang w:val="en-US" w:eastAsia="en-US"/>
    </w:rPr>
  </w:style>
  <w:style w:type="paragraph" w:customStyle="1" w:styleId="TKTITRE1">
    <w:name w:val="TK TITRE1"/>
    <w:uiPriority w:val="99"/>
    <w:rsid w:val="00236006"/>
    <w:pPr>
      <w:spacing w:before="120" w:after="120"/>
    </w:pPr>
    <w:rPr>
      <w:rFonts w:eastAsia="Times New Roman" w:cs="Calibri"/>
      <w:b/>
      <w:bCs/>
      <w:sz w:val="32"/>
      <w:szCs w:val="32"/>
      <w:lang w:val="en-US" w:eastAsia="en-US"/>
    </w:rPr>
  </w:style>
  <w:style w:type="paragraph" w:customStyle="1" w:styleId="TKNbrsLevel1">
    <w:name w:val="TK_Nbrs Level1"/>
    <w:uiPriority w:val="99"/>
    <w:rsid w:val="00236006"/>
    <w:pPr>
      <w:numPr>
        <w:numId w:val="16"/>
      </w:numPr>
      <w:spacing w:before="60" w:after="60"/>
    </w:pPr>
    <w:rPr>
      <w:rFonts w:eastAsia="Times New Roman" w:cs="Calibri"/>
      <w:sz w:val="24"/>
      <w:szCs w:val="24"/>
      <w:lang w:eastAsia="en-US"/>
    </w:rPr>
  </w:style>
  <w:style w:type="paragraph" w:customStyle="1" w:styleId="TKnotes">
    <w:name w:val="TK_notes"/>
    <w:uiPriority w:val="99"/>
    <w:rsid w:val="00236006"/>
    <w:pPr>
      <w:spacing w:before="120" w:after="120"/>
    </w:pPr>
    <w:rPr>
      <w:rFonts w:eastAsia="Times New Roman" w:cs="Calibri"/>
      <w:lang w:val="en-GB" w:eastAsia="en-US"/>
    </w:rPr>
  </w:style>
  <w:style w:type="character" w:customStyle="1" w:styleId="UnresolvedMention">
    <w:name w:val="Unresolved Mention"/>
    <w:uiPriority w:val="99"/>
    <w:semiHidden/>
    <w:unhideWhenUsed/>
    <w:rsid w:val="00E02DA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fr/web/lang-migrants/repertoire-languag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e.int/fr/web/lang-migrants/key-term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m.coe.int/doc-57-pratiquer-la-langue-dans-le-monde-reel-accompagnement-linguisti/168075aae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m.coe.int/doc-56-planifier-les-activites-d-accompagnement-linguistique-au-niveau/168075aae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m.coe.int/doc-38-portrait-plurilingue-une-tache-reflexive-pour-les-refugies-acco/168075aad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1281</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11 – Les réfugiés comme utilisateurs et apprenants de langues</vt:lpstr>
    </vt:vector>
  </TitlesOfParts>
  <Company>Council of Europe</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 Les réfugiés comme utilisateurs et apprenants de langues</dc:title>
  <dc:subject/>
  <dc:creator>Carole</dc:creator>
  <cp:keywords/>
  <dc:description/>
  <cp:lastModifiedBy>THALGOTT</cp:lastModifiedBy>
  <cp:revision>6</cp:revision>
  <cp:lastPrinted>2017-03-14T17:41:00Z</cp:lastPrinted>
  <dcterms:created xsi:type="dcterms:W3CDTF">2017-07-13T20:01:00Z</dcterms:created>
  <dcterms:modified xsi:type="dcterms:W3CDTF">2017-10-31T15:14:00Z</dcterms:modified>
</cp:coreProperties>
</file>