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6F" w:rsidRPr="008727F8" w:rsidRDefault="004C7A6F" w:rsidP="001B29DB">
      <w:pPr>
        <w:pStyle w:val="TKMAINTITLE"/>
        <w:rPr>
          <w:lang w:val="fr-FR"/>
        </w:rPr>
      </w:pPr>
      <w:r w:rsidRPr="008727F8">
        <w:rPr>
          <w:lang w:val="fr-FR"/>
        </w:rPr>
        <w:t xml:space="preserve">1 </w:t>
      </w:r>
      <w:r>
        <w:rPr>
          <w:lang w:val="fr-FR"/>
        </w:rPr>
        <w:t>– L</w:t>
      </w:r>
      <w:r w:rsidRPr="008727F8">
        <w:rPr>
          <w:lang w:val="fr-FR"/>
        </w:rPr>
        <w:t xml:space="preserve">e </w:t>
      </w:r>
      <w:r>
        <w:rPr>
          <w:lang w:val="fr-FR"/>
        </w:rPr>
        <w:t xml:space="preserve">contexte géopolitique de la </w:t>
      </w:r>
      <w:r w:rsidRPr="008727F8">
        <w:rPr>
          <w:lang w:val="fr-FR"/>
        </w:rPr>
        <w:t>migration</w:t>
      </w:r>
    </w:p>
    <w:p w:rsidR="004C7A6F" w:rsidRPr="008727F8" w:rsidRDefault="004C7A6F" w:rsidP="00C16F21">
      <w:pPr>
        <w:pStyle w:val="TKAIM"/>
        <w:tabs>
          <w:tab w:val="clear" w:pos="709"/>
          <w:tab w:val="left" w:pos="1276"/>
        </w:tabs>
        <w:ind w:left="1276" w:hanging="1276"/>
        <w:rPr>
          <w:lang w:val="fr-FR"/>
        </w:rPr>
      </w:pPr>
      <w:r w:rsidRPr="008727F8">
        <w:rPr>
          <w:lang w:val="fr-FR"/>
        </w:rPr>
        <w:t xml:space="preserve">Objectif : </w:t>
      </w:r>
      <w:r w:rsidR="00C16F21">
        <w:rPr>
          <w:lang w:val="fr-FR"/>
        </w:rPr>
        <w:tab/>
      </w:r>
      <w:r>
        <w:rPr>
          <w:lang w:val="fr-FR"/>
        </w:rPr>
        <w:t xml:space="preserve">Donner des informations générales sur les flux migratoires </w:t>
      </w:r>
      <w:r w:rsidRPr="008727F8">
        <w:rPr>
          <w:lang w:val="fr-FR"/>
        </w:rPr>
        <w:t>(</w:t>
      </w:r>
      <w:r>
        <w:rPr>
          <w:lang w:val="fr-FR"/>
        </w:rPr>
        <w:t>pays d’origine et routes empruntées</w:t>
      </w:r>
      <w:r w:rsidRPr="008727F8">
        <w:rPr>
          <w:lang w:val="fr-FR"/>
        </w:rPr>
        <w:t xml:space="preserve">) </w:t>
      </w:r>
      <w:r w:rsidR="00971310">
        <w:rPr>
          <w:lang w:val="fr-FR"/>
        </w:rPr>
        <w:t>et indiquer quelques</w:t>
      </w:r>
      <w:r>
        <w:rPr>
          <w:lang w:val="fr-FR"/>
        </w:rPr>
        <w:t xml:space="preserve"> sources d’information</w:t>
      </w:r>
      <w:r w:rsidRPr="008727F8">
        <w:rPr>
          <w:lang w:val="fr-FR"/>
        </w:rPr>
        <w:t>.</w:t>
      </w:r>
    </w:p>
    <w:p w:rsidR="004C7A6F" w:rsidRPr="008727F8" w:rsidRDefault="004C7A6F" w:rsidP="001B29DB">
      <w:pPr>
        <w:pStyle w:val="TKTEXTE"/>
        <w:rPr>
          <w:rFonts w:cs="Arial"/>
          <w:lang w:val="fr-FR"/>
        </w:rPr>
      </w:pPr>
      <w:r>
        <w:rPr>
          <w:lang w:val="fr-FR"/>
        </w:rPr>
        <w:t>Bien que l’Europe ait toujours été une terre d’accueil pour les réfugiés, elle n’a jamais vu arriver autant de personnes que ces dernières années. L’année 2</w:t>
      </w:r>
      <w:r w:rsidRPr="008727F8">
        <w:rPr>
          <w:lang w:val="fr-FR"/>
        </w:rPr>
        <w:t xml:space="preserve">015 </w:t>
      </w:r>
      <w:r>
        <w:rPr>
          <w:lang w:val="fr-FR"/>
        </w:rPr>
        <w:t>a enregistré un nombre d’entrées record, avec un peu plus d’un million de migrants, dont 17% de femmes et 25% de mineurs</w:t>
      </w:r>
      <w:r w:rsidRPr="008727F8">
        <w:rPr>
          <w:lang w:val="fr-FR"/>
        </w:rPr>
        <w:t xml:space="preserve">. </w:t>
      </w:r>
      <w:r>
        <w:rPr>
          <w:lang w:val="fr-FR"/>
        </w:rPr>
        <w:t>Les chiffres ont été moins importants en 2016, mais ils restent bien plus élevés qu’il y a quelques années. Et malheureusement, le nombre de personnes qui meurent noyées lors de la traversée vers l’Europe ne cesse d’augmenter.</w:t>
      </w:r>
    </w:p>
    <w:p w:rsidR="004C7A6F" w:rsidRPr="008727F8" w:rsidRDefault="004C7A6F" w:rsidP="001B29DB">
      <w:pPr>
        <w:pStyle w:val="TKTITRE1"/>
        <w:rPr>
          <w:rFonts w:cs="Arial"/>
          <w:lang w:val="fr-FR"/>
        </w:rPr>
      </w:pPr>
      <w:r>
        <w:rPr>
          <w:lang w:val="fr-FR"/>
        </w:rPr>
        <w:t>D’où viennent les réfugiés, et pourquoi migrent-ils vers l’Europe ?</w:t>
      </w:r>
    </w:p>
    <w:p w:rsidR="004C7A6F" w:rsidRPr="008727F8" w:rsidRDefault="00167D16" w:rsidP="001322CE">
      <w:pPr>
        <w:pStyle w:val="TKTEXTE"/>
        <w:rPr>
          <w:lang w:val="fr-FR"/>
        </w:rPr>
      </w:pPr>
      <w:r>
        <w:rPr>
          <w:noProof/>
        </w:rPr>
        <w:pict>
          <v:shapetype id="_x0000_t202" coordsize="21600,21600" o:spt="202" path="m,l,21600r21600,l21600,xe">
            <v:stroke joinstyle="miter"/>
            <v:path gradientshapeok="t" o:connecttype="rect"/>
          </v:shapetype>
          <v:shape id="_x0000_s1041" type="#_x0000_t202" style="position:absolute;margin-left:209.65pt;margin-top:303.8pt;width:157.5pt;height:93.75pt;z-index:-1;visibility:visible;mso-wrap-distance-left:9pt;mso-wrap-distance-top:3.6pt;mso-wrap-distance-right:9pt;mso-wrap-distance-bottom:3.6pt;mso-position-horizontal-relative:margin;mso-position-vertical-relative:margin;mso-width-relative:margin;mso-height-relative:margin;v-text-anchor:top" wrapcoords="-82 -152 -82 21600 21682 21600 21682 -152 -82 -152">
            <v:textbox>
              <w:txbxContent>
                <w:p w:rsidR="00A5323D" w:rsidRPr="00B910D6" w:rsidRDefault="00A5323D" w:rsidP="00A5323D">
                  <w:pPr>
                    <w:pStyle w:val="TKTITRE2"/>
                    <w:spacing w:before="0" w:after="0"/>
                    <w:rPr>
                      <w:rFonts w:cs="Arial"/>
                      <w:sz w:val="18"/>
                      <w:szCs w:val="18"/>
                      <w:lang w:val="fr-FR"/>
                    </w:rPr>
                  </w:pPr>
                  <w:r w:rsidRPr="00B910D6">
                    <w:rPr>
                      <w:sz w:val="18"/>
                      <w:szCs w:val="18"/>
                      <w:lang w:val="fr-FR"/>
                    </w:rPr>
                    <w:t>Syrie</w:t>
                  </w:r>
                </w:p>
                <w:p w:rsidR="00A5323D" w:rsidRPr="00B910D6" w:rsidRDefault="00A5323D" w:rsidP="00A5323D">
                  <w:pPr>
                    <w:pStyle w:val="TKTextetableau"/>
                    <w:rPr>
                      <w:sz w:val="18"/>
                      <w:szCs w:val="18"/>
                      <w:lang w:val="fr-FR"/>
                    </w:rPr>
                  </w:pPr>
                  <w:r w:rsidRPr="00B910D6">
                    <w:rPr>
                      <w:sz w:val="18"/>
                      <w:szCs w:val="18"/>
                      <w:lang w:val="fr-FR"/>
                    </w:rPr>
                    <w:t>Guerre civile depuis 2011.</w:t>
                  </w:r>
                </w:p>
                <w:p w:rsidR="00A5323D" w:rsidRPr="00B910D6" w:rsidRDefault="00A5323D" w:rsidP="00A5323D">
                  <w:pPr>
                    <w:pStyle w:val="TKTextetableau"/>
                    <w:rPr>
                      <w:rFonts w:cs="Arial"/>
                      <w:sz w:val="18"/>
                      <w:szCs w:val="18"/>
                      <w:lang w:val="fr-FR"/>
                    </w:rPr>
                  </w:pPr>
                  <w:r w:rsidRPr="00B910D6">
                    <w:rPr>
                      <w:sz w:val="18"/>
                      <w:szCs w:val="18"/>
                      <w:lang w:val="fr-FR"/>
                    </w:rPr>
                    <w:t>Population : 23 M. Environ 17 millions avant la guerre (estimations de 2014). 6 millions de réfugiés, essentiellement dans des camps dans des pays voisins (Turquie, Liban et Jordanie). Plus de 6 millions de PDI.</w:t>
                  </w:r>
                </w:p>
                <w:p w:rsidR="00A5323D" w:rsidRPr="00B910D6" w:rsidRDefault="00A5323D" w:rsidP="00A5323D">
                  <w:pPr>
                    <w:pStyle w:val="TKTextetableau"/>
                    <w:rPr>
                      <w:sz w:val="18"/>
                      <w:szCs w:val="18"/>
                      <w:lang w:val="fr-FR"/>
                    </w:rPr>
                  </w:pPr>
                  <w:r w:rsidRPr="00B910D6">
                    <w:rPr>
                      <w:sz w:val="18"/>
                      <w:szCs w:val="18"/>
                      <w:lang w:val="fr-FR"/>
                    </w:rPr>
                    <w:t>PIB/habitant : 5</w:t>
                  </w:r>
                  <w:r w:rsidRPr="00B910D6">
                    <w:rPr>
                      <w:rFonts w:cs="Arial"/>
                      <w:sz w:val="18"/>
                      <w:szCs w:val="18"/>
                      <w:lang w:val="fr-FR"/>
                    </w:rPr>
                    <w:t> </w:t>
                  </w:r>
                  <w:r w:rsidRPr="00B910D6">
                    <w:rPr>
                      <w:sz w:val="18"/>
                      <w:szCs w:val="18"/>
                      <w:lang w:val="fr-FR"/>
                    </w:rPr>
                    <w:t>040 USD (2012), IDH : 0,594 (134).</w:t>
                  </w:r>
                </w:p>
                <w:p w:rsidR="00A5323D" w:rsidRPr="00B910D6" w:rsidRDefault="00A5323D" w:rsidP="00A5323D">
                  <w:pPr>
                    <w:pStyle w:val="TKTextetableau"/>
                    <w:rPr>
                      <w:sz w:val="18"/>
                      <w:szCs w:val="18"/>
                      <w:lang w:val="fr-FR"/>
                    </w:rPr>
                  </w:pPr>
                  <w:r w:rsidRPr="00B910D6">
                    <w:rPr>
                      <w:sz w:val="18"/>
                      <w:szCs w:val="18"/>
                      <w:lang w:val="fr-FR"/>
                    </w:rPr>
                    <w:t>Langues : arabe (officiel), kurde, turkmène (azéri) et arménien.</w:t>
                  </w:r>
                </w:p>
                <w:p w:rsidR="00A5323D" w:rsidRPr="00A5323D" w:rsidRDefault="00A5323D" w:rsidP="00A5323D">
                  <w:pPr>
                    <w:pStyle w:val="TKTextetableau"/>
                    <w:rPr>
                      <w:lang w:val="fr-FR"/>
                    </w:rPr>
                  </w:pPr>
                </w:p>
              </w:txbxContent>
            </v:textbox>
            <w10:wrap type="through" anchorx="margin" anchory="margin"/>
          </v:shape>
        </w:pict>
      </w:r>
      <w:r>
        <w:rPr>
          <w:noProof/>
        </w:rPr>
        <w:pict>
          <v:shape id="_x0000_s1039" type="#_x0000_t202" style="position:absolute;margin-left:342pt;margin-top:400.75pt;width:174.2pt;height:97.3pt;z-index:-3;visibility:visible;mso-wrap-distance-left:9pt;mso-wrap-distance-top:3.6pt;mso-wrap-distance-right:9pt;mso-wrap-distance-bottom:3.6pt;mso-position-horizontal-relative:margin;mso-position-vertical-relative:margin;mso-width-relative:margin;mso-height-relative:margin;v-text-anchor:top" wrapcoords="-82 -152 -82 21600 21682 21600 21682 -152 -82 -152">
            <v:textbox>
              <w:txbxContent>
                <w:p w:rsidR="00A5323D" w:rsidRPr="00A5323D" w:rsidRDefault="00A5323D" w:rsidP="00A5323D">
                  <w:pPr>
                    <w:pStyle w:val="TKTextetableau"/>
                    <w:rPr>
                      <w:b/>
                      <w:bCs/>
                      <w:sz w:val="18"/>
                      <w:szCs w:val="18"/>
                      <w:lang w:val="fr-FR"/>
                    </w:rPr>
                  </w:pPr>
                  <w:r w:rsidRPr="00A5323D">
                    <w:rPr>
                      <w:b/>
                      <w:bCs/>
                      <w:sz w:val="18"/>
                      <w:szCs w:val="18"/>
                      <w:lang w:val="fr-FR"/>
                    </w:rPr>
                    <w:t>Afghanistan</w:t>
                  </w:r>
                </w:p>
                <w:p w:rsidR="00A5323D" w:rsidRPr="00A5323D" w:rsidRDefault="00A5323D" w:rsidP="00A5323D">
                  <w:pPr>
                    <w:pStyle w:val="TKTextetableau"/>
                    <w:rPr>
                      <w:sz w:val="18"/>
                      <w:szCs w:val="18"/>
                      <w:lang w:val="fr-FR"/>
                    </w:rPr>
                  </w:pPr>
                  <w:r w:rsidRPr="00A5323D">
                    <w:rPr>
                      <w:sz w:val="18"/>
                      <w:szCs w:val="18"/>
                      <w:lang w:val="fr-FR"/>
                    </w:rPr>
                    <w:t>Instabilité et guerres successives depuis les années 1970. Les talibans contrôlent de larges pans du territoire.</w:t>
                  </w:r>
                </w:p>
                <w:p w:rsidR="00A5323D" w:rsidRPr="00A5323D" w:rsidRDefault="00A5323D" w:rsidP="00A5323D">
                  <w:pPr>
                    <w:pStyle w:val="TKTextetableau"/>
                    <w:rPr>
                      <w:sz w:val="18"/>
                      <w:szCs w:val="18"/>
                      <w:lang w:val="fr-FR"/>
                    </w:rPr>
                  </w:pPr>
                  <w:r w:rsidRPr="00A5323D">
                    <w:rPr>
                      <w:sz w:val="18"/>
                      <w:szCs w:val="18"/>
                      <w:lang w:val="fr-FR"/>
                    </w:rPr>
                    <w:t>Influence d’Al-Qaïda.</w:t>
                  </w:r>
                </w:p>
                <w:p w:rsidR="00A5323D" w:rsidRPr="00A5323D" w:rsidRDefault="00A5323D" w:rsidP="00A5323D">
                  <w:pPr>
                    <w:pStyle w:val="TKTextetableau"/>
                    <w:rPr>
                      <w:sz w:val="18"/>
                      <w:szCs w:val="18"/>
                      <w:lang w:val="fr-FR"/>
                    </w:rPr>
                  </w:pPr>
                  <w:r w:rsidRPr="00A5323D">
                    <w:rPr>
                      <w:sz w:val="18"/>
                      <w:szCs w:val="18"/>
                      <w:lang w:val="fr-FR"/>
                    </w:rPr>
                    <w:t>Population : 32 M</w:t>
                  </w:r>
                  <w:r>
                    <w:rPr>
                      <w:sz w:val="18"/>
                      <w:szCs w:val="18"/>
                      <w:lang w:val="fr-FR"/>
                    </w:rPr>
                    <w:t xml:space="preserve"> ; PIB/habitant : 1994 USD, </w:t>
                  </w:r>
                  <w:r w:rsidRPr="00A5323D">
                    <w:rPr>
                      <w:sz w:val="18"/>
                      <w:szCs w:val="18"/>
                      <w:lang w:val="fr-FR"/>
                    </w:rPr>
                    <w:t>IDH : 0,465 (171).</w:t>
                  </w:r>
                </w:p>
                <w:p w:rsidR="00A5323D" w:rsidRPr="00A5323D" w:rsidRDefault="00A5323D" w:rsidP="00A5323D">
                  <w:pPr>
                    <w:pStyle w:val="TKTextetableau"/>
                    <w:rPr>
                      <w:lang w:val="fr-FR"/>
                    </w:rPr>
                  </w:pPr>
                  <w:r w:rsidRPr="00A5323D">
                    <w:rPr>
                      <w:sz w:val="18"/>
                      <w:szCs w:val="18"/>
                      <w:lang w:val="fr-FR"/>
                    </w:rPr>
                    <w:t>Langues : pashto, dari.</w:t>
                  </w:r>
                </w:p>
              </w:txbxContent>
            </v:textbox>
            <w10:wrap type="through" anchorx="margin" anchory="margin"/>
          </v:shape>
        </w:pict>
      </w:r>
      <w:r>
        <w:rPr>
          <w:noProof/>
        </w:rPr>
        <w:pict>
          <v:shape id="_x0000_s1037" type="#_x0000_t202" style="position:absolute;margin-left:-.75pt;margin-top:489.7pt;width:159.95pt;height:129.6pt;z-index:-5;visibility:visible;mso-wrap-distance-left:9pt;mso-wrap-distance-top:3.6pt;mso-wrap-distance-right:9pt;mso-wrap-distance-bottom:3.6pt;mso-position-horizontal-relative:margin;mso-position-vertical-relative:margin;mso-width-relative:margin;mso-height-relative:margin;v-text-anchor:top" wrapcoords="-82 -152 -82 21600 21682 21600 21682 -152 -82 -152">
            <v:textbox>
              <w:txbxContent>
                <w:p w:rsidR="00B910D6" w:rsidRPr="00B910D6" w:rsidRDefault="00B910D6" w:rsidP="00B910D6">
                  <w:pPr>
                    <w:pStyle w:val="TKTITRE2"/>
                    <w:spacing w:before="0" w:after="0"/>
                    <w:rPr>
                      <w:rFonts w:cs="Arial"/>
                      <w:sz w:val="18"/>
                      <w:szCs w:val="18"/>
                      <w:lang w:val="fr-FR"/>
                    </w:rPr>
                  </w:pPr>
                  <w:r w:rsidRPr="00B910D6">
                    <w:rPr>
                      <w:sz w:val="18"/>
                      <w:szCs w:val="18"/>
                      <w:lang w:val="fr-FR"/>
                    </w:rPr>
                    <w:t>Nigeria</w:t>
                  </w:r>
                </w:p>
                <w:p w:rsidR="00B910D6" w:rsidRPr="00B910D6" w:rsidRDefault="00B910D6" w:rsidP="00B910D6">
                  <w:pPr>
                    <w:pStyle w:val="TKTextetableau"/>
                    <w:rPr>
                      <w:sz w:val="18"/>
                      <w:szCs w:val="18"/>
                      <w:lang w:val="fr-FR"/>
                    </w:rPr>
                  </w:pPr>
                  <w:r w:rsidRPr="00B910D6">
                    <w:rPr>
                      <w:sz w:val="18"/>
                      <w:szCs w:val="18"/>
                      <w:lang w:val="fr-FR"/>
                    </w:rPr>
                    <w:t>Grandes réserves de pétrole dans le delta du Niger, mais régions pauvres au nord, où Boko Haram contrôle de larges pans du territoire.</w:t>
                  </w:r>
                </w:p>
                <w:p w:rsidR="00B910D6" w:rsidRPr="00B910D6" w:rsidRDefault="00B910D6" w:rsidP="00A5323D">
                  <w:pPr>
                    <w:pStyle w:val="TKTextetableau"/>
                    <w:rPr>
                      <w:sz w:val="18"/>
                      <w:szCs w:val="18"/>
                      <w:lang w:val="fr-FR"/>
                    </w:rPr>
                  </w:pPr>
                  <w:r w:rsidRPr="00B910D6">
                    <w:rPr>
                      <w:sz w:val="18"/>
                      <w:szCs w:val="18"/>
                      <w:lang w:val="fr-FR"/>
                    </w:rPr>
                    <w:t>Population : 182 M (pays le plus peuplé d’Afrique)</w:t>
                  </w:r>
                  <w:r w:rsidRPr="00B910D6">
                    <w:rPr>
                      <w:rFonts w:cs="Arial"/>
                      <w:sz w:val="18"/>
                      <w:szCs w:val="18"/>
                      <w:lang w:val="fr-FR"/>
                    </w:rPr>
                    <w:t> </w:t>
                  </w:r>
                  <w:r w:rsidRPr="00B910D6">
                    <w:rPr>
                      <w:sz w:val="18"/>
                      <w:szCs w:val="18"/>
                      <w:lang w:val="fr-FR"/>
                    </w:rPr>
                    <w:t>; PIB/habitant : 6</w:t>
                  </w:r>
                  <w:r w:rsidRPr="00B910D6">
                    <w:rPr>
                      <w:rFonts w:cs="Arial"/>
                      <w:sz w:val="18"/>
                      <w:szCs w:val="18"/>
                      <w:lang w:val="fr-FR"/>
                    </w:rPr>
                    <w:t> </w:t>
                  </w:r>
                  <w:r w:rsidRPr="00B910D6">
                    <w:rPr>
                      <w:sz w:val="18"/>
                      <w:szCs w:val="18"/>
                      <w:lang w:val="fr-FR"/>
                    </w:rPr>
                    <w:t>121 USD</w:t>
                  </w:r>
                  <w:r w:rsidR="00A5323D">
                    <w:rPr>
                      <w:sz w:val="18"/>
                      <w:szCs w:val="18"/>
                      <w:lang w:val="fr-FR"/>
                    </w:rPr>
                    <w:t xml:space="preserve">, </w:t>
                  </w:r>
                  <w:r w:rsidRPr="00B910D6">
                    <w:rPr>
                      <w:sz w:val="18"/>
                      <w:szCs w:val="18"/>
                      <w:lang w:val="fr-FR"/>
                    </w:rPr>
                    <w:t>IDH : 0,514 (152).</w:t>
                  </w:r>
                </w:p>
                <w:p w:rsidR="00B910D6" w:rsidRPr="00B910D6" w:rsidRDefault="00B910D6" w:rsidP="00B910D6">
                  <w:pPr>
                    <w:pStyle w:val="TKTextetableau"/>
                    <w:rPr>
                      <w:lang w:val="fr-FR"/>
                    </w:rPr>
                  </w:pPr>
                  <w:r w:rsidRPr="00B910D6">
                    <w:rPr>
                      <w:sz w:val="18"/>
                      <w:szCs w:val="18"/>
                      <w:lang w:val="fr-FR"/>
                    </w:rPr>
                    <w:t>Langues : 521 langues parlées. Anglais (langue officielle et maternelle de la majorité de la population).</w:t>
                  </w:r>
                </w:p>
              </w:txbxContent>
            </v:textbox>
            <w10:wrap type="through" anchorx="margin" anchory="margin"/>
          </v:shape>
        </w:pict>
      </w:r>
      <w:r>
        <w:rPr>
          <w:noProof/>
        </w:rPr>
        <w:pict>
          <v:shape id="_x0000_s1038" type="#_x0000_t202" style="position:absolute;margin-left:-.75pt;margin-top:423.05pt;width:159.95pt;height:62.6pt;z-index:-4;visibility:visible;mso-wrap-distance-left:9pt;mso-wrap-distance-top:3.6pt;mso-wrap-distance-right:9pt;mso-wrap-distance-bottom:3.6pt;mso-position-horizontal-relative:margin;mso-position-vertical-relative:margin;mso-width-relative:margin;mso-height-relative:margin;v-text-anchor:top" wrapcoords="-82 -152 -82 21600 21682 21600 21682 -152 -82 -152">
            <v:textbox>
              <w:txbxContent>
                <w:p w:rsidR="00A5323D" w:rsidRPr="00B910D6" w:rsidRDefault="00A5323D" w:rsidP="00A5323D">
                  <w:pPr>
                    <w:pStyle w:val="TKTITRE2"/>
                    <w:spacing w:before="0" w:after="0"/>
                    <w:rPr>
                      <w:rFonts w:cs="Arial"/>
                      <w:sz w:val="18"/>
                      <w:szCs w:val="18"/>
                      <w:lang w:val="fr-FR"/>
                    </w:rPr>
                  </w:pPr>
                  <w:r w:rsidRPr="00B910D6">
                    <w:rPr>
                      <w:sz w:val="18"/>
                      <w:szCs w:val="18"/>
                      <w:lang w:val="fr-FR"/>
                    </w:rPr>
                    <w:t>Gambie</w:t>
                  </w:r>
                </w:p>
                <w:p w:rsidR="00A5323D" w:rsidRPr="00B910D6" w:rsidRDefault="00A5323D" w:rsidP="00A5323D">
                  <w:pPr>
                    <w:pStyle w:val="TKTextetableau"/>
                    <w:rPr>
                      <w:sz w:val="18"/>
                      <w:szCs w:val="18"/>
                      <w:lang w:val="fr-FR"/>
                    </w:rPr>
                  </w:pPr>
                  <w:r w:rsidRPr="00B910D6">
                    <w:rPr>
                      <w:sz w:val="18"/>
                      <w:szCs w:val="18"/>
                      <w:lang w:val="fr-FR"/>
                    </w:rPr>
                    <w:t>Population</w:t>
                  </w:r>
                  <w:r w:rsidR="006B6834">
                    <w:rPr>
                      <w:sz w:val="18"/>
                      <w:szCs w:val="18"/>
                      <w:lang w:val="fr-FR"/>
                    </w:rPr>
                    <w:t xml:space="preserve"> </w:t>
                  </w:r>
                  <w:r w:rsidRPr="00B910D6">
                    <w:rPr>
                      <w:sz w:val="18"/>
                      <w:szCs w:val="18"/>
                      <w:lang w:val="fr-FR"/>
                    </w:rPr>
                    <w:t>: 1,8 M</w:t>
                  </w:r>
                  <w:r>
                    <w:rPr>
                      <w:sz w:val="18"/>
                      <w:szCs w:val="18"/>
                      <w:lang w:val="fr-FR"/>
                    </w:rPr>
                    <w:t> ;</w:t>
                  </w:r>
                  <w:r w:rsidRPr="00B910D6">
                    <w:rPr>
                      <w:sz w:val="18"/>
                      <w:szCs w:val="18"/>
                      <w:lang w:val="fr-FR"/>
                    </w:rPr>
                    <w:t xml:space="preserve"> PIB/habitant : 1</w:t>
                  </w:r>
                  <w:r w:rsidRPr="00B910D6">
                    <w:rPr>
                      <w:rFonts w:cs="Arial"/>
                      <w:sz w:val="18"/>
                      <w:szCs w:val="18"/>
                      <w:lang w:val="fr-FR"/>
                    </w:rPr>
                    <w:t> </w:t>
                  </w:r>
                  <w:r w:rsidRPr="00B910D6">
                    <w:rPr>
                      <w:sz w:val="18"/>
                      <w:szCs w:val="18"/>
                      <w:lang w:val="fr-FR"/>
                    </w:rPr>
                    <w:t>715 USD</w:t>
                  </w:r>
                  <w:r>
                    <w:rPr>
                      <w:sz w:val="18"/>
                      <w:szCs w:val="18"/>
                      <w:lang w:val="fr-FR"/>
                    </w:rPr>
                    <w:t xml:space="preserve">, </w:t>
                  </w:r>
                  <w:r w:rsidRPr="00B910D6">
                    <w:rPr>
                      <w:sz w:val="18"/>
                      <w:szCs w:val="18"/>
                      <w:lang w:val="fr-FR"/>
                    </w:rPr>
                    <w:t>IDH : 0,441 (172).</w:t>
                  </w:r>
                </w:p>
                <w:p w:rsidR="00A5323D" w:rsidRPr="00B910D6" w:rsidRDefault="00A5323D" w:rsidP="00A5323D">
                  <w:pPr>
                    <w:pStyle w:val="TKTextetableau"/>
                    <w:rPr>
                      <w:lang w:val="fr-FR"/>
                    </w:rPr>
                  </w:pPr>
                  <w:r w:rsidRPr="00B910D6">
                    <w:rPr>
                      <w:sz w:val="18"/>
                      <w:szCs w:val="18"/>
                      <w:lang w:val="fr-FR"/>
                    </w:rPr>
                    <w:t>Langues : anglais (officiel), mandinka, wolof et français.</w:t>
                  </w:r>
                </w:p>
              </w:txbxContent>
            </v:textbox>
            <w10:wrap type="through" anchorx="margin" anchory="margin"/>
          </v:shape>
        </w:pict>
      </w:r>
      <w:r>
        <w:rPr>
          <w:noProof/>
        </w:rPr>
        <w:pict>
          <v:shape id="Zone de texte 2" o:spid="_x0000_s1033" type="#_x0000_t202" style="position:absolute;margin-left:342pt;margin-top:501.5pt;width:174.2pt;height:117.8pt;z-index:-7;visibility:visible;mso-wrap-distance-left:9pt;mso-wrap-distance-top:3.6pt;mso-wrap-distance-right:9pt;mso-wrap-distance-bottom:3.6pt;mso-position-horizontal-relative:margin;mso-position-vertical-relative:margin;mso-width-relative:margin;mso-height-relative:margin;v-text-anchor:top" wrapcoords="-82 -152 -82 21600 21682 21600 21682 -152 -82 -152">
            <v:textbox>
              <w:txbxContent>
                <w:p w:rsidR="00B910D6" w:rsidRPr="00B910D6" w:rsidRDefault="00B910D6" w:rsidP="00B910D6">
                  <w:pPr>
                    <w:pStyle w:val="TKTITRE2"/>
                    <w:spacing w:before="0" w:after="0"/>
                    <w:rPr>
                      <w:rFonts w:cs="Arial"/>
                      <w:sz w:val="18"/>
                      <w:szCs w:val="18"/>
                      <w:lang w:val="fr-FR"/>
                    </w:rPr>
                  </w:pPr>
                  <w:r w:rsidRPr="00B910D6">
                    <w:rPr>
                      <w:sz w:val="18"/>
                      <w:szCs w:val="18"/>
                      <w:lang w:val="fr-FR"/>
                    </w:rPr>
                    <w:t>Somalie</w:t>
                  </w:r>
                </w:p>
                <w:p w:rsidR="00B910D6" w:rsidRPr="00B910D6" w:rsidRDefault="00B910D6" w:rsidP="00B910D6">
                  <w:pPr>
                    <w:pStyle w:val="TKTextetableau"/>
                    <w:rPr>
                      <w:sz w:val="18"/>
                      <w:szCs w:val="18"/>
                      <w:lang w:val="fr-FR"/>
                    </w:rPr>
                  </w:pPr>
                  <w:r w:rsidRPr="00B910D6">
                    <w:rPr>
                      <w:sz w:val="18"/>
                      <w:szCs w:val="18"/>
                      <w:lang w:val="fr-FR"/>
                    </w:rPr>
                    <w:t>L’un des pays les plus pauvres du monde, pas d’État de droit, territoires contrôlés par des milices, notamment Al-Shabaab (groupe terroriste affilié à Al-Qaïda) et mouvement sécessionniste au nord.</w:t>
                  </w:r>
                </w:p>
                <w:p w:rsidR="00B910D6" w:rsidRPr="00B910D6" w:rsidRDefault="00B910D6" w:rsidP="00A5323D">
                  <w:pPr>
                    <w:pStyle w:val="TKTextetableau"/>
                    <w:rPr>
                      <w:sz w:val="18"/>
                      <w:szCs w:val="18"/>
                      <w:lang w:val="fr-FR"/>
                    </w:rPr>
                  </w:pPr>
                  <w:r w:rsidRPr="00B910D6">
                    <w:rPr>
                      <w:sz w:val="18"/>
                      <w:szCs w:val="18"/>
                      <w:lang w:val="fr-FR"/>
                    </w:rPr>
                    <w:t>Population : 10 M.</w:t>
                  </w:r>
                  <w:r w:rsidR="00A5323D">
                    <w:rPr>
                      <w:sz w:val="18"/>
                      <w:szCs w:val="18"/>
                      <w:lang w:val="fr-FR"/>
                    </w:rPr>
                    <w:t xml:space="preserve"> ; </w:t>
                  </w:r>
                  <w:r w:rsidRPr="00B910D6">
                    <w:rPr>
                      <w:sz w:val="18"/>
                      <w:szCs w:val="18"/>
                      <w:lang w:val="fr-FR"/>
                    </w:rPr>
                    <w:t>PIB/habitant : 600 USD.</w:t>
                  </w:r>
                </w:p>
                <w:p w:rsidR="00B910D6" w:rsidRPr="006310E0" w:rsidRDefault="00B910D6" w:rsidP="00485AA4">
                  <w:pPr>
                    <w:pStyle w:val="TKTextetableau"/>
                    <w:rPr>
                      <w:lang w:val="fr-FR"/>
                    </w:rPr>
                  </w:pPr>
                  <w:r w:rsidRPr="00B910D6">
                    <w:rPr>
                      <w:sz w:val="18"/>
                      <w:szCs w:val="18"/>
                      <w:lang w:val="fr-FR"/>
                    </w:rPr>
                    <w:t>Langues : somali et arabe (langues co-officielles).</w:t>
                  </w:r>
                </w:p>
              </w:txbxContent>
            </v:textbox>
            <w10:wrap type="through" anchorx="margin" anchory="margin"/>
          </v:shape>
        </w:pict>
      </w:r>
      <w:r>
        <w:rPr>
          <w:noProof/>
        </w:rPr>
        <w:pict>
          <v:shape id="_x0000_s1036" type="#_x0000_t202" style="position:absolute;margin-left:165pt;margin-top:501.05pt;width:169.5pt;height:117.8pt;z-index:-6;visibility:visible;mso-height-percent:200;mso-wrap-distance-left:9pt;mso-wrap-distance-top:3.6pt;mso-wrap-distance-right:9pt;mso-wrap-distance-bottom:3.6pt;mso-position-horizontal-relative:margin;mso-position-vertical-relative:margin;mso-height-percent:200;mso-width-relative:margin;mso-height-relative:margin;v-text-anchor:top" wrapcoords="-82 -152 -82 21600 21682 21600 21682 -152 -82 -152">
            <v:textbox style="mso-fit-shape-to-text:t">
              <w:txbxContent>
                <w:p w:rsidR="00B910D6" w:rsidRPr="00B910D6" w:rsidRDefault="00B910D6" w:rsidP="00B910D6">
                  <w:pPr>
                    <w:pStyle w:val="TKTITRE2"/>
                    <w:spacing w:before="0" w:after="0"/>
                    <w:rPr>
                      <w:rFonts w:cs="Arial"/>
                      <w:sz w:val="18"/>
                      <w:szCs w:val="18"/>
                      <w:lang w:val="fr-FR"/>
                    </w:rPr>
                  </w:pPr>
                  <w:r w:rsidRPr="00B910D6">
                    <w:rPr>
                      <w:sz w:val="18"/>
                      <w:szCs w:val="18"/>
                      <w:lang w:val="fr-FR"/>
                    </w:rPr>
                    <w:t>Érythrée</w:t>
                  </w:r>
                </w:p>
                <w:p w:rsidR="00B910D6" w:rsidRPr="00B910D6" w:rsidRDefault="00B910D6" w:rsidP="00B910D6">
                  <w:pPr>
                    <w:pStyle w:val="TKTextetableau"/>
                    <w:rPr>
                      <w:sz w:val="18"/>
                      <w:szCs w:val="18"/>
                      <w:lang w:val="fr-FR"/>
                    </w:rPr>
                  </w:pPr>
                  <w:r w:rsidRPr="00B910D6">
                    <w:rPr>
                      <w:sz w:val="18"/>
                      <w:szCs w:val="18"/>
                      <w:lang w:val="fr-FR"/>
                    </w:rPr>
                    <w:t>Service militaire d’une durée indéterminée obligatoire. Atteintes généralisées aux droits de l’homme.</w:t>
                  </w:r>
                </w:p>
                <w:p w:rsidR="00B910D6" w:rsidRPr="00B910D6" w:rsidRDefault="00B910D6" w:rsidP="00A5323D">
                  <w:pPr>
                    <w:pStyle w:val="TKTextetableau"/>
                    <w:rPr>
                      <w:sz w:val="18"/>
                      <w:szCs w:val="18"/>
                      <w:lang w:val="fr-FR"/>
                    </w:rPr>
                  </w:pPr>
                  <w:r w:rsidRPr="00B910D6">
                    <w:rPr>
                      <w:sz w:val="18"/>
                      <w:szCs w:val="18"/>
                      <w:lang w:val="fr-FR"/>
                    </w:rPr>
                    <w:t>Population : 6,4</w:t>
                  </w:r>
                  <w:r w:rsidR="00A5323D">
                    <w:rPr>
                      <w:sz w:val="18"/>
                      <w:szCs w:val="18"/>
                      <w:lang w:val="fr-FR"/>
                    </w:rPr>
                    <w:t xml:space="preserve"> M ; </w:t>
                  </w:r>
                  <w:r w:rsidRPr="00B910D6">
                    <w:rPr>
                      <w:sz w:val="18"/>
                      <w:szCs w:val="18"/>
                      <w:lang w:val="fr-FR"/>
                    </w:rPr>
                    <w:t>PIB/habitant : 1</w:t>
                  </w:r>
                  <w:r w:rsidRPr="00B910D6">
                    <w:rPr>
                      <w:rFonts w:cs="Arial"/>
                      <w:sz w:val="18"/>
                      <w:szCs w:val="18"/>
                      <w:lang w:val="fr-FR"/>
                    </w:rPr>
                    <w:t> </w:t>
                  </w:r>
                  <w:r w:rsidRPr="00B910D6">
                    <w:rPr>
                      <w:sz w:val="18"/>
                      <w:szCs w:val="18"/>
                      <w:lang w:val="fr-FR"/>
                    </w:rPr>
                    <w:t>314 USD</w:t>
                  </w:r>
                  <w:r w:rsidR="00A5323D">
                    <w:rPr>
                      <w:sz w:val="18"/>
                      <w:szCs w:val="18"/>
                      <w:lang w:val="fr-FR"/>
                    </w:rPr>
                    <w:t xml:space="preserve">, </w:t>
                  </w:r>
                  <w:r w:rsidRPr="00B910D6">
                    <w:rPr>
                      <w:sz w:val="18"/>
                      <w:szCs w:val="18"/>
                      <w:lang w:val="fr-FR"/>
                    </w:rPr>
                    <w:t>IDH : 0,391 (186).</w:t>
                  </w:r>
                </w:p>
                <w:p w:rsidR="00B910D6" w:rsidRPr="00B910D6" w:rsidRDefault="00B910D6" w:rsidP="00B910D6">
                  <w:pPr>
                    <w:pStyle w:val="TKTextetableau"/>
                    <w:rPr>
                      <w:lang w:val="fr-FR"/>
                    </w:rPr>
                  </w:pPr>
                  <w:r w:rsidRPr="00B910D6">
                    <w:rPr>
                      <w:sz w:val="18"/>
                      <w:szCs w:val="18"/>
                      <w:lang w:val="fr-FR"/>
                    </w:rPr>
                    <w:t>Langues : pas de langue officielle, mais le tigrinya est parlé par environ la moitié de la population. Arabe standard, anglais, italien, afar, bedja, kunama, nara et tigré.</w:t>
                  </w:r>
                </w:p>
              </w:txbxContent>
            </v:textbox>
            <w10:wrap type="through" anchorx="margin" anchory="margin"/>
          </v:shape>
        </w:pict>
      </w:r>
      <w:r>
        <w:rPr>
          <w:noProof/>
        </w:rPr>
        <w:pict>
          <v:shape id="_x0000_s1040" type="#_x0000_t202" style="position:absolute;margin-left:378.75pt;margin-top:333.05pt;width:137.45pt;height:64.5pt;z-index:-2;visibility:visible;mso-wrap-distance-left:9pt;mso-wrap-distance-top:3.6pt;mso-wrap-distance-right:9pt;mso-wrap-distance-bottom:3.6pt;mso-position-horizontal-relative:margin;mso-position-vertical-relative:margin;mso-width-relative:margin;mso-height-relative:margin;v-text-anchor:top" wrapcoords="-82 -152 -82 21600 21682 21600 21682 -152 -82 -152">
            <v:textbox>
              <w:txbxContent>
                <w:p w:rsidR="00A5323D" w:rsidRPr="00B910D6" w:rsidRDefault="00A5323D" w:rsidP="00A5323D">
                  <w:pPr>
                    <w:pStyle w:val="TKTITRE2"/>
                    <w:spacing w:before="0" w:after="0"/>
                    <w:rPr>
                      <w:rFonts w:cs="Arial"/>
                      <w:sz w:val="18"/>
                      <w:szCs w:val="18"/>
                      <w:lang w:val="fr-FR"/>
                    </w:rPr>
                  </w:pPr>
                  <w:r w:rsidRPr="00B910D6">
                    <w:rPr>
                      <w:sz w:val="18"/>
                      <w:szCs w:val="18"/>
                      <w:lang w:val="fr-FR"/>
                    </w:rPr>
                    <w:t>Irak</w:t>
                  </w:r>
                </w:p>
                <w:p w:rsidR="00A5323D" w:rsidRPr="00B910D6" w:rsidRDefault="00A5323D" w:rsidP="00A5323D">
                  <w:pPr>
                    <w:pStyle w:val="TKTextetableau"/>
                    <w:rPr>
                      <w:sz w:val="18"/>
                      <w:szCs w:val="18"/>
                      <w:lang w:val="fr-FR"/>
                    </w:rPr>
                  </w:pPr>
                  <w:r w:rsidRPr="00B910D6">
                    <w:rPr>
                      <w:sz w:val="18"/>
                      <w:szCs w:val="18"/>
                      <w:lang w:val="fr-FR"/>
                    </w:rPr>
                    <w:t>En guerre depuis 2003.</w:t>
                  </w:r>
                </w:p>
                <w:p w:rsidR="00A5323D" w:rsidRPr="00B910D6" w:rsidRDefault="00A5323D" w:rsidP="00A5323D">
                  <w:pPr>
                    <w:pStyle w:val="TKTextetableau"/>
                    <w:rPr>
                      <w:sz w:val="18"/>
                      <w:szCs w:val="18"/>
                      <w:lang w:val="fr-FR"/>
                    </w:rPr>
                  </w:pPr>
                  <w:r w:rsidRPr="00B910D6">
                    <w:rPr>
                      <w:sz w:val="18"/>
                      <w:szCs w:val="18"/>
                      <w:lang w:val="fr-FR"/>
                    </w:rPr>
                    <w:t>Population : 37 M. PIB/habitant : 13</w:t>
                  </w:r>
                  <w:r w:rsidRPr="00B910D6">
                    <w:rPr>
                      <w:rFonts w:cs="Arial"/>
                      <w:sz w:val="18"/>
                      <w:szCs w:val="18"/>
                      <w:lang w:val="fr-FR"/>
                    </w:rPr>
                    <w:t> </w:t>
                  </w:r>
                  <w:r w:rsidRPr="00B910D6">
                    <w:rPr>
                      <w:sz w:val="18"/>
                      <w:szCs w:val="18"/>
                      <w:lang w:val="fr-FR"/>
                    </w:rPr>
                    <w:t>817 USD, IDH : 0,654 (121).</w:t>
                  </w:r>
                </w:p>
                <w:p w:rsidR="00A5323D" w:rsidRPr="00A5323D" w:rsidRDefault="00A5323D" w:rsidP="00A5323D">
                  <w:pPr>
                    <w:pStyle w:val="TKTextetableau"/>
                    <w:rPr>
                      <w:sz w:val="18"/>
                      <w:szCs w:val="18"/>
                      <w:lang w:val="fr-FR"/>
                    </w:rPr>
                  </w:pPr>
                  <w:r w:rsidRPr="00B910D6">
                    <w:rPr>
                      <w:sz w:val="18"/>
                      <w:szCs w:val="18"/>
                      <w:lang w:val="fr-FR"/>
                    </w:rPr>
                    <w:t>Langues : arabe, kurde.</w:t>
                  </w:r>
                </w:p>
              </w:txbxContent>
            </v:textbox>
            <w10:wrap type="through"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5" type="#_x0000_t75" style="position:absolute;margin-left:13.5pt;margin-top:66.1pt;width:479.25pt;height:335.25pt;z-index:-8;visibility:visible;mso-position-horizontal-relative:text;mso-position-vertical-relative:text;mso-width-relative:page;mso-height-relative:page">
            <v:imagedata r:id="rId7" o:title=""/>
            <w10:wrap type="topAndBottom"/>
          </v:shape>
        </w:pict>
      </w:r>
      <w:r w:rsidR="004C7A6F">
        <w:rPr>
          <w:lang w:val="fr-FR"/>
        </w:rPr>
        <w:t>Environ 84% des réfugié</w:t>
      </w:r>
      <w:r w:rsidR="004C7A6F" w:rsidRPr="008727F8">
        <w:rPr>
          <w:lang w:val="fr-FR"/>
        </w:rPr>
        <w:t xml:space="preserve">s </w:t>
      </w:r>
      <w:r w:rsidR="004C7A6F">
        <w:rPr>
          <w:lang w:val="fr-FR"/>
        </w:rPr>
        <w:t>proviennent de trois pays du Moyen-Orient actuellement en guerre : la Syrie (49%),</w:t>
      </w:r>
      <w:r w:rsidR="004C7A6F" w:rsidRPr="008727F8">
        <w:rPr>
          <w:lang w:val="fr-FR"/>
        </w:rPr>
        <w:t xml:space="preserve"> </w:t>
      </w:r>
      <w:r w:rsidR="004C7A6F">
        <w:rPr>
          <w:lang w:val="fr-FR"/>
        </w:rPr>
        <w:t>l’</w:t>
      </w:r>
      <w:r w:rsidR="004C7A6F" w:rsidRPr="008727F8">
        <w:rPr>
          <w:lang w:val="fr-FR"/>
        </w:rPr>
        <w:t xml:space="preserve">Afghanistan </w:t>
      </w:r>
      <w:r w:rsidR="004C7A6F">
        <w:rPr>
          <w:lang w:val="fr-FR"/>
        </w:rPr>
        <w:t>(21%) et l’Irak</w:t>
      </w:r>
      <w:r w:rsidR="004C7A6F" w:rsidRPr="008727F8">
        <w:rPr>
          <w:lang w:val="fr-FR"/>
        </w:rPr>
        <w:t xml:space="preserve"> </w:t>
      </w:r>
      <w:r w:rsidR="004C7A6F">
        <w:rPr>
          <w:lang w:val="fr-FR"/>
        </w:rPr>
        <w:t>(</w:t>
      </w:r>
      <w:r w:rsidR="004C7A6F" w:rsidRPr="008727F8">
        <w:rPr>
          <w:lang w:val="fr-FR"/>
        </w:rPr>
        <w:t>9%</w:t>
      </w:r>
      <w:r w:rsidR="004C7A6F">
        <w:rPr>
          <w:lang w:val="fr-FR"/>
        </w:rPr>
        <w:t>)</w:t>
      </w:r>
      <w:r w:rsidR="004C7A6F" w:rsidRPr="008727F8">
        <w:rPr>
          <w:lang w:val="fr-FR"/>
        </w:rPr>
        <w:t xml:space="preserve">. </w:t>
      </w:r>
      <w:r w:rsidR="004C7A6F">
        <w:rPr>
          <w:lang w:val="fr-FR"/>
        </w:rPr>
        <w:t>Les 16% restants sont originaires de divers pays d’Afrique (notamment le Nigeria,</w:t>
      </w:r>
      <w:r w:rsidR="004C7A6F" w:rsidRPr="008727F8">
        <w:rPr>
          <w:lang w:val="fr-FR"/>
        </w:rPr>
        <w:t xml:space="preserve"> </w:t>
      </w:r>
      <w:r w:rsidR="004C7A6F">
        <w:rPr>
          <w:lang w:val="fr-FR"/>
        </w:rPr>
        <w:t>l’Érythrée</w:t>
      </w:r>
      <w:r w:rsidR="004C7A6F" w:rsidRPr="008727F8">
        <w:rPr>
          <w:lang w:val="fr-FR"/>
        </w:rPr>
        <w:t xml:space="preserve">, </w:t>
      </w:r>
      <w:r w:rsidR="004C7A6F">
        <w:rPr>
          <w:lang w:val="fr-FR"/>
        </w:rPr>
        <w:t xml:space="preserve">la Somalie et la Gambie), du </w:t>
      </w:r>
      <w:r w:rsidR="004C7A6F" w:rsidRPr="008727F8">
        <w:rPr>
          <w:lang w:val="fr-FR"/>
        </w:rPr>
        <w:t xml:space="preserve">Pakistan, </w:t>
      </w:r>
      <w:r w:rsidR="004C7A6F">
        <w:rPr>
          <w:lang w:val="fr-FR"/>
        </w:rPr>
        <w:t>d’Iran et d’Égypte, ou encore de pays d’Europe de l’Est et du Sud-Est</w:t>
      </w:r>
      <w:r w:rsidR="004C7A6F" w:rsidRPr="008727F8">
        <w:rPr>
          <w:lang w:val="fr-FR"/>
        </w:rPr>
        <w:t>.</w:t>
      </w:r>
    </w:p>
    <w:p w:rsidR="002D1F78" w:rsidRPr="006310E0" w:rsidRDefault="004C7A6F" w:rsidP="002D1F78">
      <w:pPr>
        <w:pStyle w:val="TKnotes"/>
        <w:rPr>
          <w:lang w:val="fr-FR"/>
        </w:rPr>
      </w:pPr>
      <w:r w:rsidRPr="00B910D6">
        <w:rPr>
          <w:b/>
          <w:bCs/>
          <w:lang w:val="fr-FR"/>
        </w:rPr>
        <w:t>Notes :</w:t>
      </w:r>
      <w:r w:rsidRPr="00B910D6">
        <w:rPr>
          <w:lang w:val="fr-FR"/>
        </w:rPr>
        <w:t xml:space="preserve"> PIB/habitant = Produit intérieur brut par habitant</w:t>
      </w:r>
      <w:r w:rsidRPr="00B910D6">
        <w:rPr>
          <w:rFonts w:cs="Arial"/>
          <w:lang w:val="fr-FR"/>
        </w:rPr>
        <w:t> </w:t>
      </w:r>
      <w:r w:rsidRPr="00B910D6">
        <w:rPr>
          <w:lang w:val="fr-FR"/>
        </w:rPr>
        <w:t xml:space="preserve">: Valeur totale des biens et services produits sur une année, exprimée en dollars internationaux (USD) et divisée par le nombre d’habitants - ajustée pour tenir compte de la parité de pouvoir d’achat. </w:t>
      </w:r>
      <w:r w:rsidRPr="006310E0">
        <w:rPr>
          <w:lang w:val="fr-FR"/>
        </w:rPr>
        <w:t>IDH = Indice de développement humain</w:t>
      </w:r>
      <w:r w:rsidRPr="006310E0">
        <w:rPr>
          <w:rFonts w:cs="Arial"/>
          <w:lang w:val="fr-FR"/>
        </w:rPr>
        <w:t> </w:t>
      </w:r>
      <w:r w:rsidRPr="006310E0">
        <w:rPr>
          <w:lang w:val="fr-FR"/>
        </w:rPr>
        <w:t>: statistique composite calculée à partir de trois indicateurs : l’espérance de vie, l’éducation et l’économie. PDI = Personnes déplacées à l’intérieur de leur propre pays</w:t>
      </w:r>
    </w:p>
    <w:p w:rsidR="004C7A6F" w:rsidRPr="006310E0" w:rsidRDefault="004C7A6F" w:rsidP="002D1F78">
      <w:pPr>
        <w:pStyle w:val="TKTITRE1"/>
        <w:rPr>
          <w:lang w:val="fr-FR"/>
        </w:rPr>
      </w:pPr>
      <w:r w:rsidRPr="006310E0">
        <w:rPr>
          <w:lang w:val="fr-FR"/>
        </w:rPr>
        <w:lastRenderedPageBreak/>
        <w:t xml:space="preserve">Comment les réfugiés gagnent-ils </w:t>
      </w:r>
      <w:r w:rsidR="00B71D6E" w:rsidRPr="006310E0">
        <w:rPr>
          <w:lang w:val="fr-FR"/>
        </w:rPr>
        <w:t>l’Europe ?</w:t>
      </w:r>
    </w:p>
    <w:p w:rsidR="004C7A6F" w:rsidRPr="008727F8" w:rsidRDefault="004C7A6F" w:rsidP="001B29DB">
      <w:pPr>
        <w:pStyle w:val="TKTEXTE"/>
        <w:rPr>
          <w:lang w:val="fr-FR"/>
        </w:rPr>
      </w:pPr>
      <w:r>
        <w:rPr>
          <w:lang w:val="fr-FR"/>
        </w:rPr>
        <w:t>Avant d’arriver en Europe, bon nombre de réfugiés ont passé des années dans des camps en Turquie, au Liban ou en Éthiopie</w:t>
      </w:r>
      <w:r w:rsidRPr="008727F8">
        <w:rPr>
          <w:lang w:val="fr-FR"/>
        </w:rPr>
        <w:t xml:space="preserve">. </w:t>
      </w:r>
      <w:r>
        <w:rPr>
          <w:lang w:val="fr-FR"/>
        </w:rPr>
        <w:t>Les mauvaises conditions qui y prévalent et l’absence de perspectives, tant dans ces pays que dans les pays d’origine, sont quelques-uns des facteurs</w:t>
      </w:r>
      <w:r w:rsidRPr="008727F8">
        <w:rPr>
          <w:lang w:val="fr-FR"/>
        </w:rPr>
        <w:t xml:space="preserve"> </w:t>
      </w:r>
      <w:r>
        <w:rPr>
          <w:lang w:val="fr-FR"/>
        </w:rPr>
        <w:t>qui poussent ces personnes à risquer leur vie pour tenter de gagner l’Europe. La plupart d’entre elles empruntent la route de la Méditerranée centrale, ou celle des Balkans</w:t>
      </w:r>
      <w:r w:rsidRPr="008727F8">
        <w:rPr>
          <w:lang w:val="fr-FR"/>
        </w:rPr>
        <w:t xml:space="preserve">. </w:t>
      </w:r>
      <w:r>
        <w:rPr>
          <w:lang w:val="fr-FR"/>
        </w:rPr>
        <w:t>Mais il existe aussi d’autres routes, ou des variantes des routes principales</w:t>
      </w:r>
      <w:r w:rsidRPr="008727F8">
        <w:rPr>
          <w:lang w:val="fr-FR"/>
        </w:rPr>
        <w:t>.</w:t>
      </w:r>
    </w:p>
    <w:p w:rsidR="004C7A6F" w:rsidRPr="008727F8" w:rsidRDefault="00167D16" w:rsidP="00AA20E6">
      <w:pPr>
        <w:jc w:val="center"/>
        <w:rPr>
          <w:rFonts w:cs="Arial"/>
        </w:rPr>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7" type="#_x0000_t67" style="position:absolute;left:0;text-align:left;margin-left:235.6pt;margin-top:156.8pt;width:21.25pt;height:74.9pt;rotation:10765418fd;z-index:3;visibility:visible">
            <v:textbox style="layout-flow:vertical-ideographic"/>
          </v:shape>
        </w:pict>
      </w:r>
      <w:r>
        <w:rPr>
          <w:noProof/>
          <w:lang w:eastAsia="fr-FR"/>
        </w:rPr>
        <w:pict>
          <v:shape id="AutoShape 14" o:spid="_x0000_s1028" type="#_x0000_t67" style="position:absolute;left:0;text-align:left;margin-left:289.25pt;margin-top:40.55pt;width:21.25pt;height:141.75pt;rotation:8929869fd;z-index:1;visibility:visible" fillcolor="#4472c4">
            <v:textbox style="layout-flow:vertical-ideographic"/>
          </v:shape>
        </w:pict>
      </w:r>
      <w:r w:rsidR="001C4F3F">
        <w:rPr>
          <w:rFonts w:cs="Arial"/>
          <w:noProof/>
          <w:lang w:eastAsia="fr-FR"/>
        </w:rPr>
        <w:pict>
          <v:shape id="Picture 2" o:spid="_x0000_i1025" type="#_x0000_t75" style="width:468.75pt;height:249pt;visibility:visible">
            <v:imagedata r:id="rId8" o:title=""/>
          </v:shape>
        </w:pict>
      </w:r>
    </w:p>
    <w:p w:rsidR="004C7A6F" w:rsidRPr="008727F8" w:rsidRDefault="00167D16" w:rsidP="00E4038E">
      <w:pPr>
        <w:pStyle w:val="TKTITRE2"/>
        <w:rPr>
          <w:lang w:val="fr-FR"/>
        </w:rPr>
      </w:pPr>
      <w:r>
        <w:rPr>
          <w:noProof/>
          <w:lang w:eastAsia="fr-FR"/>
        </w:rPr>
        <w:pict>
          <v:shape id="AutoShape 15" o:spid="_x0000_s1026" type="#_x0000_t67" style="position:absolute;margin-left:198.25pt;margin-top:-56.6pt;width:21.25pt;height:141.75pt;rotation:-90;z-index:2;visibility:visible" fillcolor="#4472c4">
            <v:textbox style="layout-flow:vertical-ideographic"/>
          </v:shape>
        </w:pict>
      </w:r>
      <w:r w:rsidR="004C7A6F">
        <w:rPr>
          <w:noProof/>
          <w:lang w:val="fr-FR" w:eastAsia="fr-FR"/>
        </w:rPr>
        <w:t>La Route des</w:t>
      </w:r>
      <w:r w:rsidR="004C7A6F" w:rsidRPr="008727F8">
        <w:rPr>
          <w:lang w:val="fr-FR"/>
        </w:rPr>
        <w:t xml:space="preserve"> B</w:t>
      </w:r>
      <w:r w:rsidR="004C7A6F">
        <w:rPr>
          <w:lang w:val="fr-FR"/>
        </w:rPr>
        <w:t>alkan</w:t>
      </w:r>
      <w:r w:rsidR="00B71D6E">
        <w:rPr>
          <w:lang w:val="fr-FR"/>
        </w:rPr>
        <w:t xml:space="preserve">s </w:t>
      </w:r>
      <w:r w:rsidR="004C7A6F" w:rsidRPr="008727F8">
        <w:rPr>
          <w:lang w:val="fr-FR"/>
        </w:rPr>
        <w:t>:</w:t>
      </w:r>
    </w:p>
    <w:p w:rsidR="004C7A6F" w:rsidRPr="008727F8" w:rsidRDefault="004C7A6F" w:rsidP="00F4620A">
      <w:pPr>
        <w:pStyle w:val="TKTEXTE"/>
        <w:rPr>
          <w:lang w:val="fr-FR"/>
        </w:rPr>
      </w:pPr>
      <w:r>
        <w:rPr>
          <w:lang w:val="fr-FR"/>
        </w:rPr>
        <w:t>Par la voie maritime, de la Turquie vers les îles grecques (essentiellement Kos, Samos, Chios et Lesbos), puis par la voie terrestre via « l’ex-République yougoslave de Macédoine », la Serbie</w:t>
      </w:r>
      <w:r w:rsidRPr="008727F8">
        <w:rPr>
          <w:lang w:val="fr-FR"/>
        </w:rPr>
        <w:t xml:space="preserve">, </w:t>
      </w:r>
      <w:r>
        <w:rPr>
          <w:lang w:val="fr-FR"/>
        </w:rPr>
        <w:t>la Hongrie, la Croatie ou la Slovénie, vers l’Europe centrale, l’Europe du Nord ou l’Europe occidentale</w:t>
      </w:r>
      <w:r w:rsidRPr="008727F8">
        <w:rPr>
          <w:lang w:val="fr-FR"/>
        </w:rPr>
        <w:t>.</w:t>
      </w:r>
    </w:p>
    <w:p w:rsidR="004C7A6F" w:rsidRPr="008727F8" w:rsidRDefault="00167D16" w:rsidP="00B60977">
      <w:pPr>
        <w:pStyle w:val="TKTITRE2"/>
        <w:rPr>
          <w:lang w:val="fr-FR"/>
        </w:rPr>
      </w:pPr>
      <w:r>
        <w:rPr>
          <w:noProof/>
          <w:lang w:val="fr-FR" w:eastAsia="fr-FR"/>
        </w:rPr>
        <w:pict>
          <v:shape id="AutoShape 17" o:spid="_x0000_s1029" type="#_x0000_t67" style="position:absolute;margin-left:262.4pt;margin-top:-26.6pt;width:21.25pt;height:74.9pt;rotation:-90;z-index:4;visibility:visible">
            <v:textbox style="layout-flow:vertical-ideographic"/>
          </v:shape>
        </w:pict>
      </w:r>
      <w:r w:rsidR="004C7A6F">
        <w:rPr>
          <w:lang w:val="fr-FR"/>
        </w:rPr>
        <w:t xml:space="preserve">La Route de la Méditerranée centrale </w:t>
      </w:r>
      <w:r w:rsidR="004C7A6F" w:rsidRPr="008727F8">
        <w:rPr>
          <w:lang w:val="fr-FR"/>
        </w:rPr>
        <w:t>:</w:t>
      </w:r>
    </w:p>
    <w:p w:rsidR="004C7A6F" w:rsidRPr="008727F8" w:rsidRDefault="004C7A6F" w:rsidP="00B60977">
      <w:pPr>
        <w:pStyle w:val="TKTEXTE"/>
        <w:rPr>
          <w:lang w:val="fr-FR"/>
        </w:rPr>
      </w:pPr>
      <w:r>
        <w:rPr>
          <w:lang w:val="fr-FR"/>
        </w:rPr>
        <w:t>Par la voie terrestre, de l’Afrique sub-saharienne à la Libye, puis par la voie maritime, souvent dans des embarcations de fortune ou des bateaux surchargés, de la côte libyenne aux îles italiennes de Lampedusa et de Sicile, ou à Malte – ou sauvetage en mer par des navires italiens ou européens</w:t>
      </w:r>
      <w:r w:rsidRPr="008727F8">
        <w:rPr>
          <w:lang w:val="fr-FR"/>
        </w:rPr>
        <w:t>.</w:t>
      </w:r>
    </w:p>
    <w:p w:rsidR="004C7A6F" w:rsidRPr="008727F8" w:rsidRDefault="004C7A6F" w:rsidP="001B29DB">
      <w:pPr>
        <w:pStyle w:val="TKTEXTE"/>
        <w:rPr>
          <w:lang w:val="fr-FR"/>
        </w:rPr>
      </w:pPr>
      <w:r>
        <w:rPr>
          <w:lang w:val="fr-FR"/>
        </w:rPr>
        <w:t>La Route de la Méditerranée a été empruntée par de très nombreux migrants originaires d’Afrique sub-saharienne depuis 2013, année où a éclaté la guerre civile en Libye</w:t>
      </w:r>
      <w:r w:rsidRPr="008727F8">
        <w:rPr>
          <w:lang w:val="fr-FR"/>
        </w:rPr>
        <w:t xml:space="preserve">. </w:t>
      </w:r>
      <w:r>
        <w:rPr>
          <w:lang w:val="fr-FR"/>
        </w:rPr>
        <w:t xml:space="preserve">L’absence d’État de droit et l’instabilité persistante dans ce pays ont permis l’exploitation, par des </w:t>
      </w:r>
      <w:r w:rsidR="00971310">
        <w:rPr>
          <w:lang w:val="fr-FR"/>
        </w:rPr>
        <w:t>réseaux</w:t>
      </w:r>
      <w:r>
        <w:rPr>
          <w:lang w:val="fr-FR"/>
        </w:rPr>
        <w:t xml:space="preserve"> de passeurs, des candidats à la migration vers l’Europe</w:t>
      </w:r>
      <w:r w:rsidRPr="008727F8">
        <w:rPr>
          <w:lang w:val="fr-FR"/>
        </w:rPr>
        <w:t xml:space="preserve">. </w:t>
      </w:r>
      <w:r>
        <w:rPr>
          <w:lang w:val="fr-FR"/>
        </w:rPr>
        <w:t>Ceux-ci versent d’importantes sommes d’argent (qui représentent souvent toutes les économies de la famille et des amis) pour être guidés lors de la traversée des frontières ou pour obtenir une place sur un bateau</w:t>
      </w:r>
      <w:r w:rsidRPr="008727F8">
        <w:rPr>
          <w:lang w:val="fr-FR"/>
        </w:rPr>
        <w:t xml:space="preserve">. </w:t>
      </w:r>
      <w:r>
        <w:rPr>
          <w:lang w:val="fr-FR"/>
        </w:rPr>
        <w:t>Ils sont des milliers à avoir perdu la vie en mer ces dernières années</w:t>
      </w:r>
      <w:r w:rsidRPr="008727F8">
        <w:rPr>
          <w:lang w:val="fr-FR"/>
        </w:rPr>
        <w:t>.</w:t>
      </w:r>
    </w:p>
    <w:p w:rsidR="004C7A6F" w:rsidRPr="008727F8" w:rsidRDefault="004C7A6F" w:rsidP="001B29DB">
      <w:pPr>
        <w:pStyle w:val="TKTEXTE"/>
        <w:rPr>
          <w:lang w:val="fr-FR"/>
        </w:rPr>
      </w:pPr>
      <w:r>
        <w:rPr>
          <w:lang w:val="fr-FR"/>
        </w:rPr>
        <w:t>Vous trouverez des statistiques récentes à ce sujet sur les sites des organismes suivants </w:t>
      </w:r>
      <w:r w:rsidRPr="008727F8">
        <w:rPr>
          <w:lang w:val="fr-FR"/>
        </w:rPr>
        <w:t>:</w:t>
      </w:r>
    </w:p>
    <w:p w:rsidR="004C7A6F" w:rsidRPr="008727F8" w:rsidRDefault="00167D16" w:rsidP="001B29DB">
      <w:pPr>
        <w:pStyle w:val="TKBulletLevel1"/>
        <w:rPr>
          <w:lang w:val="fr-FR"/>
        </w:rPr>
      </w:pPr>
      <w:hyperlink r:id="rId9" w:history="1">
        <w:r w:rsidR="004C7A6F">
          <w:rPr>
            <w:rStyle w:val="Lienhypertexte"/>
            <w:lang w:val="fr-FR"/>
          </w:rPr>
          <w:t>l'Organisation internationale pour les Migrations</w:t>
        </w:r>
      </w:hyperlink>
      <w:r w:rsidR="004C7A6F">
        <w:rPr>
          <w:lang w:val="fr-FR"/>
        </w:rPr>
        <w:t xml:space="preserve"> (</w:t>
      </w:r>
      <w:r w:rsidR="004C7A6F" w:rsidRPr="008727F8">
        <w:rPr>
          <w:lang w:val="fr-FR"/>
        </w:rPr>
        <w:t>O</w:t>
      </w:r>
      <w:r w:rsidR="004C7A6F">
        <w:rPr>
          <w:lang w:val="fr-FR"/>
        </w:rPr>
        <w:t>IM) ;</w:t>
      </w:r>
    </w:p>
    <w:p w:rsidR="004C7A6F" w:rsidRPr="008727F8" w:rsidRDefault="00167D16" w:rsidP="001B29DB">
      <w:pPr>
        <w:pStyle w:val="TKBulletLevel1"/>
        <w:rPr>
          <w:lang w:val="fr-FR"/>
        </w:rPr>
      </w:pPr>
      <w:hyperlink r:id="rId10" w:history="1">
        <w:r w:rsidR="004C7A6F">
          <w:rPr>
            <w:rStyle w:val="Lienhypertexte"/>
            <w:lang w:val="fr-FR"/>
          </w:rPr>
          <w:t>le Bureau européen d'appui en matière d'asile</w:t>
        </w:r>
      </w:hyperlink>
      <w:r w:rsidR="004C7A6F" w:rsidRPr="008727F8">
        <w:rPr>
          <w:lang w:val="fr-FR"/>
        </w:rPr>
        <w:t xml:space="preserve"> (EASO).</w:t>
      </w:r>
    </w:p>
    <w:p w:rsidR="004C7A6F" w:rsidRPr="008727F8" w:rsidRDefault="00167D16" w:rsidP="001B29DB">
      <w:pPr>
        <w:pStyle w:val="TKBulletLevel1"/>
        <w:rPr>
          <w:lang w:val="fr-FR"/>
        </w:rPr>
      </w:pPr>
      <w:hyperlink r:id="rId11" w:history="1">
        <w:r w:rsidR="004C7A6F">
          <w:rPr>
            <w:rStyle w:val="Lienhypertexte"/>
            <w:lang w:val="fr-FR"/>
          </w:rPr>
          <w:t>l'Institut des politiques migratoires</w:t>
        </w:r>
      </w:hyperlink>
      <w:r w:rsidR="004C7A6F" w:rsidRPr="008727F8">
        <w:rPr>
          <w:lang w:val="fr-FR"/>
        </w:rPr>
        <w:t xml:space="preserve"> (MPI).</w:t>
      </w:r>
    </w:p>
    <w:p w:rsidR="004C7A6F" w:rsidRPr="008727F8" w:rsidRDefault="004C7A6F" w:rsidP="001B29DB">
      <w:pPr>
        <w:pStyle w:val="TKTITRE1"/>
        <w:rPr>
          <w:rFonts w:cs="Arial"/>
          <w:lang w:val="fr-FR"/>
        </w:rPr>
      </w:pPr>
      <w:r>
        <w:rPr>
          <w:lang w:val="fr-FR"/>
        </w:rPr>
        <w:lastRenderedPageBreak/>
        <w:t>Qui sont les réfugiés de votre</w:t>
      </w:r>
      <w:r w:rsidRPr="008727F8">
        <w:rPr>
          <w:lang w:val="fr-FR"/>
        </w:rPr>
        <w:t xml:space="preserve"> group</w:t>
      </w:r>
      <w:r>
        <w:rPr>
          <w:lang w:val="fr-FR"/>
        </w:rPr>
        <w:t>e</w:t>
      </w:r>
      <w:r>
        <w:rPr>
          <w:rFonts w:cs="Arial"/>
          <w:lang w:val="fr-FR"/>
        </w:rPr>
        <w:t> </w:t>
      </w:r>
      <w:r>
        <w:rPr>
          <w:lang w:val="fr-FR"/>
        </w:rPr>
        <w:t>?</w:t>
      </w:r>
    </w:p>
    <w:p w:rsidR="004C7A6F" w:rsidRPr="008727F8" w:rsidRDefault="004C7A6F" w:rsidP="007C6439">
      <w:pPr>
        <w:pStyle w:val="TKTITRE2"/>
        <w:rPr>
          <w:lang w:val="fr-FR"/>
        </w:rPr>
      </w:pPr>
      <w:r>
        <w:rPr>
          <w:lang w:val="fr-FR"/>
        </w:rPr>
        <w:t>Il existe plusieurs sources d’information possibles</w:t>
      </w:r>
      <w:r>
        <w:rPr>
          <w:rFonts w:cs="Arial"/>
          <w:lang w:val="fr-FR"/>
        </w:rPr>
        <w:t> </w:t>
      </w:r>
      <w:r w:rsidRPr="008727F8">
        <w:rPr>
          <w:lang w:val="fr-FR"/>
        </w:rPr>
        <w:t>:</w:t>
      </w:r>
    </w:p>
    <w:p w:rsidR="004C7A6F" w:rsidRPr="008727F8" w:rsidRDefault="004C7A6F" w:rsidP="001B29DB">
      <w:pPr>
        <w:pStyle w:val="TKBulletLevel1"/>
        <w:rPr>
          <w:lang w:val="fr-FR"/>
        </w:rPr>
      </w:pPr>
      <w:r>
        <w:rPr>
          <w:lang w:val="fr-FR"/>
        </w:rPr>
        <w:t>l’équipe, l’institution ou</w:t>
      </w:r>
      <w:r w:rsidRPr="008727F8">
        <w:rPr>
          <w:lang w:val="fr-FR"/>
        </w:rPr>
        <w:t xml:space="preserve"> </w:t>
      </w:r>
      <w:r>
        <w:rPr>
          <w:lang w:val="fr-FR"/>
        </w:rPr>
        <w:t>l’</w:t>
      </w:r>
      <w:r w:rsidRPr="008727F8">
        <w:rPr>
          <w:lang w:val="fr-FR"/>
        </w:rPr>
        <w:t xml:space="preserve">organisation </w:t>
      </w:r>
      <w:r>
        <w:rPr>
          <w:lang w:val="fr-FR"/>
        </w:rPr>
        <w:t>qui gère le camp/le centre/l’installation, ou des acteurs clés tels que les médiateurs interculturels</w:t>
      </w:r>
      <w:r w:rsidRPr="008727F8">
        <w:rPr>
          <w:lang w:val="fr-FR"/>
        </w:rPr>
        <w:t xml:space="preserve">. </w:t>
      </w:r>
      <w:r>
        <w:rPr>
          <w:lang w:val="fr-FR"/>
        </w:rPr>
        <w:t>Ces personnes possèdent des informations sur la nationalité déclarée des réfugiés avec lesquels vous allez travailler, et, éventuellement, des données complémentaires</w:t>
      </w:r>
      <w:r w:rsidRPr="008727F8">
        <w:rPr>
          <w:lang w:val="fr-FR"/>
        </w:rPr>
        <w:t>. Note</w:t>
      </w:r>
      <w:r>
        <w:rPr>
          <w:lang w:val="fr-FR"/>
        </w:rPr>
        <w:t>z</w:t>
      </w:r>
      <w:r w:rsidRPr="008727F8">
        <w:rPr>
          <w:lang w:val="fr-FR"/>
        </w:rPr>
        <w:t xml:space="preserve">, </w:t>
      </w:r>
      <w:r>
        <w:rPr>
          <w:lang w:val="fr-FR"/>
        </w:rPr>
        <w:t xml:space="preserve">cependant, qu’elles ne sont peut-être pas en mesure de partager certaines de ces informations avec vous parce qu’elles sont </w:t>
      </w:r>
      <w:r w:rsidRPr="00425BE0">
        <w:rPr>
          <w:lang w:val="fr-FR"/>
        </w:rPr>
        <w:t>soumis</w:t>
      </w:r>
      <w:r>
        <w:rPr>
          <w:lang w:val="fr-FR"/>
        </w:rPr>
        <w:t>es</w:t>
      </w:r>
      <w:r w:rsidRPr="00425BE0">
        <w:rPr>
          <w:lang w:val="fr-FR"/>
        </w:rPr>
        <w:t xml:space="preserve"> à des règles de confidentialité </w:t>
      </w:r>
      <w:r>
        <w:rPr>
          <w:lang w:val="fr-FR"/>
        </w:rPr>
        <w:t>imposées par leur institution ou par leur profession</w:t>
      </w:r>
      <w:r w:rsidRPr="008727F8">
        <w:rPr>
          <w:lang w:val="fr-FR"/>
        </w:rPr>
        <w:t xml:space="preserve"> (</w:t>
      </w:r>
      <w:r>
        <w:rPr>
          <w:lang w:val="fr-FR"/>
        </w:rPr>
        <w:t>c’est notamment le cas des travailleurs sociaux, des psychologues et des médiateurs interculturels)</w:t>
      </w:r>
      <w:r w:rsidRPr="008727F8">
        <w:rPr>
          <w:lang w:val="fr-FR"/>
        </w:rPr>
        <w:t>.</w:t>
      </w:r>
    </w:p>
    <w:p w:rsidR="004C7A6F" w:rsidRPr="008727F8" w:rsidRDefault="004C7A6F" w:rsidP="001B29DB">
      <w:pPr>
        <w:pStyle w:val="TKBulletLevel1"/>
        <w:rPr>
          <w:lang w:val="fr-FR"/>
        </w:rPr>
      </w:pPr>
      <w:r w:rsidRPr="008727F8">
        <w:rPr>
          <w:lang w:val="fr-FR"/>
        </w:rPr>
        <w:t>In</w:t>
      </w:r>
      <w:r>
        <w:rPr>
          <w:lang w:val="fr-FR"/>
        </w:rPr>
        <w:t>ternet, les articles de presse et les livres – autant de sources que vous pouvez consulter par vous-même. Veillez cependant à ne pas généraliser : ce que vous avez lu dans ces sources ne s’applique pas forcément aux membres de votre groupe</w:t>
      </w:r>
      <w:r w:rsidRPr="008727F8">
        <w:rPr>
          <w:lang w:val="fr-FR"/>
        </w:rPr>
        <w:t xml:space="preserve">. </w:t>
      </w:r>
      <w:r>
        <w:rPr>
          <w:lang w:val="fr-FR"/>
        </w:rPr>
        <w:t>Si possible, assurez-vous de la fiabilité de vos sources et comparez leur contenu avec des informations émanant d’autres sources</w:t>
      </w:r>
      <w:r w:rsidRPr="008727F8">
        <w:rPr>
          <w:lang w:val="fr-FR"/>
        </w:rPr>
        <w:t>.</w:t>
      </w:r>
    </w:p>
    <w:p w:rsidR="004C7A6F" w:rsidRPr="008727F8" w:rsidRDefault="004C7A6F" w:rsidP="009D7994">
      <w:pPr>
        <w:pStyle w:val="TKTEXTE"/>
        <w:rPr>
          <w:rFonts w:cs="Arial"/>
          <w:lang w:val="fr-FR"/>
        </w:rPr>
      </w:pPr>
      <w:r>
        <w:rPr>
          <w:lang w:val="fr-FR"/>
        </w:rPr>
        <w:t>Ne demandez pas aux réfugiés de vous donner des informations sur eux-mêmes, leur pays d’origine ou la route migratoire qu’ils ont suivie. Il est important de bien leur expliquer que vous êtes là pour assurer un accompagnement linguistique et que vous n’intervenez en rien dans le processus d’asile. Il est possible, cependant, que certains d’entre eux livrent des informations personnelles pendant les activités linguistiques (lors d’une discussion générale de groupe, par exemple, ou dans le cadre de certaines activités, tels que des dessins, des listes, etc.) Traitez ces informations avec prudence et reportez-vous à l’outil intitulé</w:t>
      </w:r>
      <w:r w:rsidRPr="008727F8">
        <w:rPr>
          <w:lang w:val="fr-FR"/>
        </w:rPr>
        <w:t xml:space="preserve"> </w:t>
      </w:r>
      <w:r w:rsidRPr="00A7236A">
        <w:rPr>
          <w:i/>
          <w:iCs/>
          <w:lang w:val="fr-FR"/>
        </w:rPr>
        <w:t>« </w:t>
      </w:r>
      <w:hyperlink r:id="rId12" w:history="1">
        <w:r w:rsidRPr="00B71D6E">
          <w:rPr>
            <w:rStyle w:val="Lienhypertexte"/>
            <w:i/>
            <w:iCs/>
            <w:u w:val="none"/>
            <w:lang w:val="fr-FR"/>
          </w:rPr>
          <w:t>Questions éthiques et interculturelles à prendre en compte quand on travaille avec des réfugiés</w:t>
        </w:r>
      </w:hyperlink>
      <w:r w:rsidRPr="00B71D6E">
        <w:rPr>
          <w:rFonts w:cs="Arial"/>
          <w:i/>
          <w:iCs/>
          <w:lang w:val="fr-FR"/>
        </w:rPr>
        <w:t> </w:t>
      </w:r>
      <w:r w:rsidRPr="00B71D6E">
        <w:rPr>
          <w:i/>
          <w:iCs/>
          <w:lang w:val="fr-FR"/>
        </w:rPr>
        <w:t>»</w:t>
      </w:r>
      <w:r w:rsidRPr="008727F8">
        <w:rPr>
          <w:lang w:val="fr-FR"/>
        </w:rPr>
        <w:t xml:space="preserve"> (</w:t>
      </w:r>
      <w:r>
        <w:rPr>
          <w:lang w:val="fr-FR"/>
        </w:rPr>
        <w:t>Outil</w:t>
      </w:r>
      <w:r w:rsidRPr="008727F8">
        <w:rPr>
          <w:lang w:val="fr-FR"/>
        </w:rPr>
        <w:t xml:space="preserve"> </w:t>
      </w:r>
      <w:r>
        <w:rPr>
          <w:lang w:val="fr-FR"/>
        </w:rPr>
        <w:t>n°3) pour éviter toute conséquence négative involontaire.</w:t>
      </w:r>
    </w:p>
    <w:p w:rsidR="004C7A6F" w:rsidRPr="008727F8" w:rsidRDefault="004C7A6F" w:rsidP="007C6439">
      <w:pPr>
        <w:pStyle w:val="TKTITRE2"/>
        <w:rPr>
          <w:lang w:val="fr-FR"/>
        </w:rPr>
      </w:pPr>
      <w:r>
        <w:rPr>
          <w:lang w:val="fr-FR"/>
        </w:rPr>
        <w:t>Quelques éléments à prendre en compte pour concevoir des activités linguistiques</w:t>
      </w:r>
      <w:r w:rsidRPr="008727F8">
        <w:rPr>
          <w:lang w:val="fr-FR"/>
        </w:rPr>
        <w:t xml:space="preserve"> (</w:t>
      </w:r>
      <w:r>
        <w:rPr>
          <w:lang w:val="fr-FR"/>
        </w:rPr>
        <w:t>encore une fois, ne posez pas ces questions aux réfugiés eux-mêmes</w:t>
      </w:r>
      <w:r w:rsidRPr="008727F8">
        <w:rPr>
          <w:lang w:val="fr-FR"/>
        </w:rPr>
        <w:t>)</w:t>
      </w:r>
      <w:r>
        <w:rPr>
          <w:lang w:val="fr-FR"/>
        </w:rPr>
        <w:t xml:space="preserve"> </w:t>
      </w:r>
      <w:r w:rsidRPr="008727F8">
        <w:rPr>
          <w:lang w:val="fr-FR"/>
        </w:rPr>
        <w:t>:</w:t>
      </w:r>
    </w:p>
    <w:p w:rsidR="004C7A6F" w:rsidRPr="008727F8" w:rsidRDefault="004C7A6F" w:rsidP="00921AD4">
      <w:pPr>
        <w:pStyle w:val="TKLettersLevel1"/>
        <w:rPr>
          <w:rFonts w:cs="Arial"/>
          <w:lang w:val="fr-FR"/>
        </w:rPr>
      </w:pPr>
      <w:r>
        <w:rPr>
          <w:lang w:val="fr-FR"/>
        </w:rPr>
        <w:t>La</w:t>
      </w:r>
      <w:r w:rsidRPr="008727F8">
        <w:rPr>
          <w:lang w:val="fr-FR"/>
        </w:rPr>
        <w:t xml:space="preserve"> si</w:t>
      </w:r>
      <w:r>
        <w:rPr>
          <w:lang w:val="fr-FR"/>
        </w:rPr>
        <w:t>tuation dans le pays d’origine</w:t>
      </w:r>
    </w:p>
    <w:p w:rsidR="004C7A6F" w:rsidRPr="008727F8" w:rsidRDefault="004C7A6F" w:rsidP="004B189C">
      <w:pPr>
        <w:pStyle w:val="TKBulletLevel2"/>
        <w:rPr>
          <w:lang w:val="fr-FR"/>
        </w:rPr>
      </w:pPr>
      <w:r>
        <w:rPr>
          <w:lang w:val="fr-FR"/>
        </w:rPr>
        <w:t xml:space="preserve">De quels pays les réfugiés sont-ils originaires </w:t>
      </w:r>
      <w:r w:rsidRPr="008727F8">
        <w:rPr>
          <w:lang w:val="fr-FR"/>
        </w:rPr>
        <w:t>?</w:t>
      </w:r>
    </w:p>
    <w:p w:rsidR="004C7A6F" w:rsidRPr="008727F8" w:rsidRDefault="004C7A6F" w:rsidP="004B189C">
      <w:pPr>
        <w:pStyle w:val="TKBulletLevel2"/>
        <w:rPr>
          <w:lang w:val="fr-FR"/>
        </w:rPr>
      </w:pPr>
      <w:r>
        <w:rPr>
          <w:lang w:val="fr-FR"/>
        </w:rPr>
        <w:t xml:space="preserve">Si les réfugiés proviennent de nombreuses régions différentes au sein d’un même pays, quelles sont ces régions </w:t>
      </w:r>
      <w:r w:rsidRPr="008727F8">
        <w:rPr>
          <w:lang w:val="fr-FR"/>
        </w:rPr>
        <w:t>?</w:t>
      </w:r>
    </w:p>
    <w:p w:rsidR="004C7A6F" w:rsidRPr="008727F8" w:rsidRDefault="004C7A6F" w:rsidP="004B189C">
      <w:pPr>
        <w:pStyle w:val="TKBulletLevel2"/>
        <w:rPr>
          <w:lang w:val="fr-FR"/>
        </w:rPr>
      </w:pPr>
      <w:r>
        <w:rPr>
          <w:lang w:val="fr-FR"/>
        </w:rPr>
        <w:t>Vivaient-ils dans de grandes villes ou dans des régions rurales ?</w:t>
      </w:r>
    </w:p>
    <w:p w:rsidR="004C7A6F" w:rsidRPr="008727F8" w:rsidRDefault="004C7A6F" w:rsidP="004B189C">
      <w:pPr>
        <w:pStyle w:val="TKBulletLevel2"/>
        <w:rPr>
          <w:lang w:val="fr-FR"/>
        </w:rPr>
      </w:pPr>
      <w:r>
        <w:rPr>
          <w:lang w:val="fr-FR"/>
        </w:rPr>
        <w:t>Quelles sont les langues parlées dans leur ré</w:t>
      </w:r>
      <w:r w:rsidRPr="008727F8">
        <w:rPr>
          <w:lang w:val="fr-FR"/>
        </w:rPr>
        <w:t>gion</w:t>
      </w:r>
      <w:r w:rsidR="001C4F3F">
        <w:rPr>
          <w:lang w:val="fr-FR"/>
        </w:rPr>
        <w:t xml:space="preserve"> </w:t>
      </w:r>
      <w:r w:rsidRPr="008727F8">
        <w:rPr>
          <w:lang w:val="fr-FR"/>
        </w:rPr>
        <w:t>? (</w:t>
      </w:r>
      <w:r>
        <w:rPr>
          <w:lang w:val="fr-FR"/>
        </w:rPr>
        <w:t>Reliez ces informations à celles fournies dans le</w:t>
      </w:r>
      <w:r w:rsidRPr="008727F8">
        <w:rPr>
          <w:lang w:val="fr-FR"/>
        </w:rPr>
        <w:t xml:space="preserve"> </w:t>
      </w:r>
      <w:r w:rsidRPr="00A7236A">
        <w:rPr>
          <w:i/>
          <w:iCs/>
          <w:lang w:val="fr-FR"/>
        </w:rPr>
        <w:t>« </w:t>
      </w:r>
      <w:hyperlink r:id="rId13" w:history="1">
        <w:r w:rsidRPr="00B71D6E">
          <w:rPr>
            <w:rStyle w:val="Lienhypertexte"/>
            <w:i/>
            <w:iCs/>
            <w:u w:val="none"/>
            <w:lang w:val="fr-FR"/>
          </w:rPr>
          <w:t>Portrait plurilingue : une tâche réflexive pour les réfugiés</w:t>
        </w:r>
      </w:hyperlink>
      <w:r w:rsidRPr="00B71D6E">
        <w:rPr>
          <w:i/>
          <w:iCs/>
          <w:lang w:val="fr-FR"/>
        </w:rPr>
        <w:t> »</w:t>
      </w:r>
      <w:r>
        <w:rPr>
          <w:lang w:val="fr-FR"/>
        </w:rPr>
        <w:t xml:space="preserve"> et les</w:t>
      </w:r>
      <w:r w:rsidRPr="008727F8">
        <w:rPr>
          <w:lang w:val="fr-FR"/>
        </w:rPr>
        <w:t xml:space="preserve"> </w:t>
      </w:r>
      <w:r w:rsidRPr="00A7236A">
        <w:rPr>
          <w:i/>
          <w:iCs/>
          <w:lang w:val="fr-FR"/>
        </w:rPr>
        <w:t>«</w:t>
      </w:r>
      <w:r>
        <w:rPr>
          <w:lang w:val="fr-FR"/>
        </w:rPr>
        <w:t> </w:t>
      </w:r>
      <w:hyperlink r:id="rId14" w:history="1">
        <w:r w:rsidRPr="002F2006">
          <w:rPr>
            <w:rStyle w:val="Lienhypertexte"/>
            <w:i/>
            <w:iCs/>
            <w:u w:val="none"/>
            <w:lang w:val="fr-FR"/>
          </w:rPr>
          <w:t>Profils linguistiques des réfugiés</w:t>
        </w:r>
      </w:hyperlink>
      <w:r w:rsidRPr="002F2006">
        <w:rPr>
          <w:i/>
          <w:iCs/>
          <w:lang w:val="fr-FR"/>
        </w:rPr>
        <w:t> »</w:t>
      </w:r>
      <w:r w:rsidRPr="008727F8">
        <w:rPr>
          <w:lang w:val="fr-FR"/>
        </w:rPr>
        <w:t xml:space="preserve"> – </w:t>
      </w:r>
      <w:r>
        <w:rPr>
          <w:lang w:val="fr-FR"/>
        </w:rPr>
        <w:t>voir Outils n°38 et</w:t>
      </w:r>
      <w:r w:rsidRPr="008727F8">
        <w:rPr>
          <w:lang w:val="fr-FR"/>
        </w:rPr>
        <w:t xml:space="preserve"> </w:t>
      </w:r>
      <w:r>
        <w:rPr>
          <w:lang w:val="fr-FR"/>
        </w:rPr>
        <w:t>n°</w:t>
      </w:r>
      <w:r w:rsidRPr="008727F8">
        <w:rPr>
          <w:lang w:val="fr-FR"/>
        </w:rPr>
        <w:t>27).</w:t>
      </w:r>
    </w:p>
    <w:p w:rsidR="004C7A6F" w:rsidRPr="008727F8" w:rsidRDefault="004C7A6F" w:rsidP="004B189C">
      <w:pPr>
        <w:pStyle w:val="TKBulletLevel2"/>
        <w:rPr>
          <w:lang w:val="fr-FR"/>
        </w:rPr>
      </w:pPr>
      <w:r>
        <w:rPr>
          <w:lang w:val="fr-FR"/>
        </w:rPr>
        <w:t>Quels sont les principaux groupes religieux dans leur pays d’origine, et à quels groupes les réfugiés avec lesquels vous travaillez appartiennent-ils ?</w:t>
      </w:r>
    </w:p>
    <w:p w:rsidR="004C7A6F" w:rsidRPr="008727F8" w:rsidRDefault="004C7A6F" w:rsidP="004B189C">
      <w:pPr>
        <w:pStyle w:val="TKBulletLevel2"/>
        <w:rPr>
          <w:lang w:val="fr-FR"/>
        </w:rPr>
      </w:pPr>
      <w:r>
        <w:rPr>
          <w:lang w:val="fr-FR"/>
        </w:rPr>
        <w:t>Font-il</w:t>
      </w:r>
      <w:r w:rsidR="001C4F3F">
        <w:rPr>
          <w:lang w:val="fr-FR"/>
        </w:rPr>
        <w:t>s</w:t>
      </w:r>
      <w:r>
        <w:rPr>
          <w:lang w:val="fr-FR"/>
        </w:rPr>
        <w:t xml:space="preserve"> partie d’une minorité ethnique ou de la population majoritaire dans leur pays ? Les mariages mixtes y sont-ils possibles / exceptionnels / courants ? Sont-ils acceptés ou posent-ils problème </w:t>
      </w:r>
      <w:r w:rsidRPr="008727F8">
        <w:rPr>
          <w:lang w:val="fr-FR"/>
        </w:rPr>
        <w:t>?</w:t>
      </w:r>
    </w:p>
    <w:p w:rsidR="004C7A6F" w:rsidRPr="008727F8" w:rsidRDefault="004C7A6F" w:rsidP="004B189C">
      <w:pPr>
        <w:pStyle w:val="TKBulletLevel2"/>
        <w:rPr>
          <w:lang w:val="fr-FR"/>
        </w:rPr>
      </w:pPr>
      <w:r w:rsidRPr="006A12B3">
        <w:rPr>
          <w:lang w:val="fr-FR"/>
        </w:rPr>
        <w:t>À</w:t>
      </w:r>
      <w:r>
        <w:rPr>
          <w:lang w:val="fr-FR"/>
        </w:rPr>
        <w:t xml:space="preserve"> quoi ressemblait le quotidien des réfugiés avant qu’ils ne quittent leur pays d’origine ?</w:t>
      </w:r>
    </w:p>
    <w:p w:rsidR="004C7A6F" w:rsidRPr="008727F8" w:rsidRDefault="004C7A6F" w:rsidP="004B189C">
      <w:pPr>
        <w:pStyle w:val="TKBulletLevel2"/>
        <w:rPr>
          <w:lang w:val="fr-FR"/>
        </w:rPr>
      </w:pPr>
      <w:r>
        <w:rPr>
          <w:lang w:val="fr-FR"/>
        </w:rPr>
        <w:t>Comment les familles sont-elles structurées dans leur pays d’origine ? Quel est l’âge nubile ? Quel est l’âge de la majorité ?</w:t>
      </w:r>
    </w:p>
    <w:p w:rsidR="004C7A6F" w:rsidRPr="008727F8" w:rsidRDefault="004C7A6F" w:rsidP="004B189C">
      <w:pPr>
        <w:pStyle w:val="TKBulletLevel2"/>
        <w:rPr>
          <w:lang w:val="fr-FR"/>
        </w:rPr>
      </w:pPr>
      <w:r>
        <w:rPr>
          <w:lang w:val="fr-FR"/>
        </w:rPr>
        <w:t>Comment le système éducatif est-il organisé dans le pays d’origine ? Les réfugiés ont-ils suivi une scolarité ? Si oui, jusqu’à quel niveau ?</w:t>
      </w:r>
    </w:p>
    <w:p w:rsidR="004C7A6F" w:rsidRPr="008727F8" w:rsidRDefault="004C7A6F" w:rsidP="004B189C">
      <w:pPr>
        <w:pStyle w:val="TKBulletLevel2"/>
        <w:rPr>
          <w:lang w:val="fr-FR"/>
        </w:rPr>
      </w:pPr>
      <w:r>
        <w:rPr>
          <w:lang w:val="fr-FR"/>
        </w:rPr>
        <w:lastRenderedPageBreak/>
        <w:t>Ont-ils encore de la famille dans leur pays d’origine ? Si oui, sont-ils en contact / souhaiteraient-ils reprendre contact avec elle ?</w:t>
      </w:r>
    </w:p>
    <w:p w:rsidR="004C7A6F" w:rsidRPr="008727F8" w:rsidRDefault="004C7A6F" w:rsidP="00C35F1A">
      <w:pPr>
        <w:pStyle w:val="TKLettersLevel1"/>
        <w:rPr>
          <w:rFonts w:cs="Arial"/>
          <w:lang w:val="fr-FR"/>
        </w:rPr>
      </w:pPr>
      <w:r>
        <w:rPr>
          <w:lang w:val="fr-FR"/>
        </w:rPr>
        <w:t>Raisons de la</w:t>
      </w:r>
      <w:r w:rsidRPr="008727F8">
        <w:rPr>
          <w:lang w:val="fr-FR"/>
        </w:rPr>
        <w:t xml:space="preserve"> migration</w:t>
      </w:r>
      <w:r>
        <w:rPr>
          <w:rFonts w:cs="Arial"/>
          <w:lang w:val="fr-FR"/>
        </w:rPr>
        <w:t> </w:t>
      </w:r>
      <w:r>
        <w:rPr>
          <w:lang w:val="fr-FR"/>
        </w:rPr>
        <w:t>:</w:t>
      </w:r>
    </w:p>
    <w:p w:rsidR="004C7A6F" w:rsidRPr="008727F8" w:rsidRDefault="004C7A6F" w:rsidP="004B189C">
      <w:pPr>
        <w:pStyle w:val="TKBulletLevel2"/>
        <w:rPr>
          <w:lang w:val="fr-FR"/>
        </w:rPr>
      </w:pPr>
      <w:r>
        <w:rPr>
          <w:lang w:val="fr-FR"/>
        </w:rPr>
        <w:t>fuir la guerre ou une persécution ;</w:t>
      </w:r>
    </w:p>
    <w:p w:rsidR="004C7A6F" w:rsidRPr="008727F8" w:rsidRDefault="004C7A6F" w:rsidP="004B189C">
      <w:pPr>
        <w:pStyle w:val="TKBulletLevel2"/>
        <w:rPr>
          <w:lang w:val="fr-FR"/>
        </w:rPr>
      </w:pPr>
      <w:r>
        <w:rPr>
          <w:lang w:val="fr-FR"/>
        </w:rPr>
        <w:t>échapper au service militaire ;</w:t>
      </w:r>
    </w:p>
    <w:p w:rsidR="004C7A6F" w:rsidRPr="008727F8" w:rsidRDefault="004C7A6F" w:rsidP="004B189C">
      <w:pPr>
        <w:pStyle w:val="TKBulletLevel2"/>
        <w:rPr>
          <w:lang w:val="fr-FR"/>
        </w:rPr>
      </w:pPr>
      <w:r>
        <w:rPr>
          <w:lang w:val="fr-FR"/>
        </w:rPr>
        <w:t>échapper au mariage forcé ;</w:t>
      </w:r>
    </w:p>
    <w:p w:rsidR="004C7A6F" w:rsidRPr="008727F8" w:rsidRDefault="004C7A6F" w:rsidP="004B189C">
      <w:pPr>
        <w:pStyle w:val="TKBulletLevel2"/>
        <w:rPr>
          <w:lang w:val="fr-FR"/>
        </w:rPr>
      </w:pPr>
      <w:r>
        <w:rPr>
          <w:lang w:val="fr-FR"/>
        </w:rPr>
        <w:t>exclusion de la famille ;</w:t>
      </w:r>
    </w:p>
    <w:p w:rsidR="004C7A6F" w:rsidRPr="008727F8" w:rsidRDefault="004C7A6F" w:rsidP="004B189C">
      <w:pPr>
        <w:pStyle w:val="TKBulletLevel2"/>
        <w:rPr>
          <w:lang w:val="fr-FR"/>
        </w:rPr>
      </w:pPr>
      <w:r>
        <w:rPr>
          <w:lang w:val="fr-FR"/>
        </w:rPr>
        <w:t>extrême pauvreté et manque de perspectives ;</w:t>
      </w:r>
    </w:p>
    <w:p w:rsidR="004C7A6F" w:rsidRPr="008727F8" w:rsidRDefault="004C7A6F" w:rsidP="004B189C">
      <w:pPr>
        <w:pStyle w:val="TKBulletLevel2"/>
        <w:rPr>
          <w:lang w:val="fr-FR"/>
        </w:rPr>
      </w:pPr>
      <w:r>
        <w:rPr>
          <w:lang w:val="fr-FR"/>
        </w:rPr>
        <w:t>« émissaire » envoyé en Europe par la famille pour soutenir financièrement ceux qui restent dans le pays d’origine ;</w:t>
      </w:r>
    </w:p>
    <w:p w:rsidR="004C7A6F" w:rsidRDefault="004C7A6F" w:rsidP="004B189C">
      <w:pPr>
        <w:pStyle w:val="TKBulletLevel2"/>
        <w:rPr>
          <w:lang w:val="fr-FR"/>
        </w:rPr>
      </w:pPr>
      <w:r>
        <w:rPr>
          <w:lang w:val="fr-FR"/>
        </w:rPr>
        <w:t>volonté de rejoindre des membres de la famille ou de la communauté qui ont migré vers l’Europe et y ont trouvé de meilleures conditions de vie</w:t>
      </w:r>
      <w:r w:rsidRPr="008727F8">
        <w:rPr>
          <w:lang w:val="fr-FR"/>
        </w:rPr>
        <w:t>.</w:t>
      </w:r>
    </w:p>
    <w:p w:rsidR="004C7A6F" w:rsidRPr="008727F8" w:rsidRDefault="004C7A6F" w:rsidP="00C35F1A">
      <w:pPr>
        <w:pStyle w:val="TKLettersLevel1"/>
        <w:rPr>
          <w:rFonts w:cs="Arial"/>
          <w:lang w:val="fr-FR"/>
        </w:rPr>
      </w:pPr>
      <w:r>
        <w:rPr>
          <w:lang w:val="fr-FR"/>
        </w:rPr>
        <w:t xml:space="preserve">La route migratoire empruntée </w:t>
      </w:r>
    </w:p>
    <w:p w:rsidR="004C7A6F" w:rsidRPr="008727F8" w:rsidRDefault="004C7A6F" w:rsidP="004B189C">
      <w:pPr>
        <w:pStyle w:val="TKBulletLevel2"/>
        <w:rPr>
          <w:lang w:val="fr-FR"/>
        </w:rPr>
      </w:pPr>
      <w:r>
        <w:rPr>
          <w:lang w:val="fr-FR"/>
        </w:rPr>
        <w:t xml:space="preserve">Les réfugiés de votre groupe ont-ils séjourné dans un camp situé dans un pays proche de leur pays d’origine ? Si oui, pendant combien de temps ? Où ? Dans quelles </w:t>
      </w:r>
      <w:r w:rsidRPr="008727F8">
        <w:rPr>
          <w:lang w:val="fr-FR"/>
        </w:rPr>
        <w:t>conditions</w:t>
      </w:r>
      <w:r>
        <w:rPr>
          <w:lang w:val="fr-FR"/>
        </w:rPr>
        <w:t xml:space="preserve"> </w:t>
      </w:r>
      <w:r w:rsidRPr="008727F8">
        <w:rPr>
          <w:lang w:val="fr-FR"/>
        </w:rPr>
        <w:t>?</w:t>
      </w:r>
    </w:p>
    <w:p w:rsidR="004C7A6F" w:rsidRPr="008727F8" w:rsidRDefault="004C7A6F" w:rsidP="004B189C">
      <w:pPr>
        <w:pStyle w:val="TKBulletLevel2"/>
        <w:rPr>
          <w:lang w:val="fr-FR"/>
        </w:rPr>
      </w:pPr>
      <w:r>
        <w:rPr>
          <w:lang w:val="fr-FR"/>
        </w:rPr>
        <w:t xml:space="preserve">Quels sont les pays qu’ils ont traversés </w:t>
      </w:r>
      <w:r w:rsidRPr="008727F8">
        <w:rPr>
          <w:lang w:val="fr-FR"/>
        </w:rPr>
        <w:t>?</w:t>
      </w:r>
    </w:p>
    <w:p w:rsidR="004C7A6F" w:rsidRPr="008727F8" w:rsidRDefault="004C7A6F" w:rsidP="004B189C">
      <w:pPr>
        <w:pStyle w:val="TKBulletLevel2"/>
        <w:rPr>
          <w:lang w:val="fr-FR"/>
        </w:rPr>
      </w:pPr>
      <w:r>
        <w:rPr>
          <w:lang w:val="fr-FR"/>
        </w:rPr>
        <w:t>Y a-t-il eu des « pauses » sur leur chemin</w:t>
      </w:r>
      <w:r w:rsidR="00E111EE">
        <w:rPr>
          <w:lang w:val="fr-FR"/>
        </w:rPr>
        <w:t xml:space="preserve"> </w:t>
      </w:r>
      <w:r>
        <w:rPr>
          <w:lang w:val="fr-FR"/>
        </w:rPr>
        <w:t xml:space="preserve">? (par exemple séjour dans un centre de </w:t>
      </w:r>
      <w:r w:rsidRPr="006A12B3">
        <w:rPr>
          <w:lang w:val="fr-FR"/>
        </w:rPr>
        <w:t>détention</w:t>
      </w:r>
      <w:r>
        <w:rPr>
          <w:lang w:val="fr-FR"/>
        </w:rPr>
        <w:t>, dans un camp géré par une organisation humanitaire, dans un lieu particulier pour trouver du travail et réunir l’argent nécessaire à la poursuite du voyage</w:t>
      </w:r>
      <w:r w:rsidRPr="008727F8">
        <w:rPr>
          <w:lang w:val="fr-FR"/>
        </w:rPr>
        <w:t>).</w:t>
      </w:r>
    </w:p>
    <w:p w:rsidR="004C7A6F" w:rsidRPr="008727F8" w:rsidRDefault="004C7A6F" w:rsidP="004B189C">
      <w:pPr>
        <w:pStyle w:val="TKBulletLevel2"/>
        <w:rPr>
          <w:lang w:val="fr-FR"/>
        </w:rPr>
      </w:pPr>
      <w:r>
        <w:rPr>
          <w:lang w:val="fr-FR"/>
        </w:rPr>
        <w:t>Ont-ils emprunté la voie maritime ? Comment la traversée s’est-elle déroulée </w:t>
      </w:r>
      <w:r w:rsidRPr="008727F8">
        <w:rPr>
          <w:lang w:val="fr-FR"/>
        </w:rPr>
        <w:t>?</w:t>
      </w:r>
    </w:p>
    <w:p w:rsidR="004C7A6F" w:rsidRDefault="004C7A6F" w:rsidP="004B189C">
      <w:pPr>
        <w:pStyle w:val="TKBulletLevel2"/>
        <w:rPr>
          <w:lang w:val="fr-FR"/>
        </w:rPr>
      </w:pPr>
      <w:r>
        <w:rPr>
          <w:lang w:val="fr-FR"/>
        </w:rPr>
        <w:t>Comment leur voyage a-t-il été organisé ? (individuellement, avec un groupe de personnes membres de la même communauté, paiement de passeurs pour traverser les frontières ou les mers,</w:t>
      </w:r>
      <w:r w:rsidRPr="008727F8">
        <w:rPr>
          <w:lang w:val="fr-FR"/>
        </w:rPr>
        <w:t xml:space="preserve"> etc.).</w:t>
      </w:r>
    </w:p>
    <w:p w:rsidR="004C7A6F" w:rsidRPr="008727F8" w:rsidRDefault="004C7A6F" w:rsidP="00C35F1A">
      <w:pPr>
        <w:pStyle w:val="TKLettersLevel1"/>
        <w:rPr>
          <w:rFonts w:cs="Arial"/>
          <w:lang w:val="fr-FR"/>
        </w:rPr>
      </w:pPr>
      <w:r>
        <w:rPr>
          <w:lang w:val="fr-FR"/>
        </w:rPr>
        <w:t>L’itinéraire emprunté en Europe</w:t>
      </w:r>
    </w:p>
    <w:p w:rsidR="004C7A6F" w:rsidRPr="008727F8" w:rsidRDefault="004C7A6F" w:rsidP="004B189C">
      <w:pPr>
        <w:pStyle w:val="TKBulletLevel2"/>
        <w:rPr>
          <w:lang w:val="fr-FR"/>
        </w:rPr>
      </w:pPr>
      <w:r>
        <w:rPr>
          <w:lang w:val="fr-FR"/>
        </w:rPr>
        <w:t xml:space="preserve">Quel a été le point d’entrée des réfugiés en Europe </w:t>
      </w:r>
      <w:r w:rsidRPr="008727F8">
        <w:rPr>
          <w:lang w:val="fr-FR"/>
        </w:rPr>
        <w:t xml:space="preserve">? </w:t>
      </w:r>
      <w:r>
        <w:rPr>
          <w:lang w:val="fr-FR"/>
        </w:rPr>
        <w:t>Comment ont-il</w:t>
      </w:r>
      <w:r w:rsidR="004C227E">
        <w:rPr>
          <w:lang w:val="fr-FR"/>
        </w:rPr>
        <w:t>s</w:t>
      </w:r>
      <w:r>
        <w:rPr>
          <w:lang w:val="fr-FR"/>
        </w:rPr>
        <w:t xml:space="preserve"> vécu ce premier contact</w:t>
      </w:r>
      <w:bookmarkStart w:id="0" w:name="_GoBack"/>
      <w:bookmarkEnd w:id="0"/>
      <w:r w:rsidRPr="008727F8">
        <w:rPr>
          <w:lang w:val="fr-FR"/>
        </w:rPr>
        <w:t>?</w:t>
      </w:r>
    </w:p>
    <w:p w:rsidR="004C7A6F" w:rsidRPr="008727F8" w:rsidRDefault="004C7A6F" w:rsidP="004B189C">
      <w:pPr>
        <w:pStyle w:val="TKBulletLevel2"/>
        <w:rPr>
          <w:lang w:val="fr-FR"/>
        </w:rPr>
      </w:pPr>
      <w:r>
        <w:rPr>
          <w:lang w:val="fr-FR"/>
        </w:rPr>
        <w:t>Quels autres pays d’Europe ont-ils traversés pour atteindre le lieu où ils se trouvent actuellement ?</w:t>
      </w:r>
    </w:p>
    <w:p w:rsidR="004C7A6F" w:rsidRPr="008727F8" w:rsidRDefault="004C7A6F" w:rsidP="004B189C">
      <w:pPr>
        <w:pStyle w:val="TKBulletLevel2"/>
        <w:rPr>
          <w:lang w:val="fr-FR"/>
        </w:rPr>
      </w:pPr>
      <w:r>
        <w:rPr>
          <w:lang w:val="fr-FR"/>
        </w:rPr>
        <w:t xml:space="preserve">Ont-ils voyagé seuls, en famille, au sein d’un groupe plus important dont ils faisaient partie avant de gagner l’Europe, ou d’un groupe qui s’est formé après leur arrivée sur le continent </w:t>
      </w:r>
      <w:r w:rsidRPr="008727F8">
        <w:rPr>
          <w:lang w:val="fr-FR"/>
        </w:rPr>
        <w:t>?</w:t>
      </w:r>
    </w:p>
    <w:p w:rsidR="004C7A6F" w:rsidRPr="008727F8" w:rsidRDefault="004C7A6F" w:rsidP="004B189C">
      <w:pPr>
        <w:pStyle w:val="TKBulletLevel2"/>
        <w:rPr>
          <w:lang w:val="fr-FR"/>
        </w:rPr>
      </w:pPr>
      <w:r>
        <w:rPr>
          <w:lang w:val="fr-FR"/>
        </w:rPr>
        <w:t>Ont-ils déposé une demande d’asile ? Dans quel pays ?</w:t>
      </w:r>
    </w:p>
    <w:p w:rsidR="004C7A6F" w:rsidRPr="008727F8" w:rsidRDefault="004C7A6F" w:rsidP="004B189C">
      <w:pPr>
        <w:pStyle w:val="TKBulletLevel2"/>
        <w:rPr>
          <w:lang w:val="fr-FR"/>
        </w:rPr>
      </w:pPr>
      <w:r>
        <w:rPr>
          <w:lang w:val="fr-FR"/>
        </w:rPr>
        <w:t>Le pays dans lequel ils se trouvent actuellement est-il celui de la destination finale</w:t>
      </w:r>
      <w:r w:rsidRPr="008727F8">
        <w:rPr>
          <w:lang w:val="fr-FR"/>
        </w:rPr>
        <w:t xml:space="preserve"> </w:t>
      </w:r>
      <w:r>
        <w:rPr>
          <w:lang w:val="fr-FR"/>
        </w:rPr>
        <w:t xml:space="preserve">prévue, ou s’agit-il seulement d’un pays de transit </w:t>
      </w:r>
      <w:r w:rsidRPr="008727F8">
        <w:rPr>
          <w:lang w:val="fr-FR"/>
        </w:rPr>
        <w:t>?</w:t>
      </w:r>
    </w:p>
    <w:p w:rsidR="004C7A6F" w:rsidRPr="008727F8" w:rsidRDefault="004C7A6F" w:rsidP="004B189C">
      <w:pPr>
        <w:pStyle w:val="TKBulletLevel2"/>
        <w:rPr>
          <w:lang w:val="fr-FR"/>
        </w:rPr>
      </w:pPr>
      <w:r>
        <w:rPr>
          <w:lang w:val="fr-FR"/>
        </w:rPr>
        <w:t xml:space="preserve">Quel est leur pays de destination finale, et pourquoi </w:t>
      </w:r>
      <w:r w:rsidRPr="008727F8">
        <w:rPr>
          <w:lang w:val="fr-FR"/>
        </w:rPr>
        <w:t>?</w:t>
      </w:r>
    </w:p>
    <w:p w:rsidR="004C7A6F" w:rsidRPr="008727F8" w:rsidRDefault="004C7A6F" w:rsidP="00E04A34">
      <w:pPr>
        <w:pStyle w:val="TKTEXTE"/>
        <w:rPr>
          <w:lang w:val="fr-FR"/>
        </w:rPr>
      </w:pPr>
      <w:r>
        <w:rPr>
          <w:lang w:val="fr-FR"/>
        </w:rPr>
        <w:t>Si vous avez vous-même vécu la migration (ou si c’est le cas de certains membres de votre famille), réfléchissez à certaines de ces questions à la lumière de votre expérience (ou de l’expérience familiale)</w:t>
      </w:r>
      <w:r w:rsidRPr="008727F8">
        <w:rPr>
          <w:lang w:val="fr-FR"/>
        </w:rPr>
        <w:t>.</w:t>
      </w:r>
    </w:p>
    <w:p w:rsidR="004C7A6F" w:rsidRPr="008727F8" w:rsidRDefault="004C7A6F" w:rsidP="00E04A34">
      <w:pPr>
        <w:pStyle w:val="TKTEXTE"/>
        <w:rPr>
          <w:lang w:val="fr-FR"/>
        </w:rPr>
      </w:pPr>
      <w:r>
        <w:rPr>
          <w:lang w:val="fr-FR"/>
        </w:rPr>
        <w:t>Cette réflexion vous aidera à comprendre les motivations, les envies et les priorités des réfugiés de votre groupe et à prendre conscience de certaines questions qu’ils pourraient souhaiter aborder ou, au contraire, éviter, dans le cadre de l’accompagnement linguistique</w:t>
      </w:r>
      <w:r w:rsidRPr="008727F8">
        <w:rPr>
          <w:lang w:val="fr-FR"/>
        </w:rPr>
        <w:t>.</w:t>
      </w:r>
    </w:p>
    <w:p w:rsidR="004C7A6F" w:rsidRPr="008727F8" w:rsidRDefault="00C16F21" w:rsidP="00C50AF6">
      <w:pPr>
        <w:pStyle w:val="TKTEXTE"/>
        <w:rPr>
          <w:lang w:val="fr-FR"/>
        </w:rPr>
      </w:pPr>
      <w:r>
        <w:rPr>
          <w:lang w:val="fr-FR"/>
        </w:rPr>
        <w:br w:type="page"/>
      </w:r>
      <w:r w:rsidR="004C7A6F">
        <w:rPr>
          <w:lang w:val="fr-FR"/>
        </w:rPr>
        <w:lastRenderedPageBreak/>
        <w:t>Pour davantage d’informations, vous pouvez consulter </w:t>
      </w:r>
      <w:r w:rsidR="004C7A6F" w:rsidRPr="008727F8">
        <w:rPr>
          <w:lang w:val="fr-FR"/>
        </w:rPr>
        <w:t>:</w:t>
      </w:r>
    </w:p>
    <w:p w:rsidR="004C7A6F" w:rsidRPr="008727F8" w:rsidRDefault="004C7A6F" w:rsidP="004C227E">
      <w:pPr>
        <w:pStyle w:val="TKBulletLevel1"/>
        <w:tabs>
          <w:tab w:val="clear" w:pos="567"/>
          <w:tab w:val="left" w:pos="851"/>
        </w:tabs>
        <w:rPr>
          <w:lang w:val="fr-FR"/>
        </w:rPr>
      </w:pPr>
      <w:r>
        <w:rPr>
          <w:lang w:val="fr-FR"/>
        </w:rPr>
        <w:t xml:space="preserve">les sections suivantes du site internet de l’Organisation internationale pour les migrations </w:t>
      </w:r>
      <w:r w:rsidRPr="008727F8">
        <w:rPr>
          <w:lang w:val="fr-FR"/>
        </w:rPr>
        <w:t xml:space="preserve">: </w:t>
      </w:r>
      <w:hyperlink r:id="rId15" w:history="1">
        <w:r>
          <w:rPr>
            <w:rStyle w:val="Lienhypertexte"/>
            <w:lang w:val="fr-FR"/>
          </w:rPr>
          <w:t>Pays</w:t>
        </w:r>
      </w:hyperlink>
      <w:r w:rsidRPr="008727F8">
        <w:rPr>
          <w:lang w:val="fr-FR"/>
        </w:rPr>
        <w:t xml:space="preserve">, </w:t>
      </w:r>
      <w:hyperlink r:id="rId16" w:history="1">
        <w:r>
          <w:rPr>
            <w:rStyle w:val="Lienhypertexte"/>
            <w:lang w:val="fr-FR"/>
          </w:rPr>
          <w:t>Service d'information sur la migration</w:t>
        </w:r>
      </w:hyperlink>
      <w:r>
        <w:rPr>
          <w:lang w:val="fr-FR"/>
        </w:rPr>
        <w:t xml:space="preserve"> et</w:t>
      </w:r>
      <w:r w:rsidRPr="008727F8">
        <w:rPr>
          <w:lang w:val="fr-FR"/>
        </w:rPr>
        <w:t xml:space="preserve"> </w:t>
      </w:r>
      <w:hyperlink r:id="rId17" w:history="1">
        <w:r>
          <w:rPr>
            <w:rStyle w:val="Lienhypertexte"/>
            <w:lang w:val="fr-FR"/>
          </w:rPr>
          <w:t>Histoires de migrants</w:t>
        </w:r>
      </w:hyperlink>
      <w:r w:rsidRPr="00971310">
        <w:rPr>
          <w:lang w:val="fr-FR"/>
        </w:rPr>
        <w:t> </w:t>
      </w:r>
      <w:r w:rsidRPr="0046114B">
        <w:rPr>
          <w:rStyle w:val="Lienhypertexte"/>
          <w:color w:val="auto"/>
          <w:u w:val="none"/>
          <w:lang w:val="fr-FR"/>
        </w:rPr>
        <w:t>;</w:t>
      </w:r>
    </w:p>
    <w:p w:rsidR="004C7A6F" w:rsidRPr="008727F8" w:rsidRDefault="004C7A6F" w:rsidP="004C227E">
      <w:pPr>
        <w:pStyle w:val="TKBulletLevel1"/>
        <w:tabs>
          <w:tab w:val="clear" w:pos="567"/>
          <w:tab w:val="left" w:pos="851"/>
        </w:tabs>
        <w:rPr>
          <w:lang w:val="fr-FR"/>
        </w:rPr>
      </w:pPr>
      <w:r>
        <w:rPr>
          <w:lang w:val="fr-FR"/>
        </w:rPr>
        <w:t>le si</w:t>
      </w:r>
      <w:r w:rsidRPr="008727F8">
        <w:rPr>
          <w:lang w:val="fr-FR"/>
        </w:rPr>
        <w:t>t</w:t>
      </w:r>
      <w:r>
        <w:rPr>
          <w:lang w:val="fr-FR"/>
        </w:rPr>
        <w:t>e</w:t>
      </w:r>
      <w:r w:rsidRPr="008727F8">
        <w:rPr>
          <w:lang w:val="fr-FR"/>
        </w:rPr>
        <w:t xml:space="preserve"> </w:t>
      </w:r>
      <w:hyperlink r:id="rId18" w:history="1">
        <w:r>
          <w:rPr>
            <w:rStyle w:val="Lienhypertexte"/>
            <w:lang w:val="fr-FR"/>
          </w:rPr>
          <w:t>Refworld</w:t>
        </w:r>
      </w:hyperlink>
      <w:r w:rsidRPr="00971310">
        <w:rPr>
          <w:lang w:val="fr-FR"/>
        </w:rPr>
        <w:t xml:space="preserve"> de l’</w:t>
      </w:r>
      <w:r w:rsidRPr="0046114B">
        <w:rPr>
          <w:rStyle w:val="lev"/>
          <w:b w:val="0"/>
          <w:bCs w:val="0"/>
          <w:lang w:val="fr-FR"/>
        </w:rPr>
        <w:t xml:space="preserve">Office du </w:t>
      </w:r>
      <w:r w:rsidR="00E111EE" w:rsidRPr="0046114B">
        <w:rPr>
          <w:rStyle w:val="lev"/>
          <w:b w:val="0"/>
          <w:bCs w:val="0"/>
          <w:lang w:val="fr-FR"/>
        </w:rPr>
        <w:t>Haut-Commissaire</w:t>
      </w:r>
      <w:r w:rsidRPr="0046114B">
        <w:rPr>
          <w:rStyle w:val="lev"/>
          <w:b w:val="0"/>
          <w:bCs w:val="0"/>
          <w:lang w:val="fr-FR"/>
        </w:rPr>
        <w:t xml:space="preserve"> des Nations Unies pour les réfugiés</w:t>
      </w:r>
      <w:r>
        <w:rPr>
          <w:rStyle w:val="lev"/>
          <w:b w:val="0"/>
          <w:bCs w:val="0"/>
          <w:lang w:val="fr-FR"/>
        </w:rPr>
        <w:t xml:space="preserve"> (HCR) </w:t>
      </w:r>
      <w:r>
        <w:rPr>
          <w:lang w:val="fr-FR"/>
        </w:rPr>
        <w:t>;</w:t>
      </w:r>
    </w:p>
    <w:p w:rsidR="004C7A6F" w:rsidRPr="008727F8" w:rsidRDefault="004C7A6F" w:rsidP="004C227E">
      <w:pPr>
        <w:pStyle w:val="TKBulletLevel1"/>
        <w:tabs>
          <w:tab w:val="clear" w:pos="567"/>
          <w:tab w:val="left" w:pos="851"/>
        </w:tabs>
        <w:rPr>
          <w:lang w:val="fr-FR"/>
        </w:rPr>
      </w:pPr>
      <w:r>
        <w:rPr>
          <w:lang w:val="fr-FR"/>
        </w:rPr>
        <w:t xml:space="preserve">les sections suivantes du site mondial du HCR </w:t>
      </w:r>
      <w:r w:rsidRPr="008727F8">
        <w:rPr>
          <w:lang w:val="fr-FR"/>
        </w:rPr>
        <w:t xml:space="preserve">: </w:t>
      </w:r>
      <w:hyperlink r:id="rId19" w:history="1">
        <w:r>
          <w:rPr>
            <w:rStyle w:val="Lienhypertexte"/>
            <w:lang w:val="fr-FR"/>
          </w:rPr>
          <w:t>La parole aux réfugiés</w:t>
        </w:r>
      </w:hyperlink>
      <w:r w:rsidRPr="008727F8">
        <w:rPr>
          <w:lang w:val="fr-FR"/>
        </w:rPr>
        <w:t xml:space="preserve"> </w:t>
      </w:r>
      <w:r>
        <w:rPr>
          <w:lang w:val="fr-FR"/>
        </w:rPr>
        <w:t>et</w:t>
      </w:r>
      <w:r w:rsidRPr="008727F8">
        <w:rPr>
          <w:lang w:val="fr-FR"/>
        </w:rPr>
        <w:t xml:space="preserve"> </w:t>
      </w:r>
      <w:hyperlink r:id="rId20" w:history="1">
        <w:r>
          <w:rPr>
            <w:rStyle w:val="Lienhypertexte"/>
            <w:lang w:val="fr-FR"/>
          </w:rPr>
          <w:t>Réponse à la crise des réfugiés/migrants – la situation dans la région méditerranéenne</w:t>
        </w:r>
      </w:hyperlink>
      <w:r w:rsidRPr="008727F8">
        <w:rPr>
          <w:lang w:val="fr-FR"/>
        </w:rPr>
        <w:t>.</w:t>
      </w:r>
    </w:p>
    <w:sectPr w:rsidR="004C7A6F" w:rsidRPr="008727F8" w:rsidSect="007F5F10">
      <w:headerReference w:type="default" r:id="rId21"/>
      <w:footerReference w:type="default" r:id="rId2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16" w:rsidRDefault="00167D16" w:rsidP="00C523EA">
      <w:pPr>
        <w:rPr>
          <w:rFonts w:cs="Arial"/>
        </w:rPr>
      </w:pPr>
      <w:r>
        <w:rPr>
          <w:rFonts w:cs="Arial"/>
        </w:rPr>
        <w:separator/>
      </w:r>
    </w:p>
  </w:endnote>
  <w:endnote w:type="continuationSeparator" w:id="0">
    <w:p w:rsidR="00167D16" w:rsidRDefault="00167D16"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4C7A6F">
      <w:trPr>
        <w:cantSplit/>
      </w:trPr>
      <w:tc>
        <w:tcPr>
          <w:tcW w:w="1667" w:type="pct"/>
          <w:tcBorders>
            <w:top w:val="single" w:sz="4" w:space="0" w:color="auto"/>
          </w:tcBorders>
        </w:tcPr>
        <w:p w:rsidR="004C7A6F" w:rsidRPr="00971310" w:rsidRDefault="004C7A6F" w:rsidP="001533BC">
          <w:pPr>
            <w:tabs>
              <w:tab w:val="center" w:pos="4820"/>
            </w:tabs>
            <w:spacing w:before="60"/>
            <w:rPr>
              <w:sz w:val="18"/>
              <w:szCs w:val="18"/>
              <w:lang w:eastAsia="fr-FR"/>
            </w:rPr>
          </w:pPr>
          <w:r w:rsidRPr="00971310">
            <w:rPr>
              <w:sz w:val="18"/>
              <w:szCs w:val="18"/>
              <w:lang w:eastAsia="fr-FR"/>
            </w:rPr>
            <w:t>Programme</w:t>
          </w:r>
          <w:r w:rsidR="00971310" w:rsidRPr="00971310">
            <w:rPr>
              <w:sz w:val="18"/>
              <w:szCs w:val="18"/>
              <w:lang w:eastAsia="fr-FR"/>
            </w:rPr>
            <w:t xml:space="preserve"> des Politiques linguistiques</w:t>
          </w:r>
        </w:p>
        <w:p w:rsidR="004C7A6F" w:rsidRPr="00C16F21" w:rsidRDefault="004C7A6F" w:rsidP="001533BC">
          <w:pPr>
            <w:tabs>
              <w:tab w:val="center" w:pos="4820"/>
            </w:tabs>
            <w:spacing w:before="60"/>
            <w:rPr>
              <w:sz w:val="18"/>
              <w:szCs w:val="18"/>
              <w:lang w:eastAsia="fr-FR"/>
            </w:rPr>
          </w:pPr>
          <w:r w:rsidRPr="00C16F21">
            <w:rPr>
              <w:sz w:val="18"/>
              <w:szCs w:val="18"/>
              <w:lang w:eastAsia="fr-FR"/>
            </w:rPr>
            <w:t>Strasbourg</w:t>
          </w:r>
        </w:p>
        <w:p w:rsidR="004C7A6F" w:rsidRPr="00C16F21" w:rsidRDefault="004C7A6F" w:rsidP="001533BC">
          <w:pPr>
            <w:tabs>
              <w:tab w:val="center" w:pos="4820"/>
            </w:tabs>
            <w:spacing w:before="60"/>
            <w:rPr>
              <w:sz w:val="18"/>
              <w:szCs w:val="18"/>
              <w:lang w:eastAsia="fr-FR"/>
            </w:rPr>
          </w:pPr>
        </w:p>
        <w:p w:rsidR="004C7A6F" w:rsidRPr="00C16F21" w:rsidRDefault="00971310" w:rsidP="001533BC">
          <w:pPr>
            <w:tabs>
              <w:tab w:val="center" w:pos="4820"/>
            </w:tabs>
            <w:spacing w:before="60"/>
            <w:rPr>
              <w:rFonts w:cs="Arial"/>
              <w:sz w:val="18"/>
              <w:szCs w:val="18"/>
              <w:lang w:eastAsia="fr-FR"/>
            </w:rPr>
          </w:pPr>
          <w:r w:rsidRPr="00C16F21">
            <w:rPr>
              <w:b/>
              <w:bCs/>
              <w:sz w:val="18"/>
              <w:szCs w:val="18"/>
              <w:lang w:eastAsia="fr-FR"/>
            </w:rPr>
            <w:t>Outil</w:t>
          </w:r>
          <w:r w:rsidR="004C7A6F" w:rsidRPr="00C16F21">
            <w:rPr>
              <w:b/>
              <w:bCs/>
              <w:sz w:val="18"/>
              <w:szCs w:val="18"/>
              <w:lang w:eastAsia="fr-FR"/>
            </w:rPr>
            <w:t xml:space="preserve"> 1</w:t>
          </w:r>
        </w:p>
      </w:tc>
      <w:tc>
        <w:tcPr>
          <w:tcW w:w="1667" w:type="pct"/>
          <w:tcBorders>
            <w:top w:val="single" w:sz="4" w:space="0" w:color="auto"/>
          </w:tcBorders>
          <w:vAlign w:val="bottom"/>
        </w:tcPr>
        <w:p w:rsidR="004C7A6F" w:rsidRPr="001533BC" w:rsidRDefault="004C7A6F" w:rsidP="001533BC">
          <w:pPr>
            <w:tabs>
              <w:tab w:val="center" w:pos="4820"/>
            </w:tabs>
            <w:spacing w:before="60"/>
            <w:jc w:val="center"/>
            <w:rPr>
              <w:rFonts w:cs="Arial"/>
              <w:sz w:val="18"/>
              <w:szCs w:val="18"/>
              <w:lang w:val="en-US" w:eastAsia="fr-FR"/>
            </w:rPr>
          </w:pPr>
          <w:r w:rsidRPr="001533BC">
            <w:rPr>
              <w:sz w:val="18"/>
              <w:szCs w:val="18"/>
              <w:lang w:val="en-US" w:eastAsia="fr-FR"/>
            </w:rPr>
            <w:t xml:space="preserve">Page </w:t>
          </w:r>
          <w:r w:rsidRPr="001533BC">
            <w:rPr>
              <w:sz w:val="18"/>
              <w:szCs w:val="18"/>
              <w:lang w:val="en-US" w:eastAsia="fr-FR"/>
            </w:rPr>
            <w:fldChar w:fldCharType="begin"/>
          </w:r>
          <w:r w:rsidRPr="001533BC">
            <w:rPr>
              <w:sz w:val="18"/>
              <w:szCs w:val="18"/>
              <w:lang w:val="en-US" w:eastAsia="fr-FR"/>
            </w:rPr>
            <w:instrText>PAGE</w:instrText>
          </w:r>
          <w:r w:rsidRPr="001533BC">
            <w:rPr>
              <w:sz w:val="18"/>
              <w:szCs w:val="18"/>
              <w:lang w:val="en-US" w:eastAsia="fr-FR"/>
            </w:rPr>
            <w:fldChar w:fldCharType="separate"/>
          </w:r>
          <w:r w:rsidR="001C4F3F">
            <w:rPr>
              <w:noProof/>
              <w:sz w:val="18"/>
              <w:szCs w:val="18"/>
              <w:lang w:val="en-US" w:eastAsia="fr-FR"/>
            </w:rPr>
            <w:t>5</w:t>
          </w:r>
          <w:r w:rsidRPr="001533BC">
            <w:rPr>
              <w:sz w:val="18"/>
              <w:szCs w:val="18"/>
              <w:lang w:val="en-US" w:eastAsia="fr-FR"/>
            </w:rPr>
            <w:fldChar w:fldCharType="end"/>
          </w:r>
          <w:r w:rsidRPr="001533BC">
            <w:rPr>
              <w:sz w:val="18"/>
              <w:szCs w:val="18"/>
              <w:lang w:val="en-US" w:eastAsia="fr-FR"/>
            </w:rPr>
            <w:t>/</w:t>
          </w:r>
          <w:r w:rsidRPr="001533BC">
            <w:rPr>
              <w:sz w:val="18"/>
              <w:szCs w:val="18"/>
              <w:lang w:val="en-US" w:eastAsia="fr-FR"/>
            </w:rPr>
            <w:fldChar w:fldCharType="begin"/>
          </w:r>
          <w:r w:rsidRPr="001533BC">
            <w:rPr>
              <w:sz w:val="18"/>
              <w:szCs w:val="18"/>
              <w:lang w:val="en-US" w:eastAsia="fr-FR"/>
            </w:rPr>
            <w:instrText>NUMPAGES</w:instrText>
          </w:r>
          <w:r w:rsidRPr="001533BC">
            <w:rPr>
              <w:sz w:val="18"/>
              <w:szCs w:val="18"/>
              <w:lang w:val="en-US" w:eastAsia="fr-FR"/>
            </w:rPr>
            <w:fldChar w:fldCharType="separate"/>
          </w:r>
          <w:r w:rsidR="001C4F3F">
            <w:rPr>
              <w:noProof/>
              <w:sz w:val="18"/>
              <w:szCs w:val="18"/>
              <w:lang w:val="en-US" w:eastAsia="fr-FR"/>
            </w:rPr>
            <w:t>5</w:t>
          </w:r>
          <w:r w:rsidRPr="001533BC">
            <w:rPr>
              <w:sz w:val="18"/>
              <w:szCs w:val="18"/>
              <w:lang w:val="en-US" w:eastAsia="fr-FR"/>
            </w:rPr>
            <w:fldChar w:fldCharType="end"/>
          </w:r>
        </w:p>
      </w:tc>
      <w:tc>
        <w:tcPr>
          <w:tcW w:w="1667" w:type="pct"/>
          <w:tcBorders>
            <w:top w:val="single" w:sz="4" w:space="0" w:color="auto"/>
          </w:tcBorders>
        </w:tcPr>
        <w:p w:rsidR="004C7A6F" w:rsidRPr="001533BC" w:rsidRDefault="00167D16" w:rsidP="001533BC">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7" type="#_x0000_t75" style="width:63.75pt;height:53.25pt;visibility:visible">
                <v:imagedata r:id="rId1" o:title=""/>
              </v:shape>
            </w:pict>
          </w:r>
        </w:p>
      </w:tc>
    </w:tr>
  </w:tbl>
  <w:p w:rsidR="004C7A6F" w:rsidRPr="002860CD" w:rsidRDefault="004C7A6F" w:rsidP="002860CD">
    <w:pPr>
      <w:pStyle w:val="Pieddepage"/>
      <w:rPr>
        <w:rFonts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16" w:rsidRDefault="00167D16" w:rsidP="00C523EA">
      <w:pPr>
        <w:rPr>
          <w:rFonts w:cs="Arial"/>
        </w:rPr>
      </w:pPr>
      <w:r>
        <w:rPr>
          <w:rFonts w:cs="Arial"/>
        </w:rPr>
        <w:separator/>
      </w:r>
    </w:p>
  </w:footnote>
  <w:footnote w:type="continuationSeparator" w:id="0">
    <w:p w:rsidR="00167D16" w:rsidRDefault="00167D16"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4C7A6F" w:rsidRPr="00971310">
      <w:trPr>
        <w:trHeight w:val="1304"/>
      </w:trPr>
      <w:tc>
        <w:tcPr>
          <w:tcW w:w="2210" w:type="dxa"/>
          <w:tcBorders>
            <w:bottom w:val="single" w:sz="12" w:space="0" w:color="auto"/>
          </w:tcBorders>
        </w:tcPr>
        <w:p w:rsidR="004C7A6F" w:rsidRPr="00CB5C65" w:rsidRDefault="00167D16" w:rsidP="006310E0">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p>
      </w:tc>
      <w:tc>
        <w:tcPr>
          <w:tcW w:w="5678" w:type="dxa"/>
          <w:tcBorders>
            <w:bottom w:val="single" w:sz="12" w:space="0" w:color="auto"/>
          </w:tcBorders>
        </w:tcPr>
        <w:p w:rsidR="004C7A6F" w:rsidRPr="00971310" w:rsidRDefault="00971310" w:rsidP="00186952">
          <w:pPr>
            <w:jc w:val="center"/>
            <w:rPr>
              <w:b/>
              <w:bCs/>
            </w:rPr>
          </w:pPr>
          <w:r w:rsidRPr="00971310">
            <w:rPr>
              <w:b/>
              <w:bCs/>
            </w:rPr>
            <w:t>Accompagnement linguistique des réfugiés adultes</w:t>
          </w:r>
          <w:r w:rsidR="00D84672">
            <w:rPr>
              <w:b/>
              <w:bCs/>
            </w:rPr>
            <w:t> :</w:t>
          </w:r>
        </w:p>
        <w:p w:rsidR="004C7A6F" w:rsidRPr="00971310" w:rsidRDefault="00971310" w:rsidP="00186952">
          <w:pPr>
            <w:jc w:val="center"/>
            <w:rPr>
              <w:b/>
              <w:bCs/>
              <w:i/>
              <w:iCs/>
            </w:rPr>
          </w:pPr>
          <w:r w:rsidRPr="00971310">
            <w:rPr>
              <w:b/>
              <w:bCs/>
              <w:i/>
              <w:iCs/>
            </w:rPr>
            <w:t>La boîte à outils du Conseil de l’Europe</w:t>
          </w:r>
        </w:p>
        <w:p w:rsidR="004C7A6F" w:rsidRPr="00C16F21" w:rsidRDefault="00167D16" w:rsidP="00186952">
          <w:pPr>
            <w:jc w:val="center"/>
            <w:rPr>
              <w:rFonts w:cs="Arial"/>
              <w:color w:val="0000FF"/>
              <w:u w:val="single"/>
            </w:rPr>
          </w:pPr>
          <w:hyperlink r:id="rId2" w:history="1">
            <w:r w:rsidR="004C7A6F" w:rsidRPr="00C16F21">
              <w:rPr>
                <w:rStyle w:val="Lienhypertexte"/>
              </w:rPr>
              <w:t>www.coe.int/lang-refugees</w:t>
            </w:r>
          </w:hyperlink>
        </w:p>
      </w:tc>
      <w:tc>
        <w:tcPr>
          <w:tcW w:w="2711" w:type="dxa"/>
          <w:tcBorders>
            <w:bottom w:val="single" w:sz="12" w:space="0" w:color="auto"/>
          </w:tcBorders>
        </w:tcPr>
        <w:p w:rsidR="004C7A6F" w:rsidRPr="00971310" w:rsidRDefault="00971310" w:rsidP="00186952">
          <w:pPr>
            <w:tabs>
              <w:tab w:val="center" w:pos="4607"/>
              <w:tab w:val="right" w:pos="9214"/>
            </w:tabs>
            <w:jc w:val="right"/>
            <w:rPr>
              <w:sz w:val="20"/>
              <w:szCs w:val="20"/>
            </w:rPr>
          </w:pPr>
          <w:r w:rsidRPr="00971310">
            <w:rPr>
              <w:sz w:val="20"/>
              <w:szCs w:val="20"/>
            </w:rPr>
            <w:t>Inté</w:t>
          </w:r>
          <w:r w:rsidR="004C7A6F" w:rsidRPr="00971310">
            <w:rPr>
              <w:sz w:val="20"/>
              <w:szCs w:val="20"/>
            </w:rPr>
            <w:t>gration</w:t>
          </w:r>
          <w:r w:rsidRPr="00971310">
            <w:rPr>
              <w:sz w:val="20"/>
              <w:szCs w:val="20"/>
            </w:rPr>
            <w:t xml:space="preserve"> linguistique</w:t>
          </w:r>
        </w:p>
        <w:p w:rsidR="004C7A6F" w:rsidRPr="00971310" w:rsidRDefault="00971310" w:rsidP="00186952">
          <w:pPr>
            <w:tabs>
              <w:tab w:val="center" w:pos="4607"/>
              <w:tab w:val="right" w:pos="9214"/>
            </w:tabs>
            <w:jc w:val="right"/>
            <w:rPr>
              <w:sz w:val="20"/>
              <w:szCs w:val="20"/>
            </w:rPr>
          </w:pPr>
          <w:r w:rsidRPr="00971310">
            <w:rPr>
              <w:sz w:val="20"/>
              <w:szCs w:val="20"/>
            </w:rPr>
            <w:t>des migrants adultes</w:t>
          </w:r>
        </w:p>
        <w:p w:rsidR="004C7A6F" w:rsidRPr="00971310" w:rsidRDefault="00167D16" w:rsidP="00186952">
          <w:pPr>
            <w:tabs>
              <w:tab w:val="center" w:pos="4607"/>
              <w:tab w:val="right" w:pos="9214"/>
            </w:tabs>
            <w:jc w:val="right"/>
            <w:rPr>
              <w:rFonts w:ascii="Calibri Light" w:hAnsi="Calibri Light" w:cs="Calibri Light"/>
              <w:color w:val="0000FF"/>
              <w:u w:val="single"/>
            </w:rPr>
          </w:pPr>
          <w:hyperlink r:id="rId3" w:history="1">
            <w:r w:rsidR="004C7A6F" w:rsidRPr="00971310">
              <w:rPr>
                <w:rStyle w:val="Lienhypertexte"/>
                <w:sz w:val="20"/>
                <w:szCs w:val="20"/>
              </w:rPr>
              <w:t>www.coe.int/lang-migrants</w:t>
            </w:r>
          </w:hyperlink>
          <w:r w:rsidR="00971310" w:rsidRPr="00971310">
            <w:rPr>
              <w:rStyle w:val="Lienhypertexte"/>
              <w:sz w:val="20"/>
              <w:szCs w:val="20"/>
            </w:rPr>
            <w:t>/fr</w:t>
          </w:r>
        </w:p>
      </w:tc>
    </w:tr>
  </w:tbl>
  <w:p w:rsidR="004C7A6F" w:rsidRPr="00971310" w:rsidRDefault="004C7A6F" w:rsidP="00FB70A6">
    <w:pPr>
      <w:pStyle w:val="En-tte"/>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203"/>
    <w:rsid w:val="00004C66"/>
    <w:rsid w:val="00010EAF"/>
    <w:rsid w:val="00013516"/>
    <w:rsid w:val="00025C48"/>
    <w:rsid w:val="000338F0"/>
    <w:rsid w:val="00037B0E"/>
    <w:rsid w:val="000618A7"/>
    <w:rsid w:val="00074CFC"/>
    <w:rsid w:val="00083AA4"/>
    <w:rsid w:val="000937FA"/>
    <w:rsid w:val="000A080D"/>
    <w:rsid w:val="000A7052"/>
    <w:rsid w:val="000C0534"/>
    <w:rsid w:val="000C5F40"/>
    <w:rsid w:val="000E706C"/>
    <w:rsid w:val="000E7AFD"/>
    <w:rsid w:val="000F42D6"/>
    <w:rsid w:val="00110B4B"/>
    <w:rsid w:val="00111DFD"/>
    <w:rsid w:val="00113442"/>
    <w:rsid w:val="00114B5D"/>
    <w:rsid w:val="00121C7F"/>
    <w:rsid w:val="00124DB6"/>
    <w:rsid w:val="00126A5E"/>
    <w:rsid w:val="001322CE"/>
    <w:rsid w:val="001347DC"/>
    <w:rsid w:val="00140B7E"/>
    <w:rsid w:val="00142852"/>
    <w:rsid w:val="00153340"/>
    <w:rsid w:val="001533BC"/>
    <w:rsid w:val="00154B1F"/>
    <w:rsid w:val="00167D16"/>
    <w:rsid w:val="0017200A"/>
    <w:rsid w:val="00172C07"/>
    <w:rsid w:val="00173C40"/>
    <w:rsid w:val="001741D1"/>
    <w:rsid w:val="0017676C"/>
    <w:rsid w:val="00186952"/>
    <w:rsid w:val="001965B4"/>
    <w:rsid w:val="001A1B4C"/>
    <w:rsid w:val="001B0010"/>
    <w:rsid w:val="001B29DB"/>
    <w:rsid w:val="001B602D"/>
    <w:rsid w:val="001B71AD"/>
    <w:rsid w:val="001C4F3F"/>
    <w:rsid w:val="001C7918"/>
    <w:rsid w:val="001D6F0F"/>
    <w:rsid w:val="001F1726"/>
    <w:rsid w:val="001F7AFA"/>
    <w:rsid w:val="00201D74"/>
    <w:rsid w:val="0020300A"/>
    <w:rsid w:val="002134F5"/>
    <w:rsid w:val="00214CD0"/>
    <w:rsid w:val="00226C61"/>
    <w:rsid w:val="00233192"/>
    <w:rsid w:val="00246E8E"/>
    <w:rsid w:val="00254DC5"/>
    <w:rsid w:val="00257286"/>
    <w:rsid w:val="00257D35"/>
    <w:rsid w:val="0026293F"/>
    <w:rsid w:val="002860CD"/>
    <w:rsid w:val="002A0CEF"/>
    <w:rsid w:val="002A3476"/>
    <w:rsid w:val="002B0F08"/>
    <w:rsid w:val="002C791F"/>
    <w:rsid w:val="002D1F78"/>
    <w:rsid w:val="002F089F"/>
    <w:rsid w:val="002F2006"/>
    <w:rsid w:val="002F2562"/>
    <w:rsid w:val="0030060E"/>
    <w:rsid w:val="00303A5A"/>
    <w:rsid w:val="003128C2"/>
    <w:rsid w:val="00323BF3"/>
    <w:rsid w:val="00327BBC"/>
    <w:rsid w:val="0033137E"/>
    <w:rsid w:val="00334DB7"/>
    <w:rsid w:val="003428B9"/>
    <w:rsid w:val="0035492A"/>
    <w:rsid w:val="00354CAA"/>
    <w:rsid w:val="003559C7"/>
    <w:rsid w:val="003575BD"/>
    <w:rsid w:val="00371E6A"/>
    <w:rsid w:val="00373B9F"/>
    <w:rsid w:val="0037570C"/>
    <w:rsid w:val="003816D5"/>
    <w:rsid w:val="0038409C"/>
    <w:rsid w:val="003847AD"/>
    <w:rsid w:val="00392E1D"/>
    <w:rsid w:val="003A30D7"/>
    <w:rsid w:val="003B1357"/>
    <w:rsid w:val="003B337F"/>
    <w:rsid w:val="003B651C"/>
    <w:rsid w:val="003C0495"/>
    <w:rsid w:val="003C050D"/>
    <w:rsid w:val="003C32F5"/>
    <w:rsid w:val="003E1EB1"/>
    <w:rsid w:val="003E2372"/>
    <w:rsid w:val="003E358D"/>
    <w:rsid w:val="003E4370"/>
    <w:rsid w:val="003F121D"/>
    <w:rsid w:val="003F4032"/>
    <w:rsid w:val="003F5E0F"/>
    <w:rsid w:val="00425BE0"/>
    <w:rsid w:val="00450203"/>
    <w:rsid w:val="00457DD9"/>
    <w:rsid w:val="00460BCC"/>
    <w:rsid w:val="0046114B"/>
    <w:rsid w:val="0046708F"/>
    <w:rsid w:val="00470AA9"/>
    <w:rsid w:val="00472385"/>
    <w:rsid w:val="00485AA4"/>
    <w:rsid w:val="0049006B"/>
    <w:rsid w:val="00490099"/>
    <w:rsid w:val="004A486D"/>
    <w:rsid w:val="004B189C"/>
    <w:rsid w:val="004B5DD8"/>
    <w:rsid w:val="004C1652"/>
    <w:rsid w:val="004C227E"/>
    <w:rsid w:val="004C7A6F"/>
    <w:rsid w:val="004D0CFF"/>
    <w:rsid w:val="004E32A8"/>
    <w:rsid w:val="004E3609"/>
    <w:rsid w:val="004E687E"/>
    <w:rsid w:val="004F2E30"/>
    <w:rsid w:val="00503E91"/>
    <w:rsid w:val="00512E26"/>
    <w:rsid w:val="00526886"/>
    <w:rsid w:val="0053013E"/>
    <w:rsid w:val="00555D25"/>
    <w:rsid w:val="005713EB"/>
    <w:rsid w:val="005746B3"/>
    <w:rsid w:val="00582DEA"/>
    <w:rsid w:val="00592F6C"/>
    <w:rsid w:val="005A65B9"/>
    <w:rsid w:val="005C2E50"/>
    <w:rsid w:val="005E4CA5"/>
    <w:rsid w:val="005E7E7F"/>
    <w:rsid w:val="005F3597"/>
    <w:rsid w:val="00617D74"/>
    <w:rsid w:val="006310E0"/>
    <w:rsid w:val="00634900"/>
    <w:rsid w:val="0064154F"/>
    <w:rsid w:val="006455D0"/>
    <w:rsid w:val="00651E90"/>
    <w:rsid w:val="00655B1E"/>
    <w:rsid w:val="00655CCE"/>
    <w:rsid w:val="00662189"/>
    <w:rsid w:val="006627B2"/>
    <w:rsid w:val="0069012B"/>
    <w:rsid w:val="006919D2"/>
    <w:rsid w:val="00693790"/>
    <w:rsid w:val="006968FC"/>
    <w:rsid w:val="006A12B3"/>
    <w:rsid w:val="006A1A21"/>
    <w:rsid w:val="006B1BA4"/>
    <w:rsid w:val="006B617B"/>
    <w:rsid w:val="006B6834"/>
    <w:rsid w:val="006C0689"/>
    <w:rsid w:val="006C08C3"/>
    <w:rsid w:val="006C7764"/>
    <w:rsid w:val="006D234F"/>
    <w:rsid w:val="006D5089"/>
    <w:rsid w:val="006D71C7"/>
    <w:rsid w:val="006E6728"/>
    <w:rsid w:val="006F56BB"/>
    <w:rsid w:val="00705BF1"/>
    <w:rsid w:val="007061B7"/>
    <w:rsid w:val="00734E55"/>
    <w:rsid w:val="0074542C"/>
    <w:rsid w:val="007458E1"/>
    <w:rsid w:val="00750035"/>
    <w:rsid w:val="0075513F"/>
    <w:rsid w:val="00773ACD"/>
    <w:rsid w:val="00786599"/>
    <w:rsid w:val="007871B7"/>
    <w:rsid w:val="007B4D14"/>
    <w:rsid w:val="007C6439"/>
    <w:rsid w:val="007D6F36"/>
    <w:rsid w:val="007E1C45"/>
    <w:rsid w:val="007F558B"/>
    <w:rsid w:val="007F5F10"/>
    <w:rsid w:val="0080462C"/>
    <w:rsid w:val="00805257"/>
    <w:rsid w:val="008067EC"/>
    <w:rsid w:val="008109A0"/>
    <w:rsid w:val="008109EA"/>
    <w:rsid w:val="0083366C"/>
    <w:rsid w:val="00844534"/>
    <w:rsid w:val="008469DE"/>
    <w:rsid w:val="008506D5"/>
    <w:rsid w:val="008727F8"/>
    <w:rsid w:val="00892B00"/>
    <w:rsid w:val="00893A72"/>
    <w:rsid w:val="008A685F"/>
    <w:rsid w:val="008B45A3"/>
    <w:rsid w:val="008C505F"/>
    <w:rsid w:val="008C53DF"/>
    <w:rsid w:val="008E65CE"/>
    <w:rsid w:val="008E6FB9"/>
    <w:rsid w:val="008F0189"/>
    <w:rsid w:val="008F10FC"/>
    <w:rsid w:val="008F1473"/>
    <w:rsid w:val="008F24DC"/>
    <w:rsid w:val="008F51C9"/>
    <w:rsid w:val="008F5269"/>
    <w:rsid w:val="008F557F"/>
    <w:rsid w:val="009025F0"/>
    <w:rsid w:val="00921AD4"/>
    <w:rsid w:val="0093428B"/>
    <w:rsid w:val="0094551C"/>
    <w:rsid w:val="00947B10"/>
    <w:rsid w:val="00953DC1"/>
    <w:rsid w:val="00970C63"/>
    <w:rsid w:val="00971310"/>
    <w:rsid w:val="0097497F"/>
    <w:rsid w:val="00981A86"/>
    <w:rsid w:val="00981C79"/>
    <w:rsid w:val="00990990"/>
    <w:rsid w:val="009A4759"/>
    <w:rsid w:val="009A5131"/>
    <w:rsid w:val="009B7F95"/>
    <w:rsid w:val="009C0600"/>
    <w:rsid w:val="009D2C05"/>
    <w:rsid w:val="009D7994"/>
    <w:rsid w:val="00A03292"/>
    <w:rsid w:val="00A1258A"/>
    <w:rsid w:val="00A36998"/>
    <w:rsid w:val="00A3749C"/>
    <w:rsid w:val="00A37741"/>
    <w:rsid w:val="00A42CFB"/>
    <w:rsid w:val="00A5196F"/>
    <w:rsid w:val="00A5323D"/>
    <w:rsid w:val="00A6623D"/>
    <w:rsid w:val="00A67362"/>
    <w:rsid w:val="00A7236A"/>
    <w:rsid w:val="00A7554F"/>
    <w:rsid w:val="00A802F2"/>
    <w:rsid w:val="00A80895"/>
    <w:rsid w:val="00A81C9B"/>
    <w:rsid w:val="00AA20E6"/>
    <w:rsid w:val="00AA5CAE"/>
    <w:rsid w:val="00AB255A"/>
    <w:rsid w:val="00AD0B1C"/>
    <w:rsid w:val="00AD36D4"/>
    <w:rsid w:val="00AE4F9B"/>
    <w:rsid w:val="00AE562F"/>
    <w:rsid w:val="00AE657E"/>
    <w:rsid w:val="00AF0DCA"/>
    <w:rsid w:val="00AF4540"/>
    <w:rsid w:val="00AF4A1E"/>
    <w:rsid w:val="00AF56A8"/>
    <w:rsid w:val="00B14386"/>
    <w:rsid w:val="00B25C82"/>
    <w:rsid w:val="00B33421"/>
    <w:rsid w:val="00B35EFB"/>
    <w:rsid w:val="00B5669A"/>
    <w:rsid w:val="00B60977"/>
    <w:rsid w:val="00B71D6E"/>
    <w:rsid w:val="00B73A35"/>
    <w:rsid w:val="00B73EB8"/>
    <w:rsid w:val="00B82759"/>
    <w:rsid w:val="00B85B33"/>
    <w:rsid w:val="00B87D33"/>
    <w:rsid w:val="00B910D6"/>
    <w:rsid w:val="00B94E15"/>
    <w:rsid w:val="00B9755B"/>
    <w:rsid w:val="00BA1475"/>
    <w:rsid w:val="00BA25B4"/>
    <w:rsid w:val="00BA3C32"/>
    <w:rsid w:val="00BB0C1F"/>
    <w:rsid w:val="00BB182D"/>
    <w:rsid w:val="00BB7E0E"/>
    <w:rsid w:val="00BC0303"/>
    <w:rsid w:val="00BC3EFC"/>
    <w:rsid w:val="00BD1557"/>
    <w:rsid w:val="00BD2F15"/>
    <w:rsid w:val="00BE3A8B"/>
    <w:rsid w:val="00BE6428"/>
    <w:rsid w:val="00BF2B09"/>
    <w:rsid w:val="00BF693D"/>
    <w:rsid w:val="00C1176C"/>
    <w:rsid w:val="00C11DD0"/>
    <w:rsid w:val="00C1643B"/>
    <w:rsid w:val="00C16F21"/>
    <w:rsid w:val="00C24B3F"/>
    <w:rsid w:val="00C35A15"/>
    <w:rsid w:val="00C35F1A"/>
    <w:rsid w:val="00C36B49"/>
    <w:rsid w:val="00C478A6"/>
    <w:rsid w:val="00C50AF6"/>
    <w:rsid w:val="00C523EA"/>
    <w:rsid w:val="00C6093D"/>
    <w:rsid w:val="00C622D7"/>
    <w:rsid w:val="00C73C0A"/>
    <w:rsid w:val="00C73C61"/>
    <w:rsid w:val="00C7477C"/>
    <w:rsid w:val="00C77992"/>
    <w:rsid w:val="00C8086F"/>
    <w:rsid w:val="00C866B1"/>
    <w:rsid w:val="00C94196"/>
    <w:rsid w:val="00C953B9"/>
    <w:rsid w:val="00C955BE"/>
    <w:rsid w:val="00CA16CF"/>
    <w:rsid w:val="00CA3AE9"/>
    <w:rsid w:val="00CA4EF8"/>
    <w:rsid w:val="00CB4F96"/>
    <w:rsid w:val="00CB5C65"/>
    <w:rsid w:val="00CB6A95"/>
    <w:rsid w:val="00CB7CC3"/>
    <w:rsid w:val="00CC0991"/>
    <w:rsid w:val="00CC6A3D"/>
    <w:rsid w:val="00CD42D1"/>
    <w:rsid w:val="00CF0B90"/>
    <w:rsid w:val="00CF18CD"/>
    <w:rsid w:val="00CF36D3"/>
    <w:rsid w:val="00D00DA4"/>
    <w:rsid w:val="00D01465"/>
    <w:rsid w:val="00D07616"/>
    <w:rsid w:val="00D2211A"/>
    <w:rsid w:val="00D305D6"/>
    <w:rsid w:val="00D44FDE"/>
    <w:rsid w:val="00D57D70"/>
    <w:rsid w:val="00D61794"/>
    <w:rsid w:val="00D81172"/>
    <w:rsid w:val="00D8328F"/>
    <w:rsid w:val="00D83A78"/>
    <w:rsid w:val="00D84672"/>
    <w:rsid w:val="00D87780"/>
    <w:rsid w:val="00DA1F23"/>
    <w:rsid w:val="00DA5A92"/>
    <w:rsid w:val="00DC276F"/>
    <w:rsid w:val="00DC59A0"/>
    <w:rsid w:val="00DD0635"/>
    <w:rsid w:val="00DD35DF"/>
    <w:rsid w:val="00DD5021"/>
    <w:rsid w:val="00DD53DC"/>
    <w:rsid w:val="00DE0060"/>
    <w:rsid w:val="00DE2D71"/>
    <w:rsid w:val="00DE5B7D"/>
    <w:rsid w:val="00DE6780"/>
    <w:rsid w:val="00DF5B76"/>
    <w:rsid w:val="00DF60EB"/>
    <w:rsid w:val="00DF6268"/>
    <w:rsid w:val="00E04A34"/>
    <w:rsid w:val="00E076C3"/>
    <w:rsid w:val="00E111EE"/>
    <w:rsid w:val="00E130BF"/>
    <w:rsid w:val="00E16F44"/>
    <w:rsid w:val="00E21B21"/>
    <w:rsid w:val="00E253A1"/>
    <w:rsid w:val="00E4038E"/>
    <w:rsid w:val="00E477BD"/>
    <w:rsid w:val="00E53152"/>
    <w:rsid w:val="00E55FA4"/>
    <w:rsid w:val="00E633FF"/>
    <w:rsid w:val="00E826A8"/>
    <w:rsid w:val="00E86541"/>
    <w:rsid w:val="00E90A39"/>
    <w:rsid w:val="00E96389"/>
    <w:rsid w:val="00EB13B1"/>
    <w:rsid w:val="00EB3411"/>
    <w:rsid w:val="00EC14E6"/>
    <w:rsid w:val="00ED00E3"/>
    <w:rsid w:val="00ED4CB7"/>
    <w:rsid w:val="00EF4157"/>
    <w:rsid w:val="00EF6222"/>
    <w:rsid w:val="00F216D4"/>
    <w:rsid w:val="00F260E9"/>
    <w:rsid w:val="00F35678"/>
    <w:rsid w:val="00F4620A"/>
    <w:rsid w:val="00F47D6C"/>
    <w:rsid w:val="00F5126A"/>
    <w:rsid w:val="00F5232E"/>
    <w:rsid w:val="00F66BCF"/>
    <w:rsid w:val="00F87471"/>
    <w:rsid w:val="00F934F1"/>
    <w:rsid w:val="00FB0515"/>
    <w:rsid w:val="00FB17BF"/>
    <w:rsid w:val="00FB1DA7"/>
    <w:rsid w:val="00FB70A6"/>
    <w:rsid w:val="00FB7E16"/>
    <w:rsid w:val="00FC4F80"/>
    <w:rsid w:val="00FD180C"/>
    <w:rsid w:val="00FD67EB"/>
    <w:rsid w:val="00FE56B2"/>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A96AC"/>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cs="Times New Roman"/>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hAnsi="Consolas" w:cs="Consolas"/>
      <w:sz w:val="21"/>
      <w:szCs w:val="21"/>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8F55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szCs w:val="22"/>
    </w:rPr>
  </w:style>
  <w:style w:type="character" w:customStyle="1" w:styleId="En-tteCar">
    <w:name w:val="En-tête Car"/>
    <w:link w:val="En-tte"/>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character" w:styleId="lev">
    <w:name w:val="Strong"/>
    <w:uiPriority w:val="99"/>
    <w:qFormat/>
    <w:rsid w:val="0046114B"/>
    <w:rPr>
      <w:b/>
      <w:bCs/>
    </w:rPr>
  </w:style>
  <w:style w:type="character" w:styleId="Mentionnonrsolue">
    <w:name w:val="Unresolved Mention"/>
    <w:uiPriority w:val="99"/>
    <w:semiHidden/>
    <w:unhideWhenUsed/>
    <w:rsid w:val="00B71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m.coe.int/doc-38-portrait-plurilingue-une-tache-reflexive-pour-les-refugies-acco/168075aad2" TargetMode="External"/><Relationship Id="rId18" Type="http://schemas.openxmlformats.org/officeDocument/2006/relationships/hyperlink" Target="http://www.refworld.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rm.coe.int/doc-3-questions-ethiques-et-interculturelles-a-prendre-en-compte-quand/168075aa1b" TargetMode="External"/><Relationship Id="rId17" Type="http://schemas.openxmlformats.org/officeDocument/2006/relationships/hyperlink" Target="https://www.iom.int/fr/salle-de-presse/histoires-de-migrants" TargetMode="External"/><Relationship Id="rId2" Type="http://schemas.openxmlformats.org/officeDocument/2006/relationships/styles" Target="styles.xml"/><Relationship Id="rId16" Type="http://schemas.openxmlformats.org/officeDocument/2006/relationships/hyperlink" Target="https://www.iom.int/fr/press-room/newsdesk" TargetMode="External"/><Relationship Id="rId20" Type="http://schemas.openxmlformats.org/officeDocument/2006/relationships/hyperlink" Target="http://data2.unhcr.org/fr/situations/mediterrane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grationpolicy.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om.int/fr/pays" TargetMode="External"/><Relationship Id="rId23" Type="http://schemas.openxmlformats.org/officeDocument/2006/relationships/fontTable" Target="fontTable.xml"/><Relationship Id="rId10" Type="http://schemas.openxmlformats.org/officeDocument/2006/relationships/hyperlink" Target="http://www.easo.europa.eu/latest-asylum-trends" TargetMode="External"/><Relationship Id="rId19" Type="http://schemas.openxmlformats.org/officeDocument/2006/relationships/hyperlink" Target="http://www.unhcr.org/fr/la-parole-aux-refugies.html" TargetMode="External"/><Relationship Id="rId4" Type="http://schemas.openxmlformats.org/officeDocument/2006/relationships/webSettings" Target="webSettings.xml"/><Relationship Id="rId9" Type="http://schemas.openxmlformats.org/officeDocument/2006/relationships/hyperlink" Target="http://www.iom.int/fr" TargetMode="External"/><Relationship Id="rId14" Type="http://schemas.openxmlformats.org/officeDocument/2006/relationships/hyperlink" Target="http://rm.coe.int/doc-27-profils-linguistiques-des-refugies-accompagnement-linguistique-/168075aac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27</TotalTime>
  <Pages>5</Pages>
  <Words>1860</Words>
  <Characters>8971</Characters>
  <Application>Microsoft Office Word</Application>
  <DocSecurity>0</DocSecurity>
  <Lines>140</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 – The geopolitical context of migration</vt:lpstr>
      <vt:lpstr>1 – The geopolitical context of migration</vt:lpstr>
    </vt:vector>
  </TitlesOfParts>
  <Company>Council of Europe</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The geopolitical context of migration</dc:title>
  <dc:subject/>
  <dc:creator>utilisateur</dc:creator>
  <cp:keywords/>
  <dc:description/>
  <cp:lastModifiedBy>Carole</cp:lastModifiedBy>
  <cp:revision>7</cp:revision>
  <cp:lastPrinted>2017-06-23T02:30:00Z</cp:lastPrinted>
  <dcterms:created xsi:type="dcterms:W3CDTF">2017-10-06T08:47:00Z</dcterms:created>
  <dcterms:modified xsi:type="dcterms:W3CDTF">2017-11-09T16:30:00Z</dcterms:modified>
</cp:coreProperties>
</file>