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5BDD7" w14:textId="68F8F221" w:rsidR="00B539E1" w:rsidRPr="00EF7399" w:rsidRDefault="00AB0410" w:rsidP="00B539E1">
      <w:pPr>
        <w:pStyle w:val="ECHRCoverTitle1"/>
        <w:rPr>
          <w:rFonts w:ascii="Times New Roman" w:hAnsi="Times New Roman" w:cs="Times New Roman"/>
          <w:szCs w:val="36"/>
          <w:lang w:val="af-ZA"/>
        </w:rPr>
      </w:pPr>
      <w:r w:rsidRPr="00667419">
        <w:rPr>
          <w:rFonts w:ascii="Times New Roman" w:hAnsi="Times New Roman" w:cs="Times New Roman"/>
          <w:lang w:val="af-ZA"/>
        </w:rPr>
        <w:t xml:space="preserve"> </w:t>
      </w:r>
      <w:r w:rsidR="00312B28" w:rsidRPr="00667419">
        <w:rPr>
          <w:rFonts w:ascii="Times New Roman" w:hAnsi="Times New Roman" w:cs="Times New Roman"/>
          <w:lang w:val="af-ZA"/>
        </w:rPr>
        <w:br/>
      </w:r>
      <w:r w:rsidR="00074E81" w:rsidRPr="00EF7399">
        <w:rPr>
          <w:rFonts w:ascii="Times New Roman" w:eastAsia="Arial Unicode MS" w:hAnsi="Times New Roman" w:cs="Times New Roman"/>
          <w:b/>
          <w:bCs/>
          <w:szCs w:val="36"/>
          <w:lang w:val="af-ZA"/>
        </w:rPr>
        <w:t>ՄԱՐ</w:t>
      </w:r>
      <w:r w:rsidR="00176F7C" w:rsidRPr="00EF7399">
        <w:rPr>
          <w:rFonts w:ascii="Times New Roman" w:eastAsia="Arial Unicode MS" w:hAnsi="Times New Roman" w:cs="Times New Roman"/>
          <w:b/>
          <w:bCs/>
          <w:szCs w:val="36"/>
          <w:lang w:val="af-ZA"/>
        </w:rPr>
        <w:t>ԴՈՒ ԻՐԱՎՈՒՆՔՆԵՐԻ ԵՎՐՈՊԱԿԱ</w:t>
      </w:r>
      <w:r w:rsidR="00F77AD2" w:rsidRPr="00EF7399">
        <w:rPr>
          <w:rFonts w:ascii="Times New Roman" w:eastAsia="Arial Unicode MS" w:hAnsi="Times New Roman" w:cs="Times New Roman"/>
          <w:b/>
          <w:bCs/>
          <w:szCs w:val="36"/>
          <w:lang w:val="af-ZA"/>
        </w:rPr>
        <w:t xml:space="preserve">Ն </w:t>
      </w:r>
      <w:r w:rsidR="00176F7C" w:rsidRPr="00EF7399">
        <w:rPr>
          <w:rFonts w:ascii="Times New Roman" w:eastAsia="Arial Unicode MS" w:hAnsi="Times New Roman" w:cs="Times New Roman"/>
          <w:b/>
          <w:bCs/>
          <w:szCs w:val="36"/>
          <w:lang w:val="af-ZA"/>
        </w:rPr>
        <w:t>ԿՈՆՎԵՆՑԻԱՅԻ</w:t>
      </w:r>
      <w:r w:rsidR="00312B28" w:rsidRPr="00EF7399">
        <w:rPr>
          <w:rFonts w:ascii="Times New Roman" w:hAnsi="Times New Roman" w:cs="Times New Roman"/>
          <w:szCs w:val="36"/>
          <w:lang w:val="af-ZA"/>
        </w:rPr>
        <w:t xml:space="preserve"> </w:t>
      </w:r>
      <w:r w:rsidR="002C39F8" w:rsidRPr="00EF7399">
        <w:rPr>
          <w:rFonts w:ascii="Times New Roman" w:hAnsi="Times New Roman" w:cs="Times New Roman"/>
          <w:szCs w:val="36"/>
          <w:lang w:val="af-ZA"/>
        </w:rPr>
        <w:br/>
      </w:r>
      <w:r w:rsidR="00176F7C" w:rsidRPr="00EF7399">
        <w:rPr>
          <w:rFonts w:ascii="Times New Roman" w:eastAsia="Arial Unicode MS" w:hAnsi="Times New Roman" w:cs="Times New Roman"/>
          <w:b/>
          <w:bCs/>
          <w:szCs w:val="36"/>
          <w:lang w:val="af-ZA"/>
        </w:rPr>
        <w:t>11-ՐԴ ՀՈԴՎԱԾԻ ՎԵՐԱԲԵՐՅԱԼ ՈՒՂԵՑՈՒՅՑ</w:t>
      </w:r>
    </w:p>
    <w:p w14:paraId="2C2BBCC8" w14:textId="379170FC" w:rsidR="003F1F1D" w:rsidRPr="00EF7399" w:rsidRDefault="00176F7C" w:rsidP="00875585">
      <w:pPr>
        <w:pStyle w:val="ECHRCoverTitle2"/>
        <w:rPr>
          <w:rFonts w:ascii="Times New Roman" w:hAnsi="Times New Roman" w:cs="Times New Roman"/>
          <w:lang w:val="af-ZA"/>
        </w:rPr>
      </w:pPr>
      <w:r w:rsidRPr="00EF7399">
        <w:rPr>
          <w:rFonts w:ascii="Times New Roman" w:eastAsia="Arial Unicode MS" w:hAnsi="Times New Roman" w:cs="Times New Roman"/>
          <w:lang w:val="af-ZA"/>
        </w:rPr>
        <w:t>Հավաքների և միավորման ազատություն</w:t>
      </w:r>
    </w:p>
    <w:p w14:paraId="36811970" w14:textId="3734D7C0" w:rsidR="00CF6CF3" w:rsidRPr="00EF7399" w:rsidRDefault="00176F7C" w:rsidP="00D57D00">
      <w:pPr>
        <w:pStyle w:val="ECHRCoverTitle3"/>
        <w:rPr>
          <w:rFonts w:ascii="Times New Roman" w:hAnsi="Times New Roman" w:cs="Times New Roman"/>
          <w:lang w:val="af-ZA"/>
        </w:rPr>
      </w:pPr>
      <w:r w:rsidRPr="00EF7399">
        <w:rPr>
          <w:rFonts w:ascii="Times New Roman" w:eastAsia="Arial Unicode MS" w:hAnsi="Times New Roman" w:cs="Times New Roman"/>
          <w:sz w:val="20"/>
          <w:szCs w:val="20"/>
          <w:lang w:val="af-ZA"/>
        </w:rPr>
        <w:t>2023 թվականի</w:t>
      </w:r>
      <w:r w:rsidR="00535B4D" w:rsidRPr="00EF7399">
        <w:rPr>
          <w:rFonts w:ascii="Times New Roman" w:eastAsia="Arial Unicode MS" w:hAnsi="Times New Roman" w:cs="Times New Roman"/>
          <w:sz w:val="20"/>
          <w:szCs w:val="20"/>
          <w:lang w:val="hy-AM"/>
        </w:rPr>
        <w:t xml:space="preserve"> </w:t>
      </w:r>
      <w:r w:rsidR="00C020B8">
        <w:rPr>
          <w:rFonts w:ascii="Times New Roman" w:eastAsia="Arial Unicode MS" w:hAnsi="Times New Roman" w:cs="Times New Roman"/>
          <w:sz w:val="20"/>
          <w:szCs w:val="20"/>
          <w:lang w:val="hy-AM"/>
        </w:rPr>
        <w:t>օգոստոսի</w:t>
      </w:r>
      <w:r w:rsidR="00C020B8" w:rsidRPr="00667419">
        <w:rPr>
          <w:rFonts w:ascii="Times New Roman" w:eastAsia="Arial Unicode MS" w:hAnsi="Times New Roman" w:cs="Times New Roman"/>
          <w:sz w:val="20"/>
          <w:szCs w:val="20"/>
          <w:lang w:val="af-ZA"/>
        </w:rPr>
        <w:t xml:space="preserve"> </w:t>
      </w:r>
      <w:r w:rsidR="00C020B8">
        <w:rPr>
          <w:rFonts w:ascii="Times New Roman" w:eastAsia="Arial Unicode MS" w:hAnsi="Times New Roman" w:cs="Times New Roman"/>
          <w:sz w:val="20"/>
          <w:szCs w:val="20"/>
          <w:lang w:val="hy-AM"/>
        </w:rPr>
        <w:t>31</w:t>
      </w:r>
      <w:r w:rsidR="00C020B8" w:rsidRPr="00667419">
        <w:rPr>
          <w:rFonts w:ascii="Times New Roman" w:eastAsia="Arial Unicode MS" w:hAnsi="Times New Roman" w:cs="Times New Roman"/>
          <w:sz w:val="20"/>
          <w:szCs w:val="20"/>
          <w:lang w:val="af-ZA"/>
        </w:rPr>
        <w:t xml:space="preserve">-ի </w:t>
      </w:r>
      <w:r w:rsidRPr="00EF7399">
        <w:rPr>
          <w:rFonts w:ascii="Times New Roman" w:eastAsia="Arial Unicode MS" w:hAnsi="Times New Roman" w:cs="Times New Roman"/>
          <w:sz w:val="20"/>
          <w:szCs w:val="20"/>
          <w:lang w:val="af-ZA"/>
        </w:rPr>
        <w:t>դրությամբ</w:t>
      </w:r>
    </w:p>
    <w:p w14:paraId="1D60A09B" w14:textId="77777777" w:rsidR="00CF6CF3" w:rsidRPr="00EF7399" w:rsidRDefault="00CF6CF3">
      <w:pPr>
        <w:rPr>
          <w:rFonts w:ascii="Times New Roman" w:hAnsi="Times New Roman" w:cs="Times New Roman"/>
        </w:rPr>
      </w:pPr>
    </w:p>
    <w:p w14:paraId="13D98464" w14:textId="77777777" w:rsidR="00CF6CF3" w:rsidRPr="00EF7399" w:rsidRDefault="00CF6CF3">
      <w:pPr>
        <w:rPr>
          <w:rFonts w:ascii="Times New Roman" w:hAnsi="Times New Roman" w:cs="Times New Roman"/>
        </w:rPr>
      </w:pPr>
    </w:p>
    <w:p w14:paraId="3BCC60D7" w14:textId="77777777" w:rsidR="00CF6CF3" w:rsidRPr="00EF7399" w:rsidRDefault="00CF6CF3">
      <w:pPr>
        <w:rPr>
          <w:rFonts w:ascii="Times New Roman" w:hAnsi="Times New Roman" w:cs="Times New Roman"/>
        </w:rPr>
      </w:pPr>
    </w:p>
    <w:p w14:paraId="20AD0B41" w14:textId="77777777" w:rsidR="00CF6CF3" w:rsidRPr="00EF7399" w:rsidRDefault="00CF6CF3">
      <w:pPr>
        <w:rPr>
          <w:rFonts w:ascii="Times New Roman" w:hAnsi="Times New Roman" w:cs="Times New Roman"/>
        </w:rPr>
      </w:pPr>
    </w:p>
    <w:p w14:paraId="660B07BD" w14:textId="77777777" w:rsidR="00CF6CF3" w:rsidRPr="00EF7399" w:rsidRDefault="00CF6CF3">
      <w:pPr>
        <w:rPr>
          <w:rFonts w:ascii="Times New Roman" w:hAnsi="Times New Roman" w:cs="Times New Roman"/>
        </w:rPr>
      </w:pPr>
    </w:p>
    <w:p w14:paraId="15F12751" w14:textId="6783C307" w:rsidR="00CF6CF3" w:rsidRPr="00EF7399" w:rsidRDefault="00CF6CF3">
      <w:pPr>
        <w:rPr>
          <w:rFonts w:ascii="Times New Roman" w:hAnsi="Times New Roman" w:cs="Times New Roman"/>
        </w:rPr>
      </w:pPr>
    </w:p>
    <w:p w14:paraId="44DDCB3E" w14:textId="77777777" w:rsidR="0042097E" w:rsidRPr="00EF7399" w:rsidRDefault="0042097E">
      <w:pPr>
        <w:rPr>
          <w:rFonts w:ascii="Times New Roman" w:hAnsi="Times New Roman" w:cs="Times New Roman"/>
        </w:rPr>
      </w:pPr>
    </w:p>
    <w:p w14:paraId="7F9A7268" w14:textId="4C66DC04" w:rsidR="00CF6CF3" w:rsidRPr="00EF7399" w:rsidRDefault="00CF6CF3">
      <w:pPr>
        <w:rPr>
          <w:rFonts w:ascii="Times New Roman" w:hAnsi="Times New Roman" w:cs="Times New Roman"/>
        </w:rPr>
      </w:pPr>
    </w:p>
    <w:p w14:paraId="2113727A" w14:textId="021B70D1" w:rsidR="004943FA" w:rsidRPr="00EF7399" w:rsidRDefault="004943FA">
      <w:pPr>
        <w:rPr>
          <w:rFonts w:ascii="Times New Roman" w:hAnsi="Times New Roman" w:cs="Times New Roman"/>
        </w:rPr>
      </w:pPr>
    </w:p>
    <w:p w14:paraId="18AF0F7E" w14:textId="77777777" w:rsidR="00CF6CF3" w:rsidRPr="00EF7399" w:rsidRDefault="00CF6CF3">
      <w:pPr>
        <w:rPr>
          <w:rFonts w:ascii="Times New Roman" w:hAnsi="Times New Roman" w:cs="Times New Roman"/>
        </w:rPr>
      </w:pPr>
    </w:p>
    <w:p w14:paraId="761AA3FC" w14:textId="77777777" w:rsidR="00CF6CF3" w:rsidRPr="00EF7399" w:rsidRDefault="00CF6CF3">
      <w:pPr>
        <w:rPr>
          <w:rFonts w:ascii="Times New Roman" w:hAnsi="Times New Roman" w:cs="Times New Roman"/>
        </w:rPr>
      </w:pPr>
    </w:p>
    <w:p w14:paraId="0389256E" w14:textId="15ED3725" w:rsidR="004943FA" w:rsidRPr="00EF7399" w:rsidRDefault="00176F7C" w:rsidP="00CF6CF3">
      <w:pPr>
        <w:jc w:val="center"/>
        <w:rPr>
          <w:rFonts w:ascii="Times New Roman" w:hAnsi="Times New Roman" w:cs="Times New Roman"/>
          <w:bCs/>
        </w:rPr>
      </w:pPr>
      <w:r w:rsidRPr="00EF7399">
        <w:rPr>
          <w:rFonts w:ascii="Times New Roman" w:hAnsi="Times New Roman" w:cs="Times New Roman"/>
        </w:rPr>
        <w:t>Պատրաստվել է քարտուղարության կողմից: Դատարանի համար պարտադիր ուժ չունի:</w:t>
      </w:r>
    </w:p>
    <w:p w14:paraId="3DB22679" w14:textId="0149B3F3" w:rsidR="00E255CC" w:rsidRPr="00EF7399" w:rsidRDefault="00E255CC" w:rsidP="00CF6CF3">
      <w:pPr>
        <w:jc w:val="center"/>
        <w:rPr>
          <w:rFonts w:ascii="Times New Roman" w:hAnsi="Times New Roman" w:cs="Times New Roman"/>
        </w:rPr>
      </w:pPr>
      <w:r w:rsidRPr="00EF7399">
        <w:rPr>
          <w:rFonts w:ascii="Times New Roman" w:hAnsi="Times New Roman" w:cs="Times New Roman"/>
        </w:rPr>
        <w:br w:type="page"/>
      </w:r>
    </w:p>
    <w:p w14:paraId="767ABCE8" w14:textId="77777777" w:rsidR="00312B28" w:rsidRPr="00EF7399" w:rsidRDefault="00312B28" w:rsidP="00312B28">
      <w:pPr>
        <w:pStyle w:val="ECHRParaSpaced"/>
        <w:rPr>
          <w:rFonts w:ascii="Times New Roman" w:hAnsi="Times New Roman" w:cs="Times New Roman"/>
          <w:lang w:val="af-ZA"/>
        </w:rPr>
      </w:pPr>
    </w:p>
    <w:p w14:paraId="5DADFF06" w14:textId="77777777" w:rsidR="00312B28" w:rsidRPr="00EF7399" w:rsidRDefault="00312B28" w:rsidP="00312B28">
      <w:pPr>
        <w:pStyle w:val="ECHRParaSpaced"/>
        <w:rPr>
          <w:rFonts w:ascii="Times New Roman" w:hAnsi="Times New Roman" w:cs="Times New Roman"/>
          <w:lang w:val="af-ZA"/>
        </w:rPr>
      </w:pPr>
    </w:p>
    <w:p w14:paraId="771D7500" w14:textId="77777777" w:rsidR="00312B28" w:rsidRPr="00EF7399" w:rsidRDefault="00312B28" w:rsidP="00312B28">
      <w:pPr>
        <w:pStyle w:val="ECHRParaSpaced"/>
        <w:rPr>
          <w:rFonts w:ascii="Times New Roman" w:hAnsi="Times New Roman" w:cs="Times New Roman"/>
          <w:lang w:val="af-ZA"/>
        </w:rPr>
      </w:pPr>
    </w:p>
    <w:p w14:paraId="401E6973" w14:textId="77777777" w:rsidR="00312B28" w:rsidRPr="00EF7399" w:rsidRDefault="00312B28" w:rsidP="00312B28">
      <w:pPr>
        <w:pStyle w:val="ECHRParaSpaced"/>
        <w:rPr>
          <w:rFonts w:ascii="Times New Roman" w:hAnsi="Times New Roman" w:cs="Times New Roman"/>
          <w:lang w:val="af-ZA"/>
        </w:rPr>
      </w:pPr>
    </w:p>
    <w:p w14:paraId="69C042B5" w14:textId="77777777" w:rsidR="00312B28" w:rsidRPr="00EF7399" w:rsidRDefault="00312B28" w:rsidP="00312B28">
      <w:pPr>
        <w:pStyle w:val="ECHRParaSpaced"/>
        <w:rPr>
          <w:rFonts w:ascii="Times New Roman" w:hAnsi="Times New Roman" w:cs="Times New Roman"/>
          <w:lang w:val="af-ZA"/>
        </w:rPr>
      </w:pPr>
    </w:p>
    <w:p w14:paraId="0FCC031B" w14:textId="77777777" w:rsidR="00312B28" w:rsidRPr="00EF7399" w:rsidRDefault="00312B28" w:rsidP="00312B28">
      <w:pPr>
        <w:pStyle w:val="ECHRParaSpaced"/>
        <w:rPr>
          <w:rFonts w:ascii="Times New Roman" w:hAnsi="Times New Roman" w:cs="Times New Roman"/>
          <w:lang w:val="af-ZA"/>
        </w:rPr>
      </w:pPr>
    </w:p>
    <w:p w14:paraId="209FE51F" w14:textId="77777777" w:rsidR="007B1287" w:rsidRPr="00EF7399" w:rsidRDefault="007B1287" w:rsidP="00312B28">
      <w:pPr>
        <w:pStyle w:val="ECHRParaSpaced"/>
        <w:rPr>
          <w:rFonts w:ascii="Times New Roman" w:hAnsi="Times New Roman" w:cs="Times New Roman"/>
          <w:lang w:val="af-ZA"/>
        </w:rPr>
      </w:pPr>
    </w:p>
    <w:p w14:paraId="3125A696" w14:textId="77777777" w:rsidR="00D01D37" w:rsidRPr="00EF7399" w:rsidRDefault="00D01D37" w:rsidP="00312B28">
      <w:pPr>
        <w:pStyle w:val="ECHRParaSpaced"/>
        <w:rPr>
          <w:rFonts w:ascii="Times New Roman" w:hAnsi="Times New Roman" w:cs="Times New Roman"/>
          <w:lang w:val="af-ZA"/>
        </w:rPr>
      </w:pPr>
    </w:p>
    <w:p w14:paraId="0C74978C" w14:textId="77777777" w:rsidR="00D01D37" w:rsidRPr="00EF7399" w:rsidRDefault="00D01D37" w:rsidP="00312B28">
      <w:pPr>
        <w:pStyle w:val="ECHRParaSpaced"/>
        <w:rPr>
          <w:rFonts w:ascii="Times New Roman" w:hAnsi="Times New Roman" w:cs="Times New Roman"/>
          <w:lang w:val="af-ZA"/>
        </w:rPr>
      </w:pPr>
    </w:p>
    <w:p w14:paraId="6FE67B2C" w14:textId="77777777" w:rsidR="00D01D37" w:rsidRPr="00EF7399" w:rsidRDefault="00D01D37" w:rsidP="00312B28">
      <w:pPr>
        <w:pStyle w:val="ECHRParaSpaced"/>
        <w:rPr>
          <w:rFonts w:ascii="Times New Roman" w:hAnsi="Times New Roman" w:cs="Times New Roman"/>
          <w:lang w:val="af-ZA"/>
        </w:rPr>
      </w:pPr>
    </w:p>
    <w:p w14:paraId="7810325B" w14:textId="77777777" w:rsidR="00D01D37" w:rsidRPr="00EF7399" w:rsidRDefault="00D01D37" w:rsidP="00312B28">
      <w:pPr>
        <w:pStyle w:val="ECHRParaSpaced"/>
        <w:rPr>
          <w:rFonts w:ascii="Times New Roman" w:hAnsi="Times New Roman" w:cs="Times New Roman"/>
          <w:lang w:val="af-ZA"/>
        </w:rPr>
      </w:pPr>
    </w:p>
    <w:p w14:paraId="2068B224" w14:textId="77777777" w:rsidR="00312B28" w:rsidRPr="00EF7399" w:rsidRDefault="00312B28" w:rsidP="00312B28">
      <w:pPr>
        <w:pStyle w:val="ECHRParaSpaced"/>
        <w:rPr>
          <w:rFonts w:ascii="Times New Roman" w:hAnsi="Times New Roman" w:cs="Times New Roman"/>
          <w:lang w:val="af-ZA"/>
        </w:rPr>
      </w:pPr>
    </w:p>
    <w:p w14:paraId="6B86C3E6" w14:textId="77777777" w:rsidR="00312B28" w:rsidRPr="00EF7399" w:rsidRDefault="00312B28" w:rsidP="00312B28">
      <w:pPr>
        <w:pStyle w:val="ECHRParaSpaced"/>
        <w:rPr>
          <w:rFonts w:ascii="Times New Roman" w:hAnsi="Times New Roman" w:cs="Times New Roman"/>
          <w:lang w:val="af-ZA"/>
        </w:rPr>
      </w:pPr>
    </w:p>
    <w:tbl>
      <w:tblPr>
        <w:tblStyle w:val="ECHRTableSimpleBox"/>
        <w:tblW w:w="0" w:type="auto"/>
        <w:tblBorders>
          <w:top w:val="none" w:sz="0" w:space="0" w:color="auto"/>
          <w:left w:val="none" w:sz="0" w:space="0" w:color="auto"/>
          <w:bottom w:val="none" w:sz="0" w:space="0" w:color="auto"/>
          <w:right w:val="none" w:sz="0" w:space="0" w:color="auto"/>
        </w:tblBorders>
        <w:shd w:val="clear" w:color="auto" w:fill="F3F3F3" w:themeFill="text2" w:themeFillTint="33"/>
        <w:tblLook w:val="04A0" w:firstRow="1" w:lastRow="0" w:firstColumn="1" w:lastColumn="0" w:noHBand="0" w:noVBand="1"/>
      </w:tblPr>
      <w:tblGrid>
        <w:gridCol w:w="9027"/>
      </w:tblGrid>
      <w:tr w:rsidR="00F3017B" w:rsidRPr="00EF7399" w14:paraId="76359C05" w14:textId="77777777" w:rsidTr="001730E1">
        <w:tc>
          <w:tcPr>
            <w:tcW w:w="9243" w:type="dxa"/>
            <w:shd w:val="clear" w:color="auto" w:fill="F3F3F3" w:themeFill="text2" w:themeFillTint="33"/>
          </w:tcPr>
          <w:p w14:paraId="080F5640" w14:textId="2DEE73F0" w:rsidR="00C77AB6" w:rsidRPr="00EF7399" w:rsidRDefault="00176F7C" w:rsidP="00C77AB6">
            <w:pPr>
              <w:pStyle w:val="ECHRParaSpaced"/>
              <w:shd w:val="clear" w:color="auto" w:fill="F3F3F3" w:themeFill="text2" w:themeFillTint="33"/>
              <w:rPr>
                <w:rFonts w:ascii="Times New Roman" w:hAnsi="Times New Roman" w:cs="Times New Roman"/>
                <w:lang w:val="af-ZA"/>
              </w:rPr>
            </w:pPr>
            <w:r w:rsidRPr="00EF7399">
              <w:rPr>
                <w:rFonts w:ascii="Times New Roman" w:hAnsi="Times New Roman" w:cs="Times New Roman"/>
                <w:lang w:val="af-ZA"/>
              </w:rPr>
              <w:t>Սույն փաստաթղթի էլեկտրոնային կամ տպագիր տարբերակ</w:t>
            </w:r>
            <w:r w:rsidR="00615A19" w:rsidRPr="00EF7399">
              <w:rPr>
                <w:rFonts w:ascii="Times New Roman" w:hAnsi="Times New Roman" w:cs="Times New Roman"/>
                <w:lang w:val="af-ZA"/>
              </w:rPr>
              <w:t>ն</w:t>
            </w:r>
            <w:r w:rsidRPr="00EF7399">
              <w:rPr>
                <w:rFonts w:ascii="Times New Roman" w:hAnsi="Times New Roman" w:cs="Times New Roman"/>
                <w:lang w:val="af-ZA"/>
              </w:rPr>
              <w:t xml:space="preserve"> ամբողջությամբ կամ մասնակի թարգմանել և</w:t>
            </w:r>
            <w:r w:rsidR="00E54BB7">
              <w:rPr>
                <w:rFonts w:ascii="Times New Roman" w:hAnsi="Times New Roman" w:cs="Times New Roman"/>
                <w:lang w:val="hy-AM"/>
              </w:rPr>
              <w:t xml:space="preserve"> </w:t>
            </w:r>
            <w:r w:rsidR="00E54BB7" w:rsidRPr="001B2612">
              <w:rPr>
                <w:rFonts w:ascii="Times New Roman" w:hAnsi="Times New Roman" w:cs="Times New Roman"/>
                <w:lang w:val="af-ZA"/>
              </w:rPr>
              <w:t>(</w:t>
            </w:r>
            <w:r w:rsidRPr="00EF7399">
              <w:rPr>
                <w:rFonts w:ascii="Times New Roman" w:hAnsi="Times New Roman" w:cs="Times New Roman"/>
                <w:lang w:val="af-ZA"/>
              </w:rPr>
              <w:t>կամ</w:t>
            </w:r>
            <w:r w:rsidR="00E54BB7">
              <w:rPr>
                <w:rFonts w:ascii="Times New Roman" w:hAnsi="Times New Roman" w:cs="Times New Roman"/>
                <w:lang w:val="af-ZA"/>
              </w:rPr>
              <w:t>)</w:t>
            </w:r>
            <w:r w:rsidRPr="00EF7399">
              <w:rPr>
                <w:rFonts w:ascii="Times New Roman" w:hAnsi="Times New Roman" w:cs="Times New Roman"/>
                <w:lang w:val="af-ZA"/>
              </w:rPr>
              <w:t xml:space="preserve"> վերարտադրել ցանկացող հրատարակողներին կամ կազմակերպություններին խնդրում ենք լրացնել</w:t>
            </w:r>
            <w:r w:rsidR="00C77AB6" w:rsidRPr="00EF7399">
              <w:rPr>
                <w:rFonts w:ascii="Times New Roman" w:eastAsia="Times New Roman" w:hAnsi="Times New Roman" w:cs="Times New Roman"/>
                <w:color w:val="272833"/>
                <w:shd w:val="clear" w:color="auto" w:fill="F7F8F9"/>
                <w:lang w:val="af-ZA"/>
              </w:rPr>
              <w:t> </w:t>
            </w:r>
            <w:hyperlink r:id="rId8" w:tgtFrame="_blank" w:history="1">
              <w:r w:rsidR="00C77AB6" w:rsidRPr="00EF7399">
                <w:rPr>
                  <w:rStyle w:val="Hyperlink"/>
                  <w:rFonts w:ascii="Times New Roman" w:eastAsia="Times New Roman" w:hAnsi="Times New Roman" w:cs="Times New Roman"/>
                  <w:shd w:val="clear" w:color="auto" w:fill="F7F8F9"/>
                  <w:lang w:val="af-ZA"/>
                </w:rPr>
                <w:t>request to reproduce or republish a translation</w:t>
              </w:r>
            </w:hyperlink>
            <w:r w:rsidR="00C77AB6" w:rsidRPr="00EF7399">
              <w:rPr>
                <w:rFonts w:ascii="Times New Roman" w:eastAsia="Times New Roman" w:hAnsi="Times New Roman" w:cs="Times New Roman"/>
                <w:lang w:val="af-ZA"/>
              </w:rPr>
              <w:t xml:space="preserve"> </w:t>
            </w:r>
            <w:r w:rsidRPr="00EF7399">
              <w:rPr>
                <w:rFonts w:ascii="Times New Roman" w:eastAsia="Times New Roman" w:hAnsi="Times New Roman" w:cs="Times New Roman"/>
                <w:lang w:val="af-ZA"/>
              </w:rPr>
              <w:t>ձևը` թույլտվության ընթացակարգի վերաբերյալ տեղեկանալու համար:</w:t>
            </w:r>
          </w:p>
          <w:p w14:paraId="6F2B9665" w14:textId="103F5E7C" w:rsidR="00F3017B" w:rsidRPr="00EF7399" w:rsidRDefault="00176F7C" w:rsidP="00C77AB6">
            <w:pPr>
              <w:pStyle w:val="ECHRParaSpaced"/>
              <w:rPr>
                <w:rFonts w:ascii="Times New Roman" w:hAnsi="Times New Roman" w:cs="Times New Roman"/>
                <w:sz w:val="20"/>
                <w:szCs w:val="20"/>
                <w:lang w:val="af-ZA"/>
              </w:rPr>
            </w:pPr>
            <w:r w:rsidRPr="00EF7399">
              <w:rPr>
                <w:rFonts w:ascii="Times New Roman" w:hAnsi="Times New Roman" w:cs="Times New Roman"/>
                <w:lang w:val="af-ZA"/>
              </w:rPr>
              <w:t>Եթե ցանկանում եք տեղեկանալ նախադեպային իրավունքի վերաբերյալ ուղեցույցների ընթացիկ թարգմանությունների մասին, խնդրում ենք անցնել հետ</w:t>
            </w:r>
            <w:r w:rsidR="0059127C" w:rsidRPr="00EF7399">
              <w:rPr>
                <w:rFonts w:ascii="Times New Roman" w:hAnsi="Times New Roman" w:cs="Times New Roman"/>
                <w:lang w:val="af-ZA"/>
              </w:rPr>
              <w:t>և</w:t>
            </w:r>
            <w:r w:rsidRPr="00EF7399">
              <w:rPr>
                <w:rFonts w:ascii="Times New Roman" w:hAnsi="Times New Roman" w:cs="Times New Roman"/>
                <w:lang w:val="af-ZA"/>
              </w:rPr>
              <w:t xml:space="preserve">յալ հղմամբ՝ </w:t>
            </w:r>
            <w:hyperlink r:id="rId9" w:history="1">
              <w:r w:rsidR="00615A19" w:rsidRPr="00EF7399">
                <w:rPr>
                  <w:rStyle w:val="Hyperlink"/>
                  <w:rFonts w:ascii="Times New Roman" w:hAnsi="Times New Roman" w:cs="Times New Roman"/>
                  <w:lang w:val="af-ZA"/>
                </w:rPr>
                <w:t>pending translations</w:t>
              </w:r>
            </w:hyperlink>
            <w:r w:rsidR="00615A19" w:rsidRPr="00EF7399">
              <w:rPr>
                <w:rFonts w:ascii="Times New Roman" w:hAnsi="Times New Roman" w:cs="Times New Roman"/>
                <w:lang w:val="af-ZA"/>
              </w:rPr>
              <w:t>։</w:t>
            </w:r>
          </w:p>
        </w:tc>
      </w:tr>
    </w:tbl>
    <w:p w14:paraId="01AF6B6C" w14:textId="77777777" w:rsidR="00312B28" w:rsidRPr="00EF7399" w:rsidRDefault="00312B28" w:rsidP="00312B28">
      <w:pPr>
        <w:pStyle w:val="ECHRParaSpaced"/>
        <w:rPr>
          <w:rFonts w:ascii="Times New Roman" w:hAnsi="Times New Roman" w:cs="Times New Roman"/>
          <w:lang w:val="af-ZA"/>
        </w:rPr>
      </w:pPr>
    </w:p>
    <w:p w14:paraId="41B8CE99" w14:textId="292D0792" w:rsidR="00312B28" w:rsidRPr="0036127C" w:rsidRDefault="001B2612" w:rsidP="00312B28">
      <w:pPr>
        <w:pStyle w:val="ECHRParaSpaced"/>
        <w:rPr>
          <w:rFonts w:ascii="Times New Roman" w:hAnsi="Times New Roman" w:cs="Times New Roman"/>
        </w:rPr>
      </w:pPr>
      <w:r w:rsidRPr="001B2612">
        <w:rPr>
          <w:rFonts w:ascii="Times New Roman" w:hAnsi="Times New Roman" w:cs="Times New Roman"/>
          <w:lang w:val="af-ZA"/>
        </w:rPr>
        <w:t>Սույն ուղեցույցը թարգմանվել է «Աջակցություն Հայաստանում Մարդու իրավունքների եվրոպական դատարանի վճիռների արդյունավետ կատարմանը» ծրագրի կողմից, որը ֆինանսավորվում է Մարդու իրավունքների հավատարմագրային հիմնադրամի կողմից և իրականցվում է Եվրոպայի խորհրդի Հայաստանի համար իրականացվող 2023-2026 թթ․ գործողությունների ծրագրի շրջանակներում։</w:t>
      </w:r>
      <w:r w:rsidR="00561D87">
        <w:rPr>
          <w:rFonts w:ascii="Times New Roman" w:hAnsi="Times New Roman" w:cs="Times New Roman"/>
          <w:lang w:val="af-ZA"/>
        </w:rPr>
        <w:t xml:space="preserve"> </w:t>
      </w:r>
      <w:r w:rsidR="00561D87">
        <w:rPr>
          <w:rFonts w:ascii="Times New Roman" w:hAnsi="Times New Roman" w:cs="Times New Roman"/>
          <w:lang w:val="hy-AM"/>
        </w:rPr>
        <w:t xml:space="preserve">Սույն թարգմանության բացառիկ պատասխանատուն է հանդիսանում </w:t>
      </w:r>
      <w:r w:rsidR="0036127C">
        <w:rPr>
          <w:rFonts w:ascii="Times New Roman" w:hAnsi="Times New Roman" w:cs="Times New Roman"/>
          <w:lang w:val="hy-AM"/>
        </w:rPr>
        <w:t>վերոնշյալ</w:t>
      </w:r>
      <w:r w:rsidR="00561D87">
        <w:rPr>
          <w:rFonts w:ascii="Times New Roman" w:hAnsi="Times New Roman" w:cs="Times New Roman"/>
          <w:lang w:val="hy-AM"/>
        </w:rPr>
        <w:t xml:space="preserve"> ծրագիրը։</w:t>
      </w:r>
    </w:p>
    <w:p w14:paraId="464DE1B5" w14:textId="77777777" w:rsidR="001B2612" w:rsidRDefault="001B2612" w:rsidP="00312B28">
      <w:pPr>
        <w:pStyle w:val="ECHRParaSpaced"/>
        <w:rPr>
          <w:rFonts w:ascii="Times New Roman" w:hAnsi="Times New Roman" w:cs="Times New Roman"/>
          <w:lang w:val="af-ZA"/>
        </w:rPr>
      </w:pPr>
    </w:p>
    <w:p w14:paraId="78C4F82E" w14:textId="77777777" w:rsidR="001B2612" w:rsidRDefault="001B2612" w:rsidP="00312B28">
      <w:pPr>
        <w:pStyle w:val="ECHRParaSpaced"/>
        <w:rPr>
          <w:rFonts w:ascii="Times New Roman" w:hAnsi="Times New Roman" w:cs="Times New Roman"/>
          <w:lang w:val="af-ZA"/>
        </w:rPr>
      </w:pPr>
    </w:p>
    <w:p w14:paraId="2B5C6A9E" w14:textId="77777777" w:rsidR="001B2612" w:rsidRDefault="001B2612" w:rsidP="00312B28">
      <w:pPr>
        <w:pStyle w:val="ECHRParaSpaced"/>
        <w:rPr>
          <w:rFonts w:ascii="Times New Roman" w:hAnsi="Times New Roman" w:cs="Times New Roman"/>
          <w:lang w:val="af-ZA"/>
        </w:rPr>
      </w:pPr>
    </w:p>
    <w:p w14:paraId="3DAC6C8D" w14:textId="77777777" w:rsidR="001B2612" w:rsidRDefault="001B2612" w:rsidP="00312B28">
      <w:pPr>
        <w:pStyle w:val="ECHRParaSpaced"/>
        <w:rPr>
          <w:rFonts w:ascii="Times New Roman" w:hAnsi="Times New Roman" w:cs="Times New Roman"/>
          <w:lang w:val="af-ZA"/>
        </w:rPr>
      </w:pPr>
    </w:p>
    <w:p w14:paraId="4C142603" w14:textId="77777777" w:rsidR="001B2612" w:rsidRDefault="001B2612" w:rsidP="00312B28">
      <w:pPr>
        <w:pStyle w:val="ECHRParaSpaced"/>
        <w:rPr>
          <w:rFonts w:ascii="Times New Roman" w:hAnsi="Times New Roman" w:cs="Times New Roman"/>
          <w:lang w:val="af-ZA"/>
        </w:rPr>
      </w:pPr>
    </w:p>
    <w:p w14:paraId="5F60804B" w14:textId="77777777" w:rsidR="001B2612" w:rsidRDefault="001B2612" w:rsidP="00312B28">
      <w:pPr>
        <w:pStyle w:val="ECHRParaSpaced"/>
        <w:rPr>
          <w:rFonts w:ascii="Times New Roman" w:hAnsi="Times New Roman" w:cs="Times New Roman"/>
          <w:lang w:val="af-ZA"/>
        </w:rPr>
      </w:pPr>
    </w:p>
    <w:p w14:paraId="2A5637F2" w14:textId="77777777" w:rsidR="001B2612" w:rsidRDefault="001B2612" w:rsidP="00312B28">
      <w:pPr>
        <w:pStyle w:val="ECHRParaSpaced"/>
        <w:rPr>
          <w:rFonts w:ascii="Times New Roman" w:hAnsi="Times New Roman" w:cs="Times New Roman"/>
          <w:lang w:val="af-ZA"/>
        </w:rPr>
      </w:pPr>
    </w:p>
    <w:p w14:paraId="3284A255" w14:textId="77777777" w:rsidR="001B2612" w:rsidRDefault="001B2612" w:rsidP="00312B28">
      <w:pPr>
        <w:pStyle w:val="ECHRParaSpaced"/>
        <w:rPr>
          <w:rFonts w:ascii="Times New Roman" w:hAnsi="Times New Roman" w:cs="Times New Roman"/>
          <w:lang w:val="af-ZA"/>
        </w:rPr>
      </w:pPr>
    </w:p>
    <w:p w14:paraId="293841C2" w14:textId="77777777" w:rsidR="001B2612" w:rsidRPr="00EF7399" w:rsidRDefault="001B2612" w:rsidP="00312B28">
      <w:pPr>
        <w:pStyle w:val="ECHRParaSpaced"/>
        <w:rPr>
          <w:rFonts w:ascii="Times New Roman" w:hAnsi="Times New Roman" w:cs="Times New Roman"/>
          <w:lang w:val="af-ZA"/>
        </w:rPr>
      </w:pPr>
    </w:p>
    <w:p w14:paraId="69DA9E8C" w14:textId="77777777" w:rsidR="007A7766" w:rsidRPr="00EF7399" w:rsidRDefault="007A7766" w:rsidP="00312B28">
      <w:pPr>
        <w:pStyle w:val="ECHRParaSpaced"/>
        <w:rPr>
          <w:rFonts w:ascii="Times New Roman" w:hAnsi="Times New Roman" w:cs="Times New Roman"/>
          <w:lang w:val="af-ZA"/>
        </w:rPr>
      </w:pPr>
    </w:p>
    <w:p w14:paraId="03013EF9" w14:textId="77777777" w:rsidR="00D01D37" w:rsidRPr="00EF7399" w:rsidRDefault="00D01D37" w:rsidP="00312B28">
      <w:pPr>
        <w:pStyle w:val="ECHRParaSpaced"/>
        <w:rPr>
          <w:rFonts w:ascii="Times New Roman" w:hAnsi="Times New Roman" w:cs="Times New Roman"/>
          <w:lang w:val="af-ZA"/>
        </w:rPr>
      </w:pPr>
    </w:p>
    <w:p w14:paraId="61D98F53" w14:textId="77777777" w:rsidR="00D01D37" w:rsidRPr="00EF7399" w:rsidRDefault="00D01D37" w:rsidP="00312B28">
      <w:pPr>
        <w:pStyle w:val="ECHRParaSpaced"/>
        <w:rPr>
          <w:rFonts w:ascii="Times New Roman" w:hAnsi="Times New Roman" w:cs="Times New Roman"/>
          <w:lang w:val="af-ZA"/>
        </w:rPr>
      </w:pPr>
    </w:p>
    <w:p w14:paraId="725C5E2F" w14:textId="77777777" w:rsidR="00D01D37" w:rsidRPr="00EF7399" w:rsidRDefault="00D01D37" w:rsidP="00312B28">
      <w:pPr>
        <w:pStyle w:val="ECHRParaSpaced"/>
        <w:rPr>
          <w:rFonts w:ascii="Times New Roman" w:hAnsi="Times New Roman" w:cs="Times New Roman"/>
          <w:lang w:val="af-ZA"/>
        </w:rPr>
      </w:pPr>
    </w:p>
    <w:p w14:paraId="5C962BA8" w14:textId="77777777" w:rsidR="00D01D37" w:rsidRPr="00EF7399" w:rsidRDefault="00D01D37" w:rsidP="00312B28">
      <w:pPr>
        <w:pStyle w:val="ECHRParaSpaced"/>
        <w:rPr>
          <w:rFonts w:ascii="Times New Roman" w:hAnsi="Times New Roman" w:cs="Times New Roman"/>
          <w:lang w:val="af-ZA"/>
        </w:rPr>
      </w:pPr>
    </w:p>
    <w:p w14:paraId="0815AC2B" w14:textId="77777777" w:rsidR="00D01D37" w:rsidRPr="00EF7399" w:rsidRDefault="00D01D37" w:rsidP="00312B28">
      <w:pPr>
        <w:pStyle w:val="ECHRParaSpaced"/>
        <w:rPr>
          <w:rFonts w:ascii="Times New Roman" w:hAnsi="Times New Roman" w:cs="Times New Roman"/>
          <w:lang w:val="af-ZA"/>
        </w:rPr>
      </w:pPr>
    </w:p>
    <w:p w14:paraId="427AA2D2" w14:textId="77777777" w:rsidR="00D01D37" w:rsidRPr="00EF7399" w:rsidRDefault="00D01D37" w:rsidP="00312B28">
      <w:pPr>
        <w:pStyle w:val="ECHRParaSpaced"/>
        <w:rPr>
          <w:rFonts w:ascii="Times New Roman" w:hAnsi="Times New Roman" w:cs="Times New Roman"/>
          <w:lang w:val="af-ZA"/>
        </w:rPr>
      </w:pPr>
    </w:p>
    <w:p w14:paraId="46493F1E" w14:textId="2FE2952E" w:rsidR="00176F7C" w:rsidRPr="00EF7399" w:rsidRDefault="00176F7C" w:rsidP="00176F7C">
      <w:pPr>
        <w:autoSpaceDE w:val="0"/>
        <w:autoSpaceDN w:val="0"/>
        <w:adjustRightInd w:val="0"/>
        <w:jc w:val="both"/>
        <w:rPr>
          <w:rFonts w:ascii="Times New Roman" w:hAnsi="Times New Roman" w:cs="Times New Roman"/>
          <w:color w:val="000000"/>
          <w:sz w:val="20"/>
          <w:szCs w:val="20"/>
        </w:rPr>
      </w:pPr>
      <w:r w:rsidRPr="00EF7399">
        <w:rPr>
          <w:rFonts w:ascii="Times New Roman" w:hAnsi="Times New Roman" w:cs="Times New Roman"/>
          <w:color w:val="000000"/>
          <w:sz w:val="20"/>
          <w:szCs w:val="20"/>
        </w:rPr>
        <w:t xml:space="preserve">Սույն ուղեցույցի բնօրինակը կազմվել է անգլերեն։ Այն պարբերաբար թարմացվում է և վերջին անգամ՝ 2023 թվականի </w:t>
      </w:r>
      <w:r w:rsidR="00C020B8">
        <w:rPr>
          <w:rFonts w:ascii="Times New Roman" w:eastAsia="Arial Unicode MS" w:hAnsi="Times New Roman" w:cs="Times New Roman"/>
          <w:sz w:val="20"/>
          <w:szCs w:val="20"/>
          <w:lang w:val="hy-AM"/>
        </w:rPr>
        <w:t>օգոստոսի</w:t>
      </w:r>
      <w:r w:rsidR="00C020B8" w:rsidRPr="00667419">
        <w:rPr>
          <w:rFonts w:ascii="Times New Roman" w:eastAsia="Arial Unicode MS" w:hAnsi="Times New Roman" w:cs="Times New Roman"/>
          <w:sz w:val="20"/>
          <w:szCs w:val="20"/>
        </w:rPr>
        <w:t xml:space="preserve"> </w:t>
      </w:r>
      <w:r w:rsidR="00C020B8">
        <w:rPr>
          <w:rFonts w:ascii="Times New Roman" w:eastAsia="Arial Unicode MS" w:hAnsi="Times New Roman" w:cs="Times New Roman"/>
          <w:sz w:val="20"/>
          <w:szCs w:val="20"/>
          <w:lang w:val="hy-AM"/>
        </w:rPr>
        <w:t>31</w:t>
      </w:r>
      <w:r w:rsidR="00C020B8" w:rsidRPr="00667419">
        <w:rPr>
          <w:rFonts w:ascii="Times New Roman" w:eastAsia="Arial Unicode MS" w:hAnsi="Times New Roman" w:cs="Times New Roman"/>
          <w:sz w:val="20"/>
          <w:szCs w:val="20"/>
        </w:rPr>
        <w:t>-ի</w:t>
      </w:r>
      <w:r w:rsidR="00C020B8">
        <w:rPr>
          <w:rFonts w:ascii="Times New Roman" w:eastAsia="Arial Unicode MS" w:hAnsi="Times New Roman" w:cs="Times New Roman"/>
          <w:sz w:val="20"/>
          <w:szCs w:val="20"/>
          <w:lang w:val="hy-AM"/>
        </w:rPr>
        <w:t>ն</w:t>
      </w:r>
      <w:r w:rsidRPr="00EF7399">
        <w:rPr>
          <w:rFonts w:ascii="Times New Roman" w:hAnsi="Times New Roman" w:cs="Times New Roman"/>
          <w:color w:val="000000"/>
          <w:sz w:val="20"/>
          <w:szCs w:val="20"/>
        </w:rPr>
        <w:t>: Այն կարող է ենթարկվել խմբագրական վերանայումների։</w:t>
      </w:r>
    </w:p>
    <w:p w14:paraId="03074A81" w14:textId="13FD4565" w:rsidR="00176F7C" w:rsidRPr="00EF7399" w:rsidRDefault="00AE20FB" w:rsidP="00176F7C">
      <w:pPr>
        <w:pStyle w:val="NormalWeb"/>
        <w:jc w:val="both"/>
        <w:rPr>
          <w:color w:val="000000"/>
          <w:sz w:val="20"/>
          <w:szCs w:val="20"/>
        </w:rPr>
      </w:pPr>
      <w:r w:rsidRPr="00EF7399">
        <w:rPr>
          <w:color w:val="000000"/>
          <w:sz w:val="20"/>
          <w:szCs w:val="20"/>
        </w:rPr>
        <w:t>Նախադեպային իրավունքի վերաբերյալ ուղեցույցները</w:t>
      </w:r>
      <w:r w:rsidRPr="00EF7399">
        <w:rPr>
          <w:color w:val="000000"/>
          <w:sz w:val="20"/>
          <w:szCs w:val="20"/>
          <w:lang w:val="hy-AM"/>
        </w:rPr>
        <w:t xml:space="preserve"> </w:t>
      </w:r>
      <w:r w:rsidR="00176F7C" w:rsidRPr="00EF7399">
        <w:rPr>
          <w:color w:val="000000"/>
          <w:sz w:val="20"/>
          <w:szCs w:val="20"/>
        </w:rPr>
        <w:t xml:space="preserve">կարելի է ներբեռնել </w:t>
      </w:r>
      <w:hyperlink r:id="rId10" w:tgtFrame="_blank" w:history="1">
        <w:r w:rsidR="00176F7C" w:rsidRPr="00EF7399">
          <w:rPr>
            <w:rStyle w:val="Hyperlinkcase"/>
            <w:sz w:val="20"/>
            <w:szCs w:val="20"/>
            <w:lang w:val="af-ZA"/>
          </w:rPr>
          <w:t>https://ks.echr.coe.int</w:t>
        </w:r>
      </w:hyperlink>
      <w:r w:rsidR="00176F7C" w:rsidRPr="00EF7399">
        <w:rPr>
          <w:sz w:val="20"/>
          <w:szCs w:val="20"/>
        </w:rPr>
        <w:t xml:space="preserve"> </w:t>
      </w:r>
      <w:r w:rsidR="00176F7C" w:rsidRPr="00EF7399">
        <w:rPr>
          <w:color w:val="000000"/>
          <w:sz w:val="20"/>
          <w:szCs w:val="20"/>
        </w:rPr>
        <w:t>կայքից։ Հրապարակվող թարմացումների համար</w:t>
      </w:r>
      <w:r w:rsidRPr="00EF7399">
        <w:rPr>
          <w:color w:val="000000"/>
          <w:sz w:val="20"/>
          <w:szCs w:val="20"/>
          <w:lang w:val="hy-AM"/>
        </w:rPr>
        <w:t xml:space="preserve"> խնդրում ենք</w:t>
      </w:r>
      <w:r w:rsidR="00176F7C" w:rsidRPr="00EF7399">
        <w:rPr>
          <w:color w:val="000000"/>
          <w:sz w:val="20"/>
          <w:szCs w:val="20"/>
        </w:rPr>
        <w:t xml:space="preserve"> հետև</w:t>
      </w:r>
      <w:r w:rsidRPr="00EF7399">
        <w:rPr>
          <w:color w:val="000000"/>
          <w:sz w:val="20"/>
          <w:szCs w:val="20"/>
          <w:lang w:val="hy-AM"/>
        </w:rPr>
        <w:t>ել</w:t>
      </w:r>
      <w:r w:rsidR="00176F7C" w:rsidRPr="00EF7399">
        <w:rPr>
          <w:color w:val="000000"/>
          <w:sz w:val="20"/>
          <w:szCs w:val="20"/>
        </w:rPr>
        <w:t xml:space="preserve"> Դատարանի թվիթերյան էջին՝ </w:t>
      </w:r>
      <w:hyperlink r:id="rId11" w:history="1">
        <w:r w:rsidR="00615A19" w:rsidRPr="00EF7399">
          <w:rPr>
            <w:rStyle w:val="Hyperlink"/>
            <w:sz w:val="20"/>
            <w:szCs w:val="20"/>
            <w:lang w:val="af-ZA"/>
          </w:rPr>
          <w:t>https:/twitter.com/echrpublication</w:t>
        </w:r>
      </w:hyperlink>
      <w:r w:rsidR="00615A19" w:rsidRPr="00EF7399">
        <w:rPr>
          <w:sz w:val="20"/>
          <w:szCs w:val="20"/>
        </w:rPr>
        <w:t>:</w:t>
      </w:r>
    </w:p>
    <w:p w14:paraId="2FE41DC1" w14:textId="6F8BE07E" w:rsidR="00312B28" w:rsidRPr="001B2612" w:rsidRDefault="00176F7C" w:rsidP="00176F7C">
      <w:pPr>
        <w:pStyle w:val="ECHRParaSpaced"/>
        <w:rPr>
          <w:rFonts w:ascii="Times New Roman" w:hAnsi="Times New Roman" w:cs="Times New Roman"/>
          <w:sz w:val="20"/>
          <w:szCs w:val="20"/>
          <w:lang w:val="hy-AM"/>
        </w:rPr>
      </w:pPr>
      <w:r w:rsidRPr="00EF7399">
        <w:rPr>
          <w:rFonts w:ascii="Times New Roman" w:hAnsi="Times New Roman" w:cs="Times New Roman"/>
          <w:sz w:val="20"/>
          <w:szCs w:val="20"/>
          <w:lang w:val="af-ZA"/>
        </w:rPr>
        <w:t>© Եվրոպայի խորհուրդ/Մարդու իրավունքների եվրոպական դատարան, 2023 թ</w:t>
      </w:r>
      <w:r w:rsidR="00AE20FB" w:rsidRPr="00EF7399">
        <w:rPr>
          <w:rFonts w:ascii="Times New Roman" w:hAnsi="Times New Roman" w:cs="Times New Roman"/>
          <w:sz w:val="20"/>
          <w:szCs w:val="20"/>
          <w:lang w:val="hy-AM"/>
        </w:rPr>
        <w:t>․</w:t>
      </w:r>
    </w:p>
    <w:p w14:paraId="719EA4AF" w14:textId="07C6C353" w:rsidR="00FD6887" w:rsidRPr="00EF7399" w:rsidRDefault="00FD6887" w:rsidP="00C169E2">
      <w:pPr>
        <w:pStyle w:val="ECHRCoverTitle4"/>
        <w:rPr>
          <w:rFonts w:ascii="Times New Roman" w:hAnsi="Times New Roman" w:cs="Times New Roman"/>
          <w:lang w:val="af-ZA"/>
        </w:rPr>
      </w:pPr>
      <w:r w:rsidRPr="00EF7399">
        <w:rPr>
          <w:rFonts w:ascii="Times New Roman" w:hAnsi="Times New Roman" w:cs="Times New Roman"/>
          <w:lang w:val="af-ZA"/>
        </w:rPr>
        <w:br w:type="page"/>
      </w:r>
    </w:p>
    <w:bookmarkStart w:id="0" w:name="_Toc159945200" w:displacedByCustomXml="next"/>
    <w:sdt>
      <w:sdtPr>
        <w:rPr>
          <w:rFonts w:ascii="Times New Roman" w:hAnsi="Times New Roman" w:cs="Times New Roman"/>
          <w:b w:val="0"/>
          <w:color w:val="auto"/>
          <w:sz w:val="22"/>
          <w:lang w:val="af-ZA"/>
        </w:rPr>
        <w:id w:val="-1845230482"/>
        <w:docPartObj>
          <w:docPartGallery w:val="Table of Contents"/>
          <w:docPartUnique/>
        </w:docPartObj>
      </w:sdtPr>
      <w:sdtEndPr>
        <w:rPr>
          <w:bCs/>
        </w:rPr>
      </w:sdtEndPr>
      <w:sdtContent>
        <w:p w14:paraId="6E20D292" w14:textId="7DDA83AF" w:rsidR="002F666B" w:rsidRPr="00EF7399" w:rsidRDefault="00176F7C">
          <w:pPr>
            <w:pStyle w:val="TOCHeading"/>
            <w:rPr>
              <w:rFonts w:ascii="Times New Roman" w:hAnsi="Times New Roman" w:cs="Times New Roman"/>
              <w:lang w:val="af-ZA"/>
            </w:rPr>
          </w:pPr>
          <w:r w:rsidRPr="00EF7399">
            <w:rPr>
              <w:rFonts w:ascii="Times New Roman" w:hAnsi="Times New Roman" w:cs="Times New Roman"/>
              <w:lang w:val="af-ZA"/>
            </w:rPr>
            <w:t>Բովանդակություն</w:t>
          </w:r>
          <w:bookmarkEnd w:id="0"/>
        </w:p>
        <w:p w14:paraId="20F118D8" w14:textId="4A8B73B2" w:rsidR="00CE0B64" w:rsidRDefault="002F666B">
          <w:pPr>
            <w:pStyle w:val="TOC1"/>
            <w:rPr>
              <w:rFonts w:eastAsiaTheme="minorEastAsia"/>
              <w:b w:val="0"/>
              <w:color w:val="auto"/>
              <w:kern w:val="2"/>
              <w:sz w:val="22"/>
              <w:lang w:val="en-US"/>
              <w14:ligatures w14:val="standardContextual"/>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TOC \o "1-7" \h \z \u </w:instrText>
          </w:r>
          <w:r w:rsidRPr="00EF7399">
            <w:rPr>
              <w:rFonts w:ascii="Times New Roman" w:hAnsi="Times New Roman" w:cs="Times New Roman"/>
              <w:lang w:val="af-ZA"/>
            </w:rPr>
            <w:fldChar w:fldCharType="separate"/>
          </w:r>
          <w:hyperlink w:anchor="_Toc159945200" w:history="1">
            <w:r w:rsidR="00CE0B64" w:rsidRPr="00777B63">
              <w:rPr>
                <w:rStyle w:val="Hyperlink"/>
                <w:rFonts w:ascii="Times New Roman" w:hAnsi="Times New Roman" w:cs="Times New Roman"/>
                <w:lang w:val="af-ZA"/>
              </w:rPr>
              <w:t>Բովանդակություն</w:t>
            </w:r>
            <w:r w:rsidR="00CE0B64">
              <w:rPr>
                <w:webHidden/>
              </w:rPr>
              <w:tab/>
            </w:r>
            <w:r w:rsidR="00CE0B64">
              <w:rPr>
                <w:webHidden/>
              </w:rPr>
              <w:fldChar w:fldCharType="begin"/>
            </w:r>
            <w:r w:rsidR="00CE0B64">
              <w:rPr>
                <w:webHidden/>
              </w:rPr>
              <w:instrText xml:space="preserve"> PAGEREF _Toc159945200 \h </w:instrText>
            </w:r>
            <w:r w:rsidR="00CE0B64">
              <w:rPr>
                <w:webHidden/>
              </w:rPr>
            </w:r>
            <w:r w:rsidR="00CE0B64">
              <w:rPr>
                <w:webHidden/>
              </w:rPr>
              <w:fldChar w:fldCharType="separate"/>
            </w:r>
            <w:r w:rsidR="00CE0B64">
              <w:rPr>
                <w:webHidden/>
              </w:rPr>
              <w:t>4</w:t>
            </w:r>
            <w:r w:rsidR="00CE0B64">
              <w:rPr>
                <w:webHidden/>
              </w:rPr>
              <w:fldChar w:fldCharType="end"/>
            </w:r>
          </w:hyperlink>
        </w:p>
        <w:p w14:paraId="5C52CEBD" w14:textId="7CC63DC7" w:rsidR="00CE0B64" w:rsidRDefault="00CE0B64">
          <w:pPr>
            <w:pStyle w:val="TOC1"/>
            <w:rPr>
              <w:rFonts w:eastAsiaTheme="minorEastAsia"/>
              <w:b w:val="0"/>
              <w:color w:val="auto"/>
              <w:kern w:val="2"/>
              <w:sz w:val="22"/>
              <w:lang w:val="en-US"/>
              <w14:ligatures w14:val="standardContextual"/>
            </w:rPr>
          </w:pPr>
          <w:hyperlink w:anchor="_Toc159945201" w:history="1">
            <w:r w:rsidRPr="00777B63">
              <w:rPr>
                <w:rStyle w:val="Hyperlink"/>
                <w:rFonts w:ascii="Times New Roman" w:hAnsi="Times New Roman" w:cs="Times New Roman"/>
                <w:lang w:val="af-ZA"/>
              </w:rPr>
              <w:t>Ծանոթագրություն ընթերցողի համար</w:t>
            </w:r>
            <w:r>
              <w:rPr>
                <w:webHidden/>
              </w:rPr>
              <w:tab/>
            </w:r>
            <w:r>
              <w:rPr>
                <w:webHidden/>
              </w:rPr>
              <w:fldChar w:fldCharType="begin"/>
            </w:r>
            <w:r>
              <w:rPr>
                <w:webHidden/>
              </w:rPr>
              <w:instrText xml:space="preserve"> PAGEREF _Toc159945201 \h </w:instrText>
            </w:r>
            <w:r>
              <w:rPr>
                <w:webHidden/>
              </w:rPr>
            </w:r>
            <w:r>
              <w:rPr>
                <w:webHidden/>
              </w:rPr>
              <w:fldChar w:fldCharType="separate"/>
            </w:r>
            <w:r>
              <w:rPr>
                <w:webHidden/>
              </w:rPr>
              <w:t>6</w:t>
            </w:r>
            <w:r>
              <w:rPr>
                <w:webHidden/>
              </w:rPr>
              <w:fldChar w:fldCharType="end"/>
            </w:r>
          </w:hyperlink>
        </w:p>
        <w:p w14:paraId="6FD2124E" w14:textId="254F71AA" w:rsidR="00CE0B64" w:rsidRDefault="00CE0B64">
          <w:pPr>
            <w:pStyle w:val="TOC1"/>
            <w:rPr>
              <w:rFonts w:eastAsiaTheme="minorEastAsia"/>
              <w:b w:val="0"/>
              <w:color w:val="auto"/>
              <w:kern w:val="2"/>
              <w:sz w:val="22"/>
              <w:lang w:val="en-US"/>
              <w14:ligatures w14:val="standardContextual"/>
            </w:rPr>
          </w:pPr>
          <w:hyperlink w:anchor="_Toc159945202" w:history="1">
            <w:r w:rsidRPr="00777B63">
              <w:rPr>
                <w:rStyle w:val="Hyperlink"/>
                <w:rFonts w:ascii="Times New Roman" w:hAnsi="Times New Roman" w:cs="Times New Roman"/>
                <w:lang w:val="af-ZA"/>
              </w:rPr>
              <w:t>I.  </w:t>
            </w:r>
            <w:r w:rsidRPr="00777B63">
              <w:rPr>
                <w:rStyle w:val="Hyperlink"/>
                <w:rFonts w:ascii="Times New Roman" w:hAnsi="Times New Roman" w:cs="Times New Roman"/>
                <w:bCs/>
                <w:lang w:val="af-ZA"/>
              </w:rPr>
              <w:t xml:space="preserve"> Հավաքների ազատություն</w:t>
            </w:r>
            <w:r>
              <w:rPr>
                <w:webHidden/>
              </w:rPr>
              <w:tab/>
            </w:r>
            <w:r>
              <w:rPr>
                <w:webHidden/>
              </w:rPr>
              <w:fldChar w:fldCharType="begin"/>
            </w:r>
            <w:r>
              <w:rPr>
                <w:webHidden/>
              </w:rPr>
              <w:instrText xml:space="preserve"> PAGEREF _Toc159945202 \h </w:instrText>
            </w:r>
            <w:r>
              <w:rPr>
                <w:webHidden/>
              </w:rPr>
            </w:r>
            <w:r>
              <w:rPr>
                <w:webHidden/>
              </w:rPr>
              <w:fldChar w:fldCharType="separate"/>
            </w:r>
            <w:r>
              <w:rPr>
                <w:webHidden/>
              </w:rPr>
              <w:t>8</w:t>
            </w:r>
            <w:r>
              <w:rPr>
                <w:webHidden/>
              </w:rPr>
              <w:fldChar w:fldCharType="end"/>
            </w:r>
          </w:hyperlink>
        </w:p>
        <w:p w14:paraId="69153EE2" w14:textId="40AC5C58" w:rsidR="00CE0B64" w:rsidRDefault="00CE0B64">
          <w:pPr>
            <w:pStyle w:val="TOC2"/>
            <w:rPr>
              <w:rFonts w:eastAsiaTheme="minorEastAsia"/>
              <w:kern w:val="2"/>
              <w:lang w:val="en-US"/>
              <w14:ligatures w14:val="standardContextual"/>
            </w:rPr>
          </w:pPr>
          <w:hyperlink w:anchor="_Toc159945203" w:history="1">
            <w:r w:rsidRPr="00777B63">
              <w:rPr>
                <w:rStyle w:val="Hyperlink"/>
                <w:rFonts w:ascii="Times New Roman" w:hAnsi="Times New Roman" w:cs="Times New Roman"/>
                <w:bCs/>
                <w:lang w:val="hy-AM"/>
              </w:rPr>
              <w:t xml:space="preserve">Ա․ </w:t>
            </w:r>
            <w:r w:rsidRPr="00777B63">
              <w:rPr>
                <w:rStyle w:val="Hyperlink"/>
                <w:rFonts w:ascii="Times New Roman" w:hAnsi="Times New Roman" w:cs="Times New Roman"/>
                <w:bCs/>
                <w:lang w:val="af-ZA"/>
              </w:rPr>
              <w:t>Խաղաղ հավաքների ազատության իրավունքի կարևորությունը և դրա կապն արտահայտվելու ազատության իրավունքի հետ</w:t>
            </w:r>
            <w:r>
              <w:rPr>
                <w:webHidden/>
              </w:rPr>
              <w:tab/>
            </w:r>
            <w:r>
              <w:rPr>
                <w:webHidden/>
              </w:rPr>
              <w:fldChar w:fldCharType="begin"/>
            </w:r>
            <w:r>
              <w:rPr>
                <w:webHidden/>
              </w:rPr>
              <w:instrText xml:space="preserve"> PAGEREF _Toc159945203 \h </w:instrText>
            </w:r>
            <w:r>
              <w:rPr>
                <w:webHidden/>
              </w:rPr>
            </w:r>
            <w:r>
              <w:rPr>
                <w:webHidden/>
              </w:rPr>
              <w:fldChar w:fldCharType="separate"/>
            </w:r>
            <w:r>
              <w:rPr>
                <w:webHidden/>
              </w:rPr>
              <w:t>8</w:t>
            </w:r>
            <w:r>
              <w:rPr>
                <w:webHidden/>
              </w:rPr>
              <w:fldChar w:fldCharType="end"/>
            </w:r>
          </w:hyperlink>
        </w:p>
        <w:p w14:paraId="6F1A4A60" w14:textId="4EA09613" w:rsidR="00CE0B64" w:rsidRDefault="00CE0B64">
          <w:pPr>
            <w:pStyle w:val="TOC2"/>
            <w:rPr>
              <w:rFonts w:eastAsiaTheme="minorEastAsia"/>
              <w:kern w:val="2"/>
              <w:lang w:val="en-US"/>
              <w14:ligatures w14:val="standardContextual"/>
            </w:rPr>
          </w:pPr>
          <w:hyperlink w:anchor="_Toc159945204" w:history="1">
            <w:r w:rsidRPr="00777B63">
              <w:rPr>
                <w:rStyle w:val="Hyperlink"/>
                <w:rFonts w:ascii="Times New Roman" w:hAnsi="Times New Roman" w:cs="Times New Roman"/>
                <w:bCs/>
                <w:lang w:val="hy-AM"/>
              </w:rPr>
              <w:t xml:space="preserve">Բ․ </w:t>
            </w:r>
            <w:r w:rsidRPr="00777B63">
              <w:rPr>
                <w:rStyle w:val="Hyperlink"/>
                <w:rFonts w:ascii="Times New Roman" w:hAnsi="Times New Roman" w:cs="Times New Roman"/>
                <w:bCs/>
                <w:lang w:val="af-ZA"/>
              </w:rPr>
              <w:t>9-րդ, 10-րդ և</w:t>
            </w:r>
            <w:r w:rsidRPr="00777B63">
              <w:rPr>
                <w:rStyle w:val="Hyperlink"/>
                <w:rFonts w:ascii="Times New Roman" w:hAnsi="Times New Roman" w:cs="Times New Roman"/>
                <w:bCs/>
                <w:lang w:val="hy-AM"/>
              </w:rPr>
              <w:t xml:space="preserve"> </w:t>
            </w:r>
            <w:r w:rsidRPr="00777B63">
              <w:rPr>
                <w:rStyle w:val="Hyperlink"/>
                <w:rFonts w:ascii="Times New Roman" w:hAnsi="Times New Roman" w:cs="Times New Roman"/>
                <w:bCs/>
                <w:lang w:val="af-ZA"/>
              </w:rPr>
              <w:t>(կամ) 11-րդ հոդվածներ</w:t>
            </w:r>
            <w:r w:rsidRPr="00777B63">
              <w:rPr>
                <w:rStyle w:val="Hyperlink"/>
                <w:rFonts w:ascii="Times New Roman" w:hAnsi="Times New Roman" w:cs="Times New Roman"/>
                <w:bCs/>
                <w:lang w:val="hy-AM"/>
              </w:rPr>
              <w:t>ի ներքո ներկայացված</w:t>
            </w:r>
            <w:r w:rsidRPr="00777B63">
              <w:rPr>
                <w:rStyle w:val="Hyperlink"/>
                <w:rFonts w:ascii="Times New Roman" w:hAnsi="Times New Roman" w:cs="Times New Roman"/>
                <w:bCs/>
                <w:lang w:val="af-ZA"/>
              </w:rPr>
              <w:t xml:space="preserve"> գանգատների դասակարգումը</w:t>
            </w:r>
            <w:r>
              <w:rPr>
                <w:webHidden/>
              </w:rPr>
              <w:tab/>
            </w:r>
            <w:r>
              <w:rPr>
                <w:webHidden/>
              </w:rPr>
              <w:fldChar w:fldCharType="begin"/>
            </w:r>
            <w:r>
              <w:rPr>
                <w:webHidden/>
              </w:rPr>
              <w:instrText xml:space="preserve"> PAGEREF _Toc159945204 \h </w:instrText>
            </w:r>
            <w:r>
              <w:rPr>
                <w:webHidden/>
              </w:rPr>
            </w:r>
            <w:r>
              <w:rPr>
                <w:webHidden/>
              </w:rPr>
              <w:fldChar w:fldCharType="separate"/>
            </w:r>
            <w:r>
              <w:rPr>
                <w:webHidden/>
              </w:rPr>
              <w:t>9</w:t>
            </w:r>
            <w:r>
              <w:rPr>
                <w:webHidden/>
              </w:rPr>
              <w:fldChar w:fldCharType="end"/>
            </w:r>
          </w:hyperlink>
        </w:p>
        <w:p w14:paraId="5EA442C1" w14:textId="67B58C5F" w:rsidR="00CE0B64" w:rsidRDefault="00CE0B64">
          <w:pPr>
            <w:pStyle w:val="TOC3"/>
            <w:rPr>
              <w:rFonts w:eastAsiaTheme="minorEastAsia"/>
              <w:kern w:val="2"/>
              <w:lang w:val="en-US"/>
              <w14:ligatures w14:val="standardContextual"/>
            </w:rPr>
          </w:pPr>
          <w:hyperlink w:anchor="_Toc159945205" w:history="1">
            <w:r w:rsidRPr="00777B63">
              <w:rPr>
                <w:rStyle w:val="Hyperlink"/>
                <w:rFonts w:ascii="Times New Roman" w:hAnsi="Times New Roman" w:cs="Times New Roman"/>
                <w:lang w:val="af-ZA"/>
              </w:rPr>
              <w:t>1.  </w:t>
            </w:r>
            <w:r w:rsidRPr="00777B63">
              <w:rPr>
                <w:rStyle w:val="Hyperlink"/>
                <w:rFonts w:ascii="Times New Roman" w:hAnsi="Times New Roman" w:cs="Times New Roman"/>
                <w:bCs/>
                <w:lang w:val="af-ZA"/>
              </w:rPr>
              <w:t xml:space="preserve"> Կրոնական հավաքներ. 9-րդ և 11-րդ հոդվածներ</w:t>
            </w:r>
            <w:r>
              <w:rPr>
                <w:webHidden/>
              </w:rPr>
              <w:tab/>
            </w:r>
            <w:r>
              <w:rPr>
                <w:webHidden/>
              </w:rPr>
              <w:fldChar w:fldCharType="begin"/>
            </w:r>
            <w:r>
              <w:rPr>
                <w:webHidden/>
              </w:rPr>
              <w:instrText xml:space="preserve"> PAGEREF _Toc159945205 \h </w:instrText>
            </w:r>
            <w:r>
              <w:rPr>
                <w:webHidden/>
              </w:rPr>
            </w:r>
            <w:r>
              <w:rPr>
                <w:webHidden/>
              </w:rPr>
              <w:fldChar w:fldCharType="separate"/>
            </w:r>
            <w:r>
              <w:rPr>
                <w:webHidden/>
              </w:rPr>
              <w:t>9</w:t>
            </w:r>
            <w:r>
              <w:rPr>
                <w:webHidden/>
              </w:rPr>
              <w:fldChar w:fldCharType="end"/>
            </w:r>
          </w:hyperlink>
        </w:p>
        <w:p w14:paraId="5EA1C5F2" w14:textId="6F63C51D" w:rsidR="00CE0B64" w:rsidRDefault="00CE0B64">
          <w:pPr>
            <w:pStyle w:val="TOC3"/>
            <w:rPr>
              <w:rFonts w:eastAsiaTheme="minorEastAsia"/>
              <w:kern w:val="2"/>
              <w:lang w:val="en-US"/>
              <w14:ligatures w14:val="standardContextual"/>
            </w:rPr>
          </w:pPr>
          <w:hyperlink w:anchor="_Toc159945206" w:history="1">
            <w:r w:rsidRPr="00777B63">
              <w:rPr>
                <w:rStyle w:val="Hyperlink"/>
                <w:rFonts w:ascii="Times New Roman" w:hAnsi="Times New Roman" w:cs="Times New Roman"/>
                <w:lang w:val="af-ZA"/>
              </w:rPr>
              <w:t>2.   Հավաքը</w:t>
            </w:r>
            <w:r w:rsidRPr="00777B63">
              <w:rPr>
                <w:rStyle w:val="Hyperlink"/>
                <w:rFonts w:ascii="Times New Roman" w:hAnsi="Times New Roman" w:cs="Times New Roman"/>
                <w:lang w:val="hy-AM"/>
              </w:rPr>
              <w:t>՝</w:t>
            </w:r>
            <w:r w:rsidRPr="00777B63">
              <w:rPr>
                <w:rStyle w:val="Hyperlink"/>
                <w:rFonts w:ascii="Times New Roman" w:hAnsi="Times New Roman" w:cs="Times New Roman"/>
                <w:lang w:val="af-ZA"/>
              </w:rPr>
              <w:t xml:space="preserve"> որպես արտահայտման ձև և հավաքի ընթացքում կարծիք</w:t>
            </w:r>
            <w:r w:rsidRPr="00777B63">
              <w:rPr>
                <w:rStyle w:val="Hyperlink"/>
                <w:rFonts w:ascii="Times New Roman" w:hAnsi="Times New Roman" w:cs="Times New Roman"/>
                <w:lang w:val="hy-AM"/>
              </w:rPr>
              <w:t>ի</w:t>
            </w:r>
            <w:r w:rsidRPr="00777B63">
              <w:rPr>
                <w:rStyle w:val="Hyperlink"/>
                <w:rFonts w:ascii="Times New Roman" w:hAnsi="Times New Roman" w:cs="Times New Roman"/>
                <w:lang w:val="af-ZA"/>
              </w:rPr>
              <w:t xml:space="preserve"> արտահայտ</w:t>
            </w:r>
            <w:r w:rsidRPr="00777B63">
              <w:rPr>
                <w:rStyle w:val="Hyperlink"/>
                <w:rFonts w:ascii="Times New Roman" w:hAnsi="Times New Roman" w:cs="Times New Roman"/>
                <w:lang w:val="hy-AM"/>
              </w:rPr>
              <w:t>ում</w:t>
            </w:r>
            <w:r w:rsidRPr="00777B63">
              <w:rPr>
                <w:rStyle w:val="Hyperlink"/>
                <w:rFonts w:ascii="Times New Roman" w:hAnsi="Times New Roman" w:cs="Times New Roman"/>
                <w:lang w:val="af-ZA"/>
              </w:rPr>
              <w:t>. 10-րդ և 11-րդ հոդվածներ</w:t>
            </w:r>
            <w:r>
              <w:rPr>
                <w:webHidden/>
              </w:rPr>
              <w:tab/>
            </w:r>
            <w:r>
              <w:rPr>
                <w:webHidden/>
              </w:rPr>
              <w:fldChar w:fldCharType="begin"/>
            </w:r>
            <w:r>
              <w:rPr>
                <w:webHidden/>
              </w:rPr>
              <w:instrText xml:space="preserve"> PAGEREF _Toc159945206 \h </w:instrText>
            </w:r>
            <w:r>
              <w:rPr>
                <w:webHidden/>
              </w:rPr>
            </w:r>
            <w:r>
              <w:rPr>
                <w:webHidden/>
              </w:rPr>
              <w:fldChar w:fldCharType="separate"/>
            </w:r>
            <w:r>
              <w:rPr>
                <w:webHidden/>
              </w:rPr>
              <w:t>9</w:t>
            </w:r>
            <w:r>
              <w:rPr>
                <w:webHidden/>
              </w:rPr>
              <w:fldChar w:fldCharType="end"/>
            </w:r>
          </w:hyperlink>
        </w:p>
        <w:p w14:paraId="7F33BAF6" w14:textId="7E7DD205" w:rsidR="00CE0B64" w:rsidRDefault="00CE0B64">
          <w:pPr>
            <w:pStyle w:val="TOC2"/>
            <w:rPr>
              <w:rFonts w:eastAsiaTheme="minorEastAsia"/>
              <w:kern w:val="2"/>
              <w:lang w:val="en-US"/>
              <w14:ligatures w14:val="standardContextual"/>
            </w:rPr>
          </w:pPr>
          <w:hyperlink w:anchor="_Toc159945207" w:history="1">
            <w:r w:rsidRPr="00777B63">
              <w:rPr>
                <w:rStyle w:val="Hyperlink"/>
                <w:rFonts w:ascii="Times New Roman" w:hAnsi="Times New Roman" w:cs="Times New Roman"/>
                <w:lang w:val="hy-AM"/>
              </w:rPr>
              <w:t xml:space="preserve">Գ․ </w:t>
            </w:r>
            <w:r w:rsidRPr="00777B63">
              <w:rPr>
                <w:rStyle w:val="Hyperlink"/>
                <w:rFonts w:ascii="Times New Roman" w:hAnsi="Times New Roman" w:cs="Times New Roman"/>
                <w:lang w:val="af-ZA"/>
              </w:rPr>
              <w:t>Հավաքների ազատության իրավունքի շրջանակը</w:t>
            </w:r>
            <w:r>
              <w:rPr>
                <w:webHidden/>
              </w:rPr>
              <w:tab/>
            </w:r>
            <w:r>
              <w:rPr>
                <w:webHidden/>
              </w:rPr>
              <w:fldChar w:fldCharType="begin"/>
            </w:r>
            <w:r>
              <w:rPr>
                <w:webHidden/>
              </w:rPr>
              <w:instrText xml:space="preserve"> PAGEREF _Toc159945207 \h </w:instrText>
            </w:r>
            <w:r>
              <w:rPr>
                <w:webHidden/>
              </w:rPr>
            </w:r>
            <w:r>
              <w:rPr>
                <w:webHidden/>
              </w:rPr>
              <w:fldChar w:fldCharType="separate"/>
            </w:r>
            <w:r>
              <w:rPr>
                <w:webHidden/>
              </w:rPr>
              <w:t>11</w:t>
            </w:r>
            <w:r>
              <w:rPr>
                <w:webHidden/>
              </w:rPr>
              <w:fldChar w:fldCharType="end"/>
            </w:r>
          </w:hyperlink>
        </w:p>
        <w:p w14:paraId="7E987EB4" w14:textId="5FCE4874" w:rsidR="00CE0B64" w:rsidRDefault="00CE0B64">
          <w:pPr>
            <w:pStyle w:val="TOC3"/>
            <w:rPr>
              <w:rFonts w:eastAsiaTheme="minorEastAsia"/>
              <w:kern w:val="2"/>
              <w:lang w:val="en-US"/>
              <w14:ligatures w14:val="standardContextual"/>
            </w:rPr>
          </w:pPr>
          <w:hyperlink w:anchor="_Toc159945208" w:history="1">
            <w:r w:rsidRPr="00777B63">
              <w:rPr>
                <w:rStyle w:val="Hyperlink"/>
                <w:rFonts w:ascii="Times New Roman" w:hAnsi="Times New Roman" w:cs="Times New Roman"/>
                <w:lang w:val="af-ZA"/>
              </w:rPr>
              <w:t>1.   Հավա</w:t>
            </w:r>
            <w:r w:rsidRPr="00777B63">
              <w:rPr>
                <w:rStyle w:val="Hyperlink"/>
                <w:rFonts w:ascii="Times New Roman" w:hAnsi="Times New Roman" w:cs="Times New Roman"/>
                <w:lang w:val="af-ZA"/>
              </w:rPr>
              <w:t>ք</w:t>
            </w:r>
            <w:r w:rsidRPr="00777B63">
              <w:rPr>
                <w:rStyle w:val="Hyperlink"/>
                <w:rFonts w:ascii="Times New Roman" w:hAnsi="Times New Roman" w:cs="Times New Roman"/>
                <w:lang w:val="af-ZA"/>
              </w:rPr>
              <w:t>ի ձևը և տեսակը</w:t>
            </w:r>
            <w:r>
              <w:rPr>
                <w:webHidden/>
              </w:rPr>
              <w:tab/>
            </w:r>
            <w:r>
              <w:rPr>
                <w:webHidden/>
              </w:rPr>
              <w:fldChar w:fldCharType="begin"/>
            </w:r>
            <w:r>
              <w:rPr>
                <w:webHidden/>
              </w:rPr>
              <w:instrText xml:space="preserve"> PAGEREF _Toc159945208 \h </w:instrText>
            </w:r>
            <w:r>
              <w:rPr>
                <w:webHidden/>
              </w:rPr>
            </w:r>
            <w:r>
              <w:rPr>
                <w:webHidden/>
              </w:rPr>
              <w:fldChar w:fldCharType="separate"/>
            </w:r>
            <w:r>
              <w:rPr>
                <w:webHidden/>
              </w:rPr>
              <w:t>12</w:t>
            </w:r>
            <w:r>
              <w:rPr>
                <w:webHidden/>
              </w:rPr>
              <w:fldChar w:fldCharType="end"/>
            </w:r>
          </w:hyperlink>
        </w:p>
        <w:p w14:paraId="3B41ABAA" w14:textId="2A67FED4" w:rsidR="00CE0B64" w:rsidRDefault="00CE0B64">
          <w:pPr>
            <w:pStyle w:val="TOC3"/>
            <w:rPr>
              <w:rFonts w:eastAsiaTheme="minorEastAsia"/>
              <w:kern w:val="2"/>
              <w:lang w:val="en-US"/>
              <w14:ligatures w14:val="standardContextual"/>
            </w:rPr>
          </w:pPr>
          <w:hyperlink w:anchor="_Toc159945209" w:history="1">
            <w:r w:rsidRPr="00777B63">
              <w:rPr>
                <w:rStyle w:val="Hyperlink"/>
                <w:rFonts w:ascii="Times New Roman" w:hAnsi="Times New Roman" w:cs="Times New Roman"/>
                <w:lang w:val="af-ZA"/>
              </w:rPr>
              <w:t>2.   Հավաքի վայրի ազատությունը</w:t>
            </w:r>
            <w:r>
              <w:rPr>
                <w:webHidden/>
              </w:rPr>
              <w:tab/>
            </w:r>
            <w:r>
              <w:rPr>
                <w:webHidden/>
              </w:rPr>
              <w:fldChar w:fldCharType="begin"/>
            </w:r>
            <w:r>
              <w:rPr>
                <w:webHidden/>
              </w:rPr>
              <w:instrText xml:space="preserve"> PAGEREF _Toc159945209 \h </w:instrText>
            </w:r>
            <w:r>
              <w:rPr>
                <w:webHidden/>
              </w:rPr>
            </w:r>
            <w:r>
              <w:rPr>
                <w:webHidden/>
              </w:rPr>
              <w:fldChar w:fldCharType="separate"/>
            </w:r>
            <w:r>
              <w:rPr>
                <w:webHidden/>
              </w:rPr>
              <w:t>12</w:t>
            </w:r>
            <w:r>
              <w:rPr>
                <w:webHidden/>
              </w:rPr>
              <w:fldChar w:fldCharType="end"/>
            </w:r>
          </w:hyperlink>
        </w:p>
        <w:p w14:paraId="61635E5D" w14:textId="79943538" w:rsidR="00CE0B64" w:rsidRDefault="00CE0B64">
          <w:pPr>
            <w:pStyle w:val="TOC3"/>
            <w:rPr>
              <w:rFonts w:eastAsiaTheme="minorEastAsia"/>
              <w:kern w:val="2"/>
              <w:lang w:val="en-US"/>
              <w14:ligatures w14:val="standardContextual"/>
            </w:rPr>
          </w:pPr>
          <w:hyperlink w:anchor="_Toc159945210" w:history="1">
            <w:r w:rsidRPr="00777B63">
              <w:rPr>
                <w:rStyle w:val="Hyperlink"/>
                <w:rFonts w:ascii="Times New Roman" w:hAnsi="Times New Roman" w:cs="Times New Roman"/>
                <w:lang w:val="af-ZA"/>
              </w:rPr>
              <w:t>3.   Խաղաղ հավաք</w:t>
            </w:r>
            <w:r>
              <w:rPr>
                <w:webHidden/>
              </w:rPr>
              <w:tab/>
            </w:r>
            <w:r>
              <w:rPr>
                <w:webHidden/>
              </w:rPr>
              <w:fldChar w:fldCharType="begin"/>
            </w:r>
            <w:r>
              <w:rPr>
                <w:webHidden/>
              </w:rPr>
              <w:instrText xml:space="preserve"> PAGEREF _Toc159945210 \h </w:instrText>
            </w:r>
            <w:r>
              <w:rPr>
                <w:webHidden/>
              </w:rPr>
            </w:r>
            <w:r>
              <w:rPr>
                <w:webHidden/>
              </w:rPr>
              <w:fldChar w:fldCharType="separate"/>
            </w:r>
            <w:r>
              <w:rPr>
                <w:webHidden/>
              </w:rPr>
              <w:t>13</w:t>
            </w:r>
            <w:r>
              <w:rPr>
                <w:webHidden/>
              </w:rPr>
              <w:fldChar w:fldCharType="end"/>
            </w:r>
          </w:hyperlink>
        </w:p>
        <w:p w14:paraId="3C280C2C" w14:textId="074434F8" w:rsidR="00CE0B64" w:rsidRDefault="00CE0B64">
          <w:pPr>
            <w:pStyle w:val="TOC2"/>
            <w:rPr>
              <w:rFonts w:eastAsiaTheme="minorEastAsia"/>
              <w:kern w:val="2"/>
              <w:lang w:val="en-US"/>
              <w14:ligatures w14:val="standardContextual"/>
            </w:rPr>
          </w:pPr>
          <w:hyperlink w:anchor="_Toc159945211" w:history="1">
            <w:r w:rsidRPr="00777B63">
              <w:rPr>
                <w:rStyle w:val="Hyperlink"/>
                <w:rFonts w:ascii="Times New Roman" w:hAnsi="Times New Roman" w:cs="Times New Roman"/>
                <w:lang w:val="hy-AM"/>
              </w:rPr>
              <w:t xml:space="preserve">Դ․ </w:t>
            </w:r>
            <w:r w:rsidRPr="00777B63">
              <w:rPr>
                <w:rStyle w:val="Hyperlink"/>
                <w:rFonts w:ascii="Times New Roman" w:hAnsi="Times New Roman" w:cs="Times New Roman"/>
                <w:lang w:val="af-ZA"/>
              </w:rPr>
              <w:t>Պոզիտիվ պարտավորություններ</w:t>
            </w:r>
            <w:r>
              <w:rPr>
                <w:webHidden/>
              </w:rPr>
              <w:tab/>
            </w:r>
            <w:r>
              <w:rPr>
                <w:webHidden/>
              </w:rPr>
              <w:fldChar w:fldCharType="begin"/>
            </w:r>
            <w:r>
              <w:rPr>
                <w:webHidden/>
              </w:rPr>
              <w:instrText xml:space="preserve"> PAGEREF _Toc159945211 \h </w:instrText>
            </w:r>
            <w:r>
              <w:rPr>
                <w:webHidden/>
              </w:rPr>
            </w:r>
            <w:r>
              <w:rPr>
                <w:webHidden/>
              </w:rPr>
              <w:fldChar w:fldCharType="separate"/>
            </w:r>
            <w:r>
              <w:rPr>
                <w:webHidden/>
              </w:rPr>
              <w:t>14</w:t>
            </w:r>
            <w:r>
              <w:rPr>
                <w:webHidden/>
              </w:rPr>
              <w:fldChar w:fldCharType="end"/>
            </w:r>
          </w:hyperlink>
        </w:p>
        <w:p w14:paraId="6767CD86" w14:textId="6FE3C497" w:rsidR="00CE0B64" w:rsidRDefault="00CE0B64">
          <w:pPr>
            <w:pStyle w:val="TOC3"/>
            <w:rPr>
              <w:rFonts w:eastAsiaTheme="minorEastAsia"/>
              <w:kern w:val="2"/>
              <w:lang w:val="en-US"/>
              <w14:ligatures w14:val="standardContextual"/>
            </w:rPr>
          </w:pPr>
          <w:hyperlink w:anchor="_Toc159945212" w:history="1">
            <w:r w:rsidRPr="00777B63">
              <w:rPr>
                <w:rStyle w:val="Hyperlink"/>
                <w:rFonts w:ascii="Times New Roman" w:hAnsi="Times New Roman" w:cs="Times New Roman"/>
                <w:lang w:val="af-ZA"/>
              </w:rPr>
              <w:t>1.   Հավաքի խաղաղ անցկացումն ապահովելու պարտավորությունը</w:t>
            </w:r>
            <w:r>
              <w:rPr>
                <w:webHidden/>
              </w:rPr>
              <w:tab/>
            </w:r>
            <w:r>
              <w:rPr>
                <w:webHidden/>
              </w:rPr>
              <w:fldChar w:fldCharType="begin"/>
            </w:r>
            <w:r>
              <w:rPr>
                <w:webHidden/>
              </w:rPr>
              <w:instrText xml:space="preserve"> PAGEREF _Toc159945212 \h </w:instrText>
            </w:r>
            <w:r>
              <w:rPr>
                <w:webHidden/>
              </w:rPr>
            </w:r>
            <w:r>
              <w:rPr>
                <w:webHidden/>
              </w:rPr>
              <w:fldChar w:fldCharType="separate"/>
            </w:r>
            <w:r>
              <w:rPr>
                <w:webHidden/>
              </w:rPr>
              <w:t>15</w:t>
            </w:r>
            <w:r>
              <w:rPr>
                <w:webHidden/>
              </w:rPr>
              <w:fldChar w:fldCharType="end"/>
            </w:r>
          </w:hyperlink>
        </w:p>
        <w:p w14:paraId="144469D8" w14:textId="57B755CF" w:rsidR="00CE0B64" w:rsidRDefault="00CE0B64">
          <w:pPr>
            <w:pStyle w:val="TOC3"/>
            <w:rPr>
              <w:rFonts w:eastAsiaTheme="minorEastAsia"/>
              <w:kern w:val="2"/>
              <w:lang w:val="en-US"/>
              <w14:ligatures w14:val="standardContextual"/>
            </w:rPr>
          </w:pPr>
          <w:hyperlink w:anchor="_Toc159945213" w:history="1">
            <w:r w:rsidRPr="00777B63">
              <w:rPr>
                <w:rStyle w:val="Hyperlink"/>
                <w:rFonts w:ascii="Times New Roman" w:hAnsi="Times New Roman" w:cs="Times New Roman"/>
                <w:lang w:val="af-ZA"/>
              </w:rPr>
              <w:t>2.   Հակընդդեմ ցույցեր</w:t>
            </w:r>
            <w:r>
              <w:rPr>
                <w:webHidden/>
              </w:rPr>
              <w:tab/>
            </w:r>
            <w:r>
              <w:rPr>
                <w:webHidden/>
              </w:rPr>
              <w:fldChar w:fldCharType="begin"/>
            </w:r>
            <w:r>
              <w:rPr>
                <w:webHidden/>
              </w:rPr>
              <w:instrText xml:space="preserve"> PAGEREF _Toc159945213 \h </w:instrText>
            </w:r>
            <w:r>
              <w:rPr>
                <w:webHidden/>
              </w:rPr>
            </w:r>
            <w:r>
              <w:rPr>
                <w:webHidden/>
              </w:rPr>
              <w:fldChar w:fldCharType="separate"/>
            </w:r>
            <w:r>
              <w:rPr>
                <w:webHidden/>
              </w:rPr>
              <w:t>15</w:t>
            </w:r>
            <w:r>
              <w:rPr>
                <w:webHidden/>
              </w:rPr>
              <w:fldChar w:fldCharType="end"/>
            </w:r>
          </w:hyperlink>
        </w:p>
        <w:p w14:paraId="1F9D46FB" w14:textId="48CAE09A" w:rsidR="00CE0B64" w:rsidRDefault="00CE0B64">
          <w:pPr>
            <w:pStyle w:val="TOC2"/>
            <w:rPr>
              <w:rFonts w:eastAsiaTheme="minorEastAsia"/>
              <w:kern w:val="2"/>
              <w:lang w:val="en-US"/>
              <w14:ligatures w14:val="standardContextual"/>
            </w:rPr>
          </w:pPr>
          <w:hyperlink w:anchor="_Toc159945214" w:history="1">
            <w:r w:rsidRPr="00777B63">
              <w:rPr>
                <w:rStyle w:val="Hyperlink"/>
                <w:rFonts w:ascii="Times New Roman" w:hAnsi="Times New Roman" w:cs="Times New Roman"/>
                <w:lang w:val="hy-AM"/>
              </w:rPr>
              <w:t xml:space="preserve">Ե․ </w:t>
            </w:r>
            <w:r w:rsidRPr="00777B63">
              <w:rPr>
                <w:rStyle w:val="Hyperlink"/>
                <w:rFonts w:ascii="Times New Roman" w:hAnsi="Times New Roman" w:cs="Times New Roman"/>
                <w:lang w:val="af-ZA"/>
              </w:rPr>
              <w:t>Հավաքների ազատության իրավունքի սահմանափակումները</w:t>
            </w:r>
            <w:r>
              <w:rPr>
                <w:webHidden/>
              </w:rPr>
              <w:tab/>
            </w:r>
            <w:r>
              <w:rPr>
                <w:webHidden/>
              </w:rPr>
              <w:fldChar w:fldCharType="begin"/>
            </w:r>
            <w:r>
              <w:rPr>
                <w:webHidden/>
              </w:rPr>
              <w:instrText xml:space="preserve"> PAGEREF _Toc159945214 \h </w:instrText>
            </w:r>
            <w:r>
              <w:rPr>
                <w:webHidden/>
              </w:rPr>
            </w:r>
            <w:r>
              <w:rPr>
                <w:webHidden/>
              </w:rPr>
              <w:fldChar w:fldCharType="separate"/>
            </w:r>
            <w:r>
              <w:rPr>
                <w:webHidden/>
              </w:rPr>
              <w:t>16</w:t>
            </w:r>
            <w:r>
              <w:rPr>
                <w:webHidden/>
              </w:rPr>
              <w:fldChar w:fldCharType="end"/>
            </w:r>
          </w:hyperlink>
        </w:p>
        <w:p w14:paraId="6FB8D7E8" w14:textId="64E6B905" w:rsidR="00CE0B64" w:rsidRDefault="00CE0B64">
          <w:pPr>
            <w:pStyle w:val="TOC3"/>
            <w:rPr>
              <w:rFonts w:eastAsiaTheme="minorEastAsia"/>
              <w:kern w:val="2"/>
              <w:lang w:val="en-US"/>
              <w14:ligatures w14:val="standardContextual"/>
            </w:rPr>
          </w:pPr>
          <w:hyperlink w:anchor="_Toc159945215" w:history="1">
            <w:r w:rsidRPr="00777B63">
              <w:rPr>
                <w:rStyle w:val="Hyperlink"/>
                <w:rFonts w:ascii="Times New Roman" w:hAnsi="Times New Roman" w:cs="Times New Roman"/>
                <w:lang w:val="af-ZA"/>
              </w:rPr>
              <w:t>1.   Միջամտություն հավաքների ազատության իրավունքի իրա</w:t>
            </w:r>
            <w:r w:rsidRPr="00777B63">
              <w:rPr>
                <w:rStyle w:val="Hyperlink"/>
                <w:rFonts w:ascii="Times New Roman" w:hAnsi="Times New Roman" w:cs="Times New Roman"/>
                <w:lang w:val="hy-AM"/>
              </w:rPr>
              <w:t>ց</w:t>
            </w:r>
            <w:r w:rsidRPr="00777B63">
              <w:rPr>
                <w:rStyle w:val="Hyperlink"/>
                <w:rFonts w:ascii="Times New Roman" w:hAnsi="Times New Roman" w:cs="Times New Roman"/>
                <w:lang w:val="af-ZA"/>
              </w:rPr>
              <w:t>մանը</w:t>
            </w:r>
            <w:r>
              <w:rPr>
                <w:webHidden/>
              </w:rPr>
              <w:tab/>
            </w:r>
            <w:r>
              <w:rPr>
                <w:webHidden/>
              </w:rPr>
              <w:fldChar w:fldCharType="begin"/>
            </w:r>
            <w:r>
              <w:rPr>
                <w:webHidden/>
              </w:rPr>
              <w:instrText xml:space="preserve"> PAGEREF _Toc159945215 \h </w:instrText>
            </w:r>
            <w:r>
              <w:rPr>
                <w:webHidden/>
              </w:rPr>
            </w:r>
            <w:r>
              <w:rPr>
                <w:webHidden/>
              </w:rPr>
              <w:fldChar w:fldCharType="separate"/>
            </w:r>
            <w:r>
              <w:rPr>
                <w:webHidden/>
              </w:rPr>
              <w:t>16</w:t>
            </w:r>
            <w:r>
              <w:rPr>
                <w:webHidden/>
              </w:rPr>
              <w:fldChar w:fldCharType="end"/>
            </w:r>
          </w:hyperlink>
        </w:p>
        <w:p w14:paraId="213FDF7C" w14:textId="339B3F65" w:rsidR="00CE0B64" w:rsidRDefault="00CE0B64">
          <w:pPr>
            <w:pStyle w:val="TOC3"/>
            <w:rPr>
              <w:rFonts w:eastAsiaTheme="minorEastAsia"/>
              <w:kern w:val="2"/>
              <w:lang w:val="en-US"/>
              <w14:ligatures w14:val="standardContextual"/>
            </w:rPr>
          </w:pPr>
          <w:hyperlink w:anchor="_Toc159945216" w:history="1">
            <w:r w:rsidRPr="00777B63">
              <w:rPr>
                <w:rStyle w:val="Hyperlink"/>
                <w:rFonts w:ascii="Times New Roman" w:hAnsi="Times New Roman" w:cs="Times New Roman"/>
                <w:lang w:val="af-ZA"/>
              </w:rPr>
              <w:t>2.   Սահմանափակումների հիմնավորումը</w:t>
            </w:r>
            <w:r>
              <w:rPr>
                <w:webHidden/>
              </w:rPr>
              <w:tab/>
            </w:r>
            <w:r>
              <w:rPr>
                <w:webHidden/>
              </w:rPr>
              <w:fldChar w:fldCharType="begin"/>
            </w:r>
            <w:r>
              <w:rPr>
                <w:webHidden/>
              </w:rPr>
              <w:instrText xml:space="preserve"> PAGEREF _Toc159945216 \h </w:instrText>
            </w:r>
            <w:r>
              <w:rPr>
                <w:webHidden/>
              </w:rPr>
            </w:r>
            <w:r>
              <w:rPr>
                <w:webHidden/>
              </w:rPr>
              <w:fldChar w:fldCharType="separate"/>
            </w:r>
            <w:r>
              <w:rPr>
                <w:webHidden/>
              </w:rPr>
              <w:t>17</w:t>
            </w:r>
            <w:r>
              <w:rPr>
                <w:webHidden/>
              </w:rPr>
              <w:fldChar w:fldCharType="end"/>
            </w:r>
          </w:hyperlink>
        </w:p>
        <w:p w14:paraId="2A6D69CC" w14:textId="16027900" w:rsidR="00CE0B64" w:rsidRDefault="00CE0B64">
          <w:pPr>
            <w:pStyle w:val="TOC4"/>
            <w:rPr>
              <w:rFonts w:eastAsiaTheme="minorEastAsia"/>
              <w:kern w:val="2"/>
              <w:lang w:val="en-US"/>
              <w14:ligatures w14:val="standardContextual"/>
            </w:rPr>
          </w:pPr>
          <w:hyperlink w:anchor="_Toc159945217" w:history="1">
            <w:r w:rsidRPr="00777B63">
              <w:rPr>
                <w:rStyle w:val="Hyperlink"/>
                <w:rFonts w:ascii="Times New Roman" w:hAnsi="Times New Roman" w:cs="Times New Roman"/>
                <w:lang w:val="hy-AM"/>
              </w:rPr>
              <w:t xml:space="preserve">ա․ </w:t>
            </w:r>
            <w:r w:rsidRPr="00777B63">
              <w:rPr>
                <w:rStyle w:val="Hyperlink"/>
                <w:rFonts w:ascii="Times New Roman" w:hAnsi="Times New Roman" w:cs="Times New Roman"/>
                <w:lang w:val="af-ZA"/>
              </w:rPr>
              <w:t xml:space="preserve">Նախատեսված </w:t>
            </w:r>
            <w:r w:rsidRPr="00777B63">
              <w:rPr>
                <w:rStyle w:val="Hyperlink"/>
                <w:rFonts w:ascii="Times New Roman" w:hAnsi="Times New Roman" w:cs="Times New Roman"/>
                <w:lang w:val="hy-AM"/>
              </w:rPr>
              <w:t>է</w:t>
            </w:r>
            <w:r w:rsidRPr="00777B63">
              <w:rPr>
                <w:rStyle w:val="Hyperlink"/>
                <w:rFonts w:ascii="Times New Roman" w:hAnsi="Times New Roman" w:cs="Times New Roman"/>
                <w:lang w:val="af-ZA"/>
              </w:rPr>
              <w:t xml:space="preserve"> օրենքով</w:t>
            </w:r>
            <w:r>
              <w:rPr>
                <w:webHidden/>
              </w:rPr>
              <w:tab/>
            </w:r>
            <w:r>
              <w:rPr>
                <w:webHidden/>
              </w:rPr>
              <w:fldChar w:fldCharType="begin"/>
            </w:r>
            <w:r>
              <w:rPr>
                <w:webHidden/>
              </w:rPr>
              <w:instrText xml:space="preserve"> PAGEREF _Toc159945217 \h </w:instrText>
            </w:r>
            <w:r>
              <w:rPr>
                <w:webHidden/>
              </w:rPr>
            </w:r>
            <w:r>
              <w:rPr>
                <w:webHidden/>
              </w:rPr>
              <w:fldChar w:fldCharType="separate"/>
            </w:r>
            <w:r>
              <w:rPr>
                <w:webHidden/>
              </w:rPr>
              <w:t>18</w:t>
            </w:r>
            <w:r>
              <w:rPr>
                <w:webHidden/>
              </w:rPr>
              <w:fldChar w:fldCharType="end"/>
            </w:r>
          </w:hyperlink>
        </w:p>
        <w:p w14:paraId="4280711B" w14:textId="31569D6A" w:rsidR="00CE0B64" w:rsidRDefault="00CE0B64">
          <w:pPr>
            <w:pStyle w:val="TOC4"/>
            <w:rPr>
              <w:rFonts w:eastAsiaTheme="minorEastAsia"/>
              <w:kern w:val="2"/>
              <w:lang w:val="en-US"/>
              <w14:ligatures w14:val="standardContextual"/>
            </w:rPr>
          </w:pPr>
          <w:hyperlink w:anchor="_Toc159945218" w:history="1">
            <w:r w:rsidRPr="00777B63">
              <w:rPr>
                <w:rStyle w:val="Hyperlink"/>
                <w:rFonts w:ascii="Times New Roman" w:hAnsi="Times New Roman" w:cs="Times New Roman"/>
                <w:lang w:val="hy-AM"/>
              </w:rPr>
              <w:t xml:space="preserve">բ․ </w:t>
            </w:r>
            <w:r w:rsidRPr="00777B63">
              <w:rPr>
                <w:rStyle w:val="Hyperlink"/>
                <w:rFonts w:ascii="Times New Roman" w:hAnsi="Times New Roman" w:cs="Times New Roman"/>
                <w:lang w:val="af-ZA"/>
              </w:rPr>
              <w:t>Իրավաչափ նպատակ</w:t>
            </w:r>
            <w:r>
              <w:rPr>
                <w:webHidden/>
              </w:rPr>
              <w:tab/>
            </w:r>
            <w:r>
              <w:rPr>
                <w:webHidden/>
              </w:rPr>
              <w:fldChar w:fldCharType="begin"/>
            </w:r>
            <w:r>
              <w:rPr>
                <w:webHidden/>
              </w:rPr>
              <w:instrText xml:space="preserve"> PAGEREF _Toc159945218 \h </w:instrText>
            </w:r>
            <w:r>
              <w:rPr>
                <w:webHidden/>
              </w:rPr>
            </w:r>
            <w:r>
              <w:rPr>
                <w:webHidden/>
              </w:rPr>
              <w:fldChar w:fldCharType="separate"/>
            </w:r>
            <w:r>
              <w:rPr>
                <w:webHidden/>
              </w:rPr>
              <w:t>19</w:t>
            </w:r>
            <w:r>
              <w:rPr>
                <w:webHidden/>
              </w:rPr>
              <w:fldChar w:fldCharType="end"/>
            </w:r>
          </w:hyperlink>
        </w:p>
        <w:p w14:paraId="547FE2E9" w14:textId="2E7558E3" w:rsidR="00CE0B64" w:rsidRDefault="00CE0B64">
          <w:pPr>
            <w:pStyle w:val="TOC4"/>
            <w:rPr>
              <w:rFonts w:eastAsiaTheme="minorEastAsia"/>
              <w:kern w:val="2"/>
              <w:lang w:val="en-US"/>
              <w14:ligatures w14:val="standardContextual"/>
            </w:rPr>
          </w:pPr>
          <w:hyperlink w:anchor="_Toc159945219" w:history="1">
            <w:r w:rsidRPr="00777B63">
              <w:rPr>
                <w:rStyle w:val="Hyperlink"/>
                <w:rFonts w:ascii="Times New Roman" w:hAnsi="Times New Roman" w:cs="Times New Roman"/>
                <w:lang w:val="hy-AM"/>
              </w:rPr>
              <w:t xml:space="preserve">գ․ </w:t>
            </w:r>
            <w:r w:rsidRPr="00777B63">
              <w:rPr>
                <w:rStyle w:val="Hyperlink"/>
                <w:rFonts w:ascii="Times New Roman" w:hAnsi="Times New Roman" w:cs="Times New Roman"/>
                <w:lang w:val="af-ZA"/>
              </w:rPr>
              <w:t>Անհրաժեշտ ժողովրդավարական հասարակությունում</w:t>
            </w:r>
            <w:r>
              <w:rPr>
                <w:webHidden/>
              </w:rPr>
              <w:tab/>
            </w:r>
            <w:r>
              <w:rPr>
                <w:webHidden/>
              </w:rPr>
              <w:fldChar w:fldCharType="begin"/>
            </w:r>
            <w:r>
              <w:rPr>
                <w:webHidden/>
              </w:rPr>
              <w:instrText xml:space="preserve"> PAGEREF _Toc159945219 \h </w:instrText>
            </w:r>
            <w:r>
              <w:rPr>
                <w:webHidden/>
              </w:rPr>
            </w:r>
            <w:r>
              <w:rPr>
                <w:webHidden/>
              </w:rPr>
              <w:fldChar w:fldCharType="separate"/>
            </w:r>
            <w:r>
              <w:rPr>
                <w:webHidden/>
              </w:rPr>
              <w:t>20</w:t>
            </w:r>
            <w:r>
              <w:rPr>
                <w:webHidden/>
              </w:rPr>
              <w:fldChar w:fldCharType="end"/>
            </w:r>
          </w:hyperlink>
        </w:p>
        <w:p w14:paraId="4930F722" w14:textId="59528DC2" w:rsidR="00CE0B64" w:rsidRDefault="00CE0B64">
          <w:pPr>
            <w:pStyle w:val="TOC5"/>
            <w:tabs>
              <w:tab w:val="right" w:leader="dot" w:pos="9017"/>
            </w:tabs>
            <w:rPr>
              <w:rFonts w:eastAsiaTheme="minorEastAsia"/>
              <w:kern w:val="2"/>
              <w:lang w:val="en-US"/>
              <w14:ligatures w14:val="standardContextual"/>
            </w:rPr>
          </w:pPr>
          <w:hyperlink w:anchor="_Toc159945220" w:history="1">
            <w:r w:rsidRPr="00777B63">
              <w:rPr>
                <w:rStyle w:val="Hyperlink"/>
                <w:rFonts w:ascii="Times New Roman" w:hAnsi="Times New Roman" w:cs="Times New Roman"/>
                <w:lang w:val="af-ZA"/>
              </w:rPr>
              <w:t>i.   Հավաքի ընթացքում արտահայտված կարծիքների բովանդակության հիման վրա միջամտ</w:t>
            </w:r>
            <w:r w:rsidRPr="00777B63">
              <w:rPr>
                <w:rStyle w:val="Hyperlink"/>
                <w:rFonts w:ascii="Times New Roman" w:hAnsi="Times New Roman" w:cs="Times New Roman"/>
                <w:lang w:val="hy-AM"/>
              </w:rPr>
              <w:t>ության հարցում</w:t>
            </w:r>
            <w:r w:rsidRPr="00777B63">
              <w:rPr>
                <w:rStyle w:val="Hyperlink"/>
                <w:rFonts w:ascii="Times New Roman" w:hAnsi="Times New Roman" w:cs="Times New Roman"/>
                <w:lang w:val="af-ZA"/>
              </w:rPr>
              <w:t xml:space="preserve"> հայեցողությ</w:t>
            </w:r>
            <w:r w:rsidRPr="00777B63">
              <w:rPr>
                <w:rStyle w:val="Hyperlink"/>
                <w:rFonts w:ascii="Times New Roman" w:hAnsi="Times New Roman" w:cs="Times New Roman"/>
                <w:lang w:val="hy-AM"/>
              </w:rPr>
              <w:t>ա</w:t>
            </w:r>
            <w:r w:rsidRPr="00777B63">
              <w:rPr>
                <w:rStyle w:val="Hyperlink"/>
                <w:rFonts w:ascii="Times New Roman" w:hAnsi="Times New Roman" w:cs="Times New Roman"/>
                <w:lang w:val="af-ZA"/>
              </w:rPr>
              <w:t>ն</w:t>
            </w:r>
            <w:r w:rsidRPr="00777B63">
              <w:rPr>
                <w:rStyle w:val="Hyperlink"/>
                <w:rFonts w:ascii="Times New Roman" w:hAnsi="Times New Roman" w:cs="Times New Roman"/>
                <w:lang w:val="hy-AM"/>
              </w:rPr>
              <w:t xml:space="preserve"> նեղ շրջանակ</w:t>
            </w:r>
            <w:r>
              <w:rPr>
                <w:webHidden/>
              </w:rPr>
              <w:tab/>
            </w:r>
            <w:r>
              <w:rPr>
                <w:webHidden/>
              </w:rPr>
              <w:fldChar w:fldCharType="begin"/>
            </w:r>
            <w:r>
              <w:rPr>
                <w:webHidden/>
              </w:rPr>
              <w:instrText xml:space="preserve"> PAGEREF _Toc159945220 \h </w:instrText>
            </w:r>
            <w:r>
              <w:rPr>
                <w:webHidden/>
              </w:rPr>
            </w:r>
            <w:r>
              <w:rPr>
                <w:webHidden/>
              </w:rPr>
              <w:fldChar w:fldCharType="separate"/>
            </w:r>
            <w:r>
              <w:rPr>
                <w:webHidden/>
              </w:rPr>
              <w:t>20</w:t>
            </w:r>
            <w:r>
              <w:rPr>
                <w:webHidden/>
              </w:rPr>
              <w:fldChar w:fldCharType="end"/>
            </w:r>
          </w:hyperlink>
        </w:p>
        <w:p w14:paraId="7685C22B" w14:textId="40C16FB7" w:rsidR="00CE0B64" w:rsidRDefault="00CE0B64">
          <w:pPr>
            <w:pStyle w:val="TOC5"/>
            <w:tabs>
              <w:tab w:val="right" w:leader="dot" w:pos="9017"/>
            </w:tabs>
            <w:rPr>
              <w:rFonts w:eastAsiaTheme="minorEastAsia"/>
              <w:kern w:val="2"/>
              <w:lang w:val="en-US"/>
              <w14:ligatures w14:val="standardContextual"/>
            </w:rPr>
          </w:pPr>
          <w:hyperlink w:anchor="_Toc159945221" w:history="1">
            <w:r w:rsidRPr="00777B63">
              <w:rPr>
                <w:rStyle w:val="Hyperlink"/>
                <w:rFonts w:ascii="Times New Roman" w:hAnsi="Times New Roman" w:cs="Times New Roman"/>
                <w:lang w:val="af-ZA" w:eastAsia="fr-FR"/>
              </w:rPr>
              <w:t>ii.   Հավաքների ընդհանուր արգելքի</w:t>
            </w:r>
            <w:r w:rsidRPr="00777B63">
              <w:rPr>
                <w:rStyle w:val="Hyperlink"/>
                <w:rFonts w:ascii="Times New Roman" w:hAnsi="Times New Roman" w:cs="Times New Roman"/>
                <w:lang w:val="hy-AM" w:eastAsia="fr-FR"/>
              </w:rPr>
              <w:t xml:space="preserve"> հարցում</w:t>
            </w:r>
            <w:r w:rsidRPr="00777B63">
              <w:rPr>
                <w:rStyle w:val="Hyperlink"/>
                <w:rFonts w:ascii="Times New Roman" w:hAnsi="Times New Roman" w:cs="Times New Roman"/>
                <w:lang w:val="af-ZA" w:eastAsia="fr-FR"/>
              </w:rPr>
              <w:t xml:space="preserve"> հայեցողությ</w:t>
            </w:r>
            <w:r w:rsidRPr="00777B63">
              <w:rPr>
                <w:rStyle w:val="Hyperlink"/>
                <w:rFonts w:ascii="Times New Roman" w:hAnsi="Times New Roman" w:cs="Times New Roman"/>
                <w:lang w:val="hy-AM" w:eastAsia="fr-FR"/>
              </w:rPr>
              <w:t>ան նեղ շրջանակ</w:t>
            </w:r>
            <w:r>
              <w:rPr>
                <w:webHidden/>
              </w:rPr>
              <w:tab/>
            </w:r>
            <w:r>
              <w:rPr>
                <w:webHidden/>
              </w:rPr>
              <w:fldChar w:fldCharType="begin"/>
            </w:r>
            <w:r>
              <w:rPr>
                <w:webHidden/>
              </w:rPr>
              <w:instrText xml:space="preserve"> PAGEREF _Toc159945221 \h </w:instrText>
            </w:r>
            <w:r>
              <w:rPr>
                <w:webHidden/>
              </w:rPr>
            </w:r>
            <w:r>
              <w:rPr>
                <w:webHidden/>
              </w:rPr>
              <w:fldChar w:fldCharType="separate"/>
            </w:r>
            <w:r>
              <w:rPr>
                <w:webHidden/>
              </w:rPr>
              <w:t>21</w:t>
            </w:r>
            <w:r>
              <w:rPr>
                <w:webHidden/>
              </w:rPr>
              <w:fldChar w:fldCharType="end"/>
            </w:r>
          </w:hyperlink>
        </w:p>
        <w:p w14:paraId="0476DE44" w14:textId="6A73B962" w:rsidR="00CE0B64" w:rsidRDefault="00CE0B64">
          <w:pPr>
            <w:pStyle w:val="TOC5"/>
            <w:tabs>
              <w:tab w:val="right" w:leader="dot" w:pos="9017"/>
            </w:tabs>
            <w:rPr>
              <w:rFonts w:eastAsiaTheme="minorEastAsia"/>
              <w:kern w:val="2"/>
              <w:lang w:val="en-US"/>
              <w14:ligatures w14:val="standardContextual"/>
            </w:rPr>
          </w:pPr>
          <w:hyperlink w:anchor="_Toc159945222" w:history="1">
            <w:r w:rsidRPr="00777B63">
              <w:rPr>
                <w:rStyle w:val="Hyperlink"/>
                <w:rFonts w:ascii="Times New Roman" w:hAnsi="Times New Roman" w:cs="Times New Roman"/>
                <w:lang w:val="af-ZA"/>
              </w:rPr>
              <w:t>iii.   Բնականոն կյանքը և երթևեկությունը դիտավորությամբ խաթարելու համար պատժամիջոցներ կիրառելու</w:t>
            </w:r>
            <w:r w:rsidRPr="00777B63">
              <w:rPr>
                <w:rStyle w:val="Hyperlink"/>
                <w:rFonts w:ascii="Times New Roman" w:hAnsi="Times New Roman" w:cs="Times New Roman"/>
                <w:lang w:val="hy-AM"/>
              </w:rPr>
              <w:t xml:space="preserve"> </w:t>
            </w:r>
            <w:r w:rsidRPr="00777B63">
              <w:rPr>
                <w:rStyle w:val="Hyperlink"/>
                <w:rFonts w:ascii="Times New Roman" w:hAnsi="Times New Roman" w:cs="Times New Roman"/>
                <w:lang w:val="af-ZA"/>
              </w:rPr>
              <w:t>հայեցողությ</w:t>
            </w:r>
            <w:r w:rsidRPr="00777B63">
              <w:rPr>
                <w:rStyle w:val="Hyperlink"/>
                <w:rFonts w:ascii="Times New Roman" w:hAnsi="Times New Roman" w:cs="Times New Roman"/>
                <w:lang w:val="hy-AM"/>
              </w:rPr>
              <w:t>ա</w:t>
            </w:r>
            <w:r w:rsidRPr="00777B63">
              <w:rPr>
                <w:rStyle w:val="Hyperlink"/>
                <w:rFonts w:ascii="Times New Roman" w:hAnsi="Times New Roman" w:cs="Times New Roman"/>
                <w:lang w:val="af-ZA"/>
              </w:rPr>
              <w:t>ն</w:t>
            </w:r>
            <w:r w:rsidRPr="00777B63">
              <w:rPr>
                <w:rStyle w:val="Hyperlink"/>
                <w:rFonts w:ascii="Times New Roman" w:hAnsi="Times New Roman" w:cs="Times New Roman"/>
                <w:lang w:val="hy-AM"/>
              </w:rPr>
              <w:t xml:space="preserve"> առավել</w:t>
            </w:r>
            <w:r w:rsidRPr="00777B63">
              <w:rPr>
                <w:rStyle w:val="Hyperlink"/>
                <w:rFonts w:ascii="Times New Roman" w:hAnsi="Times New Roman" w:cs="Times New Roman"/>
                <w:lang w:val="af-ZA"/>
              </w:rPr>
              <w:t xml:space="preserve"> լայն</w:t>
            </w:r>
            <w:r w:rsidRPr="00777B63">
              <w:rPr>
                <w:rStyle w:val="Hyperlink"/>
                <w:rFonts w:ascii="Times New Roman" w:hAnsi="Times New Roman" w:cs="Times New Roman"/>
                <w:lang w:val="hy-AM"/>
              </w:rPr>
              <w:t xml:space="preserve"> շրջանակ</w:t>
            </w:r>
            <w:r>
              <w:rPr>
                <w:webHidden/>
              </w:rPr>
              <w:tab/>
            </w:r>
            <w:r>
              <w:rPr>
                <w:webHidden/>
              </w:rPr>
              <w:fldChar w:fldCharType="begin"/>
            </w:r>
            <w:r>
              <w:rPr>
                <w:webHidden/>
              </w:rPr>
              <w:instrText xml:space="preserve"> PAGEREF _Toc159945222 \h </w:instrText>
            </w:r>
            <w:r>
              <w:rPr>
                <w:webHidden/>
              </w:rPr>
            </w:r>
            <w:r>
              <w:rPr>
                <w:webHidden/>
              </w:rPr>
              <w:fldChar w:fldCharType="separate"/>
            </w:r>
            <w:r>
              <w:rPr>
                <w:webHidden/>
              </w:rPr>
              <w:t>22</w:t>
            </w:r>
            <w:r>
              <w:rPr>
                <w:webHidden/>
              </w:rPr>
              <w:fldChar w:fldCharType="end"/>
            </w:r>
          </w:hyperlink>
        </w:p>
        <w:p w14:paraId="5F3986E1" w14:textId="3FB31316" w:rsidR="00CE0B64" w:rsidRDefault="00CE0B64">
          <w:pPr>
            <w:pStyle w:val="TOC5"/>
            <w:tabs>
              <w:tab w:val="right" w:leader="dot" w:pos="9017"/>
            </w:tabs>
            <w:rPr>
              <w:rFonts w:eastAsiaTheme="minorEastAsia"/>
              <w:kern w:val="2"/>
              <w:lang w:val="en-US"/>
              <w14:ligatures w14:val="standardContextual"/>
            </w:rPr>
          </w:pPr>
          <w:hyperlink w:anchor="_Toc159945223" w:history="1">
            <w:r w:rsidRPr="00777B63">
              <w:rPr>
                <w:rStyle w:val="Hyperlink"/>
                <w:rFonts w:ascii="Times New Roman" w:hAnsi="Times New Roman" w:cs="Times New Roman"/>
                <w:lang w:val="af-ZA"/>
              </w:rPr>
              <w:t>iv.  </w:t>
            </w:r>
            <w:r w:rsidRPr="00777B63">
              <w:rPr>
                <w:rStyle w:val="Hyperlink"/>
                <w:rFonts w:ascii="Times New Roman" w:hAnsi="Times New Roman" w:cs="Times New Roman"/>
                <w:lang w:val="hy-AM"/>
              </w:rPr>
              <w:t xml:space="preserve"> Զսպող</w:t>
            </w:r>
            <w:r w:rsidRPr="00777B63">
              <w:rPr>
                <w:rStyle w:val="Hyperlink"/>
                <w:rFonts w:ascii="Times New Roman" w:hAnsi="Times New Roman" w:cs="Times New Roman"/>
                <w:lang w:val="af-ZA"/>
              </w:rPr>
              <w:t xml:space="preserve"> ազդեցություն</w:t>
            </w:r>
            <w:r>
              <w:rPr>
                <w:webHidden/>
              </w:rPr>
              <w:tab/>
            </w:r>
            <w:r>
              <w:rPr>
                <w:webHidden/>
              </w:rPr>
              <w:fldChar w:fldCharType="begin"/>
            </w:r>
            <w:r>
              <w:rPr>
                <w:webHidden/>
              </w:rPr>
              <w:instrText xml:space="preserve"> PAGEREF _Toc159945223 \h </w:instrText>
            </w:r>
            <w:r>
              <w:rPr>
                <w:webHidden/>
              </w:rPr>
            </w:r>
            <w:r>
              <w:rPr>
                <w:webHidden/>
              </w:rPr>
              <w:fldChar w:fldCharType="separate"/>
            </w:r>
            <w:r>
              <w:rPr>
                <w:webHidden/>
              </w:rPr>
              <w:t>22</w:t>
            </w:r>
            <w:r>
              <w:rPr>
                <w:webHidden/>
              </w:rPr>
              <w:fldChar w:fldCharType="end"/>
            </w:r>
          </w:hyperlink>
        </w:p>
        <w:p w14:paraId="3CF85E13" w14:textId="1551B869" w:rsidR="00CE0B64" w:rsidRDefault="00CE0B64">
          <w:pPr>
            <w:pStyle w:val="TOC5"/>
            <w:tabs>
              <w:tab w:val="right" w:leader="dot" w:pos="9017"/>
            </w:tabs>
            <w:rPr>
              <w:rFonts w:eastAsiaTheme="minorEastAsia"/>
              <w:kern w:val="2"/>
              <w:lang w:val="en-US"/>
              <w14:ligatures w14:val="standardContextual"/>
            </w:rPr>
          </w:pPr>
          <w:hyperlink w:anchor="_Toc159945224" w:history="1">
            <w:r w:rsidRPr="00777B63">
              <w:rPr>
                <w:rStyle w:val="Hyperlink"/>
                <w:rFonts w:ascii="Times New Roman" w:hAnsi="Times New Roman" w:cs="Times New Roman"/>
                <w:lang w:val="af-ZA"/>
              </w:rPr>
              <w:t>v.   Պատժամիջոցներ` բնույթը և խստությունը</w:t>
            </w:r>
            <w:r>
              <w:rPr>
                <w:webHidden/>
              </w:rPr>
              <w:tab/>
            </w:r>
            <w:r>
              <w:rPr>
                <w:webHidden/>
              </w:rPr>
              <w:fldChar w:fldCharType="begin"/>
            </w:r>
            <w:r>
              <w:rPr>
                <w:webHidden/>
              </w:rPr>
              <w:instrText xml:space="preserve"> PAGEREF _Toc159945224 \h </w:instrText>
            </w:r>
            <w:r>
              <w:rPr>
                <w:webHidden/>
              </w:rPr>
            </w:r>
            <w:r>
              <w:rPr>
                <w:webHidden/>
              </w:rPr>
              <w:fldChar w:fldCharType="separate"/>
            </w:r>
            <w:r>
              <w:rPr>
                <w:webHidden/>
              </w:rPr>
              <w:t>23</w:t>
            </w:r>
            <w:r>
              <w:rPr>
                <w:webHidden/>
              </w:rPr>
              <w:fldChar w:fldCharType="end"/>
            </w:r>
          </w:hyperlink>
        </w:p>
        <w:p w14:paraId="1F3DCDCE" w14:textId="1FD60B4D" w:rsidR="00CE0B64" w:rsidRDefault="00CE0B64">
          <w:pPr>
            <w:pStyle w:val="TOC5"/>
            <w:tabs>
              <w:tab w:val="right" w:leader="dot" w:pos="9017"/>
            </w:tabs>
            <w:rPr>
              <w:rFonts w:eastAsiaTheme="minorEastAsia"/>
              <w:kern w:val="2"/>
              <w:lang w:val="en-US"/>
              <w14:ligatures w14:val="standardContextual"/>
            </w:rPr>
          </w:pPr>
          <w:hyperlink w:anchor="_Toc159945225" w:history="1">
            <w:r w:rsidRPr="00777B63">
              <w:rPr>
                <w:rStyle w:val="Hyperlink"/>
                <w:rFonts w:ascii="Times New Roman" w:hAnsi="Times New Roman" w:cs="Times New Roman"/>
                <w:lang w:val="af-ZA"/>
              </w:rPr>
              <w:t>vi.   Ցրում և ուժի գործադրում</w:t>
            </w:r>
            <w:r>
              <w:rPr>
                <w:webHidden/>
              </w:rPr>
              <w:tab/>
            </w:r>
            <w:r>
              <w:rPr>
                <w:webHidden/>
              </w:rPr>
              <w:fldChar w:fldCharType="begin"/>
            </w:r>
            <w:r>
              <w:rPr>
                <w:webHidden/>
              </w:rPr>
              <w:instrText xml:space="preserve"> PAGEREF _Toc159945225 \h </w:instrText>
            </w:r>
            <w:r>
              <w:rPr>
                <w:webHidden/>
              </w:rPr>
            </w:r>
            <w:r>
              <w:rPr>
                <w:webHidden/>
              </w:rPr>
              <w:fldChar w:fldCharType="separate"/>
            </w:r>
            <w:r>
              <w:rPr>
                <w:webHidden/>
              </w:rPr>
              <w:t>24</w:t>
            </w:r>
            <w:r>
              <w:rPr>
                <w:webHidden/>
              </w:rPr>
              <w:fldChar w:fldCharType="end"/>
            </w:r>
          </w:hyperlink>
        </w:p>
        <w:p w14:paraId="210D1594" w14:textId="73A3E20B" w:rsidR="00CE0B64" w:rsidRDefault="00CE0B64">
          <w:pPr>
            <w:pStyle w:val="TOC2"/>
            <w:rPr>
              <w:rFonts w:eastAsiaTheme="minorEastAsia"/>
              <w:kern w:val="2"/>
              <w:lang w:val="en-US"/>
              <w14:ligatures w14:val="standardContextual"/>
            </w:rPr>
          </w:pPr>
          <w:hyperlink w:anchor="_Toc159945226" w:history="1">
            <w:r w:rsidRPr="00777B63">
              <w:rPr>
                <w:rStyle w:val="Hyperlink"/>
                <w:rFonts w:ascii="Times New Roman" w:hAnsi="Times New Roman" w:cs="Times New Roman"/>
                <w:lang w:val="hy-AM"/>
              </w:rPr>
              <w:t xml:space="preserve">Զ․ </w:t>
            </w:r>
            <w:r w:rsidRPr="00777B63">
              <w:rPr>
                <w:rStyle w:val="Hyperlink"/>
                <w:rFonts w:ascii="Times New Roman" w:hAnsi="Times New Roman" w:cs="Times New Roman"/>
                <w:lang w:val="af-ZA"/>
              </w:rPr>
              <w:t xml:space="preserve">Նախնական իրազեկման և արտոնման </w:t>
            </w:r>
            <w:r w:rsidRPr="00777B63">
              <w:rPr>
                <w:rStyle w:val="Hyperlink"/>
                <w:rFonts w:ascii="Times New Roman" w:hAnsi="Times New Roman" w:cs="Times New Roman"/>
                <w:lang w:val="hy-AM"/>
              </w:rPr>
              <w:t>ընթացա</w:t>
            </w:r>
            <w:r w:rsidRPr="00777B63">
              <w:rPr>
                <w:rStyle w:val="Hyperlink"/>
                <w:rFonts w:ascii="Times New Roman" w:hAnsi="Times New Roman" w:cs="Times New Roman"/>
                <w:lang w:val="af-ZA"/>
              </w:rPr>
              <w:t>կարգերը</w:t>
            </w:r>
            <w:r>
              <w:rPr>
                <w:webHidden/>
              </w:rPr>
              <w:tab/>
            </w:r>
            <w:r>
              <w:rPr>
                <w:webHidden/>
              </w:rPr>
              <w:fldChar w:fldCharType="begin"/>
            </w:r>
            <w:r>
              <w:rPr>
                <w:webHidden/>
              </w:rPr>
              <w:instrText xml:space="preserve"> PAGEREF _Toc159945226 \h </w:instrText>
            </w:r>
            <w:r>
              <w:rPr>
                <w:webHidden/>
              </w:rPr>
            </w:r>
            <w:r>
              <w:rPr>
                <w:webHidden/>
              </w:rPr>
              <w:fldChar w:fldCharType="separate"/>
            </w:r>
            <w:r>
              <w:rPr>
                <w:webHidden/>
              </w:rPr>
              <w:t>24</w:t>
            </w:r>
            <w:r>
              <w:rPr>
                <w:webHidden/>
              </w:rPr>
              <w:fldChar w:fldCharType="end"/>
            </w:r>
          </w:hyperlink>
        </w:p>
        <w:p w14:paraId="0E019C05" w14:textId="5F51BDC1" w:rsidR="00CE0B64" w:rsidRDefault="00CE0B64">
          <w:pPr>
            <w:pStyle w:val="TOC3"/>
            <w:rPr>
              <w:rFonts w:eastAsiaTheme="minorEastAsia"/>
              <w:kern w:val="2"/>
              <w:lang w:val="en-US"/>
              <w14:ligatures w14:val="standardContextual"/>
            </w:rPr>
          </w:pPr>
          <w:hyperlink w:anchor="_Toc159945227" w:history="1">
            <w:r w:rsidRPr="00777B63">
              <w:rPr>
                <w:rStyle w:val="Hyperlink"/>
                <w:rFonts w:ascii="Times New Roman" w:hAnsi="Times New Roman" w:cs="Times New Roman"/>
                <w:lang w:val="af-ZA"/>
              </w:rPr>
              <w:t xml:space="preserve">1.   Նախնական իրազեկման և արտոնման </w:t>
            </w:r>
            <w:r w:rsidRPr="00777B63">
              <w:rPr>
                <w:rStyle w:val="Hyperlink"/>
                <w:rFonts w:ascii="Times New Roman" w:hAnsi="Times New Roman" w:cs="Times New Roman"/>
                <w:lang w:val="hy-AM"/>
              </w:rPr>
              <w:t>ընթացա</w:t>
            </w:r>
            <w:r w:rsidRPr="00777B63">
              <w:rPr>
                <w:rStyle w:val="Hyperlink"/>
                <w:rFonts w:ascii="Times New Roman" w:hAnsi="Times New Roman" w:cs="Times New Roman"/>
                <w:lang w:val="af-ZA"/>
              </w:rPr>
              <w:t>կարգերի նպատակը</w:t>
            </w:r>
            <w:r>
              <w:rPr>
                <w:webHidden/>
              </w:rPr>
              <w:tab/>
            </w:r>
            <w:r>
              <w:rPr>
                <w:webHidden/>
              </w:rPr>
              <w:fldChar w:fldCharType="begin"/>
            </w:r>
            <w:r>
              <w:rPr>
                <w:webHidden/>
              </w:rPr>
              <w:instrText xml:space="preserve"> PAGEREF _Toc159945227 \h </w:instrText>
            </w:r>
            <w:r>
              <w:rPr>
                <w:webHidden/>
              </w:rPr>
            </w:r>
            <w:r>
              <w:rPr>
                <w:webHidden/>
              </w:rPr>
              <w:fldChar w:fldCharType="separate"/>
            </w:r>
            <w:r>
              <w:rPr>
                <w:webHidden/>
              </w:rPr>
              <w:t>25</w:t>
            </w:r>
            <w:r>
              <w:rPr>
                <w:webHidden/>
              </w:rPr>
              <w:fldChar w:fldCharType="end"/>
            </w:r>
          </w:hyperlink>
        </w:p>
        <w:p w14:paraId="6ECB29B4" w14:textId="64A6925C" w:rsidR="00CE0B64" w:rsidRDefault="00CE0B64">
          <w:pPr>
            <w:pStyle w:val="TOC3"/>
            <w:rPr>
              <w:rFonts w:eastAsiaTheme="minorEastAsia"/>
              <w:kern w:val="2"/>
              <w:lang w:val="en-US"/>
              <w14:ligatures w14:val="standardContextual"/>
            </w:rPr>
          </w:pPr>
          <w:hyperlink w:anchor="_Toc159945228" w:history="1">
            <w:r w:rsidRPr="00777B63">
              <w:rPr>
                <w:rStyle w:val="Hyperlink"/>
                <w:rFonts w:ascii="Times New Roman" w:hAnsi="Times New Roman" w:cs="Times New Roman"/>
                <w:lang w:val="af-ZA"/>
              </w:rPr>
              <w:t>2.   Անօրինական հավաք</w:t>
            </w:r>
            <w:r>
              <w:rPr>
                <w:webHidden/>
              </w:rPr>
              <w:tab/>
            </w:r>
            <w:r>
              <w:rPr>
                <w:webHidden/>
              </w:rPr>
              <w:fldChar w:fldCharType="begin"/>
            </w:r>
            <w:r>
              <w:rPr>
                <w:webHidden/>
              </w:rPr>
              <w:instrText xml:space="preserve"> PAGEREF _Toc159945228 \h </w:instrText>
            </w:r>
            <w:r>
              <w:rPr>
                <w:webHidden/>
              </w:rPr>
            </w:r>
            <w:r>
              <w:rPr>
                <w:webHidden/>
              </w:rPr>
              <w:fldChar w:fldCharType="separate"/>
            </w:r>
            <w:r>
              <w:rPr>
                <w:webHidden/>
              </w:rPr>
              <w:t>25</w:t>
            </w:r>
            <w:r>
              <w:rPr>
                <w:webHidden/>
              </w:rPr>
              <w:fldChar w:fldCharType="end"/>
            </w:r>
          </w:hyperlink>
        </w:p>
        <w:p w14:paraId="030BDFF2" w14:textId="6A9FF749" w:rsidR="00CE0B64" w:rsidRDefault="00CE0B64">
          <w:pPr>
            <w:pStyle w:val="TOC3"/>
            <w:rPr>
              <w:rFonts w:eastAsiaTheme="minorEastAsia"/>
              <w:kern w:val="2"/>
              <w:lang w:val="en-US"/>
              <w14:ligatures w14:val="standardContextual"/>
            </w:rPr>
          </w:pPr>
          <w:hyperlink w:anchor="_Toc159945229" w:history="1">
            <w:r w:rsidRPr="00777B63">
              <w:rPr>
                <w:rStyle w:val="Hyperlink"/>
                <w:rFonts w:ascii="Times New Roman" w:hAnsi="Times New Roman" w:cs="Times New Roman"/>
                <w:lang w:val="af-ZA"/>
              </w:rPr>
              <w:t>3.   Ինքնաբուխ հավաք</w:t>
            </w:r>
            <w:r>
              <w:rPr>
                <w:webHidden/>
              </w:rPr>
              <w:tab/>
            </w:r>
            <w:r>
              <w:rPr>
                <w:webHidden/>
              </w:rPr>
              <w:fldChar w:fldCharType="begin"/>
            </w:r>
            <w:r>
              <w:rPr>
                <w:webHidden/>
              </w:rPr>
              <w:instrText xml:space="preserve"> PAGEREF _Toc159945229 \h </w:instrText>
            </w:r>
            <w:r>
              <w:rPr>
                <w:webHidden/>
              </w:rPr>
            </w:r>
            <w:r>
              <w:rPr>
                <w:webHidden/>
              </w:rPr>
              <w:fldChar w:fldCharType="separate"/>
            </w:r>
            <w:r>
              <w:rPr>
                <w:webHidden/>
              </w:rPr>
              <w:t>26</w:t>
            </w:r>
            <w:r>
              <w:rPr>
                <w:webHidden/>
              </w:rPr>
              <w:fldChar w:fldCharType="end"/>
            </w:r>
          </w:hyperlink>
        </w:p>
        <w:p w14:paraId="799AFCA2" w14:textId="20911211" w:rsidR="00CE0B64" w:rsidRDefault="00CE0B64">
          <w:pPr>
            <w:pStyle w:val="TOC2"/>
            <w:rPr>
              <w:rFonts w:eastAsiaTheme="minorEastAsia"/>
              <w:kern w:val="2"/>
              <w:lang w:val="en-US"/>
              <w14:ligatures w14:val="standardContextual"/>
            </w:rPr>
          </w:pPr>
          <w:hyperlink w:anchor="_Toc159945230" w:history="1">
            <w:r w:rsidRPr="00777B63">
              <w:rPr>
                <w:rStyle w:val="Hyperlink"/>
                <w:rFonts w:ascii="Times New Roman" w:hAnsi="Times New Roman" w:cs="Times New Roman"/>
                <w:lang w:val="hy-AM"/>
              </w:rPr>
              <w:t xml:space="preserve">Է․ </w:t>
            </w:r>
            <w:r w:rsidRPr="00777B63">
              <w:rPr>
                <w:rStyle w:val="Hyperlink"/>
                <w:rFonts w:ascii="Times New Roman" w:hAnsi="Times New Roman" w:cs="Times New Roman"/>
                <w:lang w:val="af-ZA"/>
              </w:rPr>
              <w:t>Դատապարտելի վարքագիծ</w:t>
            </w:r>
            <w:r>
              <w:rPr>
                <w:webHidden/>
              </w:rPr>
              <w:tab/>
            </w:r>
            <w:r>
              <w:rPr>
                <w:webHidden/>
              </w:rPr>
              <w:fldChar w:fldCharType="begin"/>
            </w:r>
            <w:r>
              <w:rPr>
                <w:webHidden/>
              </w:rPr>
              <w:instrText xml:space="preserve"> PAGEREF _Toc159945230 \h </w:instrText>
            </w:r>
            <w:r>
              <w:rPr>
                <w:webHidden/>
              </w:rPr>
            </w:r>
            <w:r>
              <w:rPr>
                <w:webHidden/>
              </w:rPr>
              <w:fldChar w:fldCharType="separate"/>
            </w:r>
            <w:r>
              <w:rPr>
                <w:webHidden/>
              </w:rPr>
              <w:t>27</w:t>
            </w:r>
            <w:r>
              <w:rPr>
                <w:webHidden/>
              </w:rPr>
              <w:fldChar w:fldCharType="end"/>
            </w:r>
          </w:hyperlink>
        </w:p>
        <w:p w14:paraId="49DADC1F" w14:textId="24F962B8" w:rsidR="00CE0B64" w:rsidRDefault="00CE0B64">
          <w:pPr>
            <w:pStyle w:val="TOC1"/>
            <w:rPr>
              <w:rFonts w:eastAsiaTheme="minorEastAsia"/>
              <w:b w:val="0"/>
              <w:color w:val="auto"/>
              <w:kern w:val="2"/>
              <w:sz w:val="22"/>
              <w:lang w:val="en-US"/>
              <w14:ligatures w14:val="standardContextual"/>
            </w:rPr>
          </w:pPr>
          <w:hyperlink w:anchor="_Toc159945231" w:history="1">
            <w:r w:rsidRPr="00777B63">
              <w:rPr>
                <w:rStyle w:val="Hyperlink"/>
                <w:rFonts w:ascii="Times New Roman" w:hAnsi="Times New Roman" w:cs="Times New Roman"/>
                <w:lang w:val="af-ZA"/>
              </w:rPr>
              <w:t>II.   Միավորման ազատություն</w:t>
            </w:r>
            <w:r>
              <w:rPr>
                <w:webHidden/>
              </w:rPr>
              <w:tab/>
            </w:r>
            <w:r>
              <w:rPr>
                <w:webHidden/>
              </w:rPr>
              <w:fldChar w:fldCharType="begin"/>
            </w:r>
            <w:r>
              <w:rPr>
                <w:webHidden/>
              </w:rPr>
              <w:instrText xml:space="preserve"> PAGEREF _Toc159945231 \h </w:instrText>
            </w:r>
            <w:r>
              <w:rPr>
                <w:webHidden/>
              </w:rPr>
            </w:r>
            <w:r>
              <w:rPr>
                <w:webHidden/>
              </w:rPr>
              <w:fldChar w:fldCharType="separate"/>
            </w:r>
            <w:r>
              <w:rPr>
                <w:webHidden/>
              </w:rPr>
              <w:t>28</w:t>
            </w:r>
            <w:r>
              <w:rPr>
                <w:webHidden/>
              </w:rPr>
              <w:fldChar w:fldCharType="end"/>
            </w:r>
          </w:hyperlink>
        </w:p>
        <w:p w14:paraId="6C3B792F" w14:textId="4085DB41" w:rsidR="00CE0B64" w:rsidRDefault="00CE0B64">
          <w:pPr>
            <w:pStyle w:val="TOC2"/>
            <w:rPr>
              <w:rFonts w:eastAsiaTheme="minorEastAsia"/>
              <w:kern w:val="2"/>
              <w:lang w:val="en-US"/>
              <w14:ligatures w14:val="standardContextual"/>
            </w:rPr>
          </w:pPr>
          <w:hyperlink w:anchor="_Toc159945232" w:history="1">
            <w:r w:rsidRPr="00777B63">
              <w:rPr>
                <w:rStyle w:val="Hyperlink"/>
                <w:rFonts w:ascii="Times New Roman" w:hAnsi="Times New Roman" w:cs="Times New Roman"/>
                <w:lang w:val="hy-AM"/>
              </w:rPr>
              <w:t xml:space="preserve">Ա․ </w:t>
            </w:r>
            <w:r w:rsidRPr="00777B63">
              <w:rPr>
                <w:rStyle w:val="Hyperlink"/>
                <w:rFonts w:ascii="Times New Roman" w:hAnsi="Times New Roman" w:cs="Times New Roman"/>
                <w:lang w:val="af-ZA"/>
              </w:rPr>
              <w:t>Միավորման ազատության իրավունքի կարևորությունը ժողովրդավարական հասարակությունում</w:t>
            </w:r>
            <w:r>
              <w:rPr>
                <w:webHidden/>
              </w:rPr>
              <w:tab/>
            </w:r>
            <w:r>
              <w:rPr>
                <w:webHidden/>
              </w:rPr>
              <w:fldChar w:fldCharType="begin"/>
            </w:r>
            <w:r>
              <w:rPr>
                <w:webHidden/>
              </w:rPr>
              <w:instrText xml:space="preserve"> PAGEREF _Toc159945232 \h </w:instrText>
            </w:r>
            <w:r>
              <w:rPr>
                <w:webHidden/>
              </w:rPr>
            </w:r>
            <w:r>
              <w:rPr>
                <w:webHidden/>
              </w:rPr>
              <w:fldChar w:fldCharType="separate"/>
            </w:r>
            <w:r>
              <w:rPr>
                <w:webHidden/>
              </w:rPr>
              <w:t>28</w:t>
            </w:r>
            <w:r>
              <w:rPr>
                <w:webHidden/>
              </w:rPr>
              <w:fldChar w:fldCharType="end"/>
            </w:r>
          </w:hyperlink>
        </w:p>
        <w:p w14:paraId="40A4FDCE" w14:textId="4D3B20D2" w:rsidR="00CE0B64" w:rsidRDefault="00CE0B64">
          <w:pPr>
            <w:pStyle w:val="TOC2"/>
            <w:rPr>
              <w:rFonts w:eastAsiaTheme="minorEastAsia"/>
              <w:kern w:val="2"/>
              <w:lang w:val="en-US"/>
              <w14:ligatures w14:val="standardContextual"/>
            </w:rPr>
          </w:pPr>
          <w:hyperlink w:anchor="_Toc159945233" w:history="1">
            <w:r w:rsidRPr="00777B63">
              <w:rPr>
                <w:rStyle w:val="Hyperlink"/>
                <w:rFonts w:ascii="Times New Roman" w:hAnsi="Times New Roman" w:cs="Times New Roman"/>
                <w:lang w:val="hy-AM"/>
              </w:rPr>
              <w:t xml:space="preserve">Բ․ </w:t>
            </w:r>
            <w:r w:rsidRPr="00777B63">
              <w:rPr>
                <w:rStyle w:val="Hyperlink"/>
                <w:rFonts w:ascii="Times New Roman" w:hAnsi="Times New Roman" w:cs="Times New Roman"/>
                <w:lang w:val="af-ZA"/>
              </w:rPr>
              <w:t>Կապը Կոնվենցիայի 9-րդ և 10-րդ հոդվածների հետ</w:t>
            </w:r>
            <w:r>
              <w:rPr>
                <w:webHidden/>
              </w:rPr>
              <w:tab/>
            </w:r>
            <w:r>
              <w:rPr>
                <w:webHidden/>
              </w:rPr>
              <w:fldChar w:fldCharType="begin"/>
            </w:r>
            <w:r>
              <w:rPr>
                <w:webHidden/>
              </w:rPr>
              <w:instrText xml:space="preserve"> PAGEREF _Toc159945233 \h </w:instrText>
            </w:r>
            <w:r>
              <w:rPr>
                <w:webHidden/>
              </w:rPr>
            </w:r>
            <w:r>
              <w:rPr>
                <w:webHidden/>
              </w:rPr>
              <w:fldChar w:fldCharType="separate"/>
            </w:r>
            <w:r>
              <w:rPr>
                <w:webHidden/>
              </w:rPr>
              <w:t>29</w:t>
            </w:r>
            <w:r>
              <w:rPr>
                <w:webHidden/>
              </w:rPr>
              <w:fldChar w:fldCharType="end"/>
            </w:r>
          </w:hyperlink>
        </w:p>
        <w:p w14:paraId="14A999E3" w14:textId="4D063332" w:rsidR="00CE0B64" w:rsidRDefault="00CE0B64">
          <w:pPr>
            <w:pStyle w:val="TOC2"/>
            <w:rPr>
              <w:rFonts w:eastAsiaTheme="minorEastAsia"/>
              <w:kern w:val="2"/>
              <w:lang w:val="en-US"/>
              <w14:ligatures w14:val="standardContextual"/>
            </w:rPr>
          </w:pPr>
          <w:hyperlink w:anchor="_Toc159945234" w:history="1">
            <w:r w:rsidRPr="00777B63">
              <w:rPr>
                <w:rStyle w:val="Hyperlink"/>
                <w:rFonts w:ascii="Times New Roman" w:hAnsi="Times New Roman" w:cs="Times New Roman"/>
                <w:lang w:val="hy-AM"/>
              </w:rPr>
              <w:t xml:space="preserve">Գ․ </w:t>
            </w:r>
            <w:r w:rsidRPr="00777B63">
              <w:rPr>
                <w:rStyle w:val="Hyperlink"/>
                <w:rFonts w:ascii="Times New Roman" w:hAnsi="Times New Roman" w:cs="Times New Roman"/>
                <w:lang w:val="af-ZA"/>
              </w:rPr>
              <w:t>Միավորման ազատության իրավունքի շրջանակը և բովանդակությունը</w:t>
            </w:r>
            <w:r>
              <w:rPr>
                <w:webHidden/>
              </w:rPr>
              <w:tab/>
            </w:r>
            <w:r>
              <w:rPr>
                <w:webHidden/>
              </w:rPr>
              <w:fldChar w:fldCharType="begin"/>
            </w:r>
            <w:r>
              <w:rPr>
                <w:webHidden/>
              </w:rPr>
              <w:instrText xml:space="preserve"> PAGEREF _Toc159945234 \h </w:instrText>
            </w:r>
            <w:r>
              <w:rPr>
                <w:webHidden/>
              </w:rPr>
            </w:r>
            <w:r>
              <w:rPr>
                <w:webHidden/>
              </w:rPr>
              <w:fldChar w:fldCharType="separate"/>
            </w:r>
            <w:r>
              <w:rPr>
                <w:webHidden/>
              </w:rPr>
              <w:t>30</w:t>
            </w:r>
            <w:r>
              <w:rPr>
                <w:webHidden/>
              </w:rPr>
              <w:fldChar w:fldCharType="end"/>
            </w:r>
          </w:hyperlink>
        </w:p>
        <w:p w14:paraId="498148F8" w14:textId="70B40F13" w:rsidR="00CE0B64" w:rsidRDefault="00CE0B64">
          <w:pPr>
            <w:pStyle w:val="TOC3"/>
            <w:rPr>
              <w:rFonts w:eastAsiaTheme="minorEastAsia"/>
              <w:kern w:val="2"/>
              <w:lang w:val="en-US"/>
              <w14:ligatures w14:val="standardContextual"/>
            </w:rPr>
          </w:pPr>
          <w:hyperlink w:anchor="_Toc159945235" w:history="1">
            <w:r w:rsidRPr="00777B63">
              <w:rPr>
                <w:rStyle w:val="Hyperlink"/>
                <w:rFonts w:ascii="Times New Roman" w:hAnsi="Times New Roman" w:cs="Times New Roman"/>
                <w:lang w:val="af-ZA"/>
              </w:rPr>
              <w:t>1.   Միավորման հասկացությունը</w:t>
            </w:r>
            <w:r>
              <w:rPr>
                <w:webHidden/>
              </w:rPr>
              <w:tab/>
            </w:r>
            <w:r>
              <w:rPr>
                <w:webHidden/>
              </w:rPr>
              <w:fldChar w:fldCharType="begin"/>
            </w:r>
            <w:r>
              <w:rPr>
                <w:webHidden/>
              </w:rPr>
              <w:instrText xml:space="preserve"> PAGEREF _Toc159945235 \h </w:instrText>
            </w:r>
            <w:r>
              <w:rPr>
                <w:webHidden/>
              </w:rPr>
            </w:r>
            <w:r>
              <w:rPr>
                <w:webHidden/>
              </w:rPr>
              <w:fldChar w:fldCharType="separate"/>
            </w:r>
            <w:r>
              <w:rPr>
                <w:webHidden/>
              </w:rPr>
              <w:t>30</w:t>
            </w:r>
            <w:r>
              <w:rPr>
                <w:webHidden/>
              </w:rPr>
              <w:fldChar w:fldCharType="end"/>
            </w:r>
          </w:hyperlink>
        </w:p>
        <w:p w14:paraId="7FD93213" w14:textId="5DAF074C" w:rsidR="00CE0B64" w:rsidRDefault="00CE0B64">
          <w:pPr>
            <w:pStyle w:val="TOC3"/>
            <w:rPr>
              <w:rFonts w:eastAsiaTheme="minorEastAsia"/>
              <w:kern w:val="2"/>
              <w:lang w:val="en-US"/>
              <w14:ligatures w14:val="standardContextual"/>
            </w:rPr>
          </w:pPr>
          <w:hyperlink w:anchor="_Toc159945236" w:history="1">
            <w:r w:rsidRPr="00777B63">
              <w:rPr>
                <w:rStyle w:val="Hyperlink"/>
                <w:rFonts w:ascii="Times New Roman" w:hAnsi="Times New Roman" w:cs="Times New Roman"/>
                <w:lang w:val="af-ZA"/>
              </w:rPr>
              <w:t>2.   Հանրային իրավունքի հաստատություններ, մասնագիտական մարմիններ և պարտադիր անդամակցություն</w:t>
            </w:r>
            <w:r>
              <w:rPr>
                <w:webHidden/>
              </w:rPr>
              <w:tab/>
            </w:r>
            <w:r>
              <w:rPr>
                <w:webHidden/>
              </w:rPr>
              <w:fldChar w:fldCharType="begin"/>
            </w:r>
            <w:r>
              <w:rPr>
                <w:webHidden/>
              </w:rPr>
              <w:instrText xml:space="preserve"> PAGEREF _Toc159945236 \h </w:instrText>
            </w:r>
            <w:r>
              <w:rPr>
                <w:webHidden/>
              </w:rPr>
            </w:r>
            <w:r>
              <w:rPr>
                <w:webHidden/>
              </w:rPr>
              <w:fldChar w:fldCharType="separate"/>
            </w:r>
            <w:r>
              <w:rPr>
                <w:webHidden/>
              </w:rPr>
              <w:t>30</w:t>
            </w:r>
            <w:r>
              <w:rPr>
                <w:webHidden/>
              </w:rPr>
              <w:fldChar w:fldCharType="end"/>
            </w:r>
          </w:hyperlink>
        </w:p>
        <w:p w14:paraId="4A62F6E4" w14:textId="07783594" w:rsidR="00CE0B64" w:rsidRDefault="00CE0B64">
          <w:pPr>
            <w:pStyle w:val="TOC3"/>
            <w:rPr>
              <w:rFonts w:eastAsiaTheme="minorEastAsia"/>
              <w:kern w:val="2"/>
              <w:lang w:val="en-US"/>
              <w14:ligatures w14:val="standardContextual"/>
            </w:rPr>
          </w:pPr>
          <w:hyperlink w:anchor="_Toc159945237" w:history="1">
            <w:r w:rsidRPr="00777B63">
              <w:rPr>
                <w:rStyle w:val="Hyperlink"/>
                <w:rFonts w:ascii="Times New Roman" w:hAnsi="Times New Roman" w:cs="Times New Roman"/>
                <w:lang w:val="af-ZA"/>
              </w:rPr>
              <w:t>3.   Միավորման ստեղծումը և դրա իրավական ճանաչումը</w:t>
            </w:r>
            <w:r>
              <w:rPr>
                <w:webHidden/>
              </w:rPr>
              <w:tab/>
            </w:r>
            <w:r>
              <w:rPr>
                <w:webHidden/>
              </w:rPr>
              <w:fldChar w:fldCharType="begin"/>
            </w:r>
            <w:r>
              <w:rPr>
                <w:webHidden/>
              </w:rPr>
              <w:instrText xml:space="preserve"> PAGEREF _Toc159945237 \h </w:instrText>
            </w:r>
            <w:r>
              <w:rPr>
                <w:webHidden/>
              </w:rPr>
            </w:r>
            <w:r>
              <w:rPr>
                <w:webHidden/>
              </w:rPr>
              <w:fldChar w:fldCharType="separate"/>
            </w:r>
            <w:r>
              <w:rPr>
                <w:webHidden/>
              </w:rPr>
              <w:t>31</w:t>
            </w:r>
            <w:r>
              <w:rPr>
                <w:webHidden/>
              </w:rPr>
              <w:fldChar w:fldCharType="end"/>
            </w:r>
          </w:hyperlink>
        </w:p>
        <w:p w14:paraId="51A6698F" w14:textId="16A5F58B" w:rsidR="00CE0B64" w:rsidRDefault="00CE0B64">
          <w:pPr>
            <w:pStyle w:val="TOC3"/>
            <w:rPr>
              <w:rFonts w:eastAsiaTheme="minorEastAsia"/>
              <w:kern w:val="2"/>
              <w:lang w:val="en-US"/>
              <w14:ligatures w14:val="standardContextual"/>
            </w:rPr>
          </w:pPr>
          <w:hyperlink w:anchor="_Toc159945238" w:history="1">
            <w:r w:rsidRPr="00777B63">
              <w:rPr>
                <w:rStyle w:val="Hyperlink"/>
                <w:rFonts w:ascii="Times New Roman" w:hAnsi="Times New Roman" w:cs="Times New Roman"/>
                <w:lang w:val="af-ZA"/>
              </w:rPr>
              <w:t>4.   Միավորումների ինքնավարությունը, ներքին կառավարումը և անդամակցությունը</w:t>
            </w:r>
            <w:r>
              <w:rPr>
                <w:webHidden/>
              </w:rPr>
              <w:tab/>
            </w:r>
            <w:r>
              <w:rPr>
                <w:webHidden/>
              </w:rPr>
              <w:fldChar w:fldCharType="begin"/>
            </w:r>
            <w:r>
              <w:rPr>
                <w:webHidden/>
              </w:rPr>
              <w:instrText xml:space="preserve"> PAGEREF _Toc159945238 \h </w:instrText>
            </w:r>
            <w:r>
              <w:rPr>
                <w:webHidden/>
              </w:rPr>
            </w:r>
            <w:r>
              <w:rPr>
                <w:webHidden/>
              </w:rPr>
              <w:fldChar w:fldCharType="separate"/>
            </w:r>
            <w:r>
              <w:rPr>
                <w:webHidden/>
              </w:rPr>
              <w:t>32</w:t>
            </w:r>
            <w:r>
              <w:rPr>
                <w:webHidden/>
              </w:rPr>
              <w:fldChar w:fldCharType="end"/>
            </w:r>
          </w:hyperlink>
        </w:p>
        <w:p w14:paraId="782C7FE4" w14:textId="6CF99068" w:rsidR="00CE0B64" w:rsidRDefault="00CE0B64">
          <w:pPr>
            <w:pStyle w:val="TOC3"/>
            <w:rPr>
              <w:rFonts w:eastAsiaTheme="minorEastAsia"/>
              <w:kern w:val="2"/>
              <w:lang w:val="en-US"/>
              <w14:ligatures w14:val="standardContextual"/>
            </w:rPr>
          </w:pPr>
          <w:hyperlink w:anchor="_Toc159945239" w:history="1">
            <w:r w:rsidRPr="00777B63">
              <w:rPr>
                <w:rStyle w:val="Hyperlink"/>
                <w:rFonts w:ascii="Times New Roman" w:hAnsi="Times New Roman" w:cs="Times New Roman"/>
                <w:lang w:val="af-ZA"/>
              </w:rPr>
              <w:t>5.   Միավորման նեգատիվ ազատությունը</w:t>
            </w:r>
            <w:r>
              <w:rPr>
                <w:webHidden/>
              </w:rPr>
              <w:tab/>
            </w:r>
            <w:r>
              <w:rPr>
                <w:webHidden/>
              </w:rPr>
              <w:fldChar w:fldCharType="begin"/>
            </w:r>
            <w:r>
              <w:rPr>
                <w:webHidden/>
              </w:rPr>
              <w:instrText xml:space="preserve"> PAGEREF _Toc159945239 \h </w:instrText>
            </w:r>
            <w:r>
              <w:rPr>
                <w:webHidden/>
              </w:rPr>
            </w:r>
            <w:r>
              <w:rPr>
                <w:webHidden/>
              </w:rPr>
              <w:fldChar w:fldCharType="separate"/>
            </w:r>
            <w:r>
              <w:rPr>
                <w:webHidden/>
              </w:rPr>
              <w:t>32</w:t>
            </w:r>
            <w:r>
              <w:rPr>
                <w:webHidden/>
              </w:rPr>
              <w:fldChar w:fldCharType="end"/>
            </w:r>
          </w:hyperlink>
        </w:p>
        <w:p w14:paraId="5E335213" w14:textId="0C525C73" w:rsidR="00CE0B64" w:rsidRDefault="00CE0B64">
          <w:pPr>
            <w:pStyle w:val="TOC2"/>
            <w:rPr>
              <w:rFonts w:eastAsiaTheme="minorEastAsia"/>
              <w:kern w:val="2"/>
              <w:lang w:val="en-US"/>
              <w14:ligatures w14:val="standardContextual"/>
            </w:rPr>
          </w:pPr>
          <w:hyperlink w:anchor="_Toc159945240" w:history="1">
            <w:r w:rsidRPr="00777B63">
              <w:rPr>
                <w:rStyle w:val="Hyperlink"/>
                <w:rFonts w:ascii="Times New Roman" w:hAnsi="Times New Roman" w:cs="Times New Roman"/>
                <w:lang w:val="hy-AM"/>
              </w:rPr>
              <w:t xml:space="preserve">Դ․ </w:t>
            </w:r>
            <w:r w:rsidRPr="00777B63">
              <w:rPr>
                <w:rStyle w:val="Hyperlink"/>
                <w:rFonts w:ascii="Times New Roman" w:hAnsi="Times New Roman" w:cs="Times New Roman"/>
                <w:lang w:val="af-ZA"/>
              </w:rPr>
              <w:t>Միավորման ազատության սահմանափակումները</w:t>
            </w:r>
            <w:r>
              <w:rPr>
                <w:webHidden/>
              </w:rPr>
              <w:tab/>
            </w:r>
            <w:r>
              <w:rPr>
                <w:webHidden/>
              </w:rPr>
              <w:fldChar w:fldCharType="begin"/>
            </w:r>
            <w:r>
              <w:rPr>
                <w:webHidden/>
              </w:rPr>
              <w:instrText xml:space="preserve"> PAGEREF _Toc159945240 \h </w:instrText>
            </w:r>
            <w:r>
              <w:rPr>
                <w:webHidden/>
              </w:rPr>
            </w:r>
            <w:r>
              <w:rPr>
                <w:webHidden/>
              </w:rPr>
              <w:fldChar w:fldCharType="separate"/>
            </w:r>
            <w:r>
              <w:rPr>
                <w:webHidden/>
              </w:rPr>
              <w:t>33</w:t>
            </w:r>
            <w:r>
              <w:rPr>
                <w:webHidden/>
              </w:rPr>
              <w:fldChar w:fldCharType="end"/>
            </w:r>
          </w:hyperlink>
        </w:p>
        <w:p w14:paraId="71E093AB" w14:textId="6070BB97" w:rsidR="00CE0B64" w:rsidRDefault="00CE0B64">
          <w:pPr>
            <w:pStyle w:val="TOC3"/>
            <w:rPr>
              <w:rFonts w:eastAsiaTheme="minorEastAsia"/>
              <w:kern w:val="2"/>
              <w:lang w:val="en-US"/>
              <w14:ligatures w14:val="standardContextual"/>
            </w:rPr>
          </w:pPr>
          <w:hyperlink w:anchor="_Toc159945241" w:history="1">
            <w:r w:rsidRPr="00777B63">
              <w:rPr>
                <w:rStyle w:val="Hyperlink"/>
                <w:rFonts w:ascii="Times New Roman" w:hAnsi="Times New Roman" w:cs="Times New Roman"/>
                <w:lang w:val="af-ZA"/>
              </w:rPr>
              <w:t>1.   Նախատեսված է օրենքով</w:t>
            </w:r>
            <w:r>
              <w:rPr>
                <w:webHidden/>
              </w:rPr>
              <w:tab/>
            </w:r>
            <w:r>
              <w:rPr>
                <w:webHidden/>
              </w:rPr>
              <w:fldChar w:fldCharType="begin"/>
            </w:r>
            <w:r>
              <w:rPr>
                <w:webHidden/>
              </w:rPr>
              <w:instrText xml:space="preserve"> PAGEREF _Toc159945241 \h </w:instrText>
            </w:r>
            <w:r>
              <w:rPr>
                <w:webHidden/>
              </w:rPr>
            </w:r>
            <w:r>
              <w:rPr>
                <w:webHidden/>
              </w:rPr>
              <w:fldChar w:fldCharType="separate"/>
            </w:r>
            <w:r>
              <w:rPr>
                <w:webHidden/>
              </w:rPr>
              <w:t>33</w:t>
            </w:r>
            <w:r>
              <w:rPr>
                <w:webHidden/>
              </w:rPr>
              <w:fldChar w:fldCharType="end"/>
            </w:r>
          </w:hyperlink>
        </w:p>
        <w:p w14:paraId="4F8DEF1F" w14:textId="194A9952" w:rsidR="00CE0B64" w:rsidRDefault="00CE0B64">
          <w:pPr>
            <w:pStyle w:val="TOC3"/>
            <w:rPr>
              <w:rFonts w:eastAsiaTheme="minorEastAsia"/>
              <w:kern w:val="2"/>
              <w:lang w:val="en-US"/>
              <w14:ligatures w14:val="standardContextual"/>
            </w:rPr>
          </w:pPr>
          <w:hyperlink w:anchor="_Toc159945242" w:history="1">
            <w:r w:rsidRPr="00777B63">
              <w:rPr>
                <w:rStyle w:val="Hyperlink"/>
                <w:rFonts w:ascii="Times New Roman" w:hAnsi="Times New Roman" w:cs="Times New Roman"/>
                <w:lang w:val="af-ZA"/>
              </w:rPr>
              <w:t>2.   Իրավաչափ նպատակ</w:t>
            </w:r>
            <w:r>
              <w:rPr>
                <w:webHidden/>
              </w:rPr>
              <w:tab/>
            </w:r>
            <w:r>
              <w:rPr>
                <w:webHidden/>
              </w:rPr>
              <w:fldChar w:fldCharType="begin"/>
            </w:r>
            <w:r>
              <w:rPr>
                <w:webHidden/>
              </w:rPr>
              <w:instrText xml:space="preserve"> PAGEREF _Toc159945242 \h </w:instrText>
            </w:r>
            <w:r>
              <w:rPr>
                <w:webHidden/>
              </w:rPr>
            </w:r>
            <w:r>
              <w:rPr>
                <w:webHidden/>
              </w:rPr>
              <w:fldChar w:fldCharType="separate"/>
            </w:r>
            <w:r>
              <w:rPr>
                <w:webHidden/>
              </w:rPr>
              <w:t>34</w:t>
            </w:r>
            <w:r>
              <w:rPr>
                <w:webHidden/>
              </w:rPr>
              <w:fldChar w:fldCharType="end"/>
            </w:r>
          </w:hyperlink>
        </w:p>
        <w:p w14:paraId="131B5699" w14:textId="7ABDB2F9" w:rsidR="00CE0B64" w:rsidRDefault="00CE0B64">
          <w:pPr>
            <w:pStyle w:val="TOC3"/>
            <w:rPr>
              <w:rFonts w:eastAsiaTheme="minorEastAsia"/>
              <w:kern w:val="2"/>
              <w:lang w:val="en-US"/>
              <w14:ligatures w14:val="standardContextual"/>
            </w:rPr>
          </w:pPr>
          <w:hyperlink w:anchor="_Toc159945243" w:history="1">
            <w:r w:rsidRPr="00777B63">
              <w:rPr>
                <w:rStyle w:val="Hyperlink"/>
                <w:rFonts w:ascii="Times New Roman" w:hAnsi="Times New Roman" w:cs="Times New Roman"/>
                <w:lang w:val="af-ZA"/>
              </w:rPr>
              <w:t>3.   Անհրաժեշտ ժողովրդավարական հասարակությունում</w:t>
            </w:r>
            <w:r>
              <w:rPr>
                <w:webHidden/>
              </w:rPr>
              <w:tab/>
            </w:r>
            <w:r>
              <w:rPr>
                <w:webHidden/>
              </w:rPr>
              <w:fldChar w:fldCharType="begin"/>
            </w:r>
            <w:r>
              <w:rPr>
                <w:webHidden/>
              </w:rPr>
              <w:instrText xml:space="preserve"> PAGEREF _Toc159945243 \h </w:instrText>
            </w:r>
            <w:r>
              <w:rPr>
                <w:webHidden/>
              </w:rPr>
            </w:r>
            <w:r>
              <w:rPr>
                <w:webHidden/>
              </w:rPr>
              <w:fldChar w:fldCharType="separate"/>
            </w:r>
            <w:r>
              <w:rPr>
                <w:webHidden/>
              </w:rPr>
              <w:t>34</w:t>
            </w:r>
            <w:r>
              <w:rPr>
                <w:webHidden/>
              </w:rPr>
              <w:fldChar w:fldCharType="end"/>
            </w:r>
          </w:hyperlink>
        </w:p>
        <w:p w14:paraId="1AD5F95C" w14:textId="0465D8E7" w:rsidR="00CE0B64" w:rsidRDefault="00CE0B64">
          <w:pPr>
            <w:pStyle w:val="TOC4"/>
            <w:rPr>
              <w:rFonts w:eastAsiaTheme="minorEastAsia"/>
              <w:kern w:val="2"/>
              <w:lang w:val="en-US"/>
              <w14:ligatures w14:val="standardContextual"/>
            </w:rPr>
          </w:pPr>
          <w:hyperlink w:anchor="_Toc159945244" w:history="1">
            <w:r w:rsidRPr="00777B63">
              <w:rPr>
                <w:rStyle w:val="Hyperlink"/>
                <w:rFonts w:ascii="Times New Roman" w:hAnsi="Times New Roman" w:cs="Times New Roman"/>
                <w:lang w:val="hy-AM"/>
              </w:rPr>
              <w:t>ա․</w:t>
            </w:r>
            <w:r w:rsidRPr="00777B63">
              <w:rPr>
                <w:rStyle w:val="Hyperlink"/>
                <w:rFonts w:ascii="Times New Roman" w:hAnsi="Times New Roman" w:cs="Times New Roman"/>
                <w:lang w:val="af-ZA"/>
              </w:rPr>
              <w:t>Դատարանի ուսումնասիրության սահմանները</w:t>
            </w:r>
            <w:r>
              <w:rPr>
                <w:webHidden/>
              </w:rPr>
              <w:tab/>
            </w:r>
            <w:r>
              <w:rPr>
                <w:webHidden/>
              </w:rPr>
              <w:fldChar w:fldCharType="begin"/>
            </w:r>
            <w:r>
              <w:rPr>
                <w:webHidden/>
              </w:rPr>
              <w:instrText xml:space="preserve"> PAGEREF _Toc159945244 \h </w:instrText>
            </w:r>
            <w:r>
              <w:rPr>
                <w:webHidden/>
              </w:rPr>
            </w:r>
            <w:r>
              <w:rPr>
                <w:webHidden/>
              </w:rPr>
              <w:fldChar w:fldCharType="separate"/>
            </w:r>
            <w:r>
              <w:rPr>
                <w:webHidden/>
              </w:rPr>
              <w:t>35</w:t>
            </w:r>
            <w:r>
              <w:rPr>
                <w:webHidden/>
              </w:rPr>
              <w:fldChar w:fldCharType="end"/>
            </w:r>
          </w:hyperlink>
        </w:p>
        <w:p w14:paraId="1DCC06BB" w14:textId="1A482B80" w:rsidR="00CE0B64" w:rsidRDefault="00CE0B64">
          <w:pPr>
            <w:pStyle w:val="TOC4"/>
            <w:rPr>
              <w:rFonts w:eastAsiaTheme="minorEastAsia"/>
              <w:kern w:val="2"/>
              <w:lang w:val="en-US"/>
              <w14:ligatures w14:val="standardContextual"/>
            </w:rPr>
          </w:pPr>
          <w:hyperlink w:anchor="_Toc159945245" w:history="1">
            <w:r w:rsidRPr="00777B63">
              <w:rPr>
                <w:rStyle w:val="Hyperlink"/>
                <w:rFonts w:ascii="Times New Roman" w:hAnsi="Times New Roman" w:cs="Times New Roman"/>
                <w:lang w:val="hy-AM"/>
              </w:rPr>
              <w:t xml:space="preserve">բ․ </w:t>
            </w:r>
            <w:r w:rsidRPr="00777B63">
              <w:rPr>
                <w:rStyle w:val="Hyperlink"/>
                <w:rFonts w:ascii="Times New Roman" w:hAnsi="Times New Roman" w:cs="Times New Roman"/>
                <w:lang w:val="af-ZA"/>
              </w:rPr>
              <w:t>Միջամտության խստությունը և համաչափության պահանջը</w:t>
            </w:r>
            <w:r>
              <w:rPr>
                <w:webHidden/>
              </w:rPr>
              <w:tab/>
            </w:r>
            <w:r>
              <w:rPr>
                <w:webHidden/>
              </w:rPr>
              <w:fldChar w:fldCharType="begin"/>
            </w:r>
            <w:r>
              <w:rPr>
                <w:webHidden/>
              </w:rPr>
              <w:instrText xml:space="preserve"> PAGEREF _Toc159945245 \h </w:instrText>
            </w:r>
            <w:r>
              <w:rPr>
                <w:webHidden/>
              </w:rPr>
            </w:r>
            <w:r>
              <w:rPr>
                <w:webHidden/>
              </w:rPr>
              <w:fldChar w:fldCharType="separate"/>
            </w:r>
            <w:r>
              <w:rPr>
                <w:webHidden/>
              </w:rPr>
              <w:t>35</w:t>
            </w:r>
            <w:r>
              <w:rPr>
                <w:webHidden/>
              </w:rPr>
              <w:fldChar w:fldCharType="end"/>
            </w:r>
          </w:hyperlink>
        </w:p>
        <w:p w14:paraId="372AF246" w14:textId="268058AF" w:rsidR="00CE0B64" w:rsidRDefault="00CE0B64">
          <w:pPr>
            <w:pStyle w:val="TOC2"/>
            <w:rPr>
              <w:rFonts w:eastAsiaTheme="minorEastAsia"/>
              <w:kern w:val="2"/>
              <w:lang w:val="en-US"/>
              <w14:ligatures w14:val="standardContextual"/>
            </w:rPr>
          </w:pPr>
          <w:hyperlink w:anchor="_Toc159945246" w:history="1">
            <w:r w:rsidRPr="00777B63">
              <w:rPr>
                <w:rStyle w:val="Hyperlink"/>
                <w:rFonts w:ascii="Times New Roman" w:hAnsi="Times New Roman" w:cs="Times New Roman"/>
                <w:lang w:val="hy-AM"/>
              </w:rPr>
              <w:t xml:space="preserve">Ե․ </w:t>
            </w:r>
            <w:r w:rsidRPr="00777B63">
              <w:rPr>
                <w:rStyle w:val="Hyperlink"/>
                <w:rFonts w:ascii="Times New Roman" w:hAnsi="Times New Roman" w:cs="Times New Roman"/>
                <w:lang w:val="af-ZA"/>
              </w:rPr>
              <w:t>Միավորումների առանձին տեսակներ</w:t>
            </w:r>
            <w:r>
              <w:rPr>
                <w:webHidden/>
              </w:rPr>
              <w:tab/>
            </w:r>
            <w:r>
              <w:rPr>
                <w:webHidden/>
              </w:rPr>
              <w:fldChar w:fldCharType="begin"/>
            </w:r>
            <w:r>
              <w:rPr>
                <w:webHidden/>
              </w:rPr>
              <w:instrText xml:space="preserve"> PAGEREF _Toc159945246 \h </w:instrText>
            </w:r>
            <w:r>
              <w:rPr>
                <w:webHidden/>
              </w:rPr>
            </w:r>
            <w:r>
              <w:rPr>
                <w:webHidden/>
              </w:rPr>
              <w:fldChar w:fldCharType="separate"/>
            </w:r>
            <w:r>
              <w:rPr>
                <w:webHidden/>
              </w:rPr>
              <w:t>37</w:t>
            </w:r>
            <w:r>
              <w:rPr>
                <w:webHidden/>
              </w:rPr>
              <w:fldChar w:fldCharType="end"/>
            </w:r>
          </w:hyperlink>
        </w:p>
        <w:p w14:paraId="059D4611" w14:textId="191CAB9E" w:rsidR="00CE0B64" w:rsidRDefault="00CE0B64">
          <w:pPr>
            <w:pStyle w:val="TOC3"/>
            <w:rPr>
              <w:rFonts w:eastAsiaTheme="minorEastAsia"/>
              <w:kern w:val="2"/>
              <w:lang w:val="en-US"/>
              <w14:ligatures w14:val="standardContextual"/>
            </w:rPr>
          </w:pPr>
          <w:hyperlink w:anchor="_Toc159945247" w:history="1">
            <w:r w:rsidRPr="00777B63">
              <w:rPr>
                <w:rStyle w:val="Hyperlink"/>
                <w:rFonts w:ascii="Times New Roman" w:hAnsi="Times New Roman" w:cs="Times New Roman"/>
                <w:lang w:val="af-ZA"/>
              </w:rPr>
              <w:t>1.   Քաղաքական կուսակցություններ</w:t>
            </w:r>
            <w:r>
              <w:rPr>
                <w:webHidden/>
              </w:rPr>
              <w:tab/>
            </w:r>
            <w:r>
              <w:rPr>
                <w:webHidden/>
              </w:rPr>
              <w:fldChar w:fldCharType="begin"/>
            </w:r>
            <w:r>
              <w:rPr>
                <w:webHidden/>
              </w:rPr>
              <w:instrText xml:space="preserve"> PAGEREF _Toc159945247 \h </w:instrText>
            </w:r>
            <w:r>
              <w:rPr>
                <w:webHidden/>
              </w:rPr>
            </w:r>
            <w:r>
              <w:rPr>
                <w:webHidden/>
              </w:rPr>
              <w:fldChar w:fldCharType="separate"/>
            </w:r>
            <w:r>
              <w:rPr>
                <w:webHidden/>
              </w:rPr>
              <w:t>38</w:t>
            </w:r>
            <w:r>
              <w:rPr>
                <w:webHidden/>
              </w:rPr>
              <w:fldChar w:fldCharType="end"/>
            </w:r>
          </w:hyperlink>
        </w:p>
        <w:p w14:paraId="7D95BD75" w14:textId="68529F6F" w:rsidR="00CE0B64" w:rsidRDefault="00CE0B64">
          <w:pPr>
            <w:pStyle w:val="TOC4"/>
            <w:rPr>
              <w:rFonts w:eastAsiaTheme="minorEastAsia"/>
              <w:kern w:val="2"/>
              <w:lang w:val="en-US"/>
              <w14:ligatures w14:val="standardContextual"/>
            </w:rPr>
          </w:pPr>
          <w:hyperlink w:anchor="_Toc159945248" w:history="1">
            <w:r w:rsidRPr="00777B63">
              <w:rPr>
                <w:rStyle w:val="Hyperlink"/>
                <w:rFonts w:ascii="Times New Roman" w:hAnsi="Times New Roman" w:cs="Times New Roman"/>
                <w:lang w:val="hy-AM"/>
              </w:rPr>
              <w:t xml:space="preserve">ա․ </w:t>
            </w:r>
            <w:r w:rsidRPr="00777B63">
              <w:rPr>
                <w:rStyle w:val="Hyperlink"/>
                <w:rFonts w:ascii="Times New Roman" w:hAnsi="Times New Roman" w:cs="Times New Roman"/>
                <w:lang w:val="af-ZA"/>
              </w:rPr>
              <w:t>Գրանցման մերժում և լուծարում</w:t>
            </w:r>
            <w:r>
              <w:rPr>
                <w:webHidden/>
              </w:rPr>
              <w:tab/>
            </w:r>
            <w:r>
              <w:rPr>
                <w:webHidden/>
              </w:rPr>
              <w:fldChar w:fldCharType="begin"/>
            </w:r>
            <w:r>
              <w:rPr>
                <w:webHidden/>
              </w:rPr>
              <w:instrText xml:space="preserve"> PAGEREF _Toc159945248 \h </w:instrText>
            </w:r>
            <w:r>
              <w:rPr>
                <w:webHidden/>
              </w:rPr>
            </w:r>
            <w:r>
              <w:rPr>
                <w:webHidden/>
              </w:rPr>
              <w:fldChar w:fldCharType="separate"/>
            </w:r>
            <w:r>
              <w:rPr>
                <w:webHidden/>
              </w:rPr>
              <w:t>38</w:t>
            </w:r>
            <w:r>
              <w:rPr>
                <w:webHidden/>
              </w:rPr>
              <w:fldChar w:fldCharType="end"/>
            </w:r>
          </w:hyperlink>
        </w:p>
        <w:p w14:paraId="7492360D" w14:textId="6469FBB1" w:rsidR="00CE0B64" w:rsidRDefault="00CE0B64">
          <w:pPr>
            <w:pStyle w:val="TOC4"/>
            <w:rPr>
              <w:rFonts w:eastAsiaTheme="minorEastAsia"/>
              <w:kern w:val="2"/>
              <w:lang w:val="en-US"/>
              <w14:ligatures w14:val="standardContextual"/>
            </w:rPr>
          </w:pPr>
          <w:hyperlink w:anchor="_Toc159945249" w:history="1">
            <w:r w:rsidRPr="00777B63">
              <w:rPr>
                <w:rStyle w:val="Hyperlink"/>
                <w:rFonts w:ascii="Times New Roman" w:hAnsi="Times New Roman" w:cs="Times New Roman"/>
                <w:lang w:val="hy-AM"/>
              </w:rPr>
              <w:t xml:space="preserve">բ․ </w:t>
            </w:r>
            <w:r w:rsidRPr="00777B63">
              <w:rPr>
                <w:rStyle w:val="Hyperlink"/>
                <w:rFonts w:ascii="Times New Roman" w:hAnsi="Times New Roman" w:cs="Times New Roman"/>
                <w:lang w:val="af-ZA"/>
              </w:rPr>
              <w:t>Ֆինանսավորում և ստուգումներ</w:t>
            </w:r>
            <w:r>
              <w:rPr>
                <w:webHidden/>
              </w:rPr>
              <w:tab/>
            </w:r>
            <w:r>
              <w:rPr>
                <w:webHidden/>
              </w:rPr>
              <w:fldChar w:fldCharType="begin"/>
            </w:r>
            <w:r>
              <w:rPr>
                <w:webHidden/>
              </w:rPr>
              <w:instrText xml:space="preserve"> PAGEREF _Toc159945249 \h </w:instrText>
            </w:r>
            <w:r>
              <w:rPr>
                <w:webHidden/>
              </w:rPr>
            </w:r>
            <w:r>
              <w:rPr>
                <w:webHidden/>
              </w:rPr>
              <w:fldChar w:fldCharType="separate"/>
            </w:r>
            <w:r>
              <w:rPr>
                <w:webHidden/>
              </w:rPr>
              <w:t>41</w:t>
            </w:r>
            <w:r>
              <w:rPr>
                <w:webHidden/>
              </w:rPr>
              <w:fldChar w:fldCharType="end"/>
            </w:r>
          </w:hyperlink>
        </w:p>
        <w:p w14:paraId="28307700" w14:textId="669E373F" w:rsidR="00CE0B64" w:rsidRDefault="00CE0B64">
          <w:pPr>
            <w:pStyle w:val="TOC3"/>
            <w:rPr>
              <w:rFonts w:eastAsiaTheme="minorEastAsia"/>
              <w:kern w:val="2"/>
              <w:lang w:val="en-US"/>
              <w14:ligatures w14:val="standardContextual"/>
            </w:rPr>
          </w:pPr>
          <w:hyperlink w:anchor="_Toc159945250" w:history="1">
            <w:r w:rsidRPr="00777B63">
              <w:rPr>
                <w:rStyle w:val="Hyperlink"/>
                <w:rFonts w:ascii="Times New Roman" w:hAnsi="Times New Roman" w:cs="Times New Roman"/>
                <w:lang w:val="af-ZA"/>
              </w:rPr>
              <w:t>2.   Փոքրամասնությունների միավորումներ</w:t>
            </w:r>
            <w:r>
              <w:rPr>
                <w:webHidden/>
              </w:rPr>
              <w:tab/>
            </w:r>
            <w:r>
              <w:rPr>
                <w:webHidden/>
              </w:rPr>
              <w:fldChar w:fldCharType="begin"/>
            </w:r>
            <w:r>
              <w:rPr>
                <w:webHidden/>
              </w:rPr>
              <w:instrText xml:space="preserve"> PAGEREF _Toc159945250 \h </w:instrText>
            </w:r>
            <w:r>
              <w:rPr>
                <w:webHidden/>
              </w:rPr>
            </w:r>
            <w:r>
              <w:rPr>
                <w:webHidden/>
              </w:rPr>
              <w:fldChar w:fldCharType="separate"/>
            </w:r>
            <w:r>
              <w:rPr>
                <w:webHidden/>
              </w:rPr>
              <w:t>42</w:t>
            </w:r>
            <w:r>
              <w:rPr>
                <w:webHidden/>
              </w:rPr>
              <w:fldChar w:fldCharType="end"/>
            </w:r>
          </w:hyperlink>
        </w:p>
        <w:p w14:paraId="66521297" w14:textId="7E91A857" w:rsidR="00CE0B64" w:rsidRDefault="00CE0B64">
          <w:pPr>
            <w:pStyle w:val="TOC3"/>
            <w:rPr>
              <w:rFonts w:eastAsiaTheme="minorEastAsia"/>
              <w:kern w:val="2"/>
              <w:lang w:val="en-US"/>
              <w14:ligatures w14:val="standardContextual"/>
            </w:rPr>
          </w:pPr>
          <w:hyperlink w:anchor="_Toc159945251" w:history="1">
            <w:r w:rsidRPr="00777B63">
              <w:rPr>
                <w:rStyle w:val="Hyperlink"/>
                <w:rFonts w:ascii="Times New Roman" w:hAnsi="Times New Roman" w:cs="Times New Roman"/>
                <w:lang w:val="af-ZA"/>
              </w:rPr>
              <w:t>3.   Կրոնական միավորումներ</w:t>
            </w:r>
            <w:r>
              <w:rPr>
                <w:webHidden/>
              </w:rPr>
              <w:tab/>
            </w:r>
            <w:r>
              <w:rPr>
                <w:webHidden/>
              </w:rPr>
              <w:fldChar w:fldCharType="begin"/>
            </w:r>
            <w:r>
              <w:rPr>
                <w:webHidden/>
              </w:rPr>
              <w:instrText xml:space="preserve"> PAGEREF _Toc159945251 \h </w:instrText>
            </w:r>
            <w:r>
              <w:rPr>
                <w:webHidden/>
              </w:rPr>
            </w:r>
            <w:r>
              <w:rPr>
                <w:webHidden/>
              </w:rPr>
              <w:fldChar w:fldCharType="separate"/>
            </w:r>
            <w:r>
              <w:rPr>
                <w:webHidden/>
              </w:rPr>
              <w:t>44</w:t>
            </w:r>
            <w:r>
              <w:rPr>
                <w:webHidden/>
              </w:rPr>
              <w:fldChar w:fldCharType="end"/>
            </w:r>
          </w:hyperlink>
        </w:p>
        <w:p w14:paraId="75A011A7" w14:textId="18F2C254" w:rsidR="00CE0B64" w:rsidRDefault="00CE0B64">
          <w:pPr>
            <w:pStyle w:val="TOC2"/>
            <w:rPr>
              <w:rFonts w:eastAsiaTheme="minorEastAsia"/>
              <w:kern w:val="2"/>
              <w:lang w:val="en-US"/>
              <w14:ligatures w14:val="standardContextual"/>
            </w:rPr>
          </w:pPr>
          <w:hyperlink w:anchor="_Toc159945252" w:history="1">
            <w:r w:rsidRPr="00777B63">
              <w:rPr>
                <w:rStyle w:val="Hyperlink"/>
                <w:rFonts w:ascii="Times New Roman" w:hAnsi="Times New Roman" w:cs="Times New Roman"/>
                <w:lang w:val="hy-AM"/>
              </w:rPr>
              <w:t xml:space="preserve">Զ․ </w:t>
            </w:r>
            <w:r w:rsidRPr="00777B63">
              <w:rPr>
                <w:rStyle w:val="Hyperlink"/>
                <w:rFonts w:ascii="Times New Roman" w:hAnsi="Times New Roman" w:cs="Times New Roman"/>
                <w:lang w:val="af-ZA"/>
              </w:rPr>
              <w:t>Պոզիտիվ պարտավորություններ</w:t>
            </w:r>
            <w:r>
              <w:rPr>
                <w:webHidden/>
              </w:rPr>
              <w:tab/>
            </w:r>
            <w:r>
              <w:rPr>
                <w:webHidden/>
              </w:rPr>
              <w:fldChar w:fldCharType="begin"/>
            </w:r>
            <w:r>
              <w:rPr>
                <w:webHidden/>
              </w:rPr>
              <w:instrText xml:space="preserve"> PAGEREF _Toc159945252 \h </w:instrText>
            </w:r>
            <w:r>
              <w:rPr>
                <w:webHidden/>
              </w:rPr>
            </w:r>
            <w:r>
              <w:rPr>
                <w:webHidden/>
              </w:rPr>
              <w:fldChar w:fldCharType="separate"/>
            </w:r>
            <w:r>
              <w:rPr>
                <w:webHidden/>
              </w:rPr>
              <w:t>46</w:t>
            </w:r>
            <w:r>
              <w:rPr>
                <w:webHidden/>
              </w:rPr>
              <w:fldChar w:fldCharType="end"/>
            </w:r>
          </w:hyperlink>
        </w:p>
        <w:p w14:paraId="18D23BF7" w14:textId="7F451394" w:rsidR="00CE0B64" w:rsidRDefault="00CE0B64">
          <w:pPr>
            <w:pStyle w:val="TOC1"/>
            <w:rPr>
              <w:rFonts w:eastAsiaTheme="minorEastAsia"/>
              <w:b w:val="0"/>
              <w:color w:val="auto"/>
              <w:kern w:val="2"/>
              <w:sz w:val="22"/>
              <w:lang w:val="en-US"/>
              <w14:ligatures w14:val="standardContextual"/>
            </w:rPr>
          </w:pPr>
          <w:hyperlink w:anchor="_Toc159945253" w:history="1">
            <w:r w:rsidRPr="00777B63">
              <w:rPr>
                <w:rStyle w:val="Hyperlink"/>
                <w:rFonts w:ascii="Times New Roman" w:hAnsi="Times New Roman" w:cs="Times New Roman"/>
                <w:lang w:val="af-ZA"/>
              </w:rPr>
              <w:t>III.   Արհեստակցական միություններ ստեղծելու և դրանց միանալու ազատություն</w:t>
            </w:r>
            <w:r>
              <w:rPr>
                <w:webHidden/>
              </w:rPr>
              <w:tab/>
            </w:r>
            <w:r>
              <w:rPr>
                <w:webHidden/>
              </w:rPr>
              <w:fldChar w:fldCharType="begin"/>
            </w:r>
            <w:r>
              <w:rPr>
                <w:webHidden/>
              </w:rPr>
              <w:instrText xml:space="preserve"> PAGEREF _Toc159945253 \h </w:instrText>
            </w:r>
            <w:r>
              <w:rPr>
                <w:webHidden/>
              </w:rPr>
            </w:r>
            <w:r>
              <w:rPr>
                <w:webHidden/>
              </w:rPr>
              <w:fldChar w:fldCharType="separate"/>
            </w:r>
            <w:r>
              <w:rPr>
                <w:webHidden/>
              </w:rPr>
              <w:t>47</w:t>
            </w:r>
            <w:r>
              <w:rPr>
                <w:webHidden/>
              </w:rPr>
              <w:fldChar w:fldCharType="end"/>
            </w:r>
          </w:hyperlink>
        </w:p>
        <w:p w14:paraId="545335CA" w14:textId="308E1DB1" w:rsidR="00CE0B64" w:rsidRDefault="00CE0B64">
          <w:pPr>
            <w:pStyle w:val="TOC2"/>
            <w:rPr>
              <w:rFonts w:eastAsiaTheme="minorEastAsia"/>
              <w:kern w:val="2"/>
              <w:lang w:val="en-US"/>
              <w14:ligatures w14:val="standardContextual"/>
            </w:rPr>
          </w:pPr>
          <w:hyperlink w:anchor="_Toc159945254" w:history="1">
            <w:r w:rsidRPr="00777B63">
              <w:rPr>
                <w:rStyle w:val="Hyperlink"/>
                <w:rFonts w:ascii="Times New Roman" w:hAnsi="Times New Roman" w:cs="Times New Roman"/>
                <w:lang w:val="hy-AM"/>
              </w:rPr>
              <w:t xml:space="preserve">Ա․ </w:t>
            </w:r>
            <w:r w:rsidRPr="00777B63">
              <w:rPr>
                <w:rStyle w:val="Hyperlink"/>
                <w:rFonts w:ascii="Times New Roman" w:hAnsi="Times New Roman" w:cs="Times New Roman"/>
                <w:lang w:val="af-ZA"/>
              </w:rPr>
              <w:t>Արհեստակցական միության իրավունքների շրջանակը</w:t>
            </w:r>
            <w:r>
              <w:rPr>
                <w:webHidden/>
              </w:rPr>
              <w:tab/>
            </w:r>
            <w:r>
              <w:rPr>
                <w:webHidden/>
              </w:rPr>
              <w:fldChar w:fldCharType="begin"/>
            </w:r>
            <w:r>
              <w:rPr>
                <w:webHidden/>
              </w:rPr>
              <w:instrText xml:space="preserve"> PAGEREF _Toc159945254 \h </w:instrText>
            </w:r>
            <w:r>
              <w:rPr>
                <w:webHidden/>
              </w:rPr>
            </w:r>
            <w:r>
              <w:rPr>
                <w:webHidden/>
              </w:rPr>
              <w:fldChar w:fldCharType="separate"/>
            </w:r>
            <w:r>
              <w:rPr>
                <w:webHidden/>
              </w:rPr>
              <w:t>47</w:t>
            </w:r>
            <w:r>
              <w:rPr>
                <w:webHidden/>
              </w:rPr>
              <w:fldChar w:fldCharType="end"/>
            </w:r>
          </w:hyperlink>
        </w:p>
        <w:p w14:paraId="17437607" w14:textId="0D8CA4E9" w:rsidR="00CE0B64" w:rsidRDefault="00CE0B64">
          <w:pPr>
            <w:pStyle w:val="TOC2"/>
            <w:rPr>
              <w:rFonts w:eastAsiaTheme="minorEastAsia"/>
              <w:kern w:val="2"/>
              <w:lang w:val="en-US"/>
              <w14:ligatures w14:val="standardContextual"/>
            </w:rPr>
          </w:pPr>
          <w:hyperlink w:anchor="_Toc159945255" w:history="1">
            <w:r w:rsidRPr="00777B63">
              <w:rPr>
                <w:rStyle w:val="Hyperlink"/>
                <w:rFonts w:ascii="Times New Roman" w:hAnsi="Times New Roman" w:cs="Times New Roman"/>
                <w:lang w:val="hy-AM"/>
              </w:rPr>
              <w:t>Բ․ Էական</w:t>
            </w:r>
            <w:r w:rsidRPr="00777B63">
              <w:rPr>
                <w:rStyle w:val="Hyperlink"/>
                <w:rFonts w:ascii="Times New Roman" w:hAnsi="Times New Roman" w:cs="Times New Roman"/>
                <w:lang w:val="af-ZA"/>
              </w:rPr>
              <w:t xml:space="preserve"> տարրերը և Դատարանի մոտեցումը</w:t>
            </w:r>
            <w:r>
              <w:rPr>
                <w:webHidden/>
              </w:rPr>
              <w:tab/>
            </w:r>
            <w:r>
              <w:rPr>
                <w:webHidden/>
              </w:rPr>
              <w:fldChar w:fldCharType="begin"/>
            </w:r>
            <w:r>
              <w:rPr>
                <w:webHidden/>
              </w:rPr>
              <w:instrText xml:space="preserve"> PAGEREF _Toc159945255 \h </w:instrText>
            </w:r>
            <w:r>
              <w:rPr>
                <w:webHidden/>
              </w:rPr>
            </w:r>
            <w:r>
              <w:rPr>
                <w:webHidden/>
              </w:rPr>
              <w:fldChar w:fldCharType="separate"/>
            </w:r>
            <w:r>
              <w:rPr>
                <w:webHidden/>
              </w:rPr>
              <w:t>49</w:t>
            </w:r>
            <w:r>
              <w:rPr>
                <w:webHidden/>
              </w:rPr>
              <w:fldChar w:fldCharType="end"/>
            </w:r>
          </w:hyperlink>
        </w:p>
        <w:p w14:paraId="1213B6C0" w14:textId="2D9288FA" w:rsidR="00CE0B64" w:rsidRDefault="00CE0B64">
          <w:pPr>
            <w:pStyle w:val="TOC2"/>
            <w:rPr>
              <w:rFonts w:eastAsiaTheme="minorEastAsia"/>
              <w:kern w:val="2"/>
              <w:lang w:val="en-US"/>
              <w14:ligatures w14:val="standardContextual"/>
            </w:rPr>
          </w:pPr>
          <w:hyperlink w:anchor="_Toc159945256" w:history="1">
            <w:r w:rsidRPr="00777B63">
              <w:rPr>
                <w:rStyle w:val="Hyperlink"/>
                <w:rFonts w:ascii="Times New Roman" w:hAnsi="Times New Roman" w:cs="Times New Roman"/>
                <w:iCs/>
                <w:lang w:val="hy-AM"/>
              </w:rPr>
              <w:t xml:space="preserve">Գ․ </w:t>
            </w:r>
            <w:r w:rsidRPr="00777B63">
              <w:rPr>
                <w:rStyle w:val="Hyperlink"/>
                <w:rFonts w:ascii="Times New Roman" w:hAnsi="Times New Roman" w:cs="Times New Roman"/>
                <w:iCs/>
                <w:lang w:val="af-ZA"/>
              </w:rPr>
              <w:t>Գրանցմ</w:t>
            </w:r>
            <w:r w:rsidRPr="00777B63">
              <w:rPr>
                <w:rStyle w:val="Hyperlink"/>
                <w:rFonts w:ascii="Times New Roman" w:hAnsi="Times New Roman" w:cs="Times New Roman"/>
                <w:iCs/>
                <w:lang w:val="af-ZA"/>
              </w:rPr>
              <w:t>ա</w:t>
            </w:r>
            <w:r w:rsidRPr="00777B63">
              <w:rPr>
                <w:rStyle w:val="Hyperlink"/>
                <w:rFonts w:ascii="Times New Roman" w:hAnsi="Times New Roman" w:cs="Times New Roman"/>
                <w:iCs/>
                <w:lang w:val="af-ZA"/>
              </w:rPr>
              <w:t>ն մերժումը</w:t>
            </w:r>
            <w:r>
              <w:rPr>
                <w:webHidden/>
              </w:rPr>
              <w:tab/>
            </w:r>
            <w:r>
              <w:rPr>
                <w:webHidden/>
              </w:rPr>
              <w:fldChar w:fldCharType="begin"/>
            </w:r>
            <w:r>
              <w:rPr>
                <w:webHidden/>
              </w:rPr>
              <w:instrText xml:space="preserve"> PAGEREF _Toc159945256 \h </w:instrText>
            </w:r>
            <w:r>
              <w:rPr>
                <w:webHidden/>
              </w:rPr>
            </w:r>
            <w:r>
              <w:rPr>
                <w:webHidden/>
              </w:rPr>
              <w:fldChar w:fldCharType="separate"/>
            </w:r>
            <w:r>
              <w:rPr>
                <w:webHidden/>
              </w:rPr>
              <w:t>49</w:t>
            </w:r>
            <w:r>
              <w:rPr>
                <w:webHidden/>
              </w:rPr>
              <w:fldChar w:fldCharType="end"/>
            </w:r>
          </w:hyperlink>
        </w:p>
        <w:p w14:paraId="19568CD0" w14:textId="1E0D9344" w:rsidR="00CE0B64" w:rsidRDefault="00CE0B64">
          <w:pPr>
            <w:pStyle w:val="TOC2"/>
            <w:rPr>
              <w:rFonts w:eastAsiaTheme="minorEastAsia"/>
              <w:kern w:val="2"/>
              <w:lang w:val="en-US"/>
              <w14:ligatures w14:val="standardContextual"/>
            </w:rPr>
          </w:pPr>
          <w:hyperlink w:anchor="_Toc159945257" w:history="1">
            <w:r w:rsidRPr="00777B63">
              <w:rPr>
                <w:rStyle w:val="Hyperlink"/>
                <w:rFonts w:ascii="Times New Roman" w:hAnsi="Times New Roman" w:cs="Times New Roman"/>
                <w:iCs/>
                <w:lang w:val="hy-AM"/>
              </w:rPr>
              <w:t xml:space="preserve">Դ․ </w:t>
            </w:r>
            <w:r w:rsidRPr="00777B63">
              <w:rPr>
                <w:rStyle w:val="Hyperlink"/>
                <w:rFonts w:ascii="Times New Roman" w:hAnsi="Times New Roman" w:cs="Times New Roman"/>
                <w:iCs/>
                <w:lang w:val="af-ZA"/>
              </w:rPr>
              <w:t>Պատժամիջոցներ և զսպող միջոցներ</w:t>
            </w:r>
            <w:r>
              <w:rPr>
                <w:webHidden/>
              </w:rPr>
              <w:tab/>
            </w:r>
            <w:r>
              <w:rPr>
                <w:webHidden/>
              </w:rPr>
              <w:fldChar w:fldCharType="begin"/>
            </w:r>
            <w:r>
              <w:rPr>
                <w:webHidden/>
              </w:rPr>
              <w:instrText xml:space="preserve"> PAGEREF _Toc159945257 \h </w:instrText>
            </w:r>
            <w:r>
              <w:rPr>
                <w:webHidden/>
              </w:rPr>
            </w:r>
            <w:r>
              <w:rPr>
                <w:webHidden/>
              </w:rPr>
              <w:fldChar w:fldCharType="separate"/>
            </w:r>
            <w:r>
              <w:rPr>
                <w:webHidden/>
              </w:rPr>
              <w:t>50</w:t>
            </w:r>
            <w:r>
              <w:rPr>
                <w:webHidden/>
              </w:rPr>
              <w:fldChar w:fldCharType="end"/>
            </w:r>
          </w:hyperlink>
        </w:p>
        <w:p w14:paraId="2864CFB8" w14:textId="078B5477" w:rsidR="00CE0B64" w:rsidRDefault="00CE0B64">
          <w:pPr>
            <w:pStyle w:val="TOC2"/>
            <w:rPr>
              <w:rFonts w:eastAsiaTheme="minorEastAsia"/>
              <w:kern w:val="2"/>
              <w:lang w:val="en-US"/>
              <w14:ligatures w14:val="standardContextual"/>
            </w:rPr>
          </w:pPr>
          <w:hyperlink w:anchor="_Toc159945258" w:history="1">
            <w:r w:rsidRPr="00777B63">
              <w:rPr>
                <w:rStyle w:val="Hyperlink"/>
                <w:rFonts w:ascii="Times New Roman" w:hAnsi="Times New Roman" w:cs="Times New Roman"/>
                <w:iCs/>
                <w:lang w:val="hy-AM"/>
              </w:rPr>
              <w:t xml:space="preserve">Ե․ </w:t>
            </w:r>
            <w:r w:rsidRPr="00777B63">
              <w:rPr>
                <w:rStyle w:val="Hyperlink"/>
                <w:rFonts w:ascii="Times New Roman" w:hAnsi="Times New Roman" w:cs="Times New Roman"/>
                <w:iCs/>
                <w:lang w:val="af-ZA"/>
              </w:rPr>
              <w:t>Արհեստակցական միությանը չմիանալու իրավունքը</w:t>
            </w:r>
            <w:r>
              <w:rPr>
                <w:webHidden/>
              </w:rPr>
              <w:tab/>
            </w:r>
            <w:r>
              <w:rPr>
                <w:webHidden/>
              </w:rPr>
              <w:fldChar w:fldCharType="begin"/>
            </w:r>
            <w:r>
              <w:rPr>
                <w:webHidden/>
              </w:rPr>
              <w:instrText xml:space="preserve"> PAGEREF _Toc159945258 \h </w:instrText>
            </w:r>
            <w:r>
              <w:rPr>
                <w:webHidden/>
              </w:rPr>
            </w:r>
            <w:r>
              <w:rPr>
                <w:webHidden/>
              </w:rPr>
              <w:fldChar w:fldCharType="separate"/>
            </w:r>
            <w:r>
              <w:rPr>
                <w:webHidden/>
              </w:rPr>
              <w:t>51</w:t>
            </w:r>
            <w:r>
              <w:rPr>
                <w:webHidden/>
              </w:rPr>
              <w:fldChar w:fldCharType="end"/>
            </w:r>
          </w:hyperlink>
        </w:p>
        <w:p w14:paraId="3E819C9C" w14:textId="51BDFF48" w:rsidR="00CE0B64" w:rsidRDefault="00CE0B64">
          <w:pPr>
            <w:pStyle w:val="TOC2"/>
            <w:rPr>
              <w:rFonts w:eastAsiaTheme="minorEastAsia"/>
              <w:kern w:val="2"/>
              <w:lang w:val="en-US"/>
              <w14:ligatures w14:val="standardContextual"/>
            </w:rPr>
          </w:pPr>
          <w:hyperlink w:anchor="_Toc159945259" w:history="1">
            <w:r w:rsidRPr="00777B63">
              <w:rPr>
                <w:rStyle w:val="Hyperlink"/>
                <w:rFonts w:ascii="Times New Roman" w:hAnsi="Times New Roman" w:cs="Times New Roman"/>
                <w:iCs/>
                <w:lang w:val="hy-AM"/>
              </w:rPr>
              <w:t xml:space="preserve">Զ․ </w:t>
            </w:r>
            <w:r w:rsidRPr="00777B63">
              <w:rPr>
                <w:rStyle w:val="Hyperlink"/>
                <w:rFonts w:ascii="Times New Roman" w:hAnsi="Times New Roman" w:cs="Times New Roman"/>
                <w:iCs/>
                <w:lang w:val="af-ZA"/>
              </w:rPr>
              <w:t>Ներքին հարաբերությունները կարգավորելու և անդամներին ընտրելու արհեստակցական միությունների իրավունքը</w:t>
            </w:r>
            <w:r>
              <w:rPr>
                <w:webHidden/>
              </w:rPr>
              <w:tab/>
            </w:r>
            <w:r>
              <w:rPr>
                <w:webHidden/>
              </w:rPr>
              <w:fldChar w:fldCharType="begin"/>
            </w:r>
            <w:r>
              <w:rPr>
                <w:webHidden/>
              </w:rPr>
              <w:instrText xml:space="preserve"> PAGEREF _Toc159945259 \h </w:instrText>
            </w:r>
            <w:r>
              <w:rPr>
                <w:webHidden/>
              </w:rPr>
            </w:r>
            <w:r>
              <w:rPr>
                <w:webHidden/>
              </w:rPr>
              <w:fldChar w:fldCharType="separate"/>
            </w:r>
            <w:r>
              <w:rPr>
                <w:webHidden/>
              </w:rPr>
              <w:t>51</w:t>
            </w:r>
            <w:r>
              <w:rPr>
                <w:webHidden/>
              </w:rPr>
              <w:fldChar w:fldCharType="end"/>
            </w:r>
          </w:hyperlink>
        </w:p>
        <w:p w14:paraId="0D61F38D" w14:textId="4FF26D86" w:rsidR="00CE0B64" w:rsidRDefault="00CE0B64">
          <w:pPr>
            <w:pStyle w:val="TOC2"/>
            <w:rPr>
              <w:rFonts w:eastAsiaTheme="minorEastAsia"/>
              <w:kern w:val="2"/>
              <w:lang w:val="en-US"/>
              <w14:ligatures w14:val="standardContextual"/>
            </w:rPr>
          </w:pPr>
          <w:hyperlink w:anchor="_Toc159945260" w:history="1">
            <w:r w:rsidRPr="00777B63">
              <w:rPr>
                <w:rStyle w:val="Hyperlink"/>
                <w:rFonts w:ascii="Times New Roman" w:hAnsi="Times New Roman" w:cs="Times New Roman"/>
                <w:iCs/>
                <w:lang w:val="hy-AM"/>
              </w:rPr>
              <w:t xml:space="preserve">Է․ </w:t>
            </w:r>
            <w:r w:rsidRPr="00777B63">
              <w:rPr>
                <w:rStyle w:val="Hyperlink"/>
                <w:rFonts w:ascii="Times New Roman" w:hAnsi="Times New Roman" w:cs="Times New Roman"/>
                <w:iCs/>
                <w:lang w:val="af-ZA"/>
              </w:rPr>
              <w:t>Կոլեկտիվ բանակցության իրավունքը</w:t>
            </w:r>
            <w:r>
              <w:rPr>
                <w:webHidden/>
              </w:rPr>
              <w:tab/>
            </w:r>
            <w:r>
              <w:rPr>
                <w:webHidden/>
              </w:rPr>
              <w:fldChar w:fldCharType="begin"/>
            </w:r>
            <w:r>
              <w:rPr>
                <w:webHidden/>
              </w:rPr>
              <w:instrText xml:space="preserve"> PAGEREF _Toc159945260 \h </w:instrText>
            </w:r>
            <w:r>
              <w:rPr>
                <w:webHidden/>
              </w:rPr>
            </w:r>
            <w:r>
              <w:rPr>
                <w:webHidden/>
              </w:rPr>
              <w:fldChar w:fldCharType="separate"/>
            </w:r>
            <w:r>
              <w:rPr>
                <w:webHidden/>
              </w:rPr>
              <w:t>52</w:t>
            </w:r>
            <w:r>
              <w:rPr>
                <w:webHidden/>
              </w:rPr>
              <w:fldChar w:fldCharType="end"/>
            </w:r>
          </w:hyperlink>
        </w:p>
        <w:p w14:paraId="01C92AC3" w14:textId="3ECB3BB9" w:rsidR="00CE0B64" w:rsidRDefault="00CE0B64">
          <w:pPr>
            <w:pStyle w:val="TOC2"/>
            <w:rPr>
              <w:rFonts w:eastAsiaTheme="minorEastAsia"/>
              <w:kern w:val="2"/>
              <w:lang w:val="en-US"/>
              <w14:ligatures w14:val="standardContextual"/>
            </w:rPr>
          </w:pPr>
          <w:hyperlink w:anchor="_Toc159945261" w:history="1">
            <w:r w:rsidRPr="00777B63">
              <w:rPr>
                <w:rStyle w:val="Hyperlink"/>
                <w:rFonts w:ascii="Times New Roman" w:hAnsi="Times New Roman" w:cs="Times New Roman"/>
                <w:iCs/>
                <w:lang w:val="hy-AM"/>
              </w:rPr>
              <w:t xml:space="preserve">Ը․ </w:t>
            </w:r>
            <w:r w:rsidRPr="00777B63">
              <w:rPr>
                <w:rStyle w:val="Hyperlink"/>
                <w:rFonts w:ascii="Times New Roman" w:hAnsi="Times New Roman" w:cs="Times New Roman"/>
                <w:iCs/>
                <w:lang w:val="af-ZA"/>
              </w:rPr>
              <w:t>Գործադուլի իրավունքը</w:t>
            </w:r>
            <w:r>
              <w:rPr>
                <w:webHidden/>
              </w:rPr>
              <w:tab/>
            </w:r>
            <w:r>
              <w:rPr>
                <w:webHidden/>
              </w:rPr>
              <w:fldChar w:fldCharType="begin"/>
            </w:r>
            <w:r>
              <w:rPr>
                <w:webHidden/>
              </w:rPr>
              <w:instrText xml:space="preserve"> PAGEREF _Toc159945261 \h </w:instrText>
            </w:r>
            <w:r>
              <w:rPr>
                <w:webHidden/>
              </w:rPr>
            </w:r>
            <w:r>
              <w:rPr>
                <w:webHidden/>
              </w:rPr>
              <w:fldChar w:fldCharType="separate"/>
            </w:r>
            <w:r>
              <w:rPr>
                <w:webHidden/>
              </w:rPr>
              <w:t>53</w:t>
            </w:r>
            <w:r>
              <w:rPr>
                <w:webHidden/>
              </w:rPr>
              <w:fldChar w:fldCharType="end"/>
            </w:r>
          </w:hyperlink>
        </w:p>
        <w:p w14:paraId="1D7A39B5" w14:textId="18B6A4E4" w:rsidR="00CE0B64" w:rsidRDefault="00CE0B64">
          <w:pPr>
            <w:pStyle w:val="TOC2"/>
            <w:rPr>
              <w:rFonts w:eastAsiaTheme="minorEastAsia"/>
              <w:kern w:val="2"/>
              <w:lang w:val="en-US"/>
              <w14:ligatures w14:val="standardContextual"/>
            </w:rPr>
          </w:pPr>
          <w:hyperlink w:anchor="_Toc159945262" w:history="1">
            <w:r w:rsidRPr="00777B63">
              <w:rPr>
                <w:rStyle w:val="Hyperlink"/>
                <w:rFonts w:ascii="Times New Roman" w:hAnsi="Times New Roman" w:cs="Times New Roman"/>
                <w:iCs/>
                <w:lang w:val="hy-AM"/>
              </w:rPr>
              <w:t xml:space="preserve">Թ․ </w:t>
            </w:r>
            <w:r w:rsidRPr="00777B63">
              <w:rPr>
                <w:rStyle w:val="Hyperlink"/>
                <w:rFonts w:ascii="Times New Roman" w:hAnsi="Times New Roman" w:cs="Times New Roman"/>
                <w:iCs/>
                <w:lang w:val="af-ZA"/>
              </w:rPr>
              <w:t xml:space="preserve">Պոզիտիվ պարտավորություններ և հայեցողության </w:t>
            </w:r>
            <w:r w:rsidRPr="00777B63">
              <w:rPr>
                <w:rStyle w:val="Hyperlink"/>
                <w:rFonts w:ascii="Times New Roman" w:hAnsi="Times New Roman" w:cs="Times New Roman"/>
                <w:iCs/>
                <w:lang w:val="hy-AM"/>
              </w:rPr>
              <w:t>շրջանակ</w:t>
            </w:r>
            <w:r>
              <w:rPr>
                <w:webHidden/>
              </w:rPr>
              <w:tab/>
            </w:r>
            <w:r>
              <w:rPr>
                <w:webHidden/>
              </w:rPr>
              <w:fldChar w:fldCharType="begin"/>
            </w:r>
            <w:r>
              <w:rPr>
                <w:webHidden/>
              </w:rPr>
              <w:instrText xml:space="preserve"> PAGEREF _Toc159945262 \h </w:instrText>
            </w:r>
            <w:r>
              <w:rPr>
                <w:webHidden/>
              </w:rPr>
            </w:r>
            <w:r>
              <w:rPr>
                <w:webHidden/>
              </w:rPr>
              <w:fldChar w:fldCharType="separate"/>
            </w:r>
            <w:r>
              <w:rPr>
                <w:webHidden/>
              </w:rPr>
              <w:t>54</w:t>
            </w:r>
            <w:r>
              <w:rPr>
                <w:webHidden/>
              </w:rPr>
              <w:fldChar w:fldCharType="end"/>
            </w:r>
          </w:hyperlink>
        </w:p>
        <w:p w14:paraId="75049771" w14:textId="5412B00B" w:rsidR="00CE0B64" w:rsidRDefault="00CE0B64">
          <w:pPr>
            <w:pStyle w:val="TOC1"/>
            <w:rPr>
              <w:rFonts w:eastAsiaTheme="minorEastAsia"/>
              <w:b w:val="0"/>
              <w:color w:val="auto"/>
              <w:kern w:val="2"/>
              <w:sz w:val="22"/>
              <w:lang w:val="en-US"/>
              <w14:ligatures w14:val="standardContextual"/>
            </w:rPr>
          </w:pPr>
          <w:hyperlink w:anchor="_Toc159945263" w:history="1">
            <w:r w:rsidRPr="00777B63">
              <w:rPr>
                <w:rStyle w:val="Hyperlink"/>
                <w:rFonts w:ascii="Times New Roman" w:hAnsi="Times New Roman" w:cs="Times New Roman"/>
                <w:lang w:val="af-ZA"/>
              </w:rPr>
              <w:t>IV.   Զինված ուժերի, ոստիկանության և պետական վարչակազմի անդամների</w:t>
            </w:r>
            <w:r w:rsidRPr="00777B63">
              <w:rPr>
                <w:rStyle w:val="Hyperlink"/>
                <w:rFonts w:ascii="Times New Roman" w:hAnsi="Times New Roman" w:cs="Times New Roman"/>
                <w:lang w:val="hy-AM"/>
              </w:rPr>
              <w:t xml:space="preserve"> </w:t>
            </w:r>
            <w:r w:rsidRPr="00777B63">
              <w:rPr>
                <w:rStyle w:val="Hyperlink"/>
                <w:rFonts w:ascii="Times New Roman" w:hAnsi="Times New Roman" w:cs="Times New Roman"/>
                <w:lang w:val="af-ZA"/>
              </w:rPr>
              <w:t>ն</w:t>
            </w:r>
            <w:r w:rsidRPr="00777B63">
              <w:rPr>
                <w:rStyle w:val="Hyperlink"/>
                <w:rFonts w:ascii="Times New Roman" w:hAnsi="Times New Roman" w:cs="Times New Roman"/>
                <w:lang w:val="hy-AM"/>
              </w:rPr>
              <w:t>կատմամբ</w:t>
            </w:r>
            <w:r w:rsidRPr="00777B63">
              <w:rPr>
                <w:rStyle w:val="Hyperlink"/>
                <w:rFonts w:ascii="Times New Roman" w:hAnsi="Times New Roman" w:cs="Times New Roman"/>
                <w:lang w:val="af-ZA"/>
              </w:rPr>
              <w:t xml:space="preserve"> կիրառվող սահմանափակումներ</w:t>
            </w:r>
            <w:r>
              <w:rPr>
                <w:webHidden/>
              </w:rPr>
              <w:tab/>
            </w:r>
            <w:r>
              <w:rPr>
                <w:webHidden/>
              </w:rPr>
              <w:fldChar w:fldCharType="begin"/>
            </w:r>
            <w:r>
              <w:rPr>
                <w:webHidden/>
              </w:rPr>
              <w:instrText xml:space="preserve"> PAGEREF _Toc159945263 \h </w:instrText>
            </w:r>
            <w:r>
              <w:rPr>
                <w:webHidden/>
              </w:rPr>
            </w:r>
            <w:r>
              <w:rPr>
                <w:webHidden/>
              </w:rPr>
              <w:fldChar w:fldCharType="separate"/>
            </w:r>
            <w:r>
              <w:rPr>
                <w:webHidden/>
              </w:rPr>
              <w:t>55</w:t>
            </w:r>
            <w:r>
              <w:rPr>
                <w:webHidden/>
              </w:rPr>
              <w:fldChar w:fldCharType="end"/>
            </w:r>
          </w:hyperlink>
        </w:p>
        <w:p w14:paraId="4C32ADDB" w14:textId="6FD37A9C" w:rsidR="00CE0B64" w:rsidRDefault="00CE0B64">
          <w:pPr>
            <w:pStyle w:val="TOC2"/>
            <w:rPr>
              <w:rFonts w:eastAsiaTheme="minorEastAsia"/>
              <w:kern w:val="2"/>
              <w:lang w:val="en-US"/>
              <w14:ligatures w14:val="standardContextual"/>
            </w:rPr>
          </w:pPr>
          <w:hyperlink w:anchor="_Toc159945264" w:history="1">
            <w:r w:rsidRPr="00777B63">
              <w:rPr>
                <w:rStyle w:val="Hyperlink"/>
                <w:rFonts w:ascii="Times New Roman" w:hAnsi="Times New Roman" w:cs="Times New Roman"/>
                <w:lang w:val="hy-AM"/>
              </w:rPr>
              <w:t xml:space="preserve">Ա․ </w:t>
            </w:r>
            <w:r w:rsidRPr="00777B63">
              <w:rPr>
                <w:rStyle w:val="Hyperlink"/>
                <w:rFonts w:ascii="Times New Roman" w:hAnsi="Times New Roman" w:cs="Times New Roman"/>
                <w:lang w:val="af-ZA"/>
              </w:rPr>
              <w:t>Պետական վարչակազմ</w:t>
            </w:r>
            <w:r>
              <w:rPr>
                <w:webHidden/>
              </w:rPr>
              <w:tab/>
            </w:r>
            <w:r>
              <w:rPr>
                <w:webHidden/>
              </w:rPr>
              <w:fldChar w:fldCharType="begin"/>
            </w:r>
            <w:r>
              <w:rPr>
                <w:webHidden/>
              </w:rPr>
              <w:instrText xml:space="preserve"> PAGEREF _Toc159945264 \h </w:instrText>
            </w:r>
            <w:r>
              <w:rPr>
                <w:webHidden/>
              </w:rPr>
            </w:r>
            <w:r>
              <w:rPr>
                <w:webHidden/>
              </w:rPr>
              <w:fldChar w:fldCharType="separate"/>
            </w:r>
            <w:r>
              <w:rPr>
                <w:webHidden/>
              </w:rPr>
              <w:t>56</w:t>
            </w:r>
            <w:r>
              <w:rPr>
                <w:webHidden/>
              </w:rPr>
              <w:fldChar w:fldCharType="end"/>
            </w:r>
          </w:hyperlink>
        </w:p>
        <w:p w14:paraId="4F44824D" w14:textId="5FB8CBE8" w:rsidR="00CE0B64" w:rsidRDefault="00CE0B64">
          <w:pPr>
            <w:pStyle w:val="TOC2"/>
            <w:rPr>
              <w:rFonts w:eastAsiaTheme="minorEastAsia"/>
              <w:kern w:val="2"/>
              <w:lang w:val="en-US"/>
              <w14:ligatures w14:val="standardContextual"/>
            </w:rPr>
          </w:pPr>
          <w:hyperlink w:anchor="_Toc159945265" w:history="1">
            <w:r w:rsidRPr="00777B63">
              <w:rPr>
                <w:rStyle w:val="Hyperlink"/>
                <w:rFonts w:ascii="Times New Roman" w:hAnsi="Times New Roman" w:cs="Times New Roman"/>
                <w:lang w:val="hy-AM"/>
              </w:rPr>
              <w:t xml:space="preserve">Բ․ </w:t>
            </w:r>
            <w:r w:rsidRPr="00777B63">
              <w:rPr>
                <w:rStyle w:val="Hyperlink"/>
                <w:rFonts w:ascii="Times New Roman" w:hAnsi="Times New Roman" w:cs="Times New Roman"/>
                <w:lang w:val="af-ZA"/>
              </w:rPr>
              <w:t>Ոստիկանություն</w:t>
            </w:r>
            <w:r>
              <w:rPr>
                <w:webHidden/>
              </w:rPr>
              <w:tab/>
            </w:r>
            <w:r>
              <w:rPr>
                <w:webHidden/>
              </w:rPr>
              <w:fldChar w:fldCharType="begin"/>
            </w:r>
            <w:r>
              <w:rPr>
                <w:webHidden/>
              </w:rPr>
              <w:instrText xml:space="preserve"> PAGEREF _Toc159945265 \h </w:instrText>
            </w:r>
            <w:r>
              <w:rPr>
                <w:webHidden/>
              </w:rPr>
            </w:r>
            <w:r>
              <w:rPr>
                <w:webHidden/>
              </w:rPr>
              <w:fldChar w:fldCharType="separate"/>
            </w:r>
            <w:r>
              <w:rPr>
                <w:webHidden/>
              </w:rPr>
              <w:t>57</w:t>
            </w:r>
            <w:r>
              <w:rPr>
                <w:webHidden/>
              </w:rPr>
              <w:fldChar w:fldCharType="end"/>
            </w:r>
          </w:hyperlink>
        </w:p>
        <w:p w14:paraId="1247925A" w14:textId="3B23E34F" w:rsidR="00CE0B64" w:rsidRDefault="00CE0B64">
          <w:pPr>
            <w:pStyle w:val="TOC2"/>
            <w:rPr>
              <w:rFonts w:eastAsiaTheme="minorEastAsia"/>
              <w:kern w:val="2"/>
              <w:lang w:val="en-US"/>
              <w14:ligatures w14:val="standardContextual"/>
            </w:rPr>
          </w:pPr>
          <w:hyperlink w:anchor="_Toc159945266" w:history="1">
            <w:r w:rsidRPr="00777B63">
              <w:rPr>
                <w:rStyle w:val="Hyperlink"/>
                <w:rFonts w:ascii="Times New Roman" w:hAnsi="Times New Roman" w:cs="Times New Roman"/>
                <w:lang w:val="hy-AM"/>
              </w:rPr>
              <w:t xml:space="preserve">Գ․ </w:t>
            </w:r>
            <w:r w:rsidRPr="00777B63">
              <w:rPr>
                <w:rStyle w:val="Hyperlink"/>
                <w:rFonts w:ascii="Times New Roman" w:hAnsi="Times New Roman" w:cs="Times New Roman"/>
                <w:lang w:val="af-ZA"/>
              </w:rPr>
              <w:t>Զինված ուժեր</w:t>
            </w:r>
            <w:r>
              <w:rPr>
                <w:webHidden/>
              </w:rPr>
              <w:tab/>
            </w:r>
            <w:r>
              <w:rPr>
                <w:webHidden/>
              </w:rPr>
              <w:fldChar w:fldCharType="begin"/>
            </w:r>
            <w:r>
              <w:rPr>
                <w:webHidden/>
              </w:rPr>
              <w:instrText xml:space="preserve"> PAGEREF _Toc159945266 \h </w:instrText>
            </w:r>
            <w:r>
              <w:rPr>
                <w:webHidden/>
              </w:rPr>
            </w:r>
            <w:r>
              <w:rPr>
                <w:webHidden/>
              </w:rPr>
              <w:fldChar w:fldCharType="separate"/>
            </w:r>
            <w:r>
              <w:rPr>
                <w:webHidden/>
              </w:rPr>
              <w:t>58</w:t>
            </w:r>
            <w:r>
              <w:rPr>
                <w:webHidden/>
              </w:rPr>
              <w:fldChar w:fldCharType="end"/>
            </w:r>
          </w:hyperlink>
        </w:p>
        <w:p w14:paraId="5EC63A05" w14:textId="13300BBB" w:rsidR="00CE0B64" w:rsidRDefault="00CE0B64">
          <w:pPr>
            <w:pStyle w:val="TOC1"/>
            <w:rPr>
              <w:rFonts w:eastAsiaTheme="minorEastAsia"/>
              <w:b w:val="0"/>
              <w:color w:val="auto"/>
              <w:kern w:val="2"/>
              <w:sz w:val="22"/>
              <w:lang w:val="en-US"/>
              <w14:ligatures w14:val="standardContextual"/>
            </w:rPr>
          </w:pPr>
          <w:hyperlink w:anchor="_Toc159945267" w:history="1">
            <w:r w:rsidRPr="00777B63">
              <w:rPr>
                <w:rStyle w:val="Hyperlink"/>
                <w:rFonts w:ascii="Times New Roman" w:hAnsi="Times New Roman" w:cs="Times New Roman"/>
                <w:lang w:val="af-ZA"/>
              </w:rPr>
              <w:t>Մեջբերված գործերի ցանկը</w:t>
            </w:r>
            <w:r>
              <w:rPr>
                <w:webHidden/>
              </w:rPr>
              <w:tab/>
            </w:r>
            <w:r>
              <w:rPr>
                <w:webHidden/>
              </w:rPr>
              <w:fldChar w:fldCharType="begin"/>
            </w:r>
            <w:r>
              <w:rPr>
                <w:webHidden/>
              </w:rPr>
              <w:instrText xml:space="preserve"> PAGEREF _Toc159945267 \h </w:instrText>
            </w:r>
            <w:r>
              <w:rPr>
                <w:webHidden/>
              </w:rPr>
            </w:r>
            <w:r>
              <w:rPr>
                <w:webHidden/>
              </w:rPr>
              <w:fldChar w:fldCharType="separate"/>
            </w:r>
            <w:r>
              <w:rPr>
                <w:webHidden/>
              </w:rPr>
              <w:t>59</w:t>
            </w:r>
            <w:r>
              <w:rPr>
                <w:webHidden/>
              </w:rPr>
              <w:fldChar w:fldCharType="end"/>
            </w:r>
          </w:hyperlink>
        </w:p>
        <w:p w14:paraId="018A2B69" w14:textId="75ACBBE9" w:rsidR="002F666B" w:rsidRPr="00EF7399" w:rsidRDefault="002F666B">
          <w:pPr>
            <w:rPr>
              <w:rFonts w:ascii="Times New Roman" w:hAnsi="Times New Roman" w:cs="Times New Roman"/>
            </w:rPr>
          </w:pPr>
          <w:r w:rsidRPr="00EF7399">
            <w:rPr>
              <w:rFonts w:ascii="Times New Roman" w:hAnsi="Times New Roman" w:cs="Times New Roman"/>
              <w:b/>
              <w:bCs/>
            </w:rPr>
            <w:fldChar w:fldCharType="end"/>
          </w:r>
        </w:p>
      </w:sdtContent>
    </w:sdt>
    <w:p w14:paraId="2CB01E5B" w14:textId="77777777" w:rsidR="00D22528" w:rsidRPr="00EF7399" w:rsidRDefault="00D22528">
      <w:pPr>
        <w:rPr>
          <w:rFonts w:ascii="Times New Roman" w:hAnsi="Times New Roman" w:cs="Times New Roman"/>
        </w:rPr>
      </w:pPr>
    </w:p>
    <w:p w14:paraId="7B896046" w14:textId="77777777" w:rsidR="00757E39" w:rsidRPr="00EF7399" w:rsidRDefault="00757E39">
      <w:pPr>
        <w:rPr>
          <w:rFonts w:ascii="Times New Roman" w:hAnsi="Times New Roman" w:cs="Times New Roman"/>
        </w:rPr>
      </w:pPr>
      <w:r w:rsidRPr="00EF7399">
        <w:rPr>
          <w:rFonts w:ascii="Times New Roman" w:hAnsi="Times New Roman" w:cs="Times New Roman"/>
        </w:rPr>
        <w:br w:type="page"/>
      </w:r>
    </w:p>
    <w:p w14:paraId="603F5341" w14:textId="1C554B1B" w:rsidR="00CF34B6" w:rsidRPr="00EF7399" w:rsidRDefault="00176F7C" w:rsidP="007628EE">
      <w:pPr>
        <w:pStyle w:val="ECHRTitleCentreTOC1"/>
        <w:rPr>
          <w:rFonts w:ascii="Times New Roman" w:hAnsi="Times New Roman" w:cs="Times New Roman"/>
          <w:lang w:val="af-ZA"/>
        </w:rPr>
      </w:pPr>
      <w:bookmarkStart w:id="1" w:name="_Toc445478948"/>
      <w:bookmarkStart w:id="2" w:name="_Toc453254376"/>
      <w:bookmarkStart w:id="3" w:name="_Hlk113460350"/>
      <w:bookmarkStart w:id="4" w:name="_Toc436664096"/>
      <w:bookmarkStart w:id="5" w:name="_Toc436664763"/>
      <w:bookmarkStart w:id="6" w:name="_Toc436741689"/>
      <w:bookmarkStart w:id="7" w:name="_Toc436833763"/>
      <w:bookmarkStart w:id="8" w:name="_Toc437417579"/>
      <w:bookmarkStart w:id="9" w:name="_Toc441568626"/>
      <w:bookmarkStart w:id="10" w:name="_Toc159945201"/>
      <w:r w:rsidRPr="00EF7399">
        <w:rPr>
          <w:rFonts w:ascii="Times New Roman" w:hAnsi="Times New Roman" w:cs="Times New Roman"/>
          <w:szCs w:val="36"/>
          <w:lang w:val="af-ZA"/>
        </w:rPr>
        <w:lastRenderedPageBreak/>
        <w:t>Ծանոթագրություն ընթերցողի</w:t>
      </w:r>
      <w:bookmarkEnd w:id="1"/>
      <w:bookmarkEnd w:id="2"/>
      <w:r w:rsidR="00430C0C" w:rsidRPr="00EF7399">
        <w:rPr>
          <w:rFonts w:ascii="Times New Roman" w:hAnsi="Times New Roman" w:cs="Times New Roman"/>
          <w:szCs w:val="36"/>
          <w:lang w:val="af-ZA"/>
        </w:rPr>
        <w:t xml:space="preserve"> համար</w:t>
      </w:r>
      <w:bookmarkEnd w:id="10"/>
    </w:p>
    <w:p w14:paraId="7869C38B" w14:textId="77777777" w:rsidR="00CF34B6" w:rsidRPr="00EF7399" w:rsidRDefault="00CF34B6" w:rsidP="007A7766">
      <w:pPr>
        <w:pStyle w:val="ECHRParaSpaced"/>
        <w:rPr>
          <w:rFonts w:ascii="Times New Roman" w:hAnsi="Times New Roman" w:cs="Times New Roman"/>
          <w:lang w:val="af-ZA"/>
        </w:rPr>
      </w:pPr>
    </w:p>
    <w:p w14:paraId="3B941DA9" w14:textId="1C01911E" w:rsidR="007A3F4A" w:rsidRPr="00EF7399" w:rsidRDefault="00176F7C" w:rsidP="007A3F4A">
      <w:pPr>
        <w:pStyle w:val="ECHRParaSpaced"/>
        <w:rPr>
          <w:rFonts w:ascii="Times New Roman" w:hAnsi="Times New Roman" w:cs="Times New Roman"/>
          <w:lang w:val="af-ZA"/>
        </w:rPr>
      </w:pPr>
      <w:r w:rsidRPr="00EF7399">
        <w:rPr>
          <w:rFonts w:ascii="Times New Roman" w:hAnsi="Times New Roman" w:cs="Times New Roman"/>
          <w:lang w:val="af-ZA"/>
        </w:rPr>
        <w:t xml:space="preserve">Սույն ուղեցույցը Մարդու իրավունքների եվրոպական դատարանի (հետայսու՝ «Դատարան», «Եվրոպական դատարան» կամ «Ստրասբուրգի դատարան») կողմից հրատարակվող «Կոնվենցիայի վերաբերյալ ուղեցույցեր» (անգլ.՝ «Case-Law Guides») շարքից է՝ նախատեսված պրակտիկ իրավաբաններին Ստրասբուրգի դատարանի կայացրած հիմնարար վճիռների և որոշումների մասին տեղեկացնելու համար: Սույն ուղեցույցում վերլուծվում և ամփոփվում է Մարդու իրավունքների եվրոպական կոնվենցիայի (հետայսու՝ «Կոնվենցիա» կամ «Եվրոպական կոնվենցիա») </w:t>
      </w:r>
      <w:r w:rsidR="00430C0C" w:rsidRPr="00EF7399">
        <w:rPr>
          <w:rFonts w:ascii="Times New Roman" w:hAnsi="Times New Roman" w:cs="Times New Roman"/>
          <w:lang w:val="af-ZA"/>
        </w:rPr>
        <w:t>11</w:t>
      </w:r>
      <w:r w:rsidRPr="00EF7399">
        <w:rPr>
          <w:rFonts w:ascii="Times New Roman" w:hAnsi="Times New Roman" w:cs="Times New Roman"/>
          <w:lang w:val="af-ZA"/>
        </w:rPr>
        <w:t xml:space="preserve">-րդ հոդվածի շուրջ ձևավորված նախադեպային իրավունքը: Ընթերցողները հնարավորություն կունենան ծանոթանալու տվյալ ոլորտի հիմնական սկզբունքներին և վերաբերելի նախադեպերին: </w:t>
      </w:r>
    </w:p>
    <w:p w14:paraId="19B6DAAB" w14:textId="6D376399" w:rsidR="001922C1" w:rsidRPr="00EF7399" w:rsidRDefault="007A3F4A" w:rsidP="007A3F4A">
      <w:pPr>
        <w:pStyle w:val="ECHRParaSpaced"/>
        <w:rPr>
          <w:rFonts w:ascii="Times New Roman" w:hAnsi="Times New Roman" w:cs="Times New Roman"/>
          <w:lang w:val="af-ZA"/>
        </w:rPr>
      </w:pPr>
      <w:r w:rsidRPr="00EF7399">
        <w:rPr>
          <w:rFonts w:ascii="Times New Roman" w:hAnsi="Times New Roman" w:cs="Times New Roman"/>
          <w:lang w:val="af-ZA"/>
        </w:rPr>
        <w:t>Մեջբերված նախադեպային իրավունքի օրինակներն ընտրվել են ուղենիշային, առավել կարևոր և</w:t>
      </w:r>
      <w:r w:rsidR="00E54BB7">
        <w:rPr>
          <w:rFonts w:ascii="Times New Roman" w:hAnsi="Times New Roman" w:cs="Times New Roman"/>
          <w:lang w:val="hy-AM"/>
        </w:rPr>
        <w:t xml:space="preserve"> </w:t>
      </w:r>
      <w:r w:rsidR="00A90E2A" w:rsidRPr="001B2612">
        <w:rPr>
          <w:rFonts w:ascii="Times New Roman" w:hAnsi="Times New Roman" w:cs="Times New Roman"/>
          <w:lang w:val="af-ZA"/>
        </w:rPr>
        <w:t>(</w:t>
      </w:r>
      <w:r w:rsidRPr="00EF7399">
        <w:rPr>
          <w:rFonts w:ascii="Times New Roman" w:hAnsi="Times New Roman" w:cs="Times New Roman"/>
          <w:lang w:val="af-ZA"/>
        </w:rPr>
        <w:t>կամ</w:t>
      </w:r>
      <w:r w:rsidR="00A90E2A" w:rsidRPr="00EF7399">
        <w:rPr>
          <w:rFonts w:ascii="Times New Roman" w:hAnsi="Times New Roman" w:cs="Times New Roman"/>
          <w:lang w:val="af-ZA"/>
        </w:rPr>
        <w:t>)</w:t>
      </w:r>
      <w:r w:rsidRPr="00EF7399">
        <w:rPr>
          <w:rFonts w:ascii="Times New Roman" w:hAnsi="Times New Roman" w:cs="Times New Roman"/>
          <w:lang w:val="af-ZA"/>
        </w:rPr>
        <w:t xml:space="preserve"> վերջերս կայացված վճիռներից և որոշումներից:</w:t>
      </w:r>
      <w:r w:rsidRPr="00EF7399">
        <w:rPr>
          <w:rStyle w:val="FootnoteReference"/>
          <w:rFonts w:ascii="Times New Roman" w:hAnsi="Times New Roman" w:cs="Times New Roman"/>
          <w:lang w:val="af-ZA"/>
        </w:rPr>
        <w:footnoteReference w:id="1"/>
      </w:r>
    </w:p>
    <w:p w14:paraId="16EFA166" w14:textId="68C567D9" w:rsidR="001922C1" w:rsidRPr="00EF7399" w:rsidRDefault="007A3F4A" w:rsidP="001922C1">
      <w:pPr>
        <w:pStyle w:val="ECHRParaSpaced"/>
        <w:rPr>
          <w:rFonts w:ascii="Times New Roman" w:hAnsi="Times New Roman" w:cs="Times New Roman"/>
          <w:lang w:val="af-ZA"/>
        </w:rPr>
      </w:pPr>
      <w:r w:rsidRPr="00EF7399">
        <w:rPr>
          <w:rFonts w:ascii="Times New Roman" w:hAnsi="Times New Roman" w:cs="Times New Roman"/>
          <w:color w:val="000000"/>
          <w:lang w:val="af-ZA"/>
        </w:rPr>
        <w:t>Դատարանի վճիռներով և որոշումներով ոչ միայն լուծվում են Դատարանին ներկայացված կոնկրետ գործերը, այլև</w:t>
      </w:r>
      <w:r w:rsidR="00B63833" w:rsidRPr="00EF7399">
        <w:rPr>
          <w:rFonts w:ascii="Times New Roman" w:hAnsi="Times New Roman" w:cs="Times New Roman"/>
          <w:color w:val="000000"/>
          <w:lang w:val="af-ZA"/>
        </w:rPr>
        <w:t xml:space="preserve"> </w:t>
      </w:r>
      <w:r w:rsidRPr="00EF7399">
        <w:rPr>
          <w:rFonts w:ascii="Times New Roman" w:hAnsi="Times New Roman" w:cs="Times New Roman"/>
          <w:color w:val="000000"/>
          <w:lang w:val="af-ZA"/>
        </w:rPr>
        <w:t>հետապնդվում է ավելի լայն նպատակ, այն է՝ Կոնվենցիայով սահմանված կանոնների պարզաբանումը, երաշխավորումը և զարգացումը, ինչը նպաստում է պետությունների՝ որպես Պայմանավորվող կողմերի ստանձնած հանձնառությունների կատարմանը (</w:t>
      </w:r>
      <w:hyperlink r:id="rId12" w:history="1">
        <w:r w:rsidR="00B63833" w:rsidRPr="00EF7399">
          <w:rPr>
            <w:rFonts w:ascii="Times New Roman" w:hAnsi="Times New Roman" w:cs="Times New Roman"/>
            <w:i/>
            <w:iCs/>
            <w:color w:val="0072BC" w:themeColor="accent1"/>
            <w:lang w:val="af-ZA"/>
          </w:rPr>
          <w:t>Ireland v. the United Kingdom</w:t>
        </w:r>
      </w:hyperlink>
      <w:r w:rsidRPr="00EF7399">
        <w:rPr>
          <w:rFonts w:ascii="Times New Roman" w:hAnsi="Times New Roman" w:cs="Times New Roman"/>
          <w:color w:val="000000"/>
          <w:lang w:val="af-ZA"/>
        </w:rPr>
        <w:t xml:space="preserve">, 18-ը հունվարի 1978թ., § 154, շարք A թիվ 25, իսկ վերջերս նաև՝ </w:t>
      </w:r>
      <w:hyperlink r:id="rId13" w:history="1">
        <w:r w:rsidR="00B63833" w:rsidRPr="00EF7399">
          <w:rPr>
            <w:rStyle w:val="Hyperlink"/>
            <w:rFonts w:ascii="Times New Roman" w:hAnsi="Times New Roman" w:cs="Times New Roman"/>
            <w:lang w:val="af-ZA"/>
          </w:rPr>
          <w:t>Jeronovičs v. Latvia</w:t>
        </w:r>
      </w:hyperlink>
      <w:r w:rsidR="00B63833" w:rsidRPr="00EF7399">
        <w:rPr>
          <w:rFonts w:ascii="Times New Roman" w:hAnsi="Times New Roman" w:cs="Times New Roman"/>
          <w:color w:val="000000"/>
          <w:lang w:val="af-ZA"/>
        </w:rPr>
        <w:t xml:space="preserve"> </w:t>
      </w:r>
      <w:r w:rsidRPr="00EF7399">
        <w:rPr>
          <w:rFonts w:ascii="Times New Roman" w:hAnsi="Times New Roman" w:cs="Times New Roman"/>
          <w:color w:val="000000"/>
          <w:lang w:val="af-ZA"/>
        </w:rPr>
        <w:t xml:space="preserve">[GC], թիվ </w:t>
      </w:r>
      <w:r w:rsidRPr="00EF7399">
        <w:rPr>
          <w:rFonts w:ascii="Times New Roman" w:hAnsi="Times New Roman" w:cs="Times New Roman"/>
          <w:lang w:val="af-ZA"/>
        </w:rPr>
        <w:t xml:space="preserve">44898/10, </w:t>
      </w:r>
      <w:r w:rsidRPr="00EF7399">
        <w:rPr>
          <w:rFonts w:ascii="Times New Roman" w:hAnsi="Times New Roman" w:cs="Times New Roman"/>
          <w:color w:val="000000"/>
          <w:lang w:val="af-ZA"/>
        </w:rPr>
        <w:t>§ 109, 5-ը հուլիսի 2016թ.)։</w:t>
      </w:r>
      <w:r w:rsidR="00B63833" w:rsidRPr="00EF7399">
        <w:rPr>
          <w:rFonts w:ascii="Times New Roman" w:hAnsi="Times New Roman" w:cs="Times New Roman"/>
          <w:lang w:val="af-ZA"/>
        </w:rPr>
        <w:t xml:space="preserve"> </w:t>
      </w:r>
    </w:p>
    <w:p w14:paraId="020F8047" w14:textId="4C72BCCD" w:rsidR="001922C1" w:rsidRPr="00EF7399" w:rsidRDefault="007A3F4A" w:rsidP="001922C1">
      <w:pPr>
        <w:pStyle w:val="ECHRParaSpaced"/>
        <w:rPr>
          <w:rFonts w:ascii="Times New Roman" w:hAnsi="Times New Roman" w:cs="Times New Roman"/>
          <w:color w:val="000000"/>
          <w:lang w:val="af-ZA"/>
        </w:rPr>
      </w:pPr>
      <w:r w:rsidRPr="00EF7399">
        <w:rPr>
          <w:rFonts w:ascii="Times New Roman" w:hAnsi="Times New Roman" w:cs="Times New Roman"/>
          <w:lang w:val="af-ZA"/>
        </w:rPr>
        <w:t xml:space="preserve">Այսպիսով, Կոնվենցիայի միջոցով ստեղծված համակարգի նպատակն է լուծել հանրային քաղաքականության խնդիրները՝ ելնելով ընդհանուր շահերից, այդկերպ բարձրացնելով մարդու իրավունքների </w:t>
      </w:r>
      <w:r w:rsidRPr="00EF7399">
        <w:rPr>
          <w:rFonts w:ascii="Times New Roman" w:hAnsi="Times New Roman" w:cs="Times New Roman"/>
          <w:color w:val="000000"/>
          <w:lang w:val="af-ZA"/>
        </w:rPr>
        <w:t>պաշտպանության</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չափանիշները</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և տարածելով</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մարդու</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իրավունքներին</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առնչվող</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իրավական</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պրակտիկան</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Կոնվենցիայի</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անդամ</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պետություններում</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w:t>
      </w:r>
      <w:hyperlink r:id="rId14" w:tgtFrame="_blank" w:history="1">
        <w:r w:rsidR="00B63833" w:rsidRPr="00EF7399">
          <w:rPr>
            <w:rFonts w:ascii="Times New Roman" w:hAnsi="Times New Roman" w:cs="Times New Roman"/>
            <w:i/>
            <w:iCs/>
            <w:color w:val="0072BC" w:themeColor="accent1"/>
            <w:lang w:val="af-ZA"/>
          </w:rPr>
          <w:t>Konstantin Markin v. Russia</w:t>
        </w:r>
      </w:hyperlink>
      <w:r w:rsidRPr="00EF7399">
        <w:rPr>
          <w:rFonts w:ascii="Times New Roman" w:hAnsi="Times New Roman" w:cs="Times New Roman"/>
          <w:color w:val="001AD4"/>
          <w:lang w:val="af-ZA"/>
        </w:rPr>
        <w:t xml:space="preserve"> </w:t>
      </w:r>
      <w:r w:rsidRPr="00EF7399">
        <w:rPr>
          <w:rFonts w:ascii="Times New Roman" w:hAnsi="Times New Roman" w:cs="Times New Roman"/>
          <w:color w:val="000000"/>
          <w:lang w:val="af-ZA"/>
        </w:rPr>
        <w:t>[GC],</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2012, § 89)։ Դատարան</w:t>
      </w:r>
      <w:r w:rsidR="006E262E" w:rsidRPr="00EF7399">
        <w:rPr>
          <w:rFonts w:ascii="Times New Roman" w:hAnsi="Times New Roman" w:cs="Times New Roman"/>
          <w:color w:val="000000"/>
          <w:lang w:val="af-ZA"/>
        </w:rPr>
        <w:t>ը</w:t>
      </w:r>
      <w:r w:rsidRPr="00EF7399">
        <w:rPr>
          <w:rFonts w:ascii="Times New Roman" w:hAnsi="Times New Roman" w:cs="Times New Roman"/>
          <w:lang w:val="af-ZA"/>
        </w:rPr>
        <w:t xml:space="preserve"> </w:t>
      </w:r>
      <w:r w:rsidR="00B412CE" w:rsidRPr="00EF7399">
        <w:rPr>
          <w:rFonts w:ascii="Times New Roman" w:hAnsi="Times New Roman" w:cs="Times New Roman"/>
          <w:color w:val="000000"/>
          <w:lang w:val="af-ZA"/>
        </w:rPr>
        <w:t>հատուկ</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շեշտել</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է, որ Կոնվենցիան</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կատարում</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է</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«եվրոպական</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հասարակական</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կարգի</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սահմանադրական</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գործիքի»</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դերը</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մարդու</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իրավունքների</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բնագավառում</w:t>
      </w:r>
      <w:r w:rsidRPr="00EF7399">
        <w:rPr>
          <w:rFonts w:ascii="Times New Roman" w:hAnsi="Times New Roman" w:cs="Times New Roman"/>
          <w:lang w:val="af-ZA"/>
        </w:rPr>
        <w:t xml:space="preserve"> </w:t>
      </w:r>
      <w:r w:rsidRPr="00EF7399">
        <w:rPr>
          <w:rFonts w:ascii="Times New Roman" w:hAnsi="Times New Roman" w:cs="Times New Roman"/>
          <w:color w:val="000000"/>
          <w:lang w:val="af-ZA"/>
        </w:rPr>
        <w:t>(</w:t>
      </w:r>
      <w:hyperlink r:id="rId15" w:history="1">
        <w:r w:rsidR="00B63833" w:rsidRPr="00EF7399">
          <w:rPr>
            <w:rStyle w:val="Hyperlink"/>
            <w:rFonts w:ascii="Times New Roman" w:hAnsi="Times New Roman" w:cs="Times New Roman"/>
            <w:lang w:val="af-ZA"/>
          </w:rPr>
          <w:t>Bosphorus Hava Yolları Turizm ve Ticaret Anonim Şirketi v. Ireland</w:t>
        </w:r>
      </w:hyperlink>
      <w:r w:rsidRPr="00EF7399">
        <w:rPr>
          <w:rFonts w:ascii="Times New Roman" w:hAnsi="Times New Roman" w:cs="Times New Roman"/>
          <w:color w:val="001AD4"/>
          <w:lang w:val="af-ZA"/>
        </w:rPr>
        <w:t xml:space="preserve"> </w:t>
      </w:r>
      <w:r w:rsidRPr="00EF7399">
        <w:rPr>
          <w:rFonts w:ascii="Times New Roman" w:hAnsi="Times New Roman" w:cs="Times New Roman"/>
          <w:color w:val="000000"/>
          <w:lang w:val="af-ZA"/>
        </w:rPr>
        <w:t xml:space="preserve">[GC], թիվ </w:t>
      </w:r>
      <w:r w:rsidRPr="00EF7399">
        <w:rPr>
          <w:rFonts w:ascii="Times New Roman" w:hAnsi="Times New Roman" w:cs="Times New Roman"/>
          <w:lang w:val="af-ZA"/>
        </w:rPr>
        <w:t xml:space="preserve">45036/98, </w:t>
      </w:r>
      <w:r w:rsidRPr="00EF7399">
        <w:rPr>
          <w:rFonts w:ascii="Times New Roman" w:hAnsi="Times New Roman" w:cs="Times New Roman"/>
          <w:color w:val="000000"/>
          <w:lang w:val="af-ZA"/>
        </w:rPr>
        <w:t xml:space="preserve">§ 156, </w:t>
      </w:r>
      <w:r w:rsidRPr="00EF7399">
        <w:rPr>
          <w:rFonts w:ascii="Times New Roman" w:hAnsi="Times New Roman" w:cs="Times New Roman"/>
          <w:lang w:val="af-ZA"/>
        </w:rPr>
        <w:t>ECHR 2005-VI,</w:t>
      </w:r>
      <w:r w:rsidRPr="00EF7399">
        <w:rPr>
          <w:rFonts w:ascii="Times New Roman" w:hAnsi="Times New Roman" w:cs="Times New Roman"/>
          <w:color w:val="000000"/>
          <w:lang w:val="af-ZA"/>
        </w:rPr>
        <w:t xml:space="preserve"> իսկ վերջերս նաև` </w:t>
      </w:r>
      <w:hyperlink r:id="rId16" w:history="1">
        <w:r w:rsidR="00B63833" w:rsidRPr="00EF7399">
          <w:rPr>
            <w:rStyle w:val="Hyperlink"/>
            <w:rFonts w:ascii="Times New Roman" w:hAnsi="Times New Roman" w:cs="Times New Roman"/>
            <w:lang w:val="af-ZA"/>
          </w:rPr>
          <w:t>N.D. and N.T. v. Spain</w:t>
        </w:r>
      </w:hyperlink>
      <w:r w:rsidR="00B63833" w:rsidRPr="00EF7399">
        <w:rPr>
          <w:rFonts w:ascii="Times New Roman" w:hAnsi="Times New Roman" w:cs="Times New Roman"/>
          <w:color w:val="000000"/>
          <w:lang w:val="af-ZA"/>
        </w:rPr>
        <w:t xml:space="preserve"> </w:t>
      </w:r>
      <w:r w:rsidRPr="00EF7399">
        <w:rPr>
          <w:rFonts w:ascii="Times New Roman" w:hAnsi="Times New Roman" w:cs="Times New Roman"/>
          <w:color w:val="000000"/>
          <w:lang w:val="af-ZA"/>
        </w:rPr>
        <w:t xml:space="preserve">[GC], </w:t>
      </w:r>
      <w:r w:rsidRPr="00EF7399">
        <w:rPr>
          <w:rFonts w:ascii="Times New Roman" w:hAnsi="Times New Roman" w:cs="Times New Roman"/>
          <w:lang w:val="af-ZA"/>
        </w:rPr>
        <w:t xml:space="preserve">թիվ 8675/15 և 8697/15, </w:t>
      </w:r>
      <w:r w:rsidRPr="00EF7399">
        <w:rPr>
          <w:rFonts w:ascii="Times New Roman" w:hAnsi="Times New Roman" w:cs="Times New Roman"/>
          <w:color w:val="000000"/>
          <w:lang w:val="af-ZA"/>
        </w:rPr>
        <w:t>§ 110, 13-ը փետրվարի 2020թ.)։</w:t>
      </w:r>
    </w:p>
    <w:p w14:paraId="20FEEDA3" w14:textId="16299F2C" w:rsidR="00C20EF7" w:rsidRPr="00EF7399" w:rsidRDefault="007A3F4A" w:rsidP="001922C1">
      <w:pPr>
        <w:pStyle w:val="ECHRParaSpaced"/>
        <w:rPr>
          <w:rFonts w:ascii="Times New Roman" w:hAnsi="Times New Roman" w:cs="Times New Roman"/>
          <w:lang w:val="af-ZA"/>
        </w:rPr>
      </w:pPr>
      <w:bookmarkStart w:id="11" w:name="_Hlk109038103"/>
      <w:r w:rsidRPr="00EF7399">
        <w:rPr>
          <w:rFonts w:ascii="Times New Roman" w:hAnsi="Times New Roman" w:cs="Times New Roman"/>
          <w:color w:val="000000"/>
          <w:lang w:val="af-ZA"/>
        </w:rPr>
        <w:t>Կոնվենցիայի թիվ 15 արձանագրությունը վերջերս ներմուծեց սուբսիդիարության սկզբունքը Կոնվենցիայի նախաբանում: Սկզբունքը սահմանում է մարդու իրավունքների պաշտպանության բնագավառում «Մասնակից պետությունների և Դատարանի համատեղ պատասխանատվություն», իսկ ազգային իշխանությունները և դատարանները պարտավոր են այնպես մեկնաբանել և կիրառել ներպետական օրենսդրությունը, որ ապահովեն Կոնվենցիայում և դրան կից Արձանագրություններում սահմանված իրավունքների և ազատությունների լիարժեք իրագործումը</w:t>
      </w:r>
      <w:r w:rsidRPr="00EF7399">
        <w:rPr>
          <w:rFonts w:ascii="Calibri" w:hAnsi="Calibri" w:cs="Calibri"/>
          <w:lang w:val="af-ZA"/>
        </w:rPr>
        <w:t xml:space="preserve"> </w:t>
      </w:r>
      <w:r w:rsidRPr="00EF7399">
        <w:rPr>
          <w:rFonts w:ascii="Times New Roman" w:hAnsi="Times New Roman" w:cs="Times New Roman"/>
          <w:lang w:val="af-ZA"/>
        </w:rPr>
        <w:t>(</w:t>
      </w:r>
      <w:hyperlink r:id="rId17" w:history="1">
        <w:r w:rsidR="00B63833" w:rsidRPr="00EF7399">
          <w:rPr>
            <w:rStyle w:val="Hyperlink"/>
            <w:rFonts w:ascii="Times New Roman" w:hAnsi="Times New Roman" w:cs="Times New Roman"/>
            <w:lang w:val="af-ZA"/>
          </w:rPr>
          <w:t>Grzęda v. Poland</w:t>
        </w:r>
      </w:hyperlink>
      <w:r w:rsidR="00B63833" w:rsidRPr="00EF7399">
        <w:rPr>
          <w:rFonts w:ascii="Times New Roman" w:hAnsi="Times New Roman" w:cs="Times New Roman"/>
          <w:lang w:val="af-ZA"/>
        </w:rPr>
        <w:t xml:space="preserve"> </w:t>
      </w:r>
      <w:r w:rsidRPr="00EF7399">
        <w:rPr>
          <w:rFonts w:ascii="Times New Roman" w:hAnsi="Times New Roman" w:cs="Times New Roman"/>
          <w:lang w:val="af-ZA"/>
        </w:rPr>
        <w:t xml:space="preserve">[GC], § 324): </w:t>
      </w:r>
      <w:bookmarkEnd w:id="11"/>
    </w:p>
    <w:p w14:paraId="27B8DC71" w14:textId="52308FF4" w:rsidR="001922C1" w:rsidRPr="00EF7399" w:rsidRDefault="007A3F4A" w:rsidP="001922C1">
      <w:pPr>
        <w:pStyle w:val="ECHRParaSpaced"/>
        <w:rPr>
          <w:rFonts w:ascii="Times New Roman" w:hAnsi="Times New Roman" w:cs="Times New Roman"/>
          <w:lang w:val="af-ZA"/>
        </w:rPr>
      </w:pPr>
      <w:r w:rsidRPr="00EF7399">
        <w:rPr>
          <w:rFonts w:ascii="Times New Roman" w:hAnsi="Times New Roman" w:cs="Times New Roman"/>
          <w:color w:val="000000"/>
          <w:lang w:val="af-ZA"/>
        </w:rPr>
        <w:t>Սույն ուղեցույցը պարունակում է հղումներ Կոնվենցիայից և վերջինիս Լրացուցիչ արձանագրություններից մեջբերված հոդվածներից յուրաքանչյուրում օգտագործված «բանալի» բառերին։ Յուրաքանչյուր գործով քննարկված իրավական խնդիրներն ամփոփված են Բանալի բառերի ցանկում (անգլ.՝ «</w:t>
      </w:r>
      <w:hyperlink r:id="rId18" w:history="1">
        <w:r w:rsidR="00B63833" w:rsidRPr="00EF7399">
          <w:rPr>
            <w:rStyle w:val="Hyperlink"/>
            <w:rFonts w:ascii="Times New Roman" w:hAnsi="Times New Roman" w:cs="Times New Roman"/>
            <w:lang w:val="af-ZA"/>
          </w:rPr>
          <w:t>List of keywords</w:t>
        </w:r>
      </w:hyperlink>
      <w:r w:rsidRPr="00EF7399">
        <w:rPr>
          <w:rFonts w:ascii="Times New Roman" w:hAnsi="Times New Roman" w:cs="Times New Roman"/>
          <w:color w:val="000000"/>
          <w:lang w:val="af-ZA"/>
        </w:rPr>
        <w:t>»), որոնք ընտրվել են (հիմնականում) Կոնվենցիայի և Արձանագրությունների տեքստից անմիջականորեն վերցված եզրույթների բառարանից։</w:t>
      </w:r>
    </w:p>
    <w:bookmarkEnd w:id="3"/>
    <w:p w14:paraId="31677F34" w14:textId="4E16959A" w:rsidR="00AF7D75" w:rsidRPr="00EF7399" w:rsidRDefault="007A3F4A" w:rsidP="009D0545">
      <w:pPr>
        <w:pStyle w:val="ECHRParaSpaced"/>
        <w:rPr>
          <w:rFonts w:ascii="Times New Roman" w:hAnsi="Times New Roman" w:cs="Times New Roman"/>
          <w:lang w:val="af-ZA"/>
        </w:rPr>
      </w:pPr>
      <w:r w:rsidRPr="00EF7399">
        <w:rPr>
          <w:rFonts w:ascii="Times New Roman" w:hAnsi="Times New Roman" w:cs="Times New Roman"/>
          <w:color w:val="000000"/>
          <w:lang w:val="af-ZA"/>
        </w:rPr>
        <w:lastRenderedPageBreak/>
        <w:t xml:space="preserve">Դատարանի նախադեպային իրավունքի </w:t>
      </w:r>
      <w:hyperlink r:id="rId19" w:history="1">
        <w:r w:rsidR="00B63833" w:rsidRPr="00EF7399">
          <w:rPr>
            <w:rStyle w:val="Hyperlink"/>
            <w:rFonts w:ascii="Times New Roman" w:hAnsi="Times New Roman" w:cs="Times New Roman"/>
            <w:lang w:val="af-ZA"/>
          </w:rPr>
          <w:t>HUDOC database</w:t>
        </w:r>
      </w:hyperlink>
      <w:r w:rsidRPr="00EF7399">
        <w:rPr>
          <w:rFonts w:ascii="Times New Roman" w:hAnsi="Times New Roman" w:cs="Times New Roman"/>
          <w:color w:val="001AD4"/>
          <w:lang w:val="af-ZA"/>
        </w:rPr>
        <w:t xml:space="preserve"> </w:t>
      </w:r>
      <w:r w:rsidRPr="00EF7399">
        <w:rPr>
          <w:rFonts w:ascii="Times New Roman" w:hAnsi="Times New Roman" w:cs="Times New Roman"/>
          <w:color w:val="000000"/>
          <w:lang w:val="af-ZA"/>
        </w:rPr>
        <w:t>շտեմարանում հնարավոր է որոնումներ կատարել ըստ բանալի բառերի։ Բանալի բառերով որոնելու պարագայում կարելի է գտնել նմանաբնույթ իրավաբանական բովանդակություն ունեցող փաստաթղթերի խումբ (բանալի բառերի օգնությամբ ամբողջացվում են յուրաքանչյուր գործի վերաբերյալ Դատարանի պատճառաբանությունները և եզրակացությունները)։ Առանձին գործերի բանալի բառերը կարելի է գտնել՝ «HUDOC» համակարգում սեղմելով «Case Details» կոճակը։ «HUDOC» շտեմարանի և բանալի բառերի վերաբերյալ լրացուցիչ տեղեկությունների համար, տե՛ս «HUDOC»-ի օգտագործման ձեռնարկը (անգլ.՝ «</w:t>
      </w:r>
      <w:hyperlink r:id="rId20" w:history="1">
        <w:r w:rsidR="00B63833" w:rsidRPr="00EF7399">
          <w:rPr>
            <w:rStyle w:val="Hyperlink"/>
            <w:rFonts w:ascii="Times New Roman" w:hAnsi="Times New Roman" w:cs="Times New Roman"/>
            <w:lang w:val="af-ZA"/>
          </w:rPr>
          <w:t>HUDOC user manual</w:t>
        </w:r>
      </w:hyperlink>
      <w:r w:rsidRPr="00EF7399">
        <w:rPr>
          <w:rFonts w:ascii="Times New Roman" w:hAnsi="Times New Roman" w:cs="Times New Roman"/>
          <w:color w:val="000000"/>
          <w:lang w:val="af-ZA"/>
        </w:rPr>
        <w:t>»)։</w:t>
      </w:r>
      <w:r w:rsidR="00CF34B6" w:rsidRPr="00EF7399">
        <w:rPr>
          <w:rFonts w:ascii="Times New Roman" w:hAnsi="Times New Roman" w:cs="Times New Roman"/>
          <w:lang w:val="af-ZA"/>
        </w:rPr>
        <w:br w:type="page"/>
      </w:r>
    </w:p>
    <w:p w14:paraId="6A87B046" w14:textId="4176B536" w:rsidR="009A5236" w:rsidRPr="00EF7399" w:rsidRDefault="007A3F4A" w:rsidP="00523420">
      <w:pPr>
        <w:pStyle w:val="ECHRHeading1"/>
        <w:rPr>
          <w:rFonts w:ascii="Times New Roman" w:hAnsi="Times New Roman" w:cs="Times New Roman"/>
          <w:lang w:val="af-ZA"/>
        </w:rPr>
      </w:pPr>
      <w:bookmarkStart w:id="12" w:name="_Toc159945202"/>
      <w:bookmarkEnd w:id="4"/>
      <w:bookmarkEnd w:id="5"/>
      <w:bookmarkEnd w:id="6"/>
      <w:bookmarkEnd w:id="7"/>
      <w:bookmarkEnd w:id="8"/>
      <w:bookmarkEnd w:id="9"/>
      <w:r w:rsidRPr="00EF7399">
        <w:rPr>
          <w:rFonts w:ascii="Times New Roman" w:hAnsi="Times New Roman" w:cs="Times New Roman"/>
          <w:bCs/>
          <w:color w:val="2D2D2D"/>
          <w:szCs w:val="36"/>
          <w:lang w:val="af-ZA"/>
        </w:rPr>
        <w:lastRenderedPageBreak/>
        <w:t>Հավաքների ազատություն</w:t>
      </w:r>
      <w:bookmarkEnd w:id="12"/>
    </w:p>
    <w:p w14:paraId="72826B15" w14:textId="77777777" w:rsidR="00E976B6" w:rsidRPr="00EF7399" w:rsidRDefault="00E976B6" w:rsidP="00AE72C6">
      <w:pPr>
        <w:pStyle w:val="ECHRParaHanging"/>
        <w:rPr>
          <w:rFonts w:ascii="Times New Roman" w:hAnsi="Times New Roman" w:cs="Times New Roman"/>
          <w:lang w:val="af-ZA"/>
        </w:rPr>
      </w:pPr>
    </w:p>
    <w:tbl>
      <w:tblPr>
        <w:tblStyle w:val="ECHRTableGre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017"/>
      </w:tblGrid>
      <w:tr w:rsidR="00090106" w:rsidRPr="00EF7399" w14:paraId="6ACF6368" w14:textId="77777777" w:rsidTr="007628EE">
        <w:trPr>
          <w:trHeight w:val="1027"/>
        </w:trPr>
        <w:tc>
          <w:tcPr>
            <w:tcW w:w="9243" w:type="dxa"/>
          </w:tcPr>
          <w:p w14:paraId="1052F5EC" w14:textId="34062D54" w:rsidR="00090106" w:rsidRPr="00EF7399" w:rsidRDefault="007A3F4A" w:rsidP="002637D9">
            <w:pPr>
              <w:pStyle w:val="TableBoldBlue"/>
              <w:rPr>
                <w:rFonts w:ascii="Times New Roman" w:hAnsi="Times New Roman" w:cs="Times New Roman"/>
                <w:lang w:val="af-ZA"/>
              </w:rPr>
            </w:pPr>
            <w:r w:rsidRPr="00EF7399">
              <w:rPr>
                <w:rFonts w:ascii="Times New Roman" w:hAnsi="Times New Roman" w:cs="Times New Roman"/>
                <w:bCs/>
                <w:color w:val="005189"/>
                <w:lang w:val="af-ZA"/>
              </w:rPr>
              <w:t>Կոնվենցիայի 11-րդ հոդված</w:t>
            </w:r>
          </w:p>
          <w:p w14:paraId="59B12AC9" w14:textId="18485948" w:rsidR="00421E01" w:rsidRPr="00442543" w:rsidRDefault="007A3F4A" w:rsidP="001262C7">
            <w:pPr>
              <w:pStyle w:val="ECHRParaQuote"/>
              <w:rPr>
                <w:rFonts w:ascii="Times New Roman" w:hAnsi="Times New Roman" w:cs="Times New Roman"/>
                <w:szCs w:val="20"/>
                <w:lang w:val="af-ZA"/>
              </w:rPr>
            </w:pPr>
            <w:r w:rsidRPr="00442543">
              <w:rPr>
                <w:rFonts w:ascii="Times New Roman" w:hAnsi="Times New Roman" w:cs="Times New Roman"/>
                <w:szCs w:val="20"/>
                <w:lang w:val="af-ZA"/>
              </w:rPr>
              <w:t>«</w:t>
            </w:r>
            <w:r w:rsidR="00421E01" w:rsidRPr="00442543">
              <w:rPr>
                <w:rFonts w:ascii="Times New Roman" w:hAnsi="Times New Roman" w:cs="Times New Roman"/>
                <w:szCs w:val="20"/>
                <w:lang w:val="af-ZA"/>
              </w:rPr>
              <w:t>1.  </w:t>
            </w:r>
            <w:r w:rsidRPr="00442543">
              <w:rPr>
                <w:rFonts w:ascii="Times New Roman" w:hAnsi="Times New Roman" w:cs="Times New Roman"/>
                <w:szCs w:val="20"/>
                <w:lang w:val="af-ZA"/>
              </w:rPr>
              <w:t>Յուրաքանչյուր ոք ունի խաղաղ հավաքների ազատության և այլոց հետ միավորվելու ազատության իրավունք` ներառյալ իր շահերի պաշտպանության համար արհմիություններ ստեղծելու և դրանց անդամակցելու իրավունքը։</w:t>
            </w:r>
          </w:p>
          <w:p w14:paraId="7CC348DE" w14:textId="0D3F41F3" w:rsidR="00E842E2" w:rsidRPr="00EF7399" w:rsidRDefault="00421E01" w:rsidP="00E842E2">
            <w:pPr>
              <w:pStyle w:val="ECHRParaQuote"/>
              <w:rPr>
                <w:rFonts w:ascii="Times New Roman" w:hAnsi="Times New Roman" w:cs="Times New Roman"/>
                <w:lang w:val="af-ZA"/>
              </w:rPr>
            </w:pPr>
            <w:r w:rsidRPr="00442543">
              <w:rPr>
                <w:rFonts w:ascii="Times New Roman" w:hAnsi="Times New Roman" w:cs="Times New Roman"/>
                <w:lang w:val="af-ZA"/>
              </w:rPr>
              <w:t>2.  </w:t>
            </w:r>
            <w:r w:rsidR="007A3F4A" w:rsidRPr="00442543">
              <w:rPr>
                <w:rFonts w:ascii="Times New Roman" w:hAnsi="Times New Roman" w:cs="Times New Roman"/>
                <w:szCs w:val="20"/>
                <w:lang w:val="af-ZA"/>
              </w:rPr>
              <w:t>Այս իրավունքների իրականացումը ենթակա չէ որևէ սահմանափակման, բացի նրանցից, որոնք նախատեսված են օրենքով և անհրաժեշտ են ժողովրդավարական հասարակությունում՝ ի շահ պետական անվտանգության կամ հասարակության անվտանգության, անկարգությունները կամ հանցագործությունները կանխելու, առողջությունը կամ բարոյականությունը կամ այլ անձանց իրավունքներն ու ազատությունները պաշտպանելու նպատակով: Սույն հոդվածը չի խոչընդոտում օրինական սահմանափակումներ նախատեսել զինված ուժերի, ոստիկանության և պետական վարչակազմի մեջ մտնող անձանց կողմից այդ իրավունքների իրականացման նկատմամբ»:</w:t>
            </w:r>
          </w:p>
        </w:tc>
      </w:tr>
      <w:tr w:rsidR="007628EE" w:rsidRPr="00EF7399" w14:paraId="6F209C46" w14:textId="77777777" w:rsidTr="00564A79">
        <w:trPr>
          <w:trHeight w:val="772"/>
        </w:trPr>
        <w:tc>
          <w:tcPr>
            <w:tcW w:w="9243" w:type="dxa"/>
          </w:tcPr>
          <w:p w14:paraId="3125893D" w14:textId="0FE3C56B" w:rsidR="007628EE" w:rsidRPr="00EF7399" w:rsidRDefault="007628EE" w:rsidP="002637D9">
            <w:pPr>
              <w:pStyle w:val="TableBoldBlue"/>
              <w:rPr>
                <w:rFonts w:ascii="Times New Roman" w:hAnsi="Times New Roman" w:cs="Times New Roman"/>
                <w:lang w:val="af-ZA"/>
              </w:rPr>
            </w:pPr>
            <w:r w:rsidRPr="00EF7399">
              <w:rPr>
                <w:rFonts w:ascii="Times New Roman" w:hAnsi="Times New Roman" w:cs="Times New Roman"/>
                <w:lang w:val="af-ZA"/>
              </w:rPr>
              <w:t>HUDOC</w:t>
            </w:r>
            <w:r w:rsidR="007A3F4A" w:rsidRPr="00EF7399">
              <w:rPr>
                <w:rFonts w:ascii="Times New Roman" w:hAnsi="Times New Roman" w:cs="Times New Roman"/>
                <w:lang w:val="af-ZA"/>
              </w:rPr>
              <w:t>-</w:t>
            </w:r>
            <w:r w:rsidR="007A3F4A" w:rsidRPr="00EF7399">
              <w:rPr>
                <w:rFonts w:ascii="Times New Roman" w:hAnsi="Times New Roman" w:cs="Times New Roman"/>
                <w:bCs/>
                <w:color w:val="005189"/>
                <w:lang w:val="af-ZA"/>
              </w:rPr>
              <w:t>ի բանալի բառեր</w:t>
            </w:r>
          </w:p>
          <w:p w14:paraId="080EB7C4" w14:textId="09B50F22" w:rsidR="00205539" w:rsidRPr="00EF7399" w:rsidRDefault="00A90DFC" w:rsidP="00205539">
            <w:pPr>
              <w:pStyle w:val="ECHRParaQuote"/>
              <w:rPr>
                <w:rFonts w:ascii="Times New Roman" w:hAnsi="Times New Roman" w:cs="Times New Roman"/>
                <w:lang w:val="af-ZA"/>
              </w:rPr>
            </w:pPr>
            <w:r w:rsidRPr="00A90DFC">
              <w:rPr>
                <w:rFonts w:ascii="Times New Roman" w:hAnsi="Times New Roman" w:cs="Times New Roman"/>
                <w:lang w:val="af-ZA"/>
              </w:rPr>
              <w:t xml:space="preserve">Խաղաղ հավաքների ազատություն </w:t>
            </w:r>
            <w:r>
              <w:rPr>
                <w:rFonts w:ascii="Times New Roman" w:hAnsi="Times New Roman" w:cs="Times New Roman"/>
                <w:lang w:val="af-ZA"/>
              </w:rPr>
              <w:t>(</w:t>
            </w:r>
            <w:r w:rsidR="00205539" w:rsidRPr="00EF7399">
              <w:rPr>
                <w:rFonts w:ascii="Times New Roman" w:hAnsi="Times New Roman" w:cs="Times New Roman"/>
                <w:lang w:val="af-ZA"/>
              </w:rPr>
              <w:t>Freedom of peaceful assembly</w:t>
            </w:r>
            <w:r>
              <w:rPr>
                <w:rFonts w:ascii="Times New Roman" w:hAnsi="Times New Roman" w:cs="Times New Roman"/>
                <w:lang w:val="af-ZA"/>
              </w:rPr>
              <w:t>)</w:t>
            </w:r>
            <w:r w:rsidR="00205539" w:rsidRPr="00EF7399">
              <w:rPr>
                <w:rFonts w:ascii="Times New Roman" w:hAnsi="Times New Roman" w:cs="Times New Roman"/>
                <w:lang w:val="af-ZA"/>
              </w:rPr>
              <w:t xml:space="preserve"> (11-1) – </w:t>
            </w:r>
            <w:r w:rsidRPr="00A90DFC">
              <w:rPr>
                <w:rFonts w:ascii="Times New Roman" w:hAnsi="Times New Roman" w:cs="Times New Roman"/>
                <w:lang w:val="af-ZA"/>
              </w:rPr>
              <w:t xml:space="preserve">Միավորման ազատություն </w:t>
            </w:r>
            <w:r>
              <w:rPr>
                <w:rFonts w:ascii="Times New Roman" w:hAnsi="Times New Roman" w:cs="Times New Roman"/>
                <w:lang w:val="af-ZA"/>
              </w:rPr>
              <w:t>(</w:t>
            </w:r>
            <w:r w:rsidR="00205539" w:rsidRPr="00EF7399">
              <w:rPr>
                <w:rFonts w:ascii="Times New Roman" w:hAnsi="Times New Roman" w:cs="Times New Roman"/>
                <w:lang w:val="af-ZA"/>
              </w:rPr>
              <w:t>Freedom of association</w:t>
            </w:r>
            <w:r>
              <w:rPr>
                <w:rFonts w:ascii="Times New Roman" w:hAnsi="Times New Roman" w:cs="Times New Roman"/>
                <w:lang w:val="af-ZA"/>
              </w:rPr>
              <w:t>)</w:t>
            </w:r>
            <w:r w:rsidR="00205539" w:rsidRPr="00EF7399">
              <w:rPr>
                <w:rFonts w:ascii="Times New Roman" w:hAnsi="Times New Roman" w:cs="Times New Roman"/>
                <w:lang w:val="af-ZA"/>
              </w:rPr>
              <w:t xml:space="preserve"> (11-1) –</w:t>
            </w:r>
            <w:r>
              <w:rPr>
                <w:rFonts w:ascii="Times New Roman" w:hAnsi="Times New Roman" w:cs="Times New Roman"/>
                <w:lang w:val="af-ZA"/>
              </w:rPr>
              <w:t xml:space="preserve"> </w:t>
            </w:r>
            <w:r w:rsidRPr="00A90DFC">
              <w:rPr>
                <w:rFonts w:ascii="Times New Roman" w:hAnsi="Times New Roman" w:cs="Times New Roman"/>
                <w:lang w:val="af-ZA"/>
              </w:rPr>
              <w:t>Հիմնել</w:t>
            </w:r>
            <w:r w:rsidR="00C74603">
              <w:rPr>
                <w:rFonts w:ascii="Times New Roman" w:hAnsi="Times New Roman" w:cs="Times New Roman"/>
                <w:lang w:val="af-ZA"/>
              </w:rPr>
              <w:t>/</w:t>
            </w:r>
            <w:r w:rsidRPr="00A90DFC">
              <w:rPr>
                <w:rFonts w:ascii="Times New Roman" w:hAnsi="Times New Roman" w:cs="Times New Roman"/>
                <w:lang w:val="af-ZA"/>
              </w:rPr>
              <w:t>միանալ արհեստակցական միություններին</w:t>
            </w:r>
            <w:r w:rsidR="00205539" w:rsidRPr="00EF7399">
              <w:rPr>
                <w:rFonts w:ascii="Times New Roman" w:hAnsi="Times New Roman" w:cs="Times New Roman"/>
                <w:lang w:val="af-ZA"/>
              </w:rPr>
              <w:t xml:space="preserve"> </w:t>
            </w:r>
            <w:r>
              <w:rPr>
                <w:rFonts w:ascii="Times New Roman" w:hAnsi="Times New Roman" w:cs="Times New Roman"/>
                <w:lang w:val="af-ZA"/>
              </w:rPr>
              <w:t>(</w:t>
            </w:r>
            <w:r w:rsidR="00205539" w:rsidRPr="00EF7399">
              <w:rPr>
                <w:rFonts w:ascii="Times New Roman" w:hAnsi="Times New Roman" w:cs="Times New Roman"/>
                <w:lang w:val="af-ZA"/>
              </w:rPr>
              <w:t>Form and join trade unions</w:t>
            </w:r>
            <w:r>
              <w:rPr>
                <w:rFonts w:ascii="Times New Roman" w:hAnsi="Times New Roman" w:cs="Times New Roman"/>
                <w:lang w:val="af-ZA"/>
              </w:rPr>
              <w:t>)</w:t>
            </w:r>
            <w:r w:rsidR="00205539" w:rsidRPr="00EF7399">
              <w:rPr>
                <w:rFonts w:ascii="Times New Roman" w:hAnsi="Times New Roman" w:cs="Times New Roman"/>
                <w:lang w:val="af-ZA"/>
              </w:rPr>
              <w:t xml:space="preserve"> (11-1) – </w:t>
            </w:r>
            <w:r w:rsidR="00A4722E" w:rsidRPr="00A4722E">
              <w:rPr>
                <w:rFonts w:ascii="Times New Roman" w:hAnsi="Times New Roman" w:cs="Times New Roman"/>
                <w:lang w:val="af-ZA"/>
              </w:rPr>
              <w:t>Չմիանալ արհմիություններին</w:t>
            </w:r>
            <w:r w:rsidR="00A4722E">
              <w:rPr>
                <w:rFonts w:ascii="Times New Roman" w:hAnsi="Times New Roman" w:cs="Times New Roman"/>
                <w:lang w:val="af-ZA"/>
              </w:rPr>
              <w:t xml:space="preserve"> (</w:t>
            </w:r>
            <w:r w:rsidR="00205539" w:rsidRPr="00EF7399">
              <w:rPr>
                <w:rFonts w:ascii="Times New Roman" w:hAnsi="Times New Roman" w:cs="Times New Roman"/>
                <w:lang w:val="af-ZA"/>
              </w:rPr>
              <w:t>Not join trade unions</w:t>
            </w:r>
            <w:r w:rsidR="00A4722E">
              <w:rPr>
                <w:rFonts w:ascii="Times New Roman" w:hAnsi="Times New Roman" w:cs="Times New Roman"/>
                <w:lang w:val="af-ZA"/>
              </w:rPr>
              <w:t>)</w:t>
            </w:r>
            <w:r w:rsidR="00205539" w:rsidRPr="00EF7399">
              <w:rPr>
                <w:rFonts w:ascii="Times New Roman" w:hAnsi="Times New Roman" w:cs="Times New Roman"/>
                <w:lang w:val="af-ZA"/>
              </w:rPr>
              <w:t xml:space="preserve"> (11-1) –</w:t>
            </w:r>
            <w:r w:rsidR="00A4722E">
              <w:rPr>
                <w:rFonts w:ascii="Times New Roman" w:hAnsi="Times New Roman" w:cs="Times New Roman"/>
                <w:lang w:val="af-ZA"/>
              </w:rPr>
              <w:t xml:space="preserve"> </w:t>
            </w:r>
            <w:r w:rsidR="00A4722E" w:rsidRPr="00A4722E">
              <w:rPr>
                <w:rFonts w:ascii="Times New Roman" w:hAnsi="Times New Roman" w:cs="Times New Roman"/>
                <w:lang w:val="af-ZA"/>
              </w:rPr>
              <w:t xml:space="preserve">Անդամների շահեր </w:t>
            </w:r>
            <w:r w:rsidR="00A4722E">
              <w:rPr>
                <w:rFonts w:ascii="Times New Roman" w:hAnsi="Times New Roman" w:cs="Times New Roman"/>
                <w:lang w:val="af-ZA"/>
              </w:rPr>
              <w:t>(</w:t>
            </w:r>
            <w:r w:rsidR="00205539" w:rsidRPr="00EF7399">
              <w:rPr>
                <w:rFonts w:ascii="Times New Roman" w:hAnsi="Times New Roman" w:cs="Times New Roman"/>
                <w:lang w:val="af-ZA"/>
              </w:rPr>
              <w:t>Interests of members</w:t>
            </w:r>
            <w:r w:rsidR="00A4722E">
              <w:rPr>
                <w:rFonts w:ascii="Times New Roman" w:hAnsi="Times New Roman" w:cs="Times New Roman"/>
                <w:lang w:val="af-ZA"/>
              </w:rPr>
              <w:t>)</w:t>
            </w:r>
            <w:r w:rsidR="00205539" w:rsidRPr="00EF7399">
              <w:rPr>
                <w:rFonts w:ascii="Times New Roman" w:hAnsi="Times New Roman" w:cs="Times New Roman"/>
                <w:lang w:val="af-ZA"/>
              </w:rPr>
              <w:t xml:space="preserve"> (11-1)</w:t>
            </w:r>
          </w:p>
          <w:p w14:paraId="37AC7C12" w14:textId="2F0F32CF" w:rsidR="007628EE" w:rsidRPr="00EF7399" w:rsidRDefault="00A4722E" w:rsidP="00205539">
            <w:pPr>
              <w:pStyle w:val="ECHRParaQuote"/>
              <w:rPr>
                <w:rFonts w:ascii="Times New Roman" w:hAnsi="Times New Roman" w:cs="Times New Roman"/>
                <w:lang w:val="af-ZA"/>
              </w:rPr>
            </w:pPr>
            <w:r w:rsidRPr="00A4722E">
              <w:rPr>
                <w:rFonts w:ascii="Times New Roman" w:hAnsi="Times New Roman" w:cs="Times New Roman"/>
                <w:lang w:val="af-ZA"/>
              </w:rPr>
              <w:t>Միջամտություն</w:t>
            </w:r>
            <w:r>
              <w:rPr>
                <w:rFonts w:ascii="Times New Roman" w:hAnsi="Times New Roman" w:cs="Times New Roman"/>
                <w:lang w:val="af-ZA"/>
              </w:rPr>
              <w:t xml:space="preserve"> (</w:t>
            </w:r>
            <w:r w:rsidR="00205539" w:rsidRPr="00EF7399">
              <w:rPr>
                <w:rFonts w:ascii="Times New Roman" w:hAnsi="Times New Roman" w:cs="Times New Roman"/>
                <w:lang w:val="af-ZA"/>
              </w:rPr>
              <w:t>Interference</w:t>
            </w:r>
            <w:r>
              <w:rPr>
                <w:rFonts w:ascii="Times New Roman" w:hAnsi="Times New Roman" w:cs="Times New Roman"/>
                <w:lang w:val="af-ZA"/>
              </w:rPr>
              <w:t>)</w:t>
            </w:r>
            <w:r w:rsidR="00205539" w:rsidRPr="00EF7399">
              <w:rPr>
                <w:rFonts w:ascii="Times New Roman" w:hAnsi="Times New Roman" w:cs="Times New Roman"/>
                <w:lang w:val="af-ZA"/>
              </w:rPr>
              <w:t xml:space="preserve"> (11-2) –</w:t>
            </w:r>
            <w:r>
              <w:rPr>
                <w:rFonts w:ascii="Times New Roman" w:hAnsi="Times New Roman" w:cs="Times New Roman"/>
                <w:lang w:val="af-ZA"/>
              </w:rPr>
              <w:t xml:space="preserve"> </w:t>
            </w:r>
            <w:r w:rsidRPr="00A4722E">
              <w:rPr>
                <w:rFonts w:ascii="Times New Roman" w:hAnsi="Times New Roman" w:cs="Times New Roman"/>
                <w:lang w:val="af-ZA"/>
              </w:rPr>
              <w:t>Օրենքով սահմանված</w:t>
            </w:r>
            <w:r w:rsidR="00205539" w:rsidRPr="00EF7399">
              <w:rPr>
                <w:rFonts w:ascii="Times New Roman" w:hAnsi="Times New Roman" w:cs="Times New Roman"/>
                <w:lang w:val="af-ZA"/>
              </w:rPr>
              <w:t xml:space="preserve"> </w:t>
            </w:r>
            <w:r>
              <w:rPr>
                <w:rFonts w:ascii="Times New Roman" w:hAnsi="Times New Roman" w:cs="Times New Roman"/>
                <w:lang w:val="af-ZA"/>
              </w:rPr>
              <w:t>(</w:t>
            </w:r>
            <w:r w:rsidR="00205539" w:rsidRPr="00EF7399">
              <w:rPr>
                <w:rFonts w:ascii="Times New Roman" w:hAnsi="Times New Roman" w:cs="Times New Roman"/>
                <w:lang w:val="af-ZA"/>
              </w:rPr>
              <w:t>Prescribed by law</w:t>
            </w:r>
            <w:r>
              <w:rPr>
                <w:rFonts w:ascii="Times New Roman" w:hAnsi="Times New Roman" w:cs="Times New Roman"/>
                <w:lang w:val="af-ZA"/>
              </w:rPr>
              <w:t>)</w:t>
            </w:r>
            <w:r w:rsidR="00205539" w:rsidRPr="00EF7399">
              <w:rPr>
                <w:rFonts w:ascii="Times New Roman" w:hAnsi="Times New Roman" w:cs="Times New Roman"/>
                <w:lang w:val="af-ZA"/>
              </w:rPr>
              <w:t xml:space="preserve"> (11-2): </w:t>
            </w:r>
            <w:r w:rsidRPr="00A4722E">
              <w:rPr>
                <w:rFonts w:ascii="Times New Roman" w:hAnsi="Times New Roman" w:cs="Times New Roman"/>
                <w:lang w:val="af-ZA"/>
              </w:rPr>
              <w:t>Մատչելիություն</w:t>
            </w:r>
            <w:r>
              <w:rPr>
                <w:rFonts w:ascii="Times New Roman" w:hAnsi="Times New Roman" w:cs="Times New Roman"/>
                <w:lang w:val="af-ZA"/>
              </w:rPr>
              <w:t xml:space="preserve"> (</w:t>
            </w:r>
            <w:r w:rsidR="00205539" w:rsidRPr="00EF7399">
              <w:rPr>
                <w:rFonts w:ascii="Times New Roman" w:hAnsi="Times New Roman" w:cs="Times New Roman"/>
                <w:lang w:val="af-ZA"/>
              </w:rPr>
              <w:t>Accessibility</w:t>
            </w:r>
            <w:r>
              <w:rPr>
                <w:rFonts w:ascii="Times New Roman" w:hAnsi="Times New Roman" w:cs="Times New Roman"/>
                <w:lang w:val="af-ZA"/>
              </w:rPr>
              <w:t>)</w:t>
            </w:r>
            <w:r w:rsidR="00205539" w:rsidRPr="00EF7399">
              <w:rPr>
                <w:rFonts w:ascii="Times New Roman" w:hAnsi="Times New Roman" w:cs="Times New Roman"/>
                <w:lang w:val="af-ZA"/>
              </w:rPr>
              <w:t xml:space="preserve"> (11-2);</w:t>
            </w:r>
            <w:r>
              <w:rPr>
                <w:rFonts w:ascii="Times New Roman" w:hAnsi="Times New Roman" w:cs="Times New Roman"/>
                <w:lang w:val="af-ZA"/>
              </w:rPr>
              <w:t xml:space="preserve"> </w:t>
            </w:r>
            <w:r w:rsidRPr="00A4722E">
              <w:rPr>
                <w:rFonts w:ascii="Times New Roman" w:hAnsi="Times New Roman" w:cs="Times New Roman"/>
                <w:lang w:val="af-ZA"/>
              </w:rPr>
              <w:t>Կանխատեսելիություն</w:t>
            </w:r>
            <w:r w:rsidR="00205539" w:rsidRPr="00EF7399">
              <w:rPr>
                <w:rFonts w:ascii="Times New Roman" w:hAnsi="Times New Roman" w:cs="Times New Roman"/>
                <w:lang w:val="af-ZA"/>
              </w:rPr>
              <w:t xml:space="preserve"> </w:t>
            </w:r>
            <w:r>
              <w:rPr>
                <w:rFonts w:ascii="Times New Roman" w:hAnsi="Times New Roman" w:cs="Times New Roman"/>
                <w:lang w:val="af-ZA"/>
              </w:rPr>
              <w:t>(</w:t>
            </w:r>
            <w:r w:rsidR="00205539" w:rsidRPr="00EF7399">
              <w:rPr>
                <w:rFonts w:ascii="Times New Roman" w:hAnsi="Times New Roman" w:cs="Times New Roman"/>
                <w:lang w:val="af-ZA"/>
              </w:rPr>
              <w:t>Foreseeability</w:t>
            </w:r>
            <w:r>
              <w:rPr>
                <w:rFonts w:ascii="Times New Roman" w:hAnsi="Times New Roman" w:cs="Times New Roman"/>
                <w:lang w:val="af-ZA"/>
              </w:rPr>
              <w:t>)</w:t>
            </w:r>
            <w:r w:rsidR="00205539" w:rsidRPr="00EF7399">
              <w:rPr>
                <w:rFonts w:ascii="Times New Roman" w:hAnsi="Times New Roman" w:cs="Times New Roman"/>
                <w:lang w:val="af-ZA"/>
              </w:rPr>
              <w:t xml:space="preserve"> (11-2);</w:t>
            </w:r>
            <w:r>
              <w:rPr>
                <w:rFonts w:ascii="Times New Roman" w:hAnsi="Times New Roman" w:cs="Times New Roman"/>
                <w:lang w:val="af-ZA"/>
              </w:rPr>
              <w:t xml:space="preserve"> </w:t>
            </w:r>
            <w:r w:rsidRPr="00A4722E">
              <w:rPr>
                <w:rFonts w:ascii="Times New Roman" w:hAnsi="Times New Roman" w:cs="Times New Roman"/>
                <w:lang w:val="af-ZA"/>
              </w:rPr>
              <w:t>Չարաշահման դեմ երաշխիքներ</w:t>
            </w:r>
            <w:r w:rsidR="00205539" w:rsidRPr="00EF7399">
              <w:rPr>
                <w:rFonts w:ascii="Times New Roman" w:hAnsi="Times New Roman" w:cs="Times New Roman"/>
                <w:lang w:val="af-ZA"/>
              </w:rPr>
              <w:t xml:space="preserve"> </w:t>
            </w:r>
            <w:r>
              <w:rPr>
                <w:rFonts w:ascii="Times New Roman" w:hAnsi="Times New Roman" w:cs="Times New Roman"/>
                <w:lang w:val="af-ZA"/>
              </w:rPr>
              <w:t>(</w:t>
            </w:r>
            <w:r w:rsidR="00205539" w:rsidRPr="00EF7399">
              <w:rPr>
                <w:rFonts w:ascii="Times New Roman" w:hAnsi="Times New Roman" w:cs="Times New Roman"/>
                <w:lang w:val="af-ZA"/>
              </w:rPr>
              <w:t>Safeguards against abuse</w:t>
            </w:r>
            <w:r>
              <w:rPr>
                <w:rFonts w:ascii="Times New Roman" w:hAnsi="Times New Roman" w:cs="Times New Roman"/>
                <w:lang w:val="af-ZA"/>
              </w:rPr>
              <w:t>)</w:t>
            </w:r>
            <w:r w:rsidR="00205539" w:rsidRPr="00EF7399">
              <w:rPr>
                <w:rFonts w:ascii="Times New Roman" w:hAnsi="Times New Roman" w:cs="Times New Roman"/>
                <w:lang w:val="af-ZA"/>
              </w:rPr>
              <w:t xml:space="preserve"> (11-2) –</w:t>
            </w:r>
            <w:r>
              <w:rPr>
                <w:rFonts w:ascii="Times New Roman" w:hAnsi="Times New Roman" w:cs="Times New Roman"/>
                <w:lang w:val="af-ZA"/>
              </w:rPr>
              <w:t xml:space="preserve"> </w:t>
            </w:r>
            <w:r w:rsidRPr="00A4722E">
              <w:rPr>
                <w:rFonts w:ascii="Times New Roman" w:hAnsi="Times New Roman" w:cs="Times New Roman"/>
                <w:lang w:val="af-ZA"/>
              </w:rPr>
              <w:t>Ժողովրդավարական հասարակությունում անհրաժեշտ</w:t>
            </w:r>
            <w:r w:rsidR="00205539" w:rsidRPr="00EF7399">
              <w:rPr>
                <w:rFonts w:ascii="Times New Roman" w:hAnsi="Times New Roman" w:cs="Times New Roman"/>
                <w:lang w:val="af-ZA"/>
              </w:rPr>
              <w:t xml:space="preserve"> </w:t>
            </w:r>
            <w:r>
              <w:rPr>
                <w:rFonts w:ascii="Times New Roman" w:hAnsi="Times New Roman" w:cs="Times New Roman"/>
                <w:lang w:val="af-ZA"/>
              </w:rPr>
              <w:t>(</w:t>
            </w:r>
            <w:r w:rsidR="00205539" w:rsidRPr="00EF7399">
              <w:rPr>
                <w:rFonts w:ascii="Times New Roman" w:hAnsi="Times New Roman" w:cs="Times New Roman"/>
                <w:lang w:val="af-ZA"/>
              </w:rPr>
              <w:t>Necessary in a democratic society</w:t>
            </w:r>
            <w:r>
              <w:rPr>
                <w:rFonts w:ascii="Times New Roman" w:hAnsi="Times New Roman" w:cs="Times New Roman"/>
                <w:lang w:val="af-ZA"/>
              </w:rPr>
              <w:t>)</w:t>
            </w:r>
            <w:r w:rsidR="00205539" w:rsidRPr="00EF7399">
              <w:rPr>
                <w:rFonts w:ascii="Times New Roman" w:hAnsi="Times New Roman" w:cs="Times New Roman"/>
                <w:lang w:val="af-ZA"/>
              </w:rPr>
              <w:t xml:space="preserve"> (11-2)</w:t>
            </w:r>
            <w:r>
              <w:rPr>
                <w:rFonts w:ascii="Times New Roman" w:hAnsi="Times New Roman" w:cs="Times New Roman"/>
                <w:lang w:val="af-ZA"/>
              </w:rPr>
              <w:t xml:space="preserve">; </w:t>
            </w:r>
            <w:r w:rsidRPr="00A4722E">
              <w:rPr>
                <w:rFonts w:ascii="Times New Roman" w:hAnsi="Times New Roman" w:cs="Times New Roman"/>
                <w:lang w:val="af-ZA"/>
              </w:rPr>
              <w:t>Ազգային անվտանգություն</w:t>
            </w:r>
            <w:r w:rsidR="00205539" w:rsidRPr="00EF7399">
              <w:rPr>
                <w:rFonts w:ascii="Times New Roman" w:hAnsi="Times New Roman" w:cs="Times New Roman"/>
                <w:lang w:val="af-ZA"/>
              </w:rPr>
              <w:t xml:space="preserve"> </w:t>
            </w:r>
            <w:r>
              <w:rPr>
                <w:rFonts w:ascii="Times New Roman" w:hAnsi="Times New Roman" w:cs="Times New Roman"/>
                <w:lang w:val="af-ZA"/>
              </w:rPr>
              <w:t>(</w:t>
            </w:r>
            <w:r w:rsidR="00205539" w:rsidRPr="00EF7399">
              <w:rPr>
                <w:rFonts w:ascii="Times New Roman" w:hAnsi="Times New Roman" w:cs="Times New Roman"/>
                <w:lang w:val="af-ZA"/>
              </w:rPr>
              <w:t>National security</w:t>
            </w:r>
            <w:r>
              <w:rPr>
                <w:rFonts w:ascii="Times New Roman" w:hAnsi="Times New Roman" w:cs="Times New Roman"/>
                <w:lang w:val="af-ZA"/>
              </w:rPr>
              <w:t>)</w:t>
            </w:r>
            <w:r w:rsidR="00205539" w:rsidRPr="00EF7399">
              <w:rPr>
                <w:rFonts w:ascii="Times New Roman" w:hAnsi="Times New Roman" w:cs="Times New Roman"/>
                <w:lang w:val="af-ZA"/>
              </w:rPr>
              <w:t xml:space="preserve"> (11-2);</w:t>
            </w:r>
            <w:r>
              <w:rPr>
                <w:rFonts w:ascii="Times New Roman" w:hAnsi="Times New Roman" w:cs="Times New Roman"/>
                <w:lang w:val="af-ZA"/>
              </w:rPr>
              <w:t xml:space="preserve"> </w:t>
            </w:r>
            <w:r w:rsidRPr="00A4722E">
              <w:rPr>
                <w:rFonts w:ascii="Times New Roman" w:hAnsi="Times New Roman" w:cs="Times New Roman"/>
                <w:lang w:val="af-ZA"/>
              </w:rPr>
              <w:t>Հասարակական անվտանգություն</w:t>
            </w:r>
            <w:r w:rsidR="00205539" w:rsidRPr="00EF7399">
              <w:rPr>
                <w:rFonts w:ascii="Times New Roman" w:hAnsi="Times New Roman" w:cs="Times New Roman"/>
                <w:lang w:val="af-ZA"/>
              </w:rPr>
              <w:t xml:space="preserve"> </w:t>
            </w:r>
            <w:r>
              <w:rPr>
                <w:rFonts w:ascii="Times New Roman" w:hAnsi="Times New Roman" w:cs="Times New Roman"/>
                <w:lang w:val="af-ZA"/>
              </w:rPr>
              <w:t>(</w:t>
            </w:r>
            <w:r w:rsidR="00205539" w:rsidRPr="00EF7399">
              <w:rPr>
                <w:rFonts w:ascii="Times New Roman" w:hAnsi="Times New Roman" w:cs="Times New Roman"/>
                <w:lang w:val="af-ZA"/>
              </w:rPr>
              <w:t>Public safety</w:t>
            </w:r>
            <w:r>
              <w:rPr>
                <w:rFonts w:ascii="Times New Roman" w:hAnsi="Times New Roman" w:cs="Times New Roman"/>
                <w:lang w:val="af-ZA"/>
              </w:rPr>
              <w:t>)</w:t>
            </w:r>
            <w:r w:rsidR="00205539" w:rsidRPr="00EF7399">
              <w:rPr>
                <w:rFonts w:ascii="Times New Roman" w:hAnsi="Times New Roman" w:cs="Times New Roman"/>
                <w:lang w:val="af-ZA"/>
              </w:rPr>
              <w:t xml:space="preserve"> (11-2);</w:t>
            </w:r>
            <w:r>
              <w:rPr>
                <w:rFonts w:ascii="Times New Roman" w:hAnsi="Times New Roman" w:cs="Times New Roman"/>
                <w:lang w:val="af-ZA"/>
              </w:rPr>
              <w:t xml:space="preserve"> </w:t>
            </w:r>
            <w:r w:rsidRPr="00A4722E">
              <w:rPr>
                <w:rFonts w:ascii="Times New Roman" w:hAnsi="Times New Roman" w:cs="Times New Roman"/>
                <w:lang w:val="af-ZA"/>
              </w:rPr>
              <w:t>Անկարգությունների կանխում</w:t>
            </w:r>
            <w:r w:rsidR="00205539" w:rsidRPr="00EF7399">
              <w:rPr>
                <w:rFonts w:ascii="Times New Roman" w:hAnsi="Times New Roman" w:cs="Times New Roman"/>
                <w:lang w:val="af-ZA"/>
              </w:rPr>
              <w:t xml:space="preserve"> </w:t>
            </w:r>
            <w:r>
              <w:rPr>
                <w:rFonts w:ascii="Times New Roman" w:hAnsi="Times New Roman" w:cs="Times New Roman"/>
                <w:lang w:val="af-ZA"/>
              </w:rPr>
              <w:t>(</w:t>
            </w:r>
            <w:r w:rsidR="00205539" w:rsidRPr="00EF7399">
              <w:rPr>
                <w:rFonts w:ascii="Times New Roman" w:hAnsi="Times New Roman" w:cs="Times New Roman"/>
                <w:lang w:val="af-ZA"/>
              </w:rPr>
              <w:t>Prevention of disorder</w:t>
            </w:r>
            <w:r>
              <w:rPr>
                <w:rFonts w:ascii="Times New Roman" w:hAnsi="Times New Roman" w:cs="Times New Roman"/>
                <w:lang w:val="af-ZA"/>
              </w:rPr>
              <w:t>)</w:t>
            </w:r>
            <w:r w:rsidR="00205539" w:rsidRPr="00EF7399">
              <w:rPr>
                <w:rFonts w:ascii="Times New Roman" w:hAnsi="Times New Roman" w:cs="Times New Roman"/>
                <w:lang w:val="af-ZA"/>
              </w:rPr>
              <w:t xml:space="preserve"> (11-2);</w:t>
            </w:r>
            <w:r>
              <w:rPr>
                <w:rFonts w:ascii="Times New Roman" w:hAnsi="Times New Roman" w:cs="Times New Roman"/>
                <w:lang w:val="af-ZA"/>
              </w:rPr>
              <w:t xml:space="preserve"> </w:t>
            </w:r>
            <w:r w:rsidRPr="00A4722E">
              <w:rPr>
                <w:rFonts w:ascii="Times New Roman" w:hAnsi="Times New Roman" w:cs="Times New Roman"/>
                <w:lang w:val="af-ZA"/>
              </w:rPr>
              <w:t>Հանցագործության կանխում/կանխարգելում</w:t>
            </w:r>
            <w:r w:rsidR="00205539" w:rsidRPr="00EF7399">
              <w:rPr>
                <w:rFonts w:ascii="Times New Roman" w:hAnsi="Times New Roman" w:cs="Times New Roman"/>
                <w:lang w:val="af-ZA"/>
              </w:rPr>
              <w:t xml:space="preserve"> </w:t>
            </w:r>
            <w:r>
              <w:rPr>
                <w:rFonts w:ascii="Times New Roman" w:hAnsi="Times New Roman" w:cs="Times New Roman"/>
                <w:lang w:val="af-ZA"/>
              </w:rPr>
              <w:t>(</w:t>
            </w:r>
            <w:r w:rsidR="00205539" w:rsidRPr="00EF7399">
              <w:rPr>
                <w:rFonts w:ascii="Times New Roman" w:hAnsi="Times New Roman" w:cs="Times New Roman"/>
                <w:lang w:val="af-ZA"/>
              </w:rPr>
              <w:t>Prevention of crime</w:t>
            </w:r>
            <w:r>
              <w:rPr>
                <w:rFonts w:ascii="Times New Roman" w:hAnsi="Times New Roman" w:cs="Times New Roman"/>
                <w:lang w:val="af-ZA"/>
              </w:rPr>
              <w:t>)</w:t>
            </w:r>
            <w:r w:rsidR="00205539" w:rsidRPr="00EF7399">
              <w:rPr>
                <w:rFonts w:ascii="Times New Roman" w:hAnsi="Times New Roman" w:cs="Times New Roman"/>
                <w:lang w:val="af-ZA"/>
              </w:rPr>
              <w:t xml:space="preserve"> (11-2); </w:t>
            </w:r>
            <w:r w:rsidRPr="00A4722E">
              <w:rPr>
                <w:rFonts w:ascii="Times New Roman" w:hAnsi="Times New Roman" w:cs="Times New Roman"/>
                <w:lang w:val="af-ZA"/>
              </w:rPr>
              <w:t xml:space="preserve">Առողջության պահպանություն </w:t>
            </w:r>
            <w:r>
              <w:rPr>
                <w:rFonts w:ascii="Times New Roman" w:hAnsi="Times New Roman" w:cs="Times New Roman"/>
                <w:lang w:val="af-ZA"/>
              </w:rPr>
              <w:t>(</w:t>
            </w:r>
            <w:r w:rsidR="00205539" w:rsidRPr="00EF7399">
              <w:rPr>
                <w:rFonts w:ascii="Times New Roman" w:hAnsi="Times New Roman" w:cs="Times New Roman"/>
                <w:lang w:val="af-ZA"/>
              </w:rPr>
              <w:t>Protection of health</w:t>
            </w:r>
            <w:r>
              <w:rPr>
                <w:rFonts w:ascii="Times New Roman" w:hAnsi="Times New Roman" w:cs="Times New Roman"/>
                <w:lang w:val="af-ZA"/>
              </w:rPr>
              <w:t>)</w:t>
            </w:r>
            <w:r w:rsidR="00205539" w:rsidRPr="00EF7399">
              <w:rPr>
                <w:rFonts w:ascii="Times New Roman" w:hAnsi="Times New Roman" w:cs="Times New Roman"/>
                <w:lang w:val="af-ZA"/>
              </w:rPr>
              <w:t xml:space="preserve"> (11-2);</w:t>
            </w:r>
            <w:r>
              <w:rPr>
                <w:rFonts w:ascii="Times New Roman" w:hAnsi="Times New Roman" w:cs="Times New Roman"/>
                <w:lang w:val="af-ZA"/>
              </w:rPr>
              <w:t xml:space="preserve"> </w:t>
            </w:r>
            <w:r w:rsidR="004060F0">
              <w:rPr>
                <w:rFonts w:ascii="Times New Roman" w:hAnsi="Times New Roman" w:cs="Times New Roman"/>
                <w:lang w:val="hy-AM"/>
              </w:rPr>
              <w:t>Բ</w:t>
            </w:r>
            <w:r w:rsidRPr="00A4722E">
              <w:rPr>
                <w:rFonts w:ascii="Times New Roman" w:hAnsi="Times New Roman" w:cs="Times New Roman"/>
                <w:lang w:val="af-ZA"/>
              </w:rPr>
              <w:t>արոյական սկզբունքների պաշտպանություն</w:t>
            </w:r>
            <w:r w:rsidR="00205539" w:rsidRPr="00EF7399">
              <w:rPr>
                <w:rFonts w:ascii="Times New Roman" w:hAnsi="Times New Roman" w:cs="Times New Roman"/>
                <w:lang w:val="af-ZA"/>
              </w:rPr>
              <w:t xml:space="preserve"> </w:t>
            </w:r>
            <w:r>
              <w:rPr>
                <w:rFonts w:ascii="Times New Roman" w:hAnsi="Times New Roman" w:cs="Times New Roman"/>
                <w:lang w:val="af-ZA"/>
              </w:rPr>
              <w:t>(</w:t>
            </w:r>
            <w:r w:rsidR="00205539" w:rsidRPr="00EF7399">
              <w:rPr>
                <w:rFonts w:ascii="Times New Roman" w:hAnsi="Times New Roman" w:cs="Times New Roman"/>
                <w:lang w:val="af-ZA"/>
              </w:rPr>
              <w:t>Protection of morals</w:t>
            </w:r>
            <w:r>
              <w:rPr>
                <w:rFonts w:ascii="Times New Roman" w:hAnsi="Times New Roman" w:cs="Times New Roman"/>
                <w:lang w:val="af-ZA"/>
              </w:rPr>
              <w:t>)</w:t>
            </w:r>
            <w:r w:rsidR="00205539" w:rsidRPr="00EF7399">
              <w:rPr>
                <w:rFonts w:ascii="Times New Roman" w:hAnsi="Times New Roman" w:cs="Times New Roman"/>
                <w:lang w:val="af-ZA"/>
              </w:rPr>
              <w:t xml:space="preserve"> (11-2);</w:t>
            </w:r>
            <w:r>
              <w:rPr>
                <w:rFonts w:ascii="Times New Roman" w:hAnsi="Times New Roman" w:cs="Times New Roman"/>
                <w:lang w:val="af-ZA"/>
              </w:rPr>
              <w:t xml:space="preserve"> </w:t>
            </w:r>
            <w:r w:rsidRPr="00A4722E">
              <w:rPr>
                <w:rFonts w:ascii="Times New Roman" w:hAnsi="Times New Roman" w:cs="Times New Roman"/>
                <w:lang w:val="af-ZA"/>
              </w:rPr>
              <w:t>Ուրիշների իրավունքների և ազատությունների պաշտպանություն</w:t>
            </w:r>
            <w:r w:rsidR="00205539" w:rsidRPr="00EF7399">
              <w:rPr>
                <w:rFonts w:ascii="Times New Roman" w:hAnsi="Times New Roman" w:cs="Times New Roman"/>
                <w:lang w:val="af-ZA"/>
              </w:rPr>
              <w:t xml:space="preserve"> </w:t>
            </w:r>
            <w:r>
              <w:rPr>
                <w:rFonts w:ascii="Times New Roman" w:hAnsi="Times New Roman" w:cs="Times New Roman"/>
                <w:lang w:val="af-ZA"/>
              </w:rPr>
              <w:t>(</w:t>
            </w:r>
            <w:r w:rsidR="00205539" w:rsidRPr="00EF7399">
              <w:rPr>
                <w:rFonts w:ascii="Times New Roman" w:hAnsi="Times New Roman" w:cs="Times New Roman"/>
                <w:lang w:val="af-ZA"/>
              </w:rPr>
              <w:t>Protection of the rights and freedoms of others</w:t>
            </w:r>
            <w:r>
              <w:rPr>
                <w:rFonts w:ascii="Times New Roman" w:hAnsi="Times New Roman" w:cs="Times New Roman"/>
                <w:lang w:val="af-ZA"/>
              </w:rPr>
              <w:t>)</w:t>
            </w:r>
            <w:r w:rsidR="00205539" w:rsidRPr="00EF7399">
              <w:rPr>
                <w:rFonts w:ascii="Times New Roman" w:hAnsi="Times New Roman" w:cs="Times New Roman"/>
                <w:lang w:val="af-ZA"/>
              </w:rPr>
              <w:t xml:space="preserve"> (11-2) –</w:t>
            </w:r>
            <w:r w:rsidR="004060F0">
              <w:rPr>
                <w:rFonts w:ascii="Times New Roman" w:hAnsi="Times New Roman" w:cs="Times New Roman"/>
                <w:lang w:val="hy-AM"/>
              </w:rPr>
              <w:t xml:space="preserve"> </w:t>
            </w:r>
            <w:r w:rsidR="004060F0" w:rsidRPr="004060F0">
              <w:rPr>
                <w:rFonts w:ascii="Times New Roman" w:hAnsi="Times New Roman" w:cs="Times New Roman"/>
                <w:lang w:val="hy-AM"/>
              </w:rPr>
              <w:t>Զինված ուժերի անդամներ/ զինծառայողներ</w:t>
            </w:r>
            <w:r w:rsidR="00205539" w:rsidRPr="00EF7399">
              <w:rPr>
                <w:rFonts w:ascii="Times New Roman" w:hAnsi="Times New Roman" w:cs="Times New Roman"/>
                <w:lang w:val="af-ZA"/>
              </w:rPr>
              <w:t xml:space="preserve"> </w:t>
            </w:r>
            <w:r w:rsidR="004060F0">
              <w:rPr>
                <w:rFonts w:ascii="Times New Roman" w:hAnsi="Times New Roman" w:cs="Times New Roman"/>
                <w:lang w:val="en-US"/>
              </w:rPr>
              <w:t>(</w:t>
            </w:r>
            <w:r w:rsidR="00205539" w:rsidRPr="00EF7399">
              <w:rPr>
                <w:rFonts w:ascii="Times New Roman" w:hAnsi="Times New Roman" w:cs="Times New Roman"/>
                <w:lang w:val="af-ZA"/>
              </w:rPr>
              <w:t>Members of armed forces</w:t>
            </w:r>
            <w:r w:rsidR="004060F0">
              <w:rPr>
                <w:rFonts w:ascii="Times New Roman" w:hAnsi="Times New Roman" w:cs="Times New Roman"/>
                <w:lang w:val="af-ZA"/>
              </w:rPr>
              <w:t>)</w:t>
            </w:r>
            <w:r w:rsidR="00205539" w:rsidRPr="00EF7399">
              <w:rPr>
                <w:rFonts w:ascii="Times New Roman" w:hAnsi="Times New Roman" w:cs="Times New Roman"/>
                <w:lang w:val="af-ZA"/>
              </w:rPr>
              <w:t xml:space="preserve"> (11-2) – </w:t>
            </w:r>
            <w:r w:rsidR="004060F0" w:rsidRPr="004060F0">
              <w:rPr>
                <w:rFonts w:ascii="Times New Roman" w:hAnsi="Times New Roman" w:cs="Times New Roman"/>
                <w:lang w:val="af-ZA"/>
              </w:rPr>
              <w:t>Ոստիկանության ներկայացուցիչներ</w:t>
            </w:r>
            <w:r w:rsidR="004060F0">
              <w:rPr>
                <w:rFonts w:ascii="Times New Roman" w:hAnsi="Times New Roman" w:cs="Times New Roman"/>
                <w:lang w:val="af-ZA"/>
              </w:rPr>
              <w:t xml:space="preserve"> (</w:t>
            </w:r>
            <w:r w:rsidR="00205539" w:rsidRPr="00EF7399">
              <w:rPr>
                <w:rFonts w:ascii="Times New Roman" w:hAnsi="Times New Roman" w:cs="Times New Roman"/>
                <w:lang w:val="af-ZA"/>
              </w:rPr>
              <w:t>Members of police</w:t>
            </w:r>
            <w:r w:rsidR="004060F0">
              <w:rPr>
                <w:rFonts w:ascii="Times New Roman" w:hAnsi="Times New Roman" w:cs="Times New Roman"/>
                <w:lang w:val="af-ZA"/>
              </w:rPr>
              <w:t>)</w:t>
            </w:r>
            <w:r w:rsidR="00205539" w:rsidRPr="00EF7399">
              <w:rPr>
                <w:rFonts w:ascii="Times New Roman" w:hAnsi="Times New Roman" w:cs="Times New Roman"/>
                <w:lang w:val="af-ZA"/>
              </w:rPr>
              <w:t xml:space="preserve"> (11-2) –</w:t>
            </w:r>
            <w:r w:rsidR="004060F0">
              <w:rPr>
                <w:rFonts w:ascii="Times New Roman" w:hAnsi="Times New Roman" w:cs="Times New Roman"/>
                <w:lang w:val="af-ZA"/>
              </w:rPr>
              <w:t xml:space="preserve"> </w:t>
            </w:r>
            <w:r w:rsidR="004060F0" w:rsidRPr="004060F0">
              <w:rPr>
                <w:rFonts w:ascii="Times New Roman" w:hAnsi="Times New Roman" w:cs="Times New Roman"/>
                <w:lang w:val="af-ZA"/>
              </w:rPr>
              <w:t>Վարչակազմի անդամներ</w:t>
            </w:r>
            <w:r w:rsidR="00205539" w:rsidRPr="00EF7399">
              <w:rPr>
                <w:rFonts w:ascii="Times New Roman" w:hAnsi="Times New Roman" w:cs="Times New Roman"/>
                <w:lang w:val="af-ZA"/>
              </w:rPr>
              <w:t xml:space="preserve"> </w:t>
            </w:r>
            <w:r w:rsidR="004060F0">
              <w:rPr>
                <w:rFonts w:ascii="Times New Roman" w:hAnsi="Times New Roman" w:cs="Times New Roman"/>
                <w:lang w:val="af-ZA"/>
              </w:rPr>
              <w:t>(</w:t>
            </w:r>
            <w:r w:rsidR="00205539" w:rsidRPr="00EF7399">
              <w:rPr>
                <w:rFonts w:ascii="Times New Roman" w:hAnsi="Times New Roman" w:cs="Times New Roman"/>
                <w:lang w:val="af-ZA"/>
              </w:rPr>
              <w:t>Members of administration</w:t>
            </w:r>
            <w:r w:rsidR="004060F0">
              <w:rPr>
                <w:rFonts w:ascii="Times New Roman" w:hAnsi="Times New Roman" w:cs="Times New Roman"/>
                <w:lang w:val="af-ZA"/>
              </w:rPr>
              <w:t>)</w:t>
            </w:r>
            <w:r w:rsidR="00205539" w:rsidRPr="00EF7399">
              <w:rPr>
                <w:rFonts w:ascii="Times New Roman" w:hAnsi="Times New Roman" w:cs="Times New Roman"/>
                <w:lang w:val="af-ZA"/>
              </w:rPr>
              <w:t xml:space="preserve"> (11-2)</w:t>
            </w:r>
          </w:p>
        </w:tc>
      </w:tr>
    </w:tbl>
    <w:p w14:paraId="51180C2F" w14:textId="77777777" w:rsidR="00E976B6" w:rsidRPr="00EF7399" w:rsidRDefault="00E976B6" w:rsidP="00AE72C6">
      <w:pPr>
        <w:pStyle w:val="ECHRParaHanging"/>
        <w:rPr>
          <w:rFonts w:ascii="Times New Roman" w:hAnsi="Times New Roman" w:cs="Times New Roman"/>
          <w:lang w:val="af-ZA"/>
        </w:rPr>
      </w:pPr>
    </w:p>
    <w:p w14:paraId="22985080" w14:textId="0AA27F21" w:rsidR="009A5236" w:rsidRPr="00EF7399" w:rsidRDefault="007E7BE3" w:rsidP="007E7BE3">
      <w:pPr>
        <w:pStyle w:val="ECHRHeading2"/>
        <w:numPr>
          <w:ilvl w:val="0"/>
          <w:numId w:val="0"/>
        </w:numPr>
        <w:rPr>
          <w:rFonts w:ascii="Times New Roman" w:hAnsi="Times New Roman" w:cs="Times New Roman"/>
          <w:lang w:val="af-ZA"/>
        </w:rPr>
      </w:pPr>
      <w:bookmarkStart w:id="13" w:name="_Toc436664097"/>
      <w:bookmarkStart w:id="14" w:name="_Toc436664764"/>
      <w:bookmarkStart w:id="15" w:name="_Toc436741690"/>
      <w:bookmarkStart w:id="16" w:name="_Toc436833764"/>
      <w:bookmarkStart w:id="17" w:name="_Toc437417580"/>
      <w:bookmarkStart w:id="18" w:name="_Toc441568627"/>
      <w:bookmarkStart w:id="19" w:name="_Toc159945203"/>
      <w:r>
        <w:rPr>
          <w:rFonts w:ascii="Times New Roman" w:hAnsi="Times New Roman" w:cs="Times New Roman"/>
          <w:bCs/>
          <w:color w:val="2D2D2D"/>
          <w:szCs w:val="32"/>
          <w:lang w:val="hy-AM"/>
        </w:rPr>
        <w:t xml:space="preserve">Ա․ </w:t>
      </w:r>
      <w:r w:rsidR="007A3F4A" w:rsidRPr="00EF7399">
        <w:rPr>
          <w:rFonts w:ascii="Times New Roman" w:hAnsi="Times New Roman" w:cs="Times New Roman"/>
          <w:bCs/>
          <w:color w:val="2D2D2D"/>
          <w:szCs w:val="32"/>
          <w:lang w:val="af-ZA"/>
        </w:rPr>
        <w:t>Խաղաղ հավաքների ազատության իրավունքի կարևորությունը և դրա կապն արտահայտվելու ազատության իրավունքի հետ</w:t>
      </w:r>
      <w:bookmarkEnd w:id="13"/>
      <w:bookmarkEnd w:id="14"/>
      <w:bookmarkEnd w:id="15"/>
      <w:bookmarkEnd w:id="16"/>
      <w:bookmarkEnd w:id="17"/>
      <w:bookmarkEnd w:id="18"/>
      <w:bookmarkEnd w:id="19"/>
    </w:p>
    <w:p w14:paraId="485507C8" w14:textId="20893C9F" w:rsidR="00D01BC9" w:rsidRPr="00EF7399" w:rsidRDefault="00D01BC9" w:rsidP="00D01BC9">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7A3F4A" w:rsidRPr="00EF7399">
        <w:rPr>
          <w:rFonts w:ascii="Times New Roman" w:hAnsi="Times New Roman" w:cs="Times New Roman"/>
          <w:lang w:val="af-ZA"/>
        </w:rPr>
        <w:t>Խաղաղ հավաքների ազատության իրավունքը ժողովրդա</w:t>
      </w:r>
      <w:r w:rsidR="0051401E" w:rsidRPr="00EF7399">
        <w:rPr>
          <w:rFonts w:ascii="Times New Roman" w:hAnsi="Times New Roman" w:cs="Times New Roman"/>
          <w:lang w:val="hy-AM"/>
        </w:rPr>
        <w:t>վարա</w:t>
      </w:r>
      <w:r w:rsidR="007A3F4A" w:rsidRPr="00EF7399">
        <w:rPr>
          <w:rFonts w:ascii="Times New Roman" w:hAnsi="Times New Roman" w:cs="Times New Roman"/>
          <w:lang w:val="af-ZA"/>
        </w:rPr>
        <w:t xml:space="preserve">կան հասարակության հիմնարար իրավունք է և, ինչպես արտահայտվելու ազատության իրավունքը, </w:t>
      </w:r>
      <w:r w:rsidR="001E6789" w:rsidRPr="00EF7399">
        <w:rPr>
          <w:rFonts w:ascii="Times New Roman" w:hAnsi="Times New Roman" w:cs="Times New Roman"/>
          <w:lang w:val="hy-AM"/>
        </w:rPr>
        <w:t>այդպիսի</w:t>
      </w:r>
      <w:r w:rsidR="001E6789" w:rsidRPr="00EF7399">
        <w:rPr>
          <w:rFonts w:ascii="Times New Roman" w:hAnsi="Times New Roman" w:cs="Times New Roman"/>
          <w:lang w:val="af-ZA"/>
        </w:rPr>
        <w:t xml:space="preserve"> </w:t>
      </w:r>
      <w:r w:rsidR="007A3F4A" w:rsidRPr="00EF7399">
        <w:rPr>
          <w:rFonts w:ascii="Times New Roman" w:hAnsi="Times New Roman" w:cs="Times New Roman"/>
          <w:lang w:val="af-ZA"/>
        </w:rPr>
        <w:t>հասարակության հիմքերից է: Հետևաբար, այն չի կարող սահմանափակ</w:t>
      </w:r>
      <w:r w:rsidR="001E6789" w:rsidRPr="00EF7399">
        <w:rPr>
          <w:rFonts w:ascii="Times New Roman" w:hAnsi="Times New Roman" w:cs="Times New Roman"/>
          <w:lang w:val="hy-AM"/>
        </w:rPr>
        <w:t xml:space="preserve"> կերպ</w:t>
      </w:r>
      <w:r w:rsidR="00465114" w:rsidRPr="00EF7399">
        <w:rPr>
          <w:rFonts w:ascii="Times New Roman" w:hAnsi="Times New Roman" w:cs="Times New Roman"/>
          <w:lang w:val="hy-AM"/>
        </w:rPr>
        <w:t>ով</w:t>
      </w:r>
      <w:r w:rsidR="007A3F4A" w:rsidRPr="00EF7399">
        <w:rPr>
          <w:rFonts w:ascii="Times New Roman" w:hAnsi="Times New Roman" w:cs="Times New Roman"/>
          <w:lang w:val="af-ZA"/>
        </w:rPr>
        <w:t xml:space="preserve"> </w:t>
      </w:r>
      <w:r w:rsidR="001E6789" w:rsidRPr="00EF7399">
        <w:rPr>
          <w:rFonts w:ascii="Times New Roman" w:hAnsi="Times New Roman" w:cs="Times New Roman"/>
          <w:lang w:val="af-ZA"/>
        </w:rPr>
        <w:t xml:space="preserve">մեկնաբանվել </w:t>
      </w:r>
      <w:r w:rsidR="007A3F4A" w:rsidRPr="00EF7399">
        <w:rPr>
          <w:rFonts w:ascii="Times New Roman" w:hAnsi="Times New Roman" w:cs="Times New Roman"/>
          <w:lang w:val="af-ZA"/>
        </w:rPr>
        <w:t>(</w:t>
      </w:r>
      <w:hyperlink r:id="rId21" w:anchor="{%22itemid%22:[%22001-60953%22]}" w:history="1">
        <w:r w:rsidR="007A3F4A" w:rsidRPr="006C4A1B">
          <w:rPr>
            <w:rStyle w:val="Hyperlink"/>
            <w:rFonts w:ascii="Times New Roman" w:hAnsi="Times New Roman" w:cs="Times New Roman"/>
            <w:iCs/>
            <w:lang w:val="af-ZA"/>
          </w:rPr>
          <w:t>Djavit An v. Turkey</w:t>
        </w:r>
      </w:hyperlink>
      <w:r w:rsidR="007A3F4A" w:rsidRPr="00EF7399">
        <w:rPr>
          <w:rFonts w:ascii="Times New Roman" w:hAnsi="Times New Roman" w:cs="Times New Roman"/>
          <w:lang w:val="af-ZA"/>
        </w:rPr>
        <w:t xml:space="preserve">, 2003, § 56; </w:t>
      </w:r>
      <w:hyperlink r:id="rId22" w:anchor="{%22itemid%22:[%22001-158200%22]}" w:history="1">
        <w:r w:rsidR="007A3F4A" w:rsidRPr="006C4A1B">
          <w:rPr>
            <w:rStyle w:val="Hyperlink"/>
            <w:rFonts w:ascii="Times New Roman" w:hAnsi="Times New Roman" w:cs="Times New Roman"/>
            <w:iCs/>
            <w:lang w:val="af-ZA"/>
          </w:rPr>
          <w:t>Kudrevičius and Others v. Lithuania</w:t>
        </w:r>
      </w:hyperlink>
      <w:r w:rsidR="007A3F4A" w:rsidRPr="00EF7399">
        <w:rPr>
          <w:rFonts w:ascii="Times New Roman" w:hAnsi="Times New Roman" w:cs="Times New Roman"/>
          <w:i/>
          <w:iCs/>
          <w:color w:val="0070BA"/>
          <w:lang w:val="af-ZA"/>
        </w:rPr>
        <w:t xml:space="preserve"> </w:t>
      </w:r>
      <w:r w:rsidR="007A3F4A" w:rsidRPr="00EF7399">
        <w:rPr>
          <w:rFonts w:ascii="Times New Roman" w:hAnsi="Times New Roman" w:cs="Times New Roman"/>
          <w:lang w:val="af-ZA"/>
        </w:rPr>
        <w:t>[GC], 2015, § 91):</w:t>
      </w:r>
    </w:p>
    <w:p w14:paraId="01184FDD" w14:textId="3AE807C2" w:rsidR="00D01BC9" w:rsidRPr="00EF7399" w:rsidRDefault="00D01BC9" w:rsidP="00D01BC9">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7A3F4A" w:rsidRPr="00EF7399">
        <w:rPr>
          <w:rFonts w:ascii="Times New Roman" w:hAnsi="Times New Roman" w:cs="Times New Roman"/>
          <w:lang w:val="af-ZA"/>
        </w:rPr>
        <w:t>Այս իրավունքի հիմնարար բնույթից ելնելով</w:t>
      </w:r>
      <w:r w:rsidR="006E262E" w:rsidRPr="00EF7399">
        <w:rPr>
          <w:rFonts w:ascii="Times New Roman" w:hAnsi="Times New Roman" w:cs="Times New Roman"/>
          <w:lang w:val="af-ZA"/>
        </w:rPr>
        <w:t>՝</w:t>
      </w:r>
      <w:r w:rsidR="007A3F4A" w:rsidRPr="00EF7399">
        <w:rPr>
          <w:rFonts w:ascii="Times New Roman" w:hAnsi="Times New Roman" w:cs="Times New Roman"/>
          <w:lang w:val="af-ZA"/>
        </w:rPr>
        <w:t xml:space="preserve"> Դատարանը </w:t>
      </w:r>
      <w:r w:rsidR="000D186A" w:rsidRPr="00EF7399">
        <w:rPr>
          <w:rFonts w:ascii="Times New Roman" w:hAnsi="Times New Roman" w:cs="Times New Roman"/>
          <w:lang w:val="hy-AM"/>
        </w:rPr>
        <w:t>դժկամությամբ</w:t>
      </w:r>
      <w:r w:rsidR="000D186A" w:rsidRPr="00EF7399">
        <w:rPr>
          <w:rFonts w:ascii="Times New Roman" w:hAnsi="Times New Roman" w:cs="Times New Roman"/>
          <w:lang w:val="af-ZA"/>
        </w:rPr>
        <w:t xml:space="preserve"> </w:t>
      </w:r>
      <w:r w:rsidR="007A3F4A" w:rsidRPr="00EF7399">
        <w:rPr>
          <w:rFonts w:ascii="Times New Roman" w:hAnsi="Times New Roman" w:cs="Times New Roman"/>
          <w:lang w:val="af-ZA"/>
        </w:rPr>
        <w:t>է ընդունել</w:t>
      </w:r>
      <w:r w:rsidR="000D186A" w:rsidRPr="00EF7399">
        <w:rPr>
          <w:rFonts w:ascii="Times New Roman" w:hAnsi="Times New Roman" w:cs="Times New Roman"/>
          <w:lang w:val="hy-AM"/>
        </w:rPr>
        <w:t>ու</w:t>
      </w:r>
      <w:r w:rsidR="007A3F4A" w:rsidRPr="00EF7399">
        <w:rPr>
          <w:rFonts w:ascii="Times New Roman" w:hAnsi="Times New Roman" w:cs="Times New Roman"/>
          <w:lang w:val="af-ZA"/>
        </w:rPr>
        <w:t xml:space="preserve"> առարկություններ</w:t>
      </w:r>
      <w:r w:rsidR="000D186A" w:rsidRPr="00EF7399">
        <w:rPr>
          <w:rFonts w:ascii="Times New Roman" w:hAnsi="Times New Roman" w:cs="Times New Roman"/>
          <w:lang w:val="hy-AM"/>
        </w:rPr>
        <w:t>ն առ այն</w:t>
      </w:r>
      <w:r w:rsidR="007A3F4A" w:rsidRPr="00EF7399">
        <w:rPr>
          <w:rFonts w:ascii="Times New Roman" w:hAnsi="Times New Roman" w:cs="Times New Roman"/>
          <w:lang w:val="af-ZA"/>
        </w:rPr>
        <w:t>, որ գանգատաբերը «էական վնաս» չի կրել</w:t>
      </w:r>
      <w:r w:rsidR="000D186A" w:rsidRPr="00EF7399">
        <w:rPr>
          <w:rFonts w:ascii="Times New Roman" w:hAnsi="Times New Roman" w:cs="Times New Roman"/>
          <w:lang w:val="hy-AM"/>
        </w:rPr>
        <w:t>,</w:t>
      </w:r>
      <w:r w:rsidR="007A3F4A" w:rsidRPr="00EF7399">
        <w:rPr>
          <w:rFonts w:ascii="Times New Roman" w:hAnsi="Times New Roman" w:cs="Times New Roman"/>
          <w:lang w:val="af-ZA"/>
        </w:rPr>
        <w:t xml:space="preserve"> և հարկ է մերժել 11-րդ հոդված</w:t>
      </w:r>
      <w:r w:rsidR="000D186A" w:rsidRPr="00EF7399">
        <w:rPr>
          <w:rFonts w:ascii="Times New Roman" w:hAnsi="Times New Roman" w:cs="Times New Roman"/>
          <w:lang w:val="hy-AM"/>
        </w:rPr>
        <w:t>ի ներքո ներկայացված</w:t>
      </w:r>
      <w:r w:rsidR="007A3F4A" w:rsidRPr="00EF7399">
        <w:rPr>
          <w:rFonts w:ascii="Times New Roman" w:hAnsi="Times New Roman" w:cs="Times New Roman"/>
          <w:lang w:val="af-ZA"/>
        </w:rPr>
        <w:t xml:space="preserve"> գանգատները</w:t>
      </w:r>
      <w:r w:rsidR="006E262E" w:rsidRPr="00EF7399">
        <w:rPr>
          <w:rFonts w:ascii="Times New Roman" w:hAnsi="Times New Roman" w:cs="Times New Roman"/>
          <w:lang w:val="af-ZA"/>
        </w:rPr>
        <w:t>՝</w:t>
      </w:r>
      <w:r w:rsidR="007A3F4A" w:rsidRPr="00EF7399">
        <w:rPr>
          <w:rFonts w:ascii="Times New Roman" w:hAnsi="Times New Roman" w:cs="Times New Roman"/>
          <w:lang w:val="af-ZA"/>
        </w:rPr>
        <w:t xml:space="preserve"> հիմք ընդունելով Կոնվենցիայի 35-րդ հոդվածի 3-րդ մասի (բ) կետը </w:t>
      </w:r>
      <w:r w:rsidRPr="00EF7399">
        <w:rPr>
          <w:rFonts w:ascii="Times New Roman" w:hAnsi="Times New Roman" w:cs="Times New Roman"/>
          <w:lang w:val="af-ZA"/>
        </w:rPr>
        <w:t>(</w:t>
      </w:r>
      <w:hyperlink r:id="rId23" w:history="1">
        <w:r w:rsidRPr="00EF7399">
          <w:rPr>
            <w:rStyle w:val="Hyperlink"/>
            <w:rFonts w:ascii="Times New Roman" w:hAnsi="Times New Roman" w:cs="Times New Roman"/>
            <w:lang w:val="af-ZA"/>
          </w:rPr>
          <w:t>Berladir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Russia</w:t>
        </w:r>
      </w:hyperlink>
      <w:r w:rsidRPr="00EF7399">
        <w:rPr>
          <w:rFonts w:ascii="Times New Roman" w:hAnsi="Times New Roman" w:cs="Times New Roman"/>
          <w:lang w:val="af-ZA"/>
        </w:rPr>
        <w:t xml:space="preserve">, </w:t>
      </w:r>
      <w:r w:rsidR="00297FB5" w:rsidRPr="00EF7399">
        <w:rPr>
          <w:rFonts w:ascii="Times New Roman" w:hAnsi="Times New Roman" w:cs="Times New Roman"/>
          <w:lang w:val="af-ZA"/>
        </w:rPr>
        <w:t xml:space="preserve">2012,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34; </w:t>
      </w:r>
      <w:hyperlink r:id="rId24" w:history="1">
        <w:r w:rsidRPr="00EF7399">
          <w:rPr>
            <w:rStyle w:val="Hyperlink"/>
            <w:rFonts w:ascii="Times New Roman" w:hAnsi="Times New Roman" w:cs="Times New Roman"/>
            <w:iCs/>
            <w:lang w:val="af-ZA"/>
          </w:rPr>
          <w:t>Öğrü</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Turkey</w:t>
        </w:r>
      </w:hyperlink>
      <w:r w:rsidRPr="00EF7399">
        <w:rPr>
          <w:rFonts w:ascii="Times New Roman" w:hAnsi="Times New Roman" w:cs="Times New Roman"/>
          <w:lang w:val="af-ZA"/>
        </w:rPr>
        <w:t xml:space="preserve">, </w:t>
      </w:r>
      <w:r w:rsidR="00297FB5" w:rsidRPr="00EF7399">
        <w:rPr>
          <w:rFonts w:ascii="Times New Roman" w:hAnsi="Times New Roman" w:cs="Times New Roman"/>
          <w:lang w:val="af-ZA"/>
        </w:rPr>
        <w:t xml:space="preserve">2017, </w:t>
      </w:r>
      <w:r w:rsidR="00873234" w:rsidRPr="00EF7399">
        <w:rPr>
          <w:rFonts w:ascii="Times New Roman" w:hAnsi="Times New Roman" w:cs="Times New Roman"/>
          <w:lang w:val="af-ZA"/>
        </w:rPr>
        <w:t>§ </w:t>
      </w:r>
      <w:r w:rsidRPr="00EF7399">
        <w:rPr>
          <w:rFonts w:ascii="Times New Roman" w:hAnsi="Times New Roman" w:cs="Times New Roman"/>
          <w:lang w:val="af-ZA"/>
        </w:rPr>
        <w:t>18)</w:t>
      </w:r>
      <w:r w:rsidR="007A3F4A" w:rsidRPr="00EF7399">
        <w:rPr>
          <w:rFonts w:ascii="Times New Roman" w:hAnsi="Times New Roman" w:cs="Times New Roman"/>
          <w:lang w:val="af-ZA"/>
        </w:rPr>
        <w:t>:</w:t>
      </w:r>
    </w:p>
    <w:p w14:paraId="1CBC7A59" w14:textId="51C2D934" w:rsidR="00D01BC9" w:rsidRPr="00EF7399" w:rsidRDefault="00D01BC9" w:rsidP="00D01BC9">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2F3B23" w:rsidRPr="00EF7399">
        <w:rPr>
          <w:rFonts w:ascii="Times New Roman" w:hAnsi="Times New Roman" w:cs="Times New Roman"/>
          <w:lang w:val="hy-AM"/>
        </w:rPr>
        <w:t>Կ</w:t>
      </w:r>
      <w:r w:rsidR="002F3B23" w:rsidRPr="00EF7399">
        <w:rPr>
          <w:rFonts w:ascii="Times New Roman" w:hAnsi="Times New Roman" w:cs="Times New Roman"/>
          <w:lang w:val="af-ZA"/>
        </w:rPr>
        <w:t>արծիքների և դրանք արտահայտելու ազատությ</w:t>
      </w:r>
      <w:r w:rsidR="002F3B23" w:rsidRPr="00EF7399">
        <w:rPr>
          <w:rFonts w:ascii="Times New Roman" w:hAnsi="Times New Roman" w:cs="Times New Roman"/>
          <w:lang w:val="hy-AM"/>
        </w:rPr>
        <w:t>ա</w:t>
      </w:r>
      <w:r w:rsidR="002F3B23" w:rsidRPr="00EF7399">
        <w:rPr>
          <w:rFonts w:ascii="Times New Roman" w:hAnsi="Times New Roman" w:cs="Times New Roman"/>
          <w:lang w:val="af-ZA"/>
        </w:rPr>
        <w:t>ն</w:t>
      </w:r>
      <w:r w:rsidR="002F3B23" w:rsidRPr="00EF7399">
        <w:rPr>
          <w:rFonts w:ascii="Times New Roman" w:hAnsi="Times New Roman" w:cs="Times New Roman"/>
          <w:lang w:val="hy-AM"/>
        </w:rPr>
        <w:t xml:space="preserve"> </w:t>
      </w:r>
      <w:r w:rsidR="002F3B23" w:rsidRPr="00EF7399">
        <w:rPr>
          <w:rFonts w:ascii="Times New Roman" w:hAnsi="Times New Roman" w:cs="Times New Roman"/>
          <w:lang w:val="af-ZA"/>
        </w:rPr>
        <w:t xml:space="preserve">պաշտպանվածությունը </w:t>
      </w:r>
      <w:r w:rsidR="007A3F4A" w:rsidRPr="00EF7399">
        <w:rPr>
          <w:rFonts w:ascii="Times New Roman" w:hAnsi="Times New Roman" w:cs="Times New Roman"/>
          <w:lang w:val="af-ZA"/>
        </w:rPr>
        <w:t>Կոնվենցիայի 11-րդ հոդվածով ամրագրված</w:t>
      </w:r>
      <w:r w:rsidR="002F3B23" w:rsidRPr="00EF7399">
        <w:rPr>
          <w:rFonts w:ascii="Times New Roman" w:hAnsi="Times New Roman" w:cs="Times New Roman"/>
          <w:lang w:val="hy-AM"/>
        </w:rPr>
        <w:t>՝</w:t>
      </w:r>
      <w:r w:rsidR="007A3F4A" w:rsidRPr="00EF7399">
        <w:rPr>
          <w:rFonts w:ascii="Times New Roman" w:hAnsi="Times New Roman" w:cs="Times New Roman"/>
          <w:lang w:val="af-ZA"/>
        </w:rPr>
        <w:t xml:space="preserve"> հավաքների և միավորման ազատությունների նպատակներից մեկ</w:t>
      </w:r>
      <w:r w:rsidR="002F3B23" w:rsidRPr="00EF7399">
        <w:rPr>
          <w:rFonts w:ascii="Times New Roman" w:hAnsi="Times New Roman" w:cs="Times New Roman"/>
          <w:lang w:val="hy-AM"/>
        </w:rPr>
        <w:t>ն է</w:t>
      </w:r>
      <w:r w:rsidR="007A3F4A"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25" w:history="1">
        <w:r w:rsidRPr="00EF7399">
          <w:rPr>
            <w:rStyle w:val="Hyperlink"/>
            <w:rFonts w:ascii="Times New Roman" w:hAnsi="Times New Roman" w:cs="Times New Roman"/>
            <w:lang w:val="af-ZA"/>
          </w:rPr>
          <w:t>Freedom and Democracy Party (ÖZDEP)</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[GC], </w:t>
      </w:r>
      <w:r w:rsidR="00297FB5" w:rsidRPr="00EF7399">
        <w:rPr>
          <w:rFonts w:ascii="Times New Roman" w:hAnsi="Times New Roman" w:cs="Times New Roman"/>
          <w:lang w:val="af-ZA"/>
        </w:rPr>
        <w:t xml:space="preserve">1999, </w:t>
      </w:r>
      <w:r w:rsidR="00873234" w:rsidRPr="00EF7399">
        <w:rPr>
          <w:rFonts w:ascii="Times New Roman" w:hAnsi="Times New Roman" w:cs="Times New Roman"/>
          <w:lang w:val="af-ZA"/>
        </w:rPr>
        <w:t>§ </w:t>
      </w:r>
      <w:r w:rsidRPr="00EF7399">
        <w:rPr>
          <w:rFonts w:ascii="Times New Roman" w:hAnsi="Times New Roman" w:cs="Times New Roman"/>
          <w:lang w:val="af-ZA"/>
        </w:rPr>
        <w:t>37).</w:t>
      </w:r>
    </w:p>
    <w:p w14:paraId="05AE707E" w14:textId="7687DD36" w:rsidR="00D01BC9" w:rsidRPr="00EF7399" w:rsidRDefault="00D01BC9" w:rsidP="00D01BC9">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7A3F4A" w:rsidRPr="00EF7399">
        <w:rPr>
          <w:rFonts w:ascii="Times New Roman" w:hAnsi="Times New Roman" w:cs="Times New Roman"/>
          <w:lang w:val="af-ZA"/>
        </w:rPr>
        <w:t>Անկախ իր ինքնավար դերից և կիրառման առանձնահատուկ ոլորտից</w:t>
      </w:r>
      <w:r w:rsidR="00D97372" w:rsidRPr="00EF7399">
        <w:rPr>
          <w:rFonts w:ascii="Times New Roman" w:hAnsi="Times New Roman" w:cs="Times New Roman"/>
          <w:lang w:val="hy-AM"/>
        </w:rPr>
        <w:t>՝</w:t>
      </w:r>
      <w:r w:rsidR="007A3F4A" w:rsidRPr="00EF7399">
        <w:rPr>
          <w:rFonts w:ascii="Times New Roman" w:hAnsi="Times New Roman" w:cs="Times New Roman"/>
          <w:lang w:val="af-ZA"/>
        </w:rPr>
        <w:t xml:space="preserve"> 11-րդ հոդվածը հարկ է դիտարկել նաև 10-րդ հոդվածի լույսի ներքո, որտեղ հավաքների ազատության իրագործման </w:t>
      </w:r>
      <w:r w:rsidR="007A3F4A" w:rsidRPr="00EF7399">
        <w:rPr>
          <w:rFonts w:ascii="Times New Roman" w:hAnsi="Times New Roman" w:cs="Times New Roman"/>
          <w:lang w:val="af-ZA"/>
        </w:rPr>
        <w:lastRenderedPageBreak/>
        <w:t>նպատակ</w:t>
      </w:r>
      <w:r w:rsidR="00D97372" w:rsidRPr="00EF7399">
        <w:rPr>
          <w:rFonts w:ascii="Times New Roman" w:hAnsi="Times New Roman" w:cs="Times New Roman"/>
          <w:lang w:val="hy-AM"/>
        </w:rPr>
        <w:t>ն</w:t>
      </w:r>
      <w:r w:rsidR="007A3F4A" w:rsidRPr="00EF7399">
        <w:rPr>
          <w:rFonts w:ascii="Times New Roman" w:hAnsi="Times New Roman" w:cs="Times New Roman"/>
          <w:lang w:val="af-ZA"/>
        </w:rPr>
        <w:t xml:space="preserve"> անձնական կարծիքների արտահայտումն է (</w:t>
      </w:r>
      <w:hyperlink r:id="rId26" w:anchor="{%22itemid%22:[%22001-57675%22]}" w:history="1">
        <w:r w:rsidR="007A3F4A" w:rsidRPr="006C4A1B">
          <w:rPr>
            <w:rStyle w:val="Hyperlink"/>
            <w:rFonts w:ascii="Times New Roman" w:hAnsi="Times New Roman" w:cs="Times New Roman"/>
            <w:iCs/>
            <w:lang w:val="af-ZA"/>
          </w:rPr>
          <w:t>Ezelin v. France</w:t>
        </w:r>
      </w:hyperlink>
      <w:r w:rsidR="007A3F4A" w:rsidRPr="00EF7399">
        <w:rPr>
          <w:rFonts w:ascii="Times New Roman" w:hAnsi="Times New Roman" w:cs="Times New Roman"/>
          <w:lang w:val="af-ZA"/>
        </w:rPr>
        <w:t>, 1991, § 37),</w:t>
      </w:r>
      <w:r w:rsidR="00D97372" w:rsidRPr="00EF7399">
        <w:rPr>
          <w:rFonts w:ascii="Times New Roman" w:hAnsi="Times New Roman" w:cs="Times New Roman"/>
          <w:lang w:val="hy-AM"/>
        </w:rPr>
        <w:t xml:space="preserve"> ինչպես</w:t>
      </w:r>
      <w:r w:rsidR="007A3F4A" w:rsidRPr="00EF7399">
        <w:rPr>
          <w:rFonts w:ascii="Times New Roman" w:hAnsi="Times New Roman" w:cs="Times New Roman"/>
          <w:lang w:val="af-ZA"/>
        </w:rPr>
        <w:t xml:space="preserve"> նաև հանրային բանավեճի համար հարթակ ապահովելու անհրաժեշտությունը և բողոքի անկաշկանդ արտահայտումը (</w:t>
      </w:r>
      <w:hyperlink r:id="rId27" w:anchor="{%22itemid%22:[%22001-88775%22]}" w:history="1">
        <w:r w:rsidR="007A3F4A" w:rsidRPr="006C4A1B">
          <w:rPr>
            <w:rStyle w:val="Hyperlink"/>
            <w:rFonts w:ascii="Times New Roman" w:hAnsi="Times New Roman" w:cs="Times New Roman"/>
            <w:iCs/>
            <w:lang w:val="af-ZA"/>
          </w:rPr>
          <w:t>Éva Molnár v. Hungary</w:t>
        </w:r>
      </w:hyperlink>
      <w:r w:rsidR="007A3F4A" w:rsidRPr="00EF7399">
        <w:rPr>
          <w:rFonts w:ascii="Times New Roman" w:hAnsi="Times New Roman" w:cs="Times New Roman"/>
          <w:lang w:val="af-ZA"/>
        </w:rPr>
        <w:t>, 2008, § 42):</w:t>
      </w:r>
    </w:p>
    <w:p w14:paraId="101E4DAF" w14:textId="0D832098" w:rsidR="009923E2" w:rsidRPr="00EF7399" w:rsidRDefault="00D01BC9" w:rsidP="00D01BC9">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5</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7A3F4A" w:rsidRPr="00EF7399">
        <w:rPr>
          <w:rFonts w:ascii="Times New Roman" w:hAnsi="Times New Roman" w:cs="Times New Roman"/>
          <w:lang w:val="af-ZA"/>
        </w:rPr>
        <w:t>10-րդ և 11-րդ հոդվածների միջև</w:t>
      </w:r>
      <w:r w:rsidR="005F110F" w:rsidRPr="00EF7399">
        <w:rPr>
          <w:rFonts w:ascii="Times New Roman" w:hAnsi="Times New Roman" w:cs="Times New Roman"/>
          <w:lang w:val="hy-AM"/>
        </w:rPr>
        <w:t xml:space="preserve"> կ</w:t>
      </w:r>
      <w:r w:rsidR="005F110F" w:rsidRPr="00EF7399">
        <w:rPr>
          <w:rFonts w:ascii="Times New Roman" w:hAnsi="Times New Roman" w:cs="Times New Roman"/>
          <w:lang w:val="af-ZA"/>
        </w:rPr>
        <w:t>ապ</w:t>
      </w:r>
      <w:r w:rsidR="005F110F" w:rsidRPr="00EF7399">
        <w:rPr>
          <w:rFonts w:ascii="Times New Roman" w:hAnsi="Times New Roman" w:cs="Times New Roman"/>
          <w:lang w:val="hy-AM"/>
        </w:rPr>
        <w:t>ն</w:t>
      </w:r>
      <w:r w:rsidR="007A3F4A" w:rsidRPr="00EF7399">
        <w:rPr>
          <w:rFonts w:ascii="Times New Roman" w:hAnsi="Times New Roman" w:cs="Times New Roman"/>
          <w:lang w:val="af-ZA"/>
        </w:rPr>
        <w:t xml:space="preserve"> առանձնակի </w:t>
      </w:r>
      <w:r w:rsidR="005F110F" w:rsidRPr="00EF7399">
        <w:rPr>
          <w:rFonts w:ascii="Times New Roman" w:hAnsi="Times New Roman" w:cs="Times New Roman"/>
          <w:lang w:val="hy-AM"/>
        </w:rPr>
        <w:t>արդիական</w:t>
      </w:r>
      <w:r w:rsidR="005F110F" w:rsidRPr="00EF7399">
        <w:rPr>
          <w:rFonts w:ascii="Times New Roman" w:hAnsi="Times New Roman" w:cs="Times New Roman"/>
          <w:lang w:val="af-ZA"/>
        </w:rPr>
        <w:t xml:space="preserve"> </w:t>
      </w:r>
      <w:r w:rsidR="007A3F4A" w:rsidRPr="00EF7399">
        <w:rPr>
          <w:rFonts w:ascii="Times New Roman" w:hAnsi="Times New Roman" w:cs="Times New Roman"/>
          <w:lang w:val="af-ZA"/>
        </w:rPr>
        <w:t>է,</w:t>
      </w:r>
      <w:r w:rsidR="00D97372" w:rsidRPr="00EF7399">
        <w:rPr>
          <w:rFonts w:ascii="Times New Roman" w:hAnsi="Times New Roman" w:cs="Times New Roman"/>
          <w:lang w:val="hy-AM"/>
        </w:rPr>
        <w:t xml:space="preserve"> </w:t>
      </w:r>
      <w:r w:rsidR="007A3F4A" w:rsidRPr="00EF7399">
        <w:rPr>
          <w:rFonts w:ascii="Times New Roman" w:hAnsi="Times New Roman" w:cs="Times New Roman"/>
          <w:lang w:val="af-ZA"/>
        </w:rPr>
        <w:t>երբ իշխանությունները միջամտ</w:t>
      </w:r>
      <w:r w:rsidR="005F110F" w:rsidRPr="00EF7399">
        <w:rPr>
          <w:rFonts w:ascii="Times New Roman" w:hAnsi="Times New Roman" w:cs="Times New Roman"/>
          <w:lang w:val="hy-AM"/>
        </w:rPr>
        <w:t>ում</w:t>
      </w:r>
      <w:r w:rsidR="007A3F4A" w:rsidRPr="00EF7399">
        <w:rPr>
          <w:rFonts w:ascii="Times New Roman" w:hAnsi="Times New Roman" w:cs="Times New Roman"/>
          <w:lang w:val="af-ZA"/>
        </w:rPr>
        <w:t xml:space="preserve"> են խաղաղ հավաքների ազատության իրավունքին</w:t>
      </w:r>
      <w:r w:rsidR="00D97372" w:rsidRPr="00EF7399">
        <w:rPr>
          <w:rFonts w:ascii="Times New Roman" w:hAnsi="Times New Roman" w:cs="Times New Roman"/>
          <w:lang w:val="hy-AM"/>
        </w:rPr>
        <w:t>՝</w:t>
      </w:r>
      <w:r w:rsidR="005F110F" w:rsidRPr="00EF7399">
        <w:rPr>
          <w:rFonts w:ascii="Times New Roman" w:hAnsi="Times New Roman" w:cs="Times New Roman"/>
          <w:lang w:val="hy-AM"/>
        </w:rPr>
        <w:t xml:space="preserve"> որպես արձագանքում</w:t>
      </w:r>
      <w:r w:rsidR="007A3F4A" w:rsidRPr="00EF7399">
        <w:rPr>
          <w:rFonts w:ascii="Times New Roman" w:hAnsi="Times New Roman" w:cs="Times New Roman"/>
          <w:lang w:val="af-ZA"/>
        </w:rPr>
        <w:t xml:space="preserve"> ցույցի մասնակիցների կամ միավորման անդամների տեսակ</w:t>
      </w:r>
      <w:r w:rsidR="00C27668" w:rsidRPr="00EF7399">
        <w:rPr>
          <w:rFonts w:ascii="Times New Roman" w:hAnsi="Times New Roman" w:cs="Times New Roman"/>
          <w:lang w:val="af-ZA"/>
        </w:rPr>
        <w:t>ե</w:t>
      </w:r>
      <w:r w:rsidR="007A3F4A" w:rsidRPr="00EF7399">
        <w:rPr>
          <w:rFonts w:ascii="Times New Roman" w:hAnsi="Times New Roman" w:cs="Times New Roman"/>
          <w:lang w:val="af-ZA"/>
        </w:rPr>
        <w:t>տների</w:t>
      </w:r>
      <w:r w:rsidR="005F110F" w:rsidRPr="00EF7399">
        <w:rPr>
          <w:rFonts w:ascii="Times New Roman" w:hAnsi="Times New Roman" w:cs="Times New Roman"/>
          <w:lang w:val="hy-AM"/>
        </w:rPr>
        <w:t>ն</w:t>
      </w:r>
      <w:r w:rsidR="007A3F4A" w:rsidRPr="00EF7399">
        <w:rPr>
          <w:rFonts w:ascii="Times New Roman" w:hAnsi="Times New Roman" w:cs="Times New Roman"/>
          <w:lang w:val="af-ZA"/>
        </w:rPr>
        <w:t xml:space="preserve"> կամ </w:t>
      </w:r>
      <w:r w:rsidR="005F110F" w:rsidRPr="00EF7399">
        <w:rPr>
          <w:rFonts w:ascii="Times New Roman" w:hAnsi="Times New Roman" w:cs="Times New Roman"/>
          <w:lang w:val="hy-AM"/>
        </w:rPr>
        <w:t>արված</w:t>
      </w:r>
      <w:r w:rsidR="005F110F" w:rsidRPr="00EF7399">
        <w:rPr>
          <w:rFonts w:ascii="Times New Roman" w:hAnsi="Times New Roman" w:cs="Times New Roman"/>
          <w:lang w:val="af-ZA"/>
        </w:rPr>
        <w:t xml:space="preserve"> </w:t>
      </w:r>
      <w:r w:rsidR="007A3F4A" w:rsidRPr="00EF7399">
        <w:rPr>
          <w:rFonts w:ascii="Times New Roman" w:hAnsi="Times New Roman" w:cs="Times New Roman"/>
          <w:lang w:val="af-ZA"/>
        </w:rPr>
        <w:t>հայտարարությունների</w:t>
      </w:r>
      <w:r w:rsidR="005F110F" w:rsidRPr="00EF7399">
        <w:rPr>
          <w:rFonts w:ascii="Times New Roman" w:hAnsi="Times New Roman" w:cs="Times New Roman"/>
          <w:lang w:val="hy-AM"/>
        </w:rPr>
        <w:t>ն</w:t>
      </w:r>
      <w:r w:rsidR="007A3F4A" w:rsidRPr="00EF7399">
        <w:rPr>
          <w:rFonts w:ascii="Times New Roman" w:hAnsi="Times New Roman" w:cs="Times New Roman"/>
          <w:lang w:val="af-ZA"/>
        </w:rPr>
        <w:t xml:space="preserve"> (</w:t>
      </w:r>
      <w:hyperlink r:id="rId28" w:anchor="{%22itemid%22:[%22001-144673%22]}" w:history="1">
        <w:r w:rsidR="007A3F4A" w:rsidRPr="00C71A72">
          <w:rPr>
            <w:rStyle w:val="Hyperlink"/>
            <w:rFonts w:ascii="Times New Roman" w:hAnsi="Times New Roman" w:cs="Times New Roman"/>
            <w:iCs/>
            <w:lang w:val="af-ZA"/>
          </w:rPr>
          <w:t>Primov and Others v. Russia</w:t>
        </w:r>
      </w:hyperlink>
      <w:r w:rsidR="007A3F4A" w:rsidRPr="00EF7399">
        <w:rPr>
          <w:rFonts w:ascii="Times New Roman" w:hAnsi="Times New Roman" w:cs="Times New Roman"/>
          <w:lang w:val="af-ZA"/>
        </w:rPr>
        <w:t xml:space="preserve">, 2014, § 92; </w:t>
      </w:r>
      <w:hyperlink r:id="rId29" w:anchor="{%22itemid%22:[%22001-59689%22]}" w:history="1">
        <w:r w:rsidR="007A3F4A" w:rsidRPr="00C71A72">
          <w:rPr>
            <w:rStyle w:val="Hyperlink"/>
            <w:rFonts w:ascii="Times New Roman" w:hAnsi="Times New Roman" w:cs="Times New Roman"/>
            <w:iCs/>
            <w:lang w:val="af-ZA"/>
          </w:rPr>
          <w:t>Stankov and the United Macedonian Organisation Ilinden v. Bulgaria</w:t>
        </w:r>
      </w:hyperlink>
      <w:r w:rsidR="007A3F4A" w:rsidRPr="00EF7399">
        <w:rPr>
          <w:rFonts w:ascii="Times New Roman" w:hAnsi="Times New Roman" w:cs="Times New Roman"/>
          <w:lang w:val="af-ZA"/>
        </w:rPr>
        <w:t>, 2001, § 85):</w:t>
      </w:r>
    </w:p>
    <w:p w14:paraId="7596DB5F" w14:textId="0ACB0A71" w:rsidR="00D01BC9" w:rsidRPr="00EF7399" w:rsidRDefault="00A83DAB" w:rsidP="00A83DAB">
      <w:pPr>
        <w:pStyle w:val="ECHRHeading2"/>
        <w:numPr>
          <w:ilvl w:val="0"/>
          <w:numId w:val="0"/>
        </w:numPr>
        <w:rPr>
          <w:rFonts w:ascii="Times New Roman" w:hAnsi="Times New Roman" w:cs="Times New Roman"/>
          <w:lang w:val="af-ZA"/>
        </w:rPr>
      </w:pPr>
      <w:bookmarkStart w:id="20" w:name="_Toc159945204"/>
      <w:r>
        <w:rPr>
          <w:rFonts w:ascii="Times New Roman" w:hAnsi="Times New Roman" w:cs="Times New Roman"/>
          <w:bCs/>
          <w:color w:val="2D2D2D"/>
          <w:szCs w:val="32"/>
          <w:lang w:val="hy-AM"/>
        </w:rPr>
        <w:t xml:space="preserve">Բ․ </w:t>
      </w:r>
      <w:r w:rsidR="007A3F4A" w:rsidRPr="00EF7399">
        <w:rPr>
          <w:rFonts w:ascii="Times New Roman" w:hAnsi="Times New Roman" w:cs="Times New Roman"/>
          <w:bCs/>
          <w:color w:val="2D2D2D"/>
          <w:szCs w:val="32"/>
          <w:lang w:val="af-ZA"/>
        </w:rPr>
        <w:t>9-րդ, 10-րդ և</w:t>
      </w:r>
      <w:r w:rsidR="00BB4A1A" w:rsidRPr="00EF7399">
        <w:rPr>
          <w:rFonts w:ascii="Times New Roman" w:hAnsi="Times New Roman" w:cs="Times New Roman"/>
          <w:bCs/>
          <w:color w:val="2D2D2D"/>
          <w:szCs w:val="32"/>
          <w:lang w:val="hy-AM"/>
        </w:rPr>
        <w:t xml:space="preserve"> </w:t>
      </w:r>
      <w:r w:rsidR="00BB4A1A" w:rsidRPr="001B2612">
        <w:rPr>
          <w:rFonts w:ascii="Times New Roman" w:hAnsi="Times New Roman" w:cs="Times New Roman"/>
          <w:bCs/>
          <w:color w:val="2D2D2D"/>
          <w:szCs w:val="32"/>
          <w:lang w:val="af-ZA"/>
        </w:rPr>
        <w:t>(</w:t>
      </w:r>
      <w:r w:rsidR="007A3F4A" w:rsidRPr="00EF7399">
        <w:rPr>
          <w:rFonts w:ascii="Times New Roman" w:hAnsi="Times New Roman" w:cs="Times New Roman"/>
          <w:bCs/>
          <w:color w:val="2D2D2D"/>
          <w:szCs w:val="32"/>
          <w:lang w:val="af-ZA"/>
        </w:rPr>
        <w:t>կամ</w:t>
      </w:r>
      <w:r w:rsidR="00BB4A1A" w:rsidRPr="00EF7399">
        <w:rPr>
          <w:rFonts w:ascii="Times New Roman" w:hAnsi="Times New Roman" w:cs="Times New Roman"/>
          <w:bCs/>
          <w:color w:val="2D2D2D"/>
          <w:szCs w:val="32"/>
          <w:lang w:val="af-ZA"/>
        </w:rPr>
        <w:t>)</w:t>
      </w:r>
      <w:r w:rsidR="007A3F4A" w:rsidRPr="00EF7399">
        <w:rPr>
          <w:rFonts w:ascii="Times New Roman" w:hAnsi="Times New Roman" w:cs="Times New Roman"/>
          <w:bCs/>
          <w:color w:val="2D2D2D"/>
          <w:szCs w:val="32"/>
          <w:lang w:val="af-ZA"/>
        </w:rPr>
        <w:t xml:space="preserve"> 11-րդ հոդվածներ</w:t>
      </w:r>
      <w:r w:rsidR="00BB4A1A" w:rsidRPr="00EF7399">
        <w:rPr>
          <w:rFonts w:ascii="Times New Roman" w:hAnsi="Times New Roman" w:cs="Times New Roman"/>
          <w:bCs/>
          <w:color w:val="2D2D2D"/>
          <w:szCs w:val="32"/>
          <w:lang w:val="hy-AM"/>
        </w:rPr>
        <w:t>ի ներքո ներկայացված</w:t>
      </w:r>
      <w:r w:rsidR="007A3F4A" w:rsidRPr="00EF7399">
        <w:rPr>
          <w:rFonts w:ascii="Times New Roman" w:hAnsi="Times New Roman" w:cs="Times New Roman"/>
          <w:bCs/>
          <w:color w:val="2D2D2D"/>
          <w:szCs w:val="32"/>
          <w:lang w:val="af-ZA"/>
        </w:rPr>
        <w:t xml:space="preserve"> գանգատների դասակարգումը</w:t>
      </w:r>
      <w:bookmarkEnd w:id="20"/>
    </w:p>
    <w:p w14:paraId="376AB4D3" w14:textId="45629ED5" w:rsidR="00E2448A" w:rsidRPr="00EF7399" w:rsidRDefault="007A3F4A" w:rsidP="00E2448A">
      <w:pPr>
        <w:pStyle w:val="ECHRHeading3"/>
        <w:rPr>
          <w:rFonts w:ascii="Times New Roman" w:hAnsi="Times New Roman" w:cs="Times New Roman"/>
          <w:lang w:val="af-ZA"/>
        </w:rPr>
      </w:pPr>
      <w:bookmarkStart w:id="21" w:name="_Toc159945205"/>
      <w:r w:rsidRPr="00EF7399">
        <w:rPr>
          <w:rFonts w:ascii="Times New Roman" w:hAnsi="Times New Roman" w:cs="Times New Roman"/>
          <w:bCs/>
          <w:color w:val="2D2D2D"/>
          <w:szCs w:val="28"/>
          <w:lang w:val="af-ZA"/>
        </w:rPr>
        <w:t>Կրոնական հավաքներ. 9-րդ և 11-րդ հոդվածներ</w:t>
      </w:r>
      <w:bookmarkEnd w:id="21"/>
    </w:p>
    <w:p w14:paraId="13A7D4B4" w14:textId="41B5774C" w:rsidR="00D01BC9" w:rsidRPr="00EF7399" w:rsidRDefault="00D01BC9" w:rsidP="00D01BC9">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7A3F4A" w:rsidRPr="00EF7399">
        <w:rPr>
          <w:rFonts w:ascii="Times New Roman" w:hAnsi="Times New Roman" w:cs="Times New Roman"/>
          <w:lang w:val="af-ZA"/>
        </w:rPr>
        <w:t>Երբ հավաքը հիմնականում կրում է կրոնական բնույթ</w:t>
      </w:r>
      <w:r w:rsidR="00CB2268" w:rsidRPr="00EF7399">
        <w:rPr>
          <w:rFonts w:ascii="Times New Roman" w:hAnsi="Times New Roman" w:cs="Times New Roman"/>
          <w:lang w:val="af-ZA"/>
        </w:rPr>
        <w:t>,</w:t>
      </w:r>
      <w:r w:rsidR="007A3F4A" w:rsidRPr="00EF7399">
        <w:rPr>
          <w:rFonts w:ascii="Times New Roman" w:hAnsi="Times New Roman" w:cs="Times New Roman"/>
          <w:lang w:val="af-ZA"/>
        </w:rPr>
        <w:t xml:space="preserve"> կարող են կիրառվել թե՛ 9-րդ</w:t>
      </w:r>
      <w:r w:rsidR="00CB2268" w:rsidRPr="00EF7399">
        <w:rPr>
          <w:rFonts w:ascii="Times New Roman" w:hAnsi="Times New Roman" w:cs="Times New Roman"/>
          <w:lang w:val="af-ZA"/>
        </w:rPr>
        <w:t xml:space="preserve"> </w:t>
      </w:r>
      <w:r w:rsidR="00CB2268" w:rsidRPr="00EF7399">
        <w:rPr>
          <w:rFonts w:ascii="Times New Roman" w:hAnsi="Times New Roman" w:cs="Times New Roman"/>
          <w:lang w:val="hy-AM"/>
        </w:rPr>
        <w:t>և</w:t>
      </w:r>
      <w:r w:rsidR="007A3F4A" w:rsidRPr="00EF7399">
        <w:rPr>
          <w:rFonts w:ascii="Times New Roman" w:hAnsi="Times New Roman" w:cs="Times New Roman"/>
          <w:lang w:val="af-ZA"/>
        </w:rPr>
        <w:t xml:space="preserve"> թե՛ 11-րդ հոդվածները: Քաղաքային այգում պաշտամունքի ծառայություն չթույլատրելու հարց</w:t>
      </w:r>
      <w:r w:rsidR="00CB2268" w:rsidRPr="00EF7399">
        <w:rPr>
          <w:rFonts w:ascii="Times New Roman" w:hAnsi="Times New Roman" w:cs="Times New Roman"/>
          <w:lang w:val="hy-AM"/>
        </w:rPr>
        <w:t>ն</w:t>
      </w:r>
      <w:r w:rsidR="007A3F4A" w:rsidRPr="00EF7399">
        <w:rPr>
          <w:rFonts w:ascii="Times New Roman" w:hAnsi="Times New Roman" w:cs="Times New Roman"/>
          <w:lang w:val="af-ZA"/>
        </w:rPr>
        <w:t xml:space="preserve">  ուսումնասիրվել է 11-րդ հոդվածի </w:t>
      </w:r>
      <w:r w:rsidR="00433F0C" w:rsidRPr="00EF7399">
        <w:rPr>
          <w:rFonts w:ascii="Times New Roman" w:hAnsi="Times New Roman" w:cs="Times New Roman"/>
          <w:lang w:val="hy-AM"/>
        </w:rPr>
        <w:t>ներքո</w:t>
      </w:r>
      <w:r w:rsidR="007A3F4A" w:rsidRPr="00EF7399">
        <w:rPr>
          <w:rFonts w:ascii="Times New Roman" w:hAnsi="Times New Roman" w:cs="Times New Roman"/>
          <w:lang w:val="af-ZA"/>
        </w:rPr>
        <w:t>, որը մեկնաբանվել է 9-րդ հոդվածի համատեքստում այն հիմքով, որ խնդրո առարկա հավաքը պետք է իրականացվեր հանրային վայրում և կարգավորվեր հավաքների համար սահմանված կանոններով (</w:t>
      </w:r>
      <w:hyperlink r:id="rId30" w:anchor="{%22itemid%22:[%22001-81950%22]}" w:history="1">
        <w:r w:rsidR="007A3F4A" w:rsidRPr="005B6847">
          <w:rPr>
            <w:rStyle w:val="Hyperlink"/>
            <w:rFonts w:ascii="Times New Roman" w:hAnsi="Times New Roman" w:cs="Times New Roman"/>
            <w:iCs/>
            <w:lang w:val="af-ZA"/>
          </w:rPr>
          <w:t>Barankevich v. Russia</w:t>
        </w:r>
      </w:hyperlink>
      <w:r w:rsidR="007A3F4A" w:rsidRPr="00EF7399">
        <w:rPr>
          <w:rFonts w:ascii="Times New Roman" w:hAnsi="Times New Roman" w:cs="Times New Roman"/>
          <w:lang w:val="af-ZA"/>
        </w:rPr>
        <w:t xml:space="preserve">, 2007, § 15; </w:t>
      </w:r>
      <w:hyperlink r:id="rId31" w:anchor="{%22itemid%22:[%22001-213367%22]}" w:history="1">
        <w:r w:rsidR="007A3F4A" w:rsidRPr="00C71A72">
          <w:rPr>
            <w:rStyle w:val="Hyperlink"/>
            <w:rFonts w:ascii="Times New Roman" w:hAnsi="Times New Roman" w:cs="Times New Roman"/>
            <w:iCs/>
            <w:lang w:val="af-ZA"/>
          </w:rPr>
          <w:t>Centre of Societies for Krishna Consciousness in Russia</w:t>
        </w:r>
      </w:hyperlink>
      <w:r w:rsidR="007A3F4A" w:rsidRPr="00EF7399">
        <w:rPr>
          <w:rFonts w:ascii="Times New Roman" w:hAnsi="Times New Roman" w:cs="Times New Roman"/>
          <w:lang w:val="af-ZA"/>
        </w:rPr>
        <w:t>, 2021, § 46): Մյուս կողմից, մասնավոր կամ վարձակալված տարածքներում կրոնական հավաք</w:t>
      </w:r>
      <w:r w:rsidR="00433F0C" w:rsidRPr="00EF7399">
        <w:rPr>
          <w:rFonts w:ascii="Times New Roman" w:hAnsi="Times New Roman" w:cs="Times New Roman"/>
          <w:lang w:val="hy-AM"/>
        </w:rPr>
        <w:t>ը</w:t>
      </w:r>
      <w:r w:rsidR="007A3F4A" w:rsidRPr="00EF7399">
        <w:rPr>
          <w:rFonts w:ascii="Times New Roman" w:hAnsi="Times New Roman" w:cs="Times New Roman"/>
          <w:lang w:val="af-ZA"/>
        </w:rPr>
        <w:t xml:space="preserve"> խոչընդոտելու հարցը քննության է առնվել միայն 9-րդ հոդվածի</w:t>
      </w:r>
      <w:r w:rsidR="00433F0C" w:rsidRPr="00EF7399">
        <w:rPr>
          <w:rFonts w:ascii="Times New Roman" w:hAnsi="Times New Roman" w:cs="Times New Roman"/>
          <w:lang w:val="hy-AM"/>
        </w:rPr>
        <w:t xml:space="preserve"> տեսանկյունից </w:t>
      </w:r>
      <w:r w:rsidR="007A3F4A" w:rsidRPr="00EF7399">
        <w:rPr>
          <w:rFonts w:ascii="Times New Roman" w:hAnsi="Times New Roman" w:cs="Times New Roman"/>
          <w:lang w:val="af-ZA"/>
        </w:rPr>
        <w:t>(</w:t>
      </w:r>
      <w:hyperlink r:id="rId32" w:anchor="{%22itemid%22:[%22001-78982%22]}" w:history="1">
        <w:r w:rsidR="007A3F4A" w:rsidRPr="00273DB8">
          <w:rPr>
            <w:rStyle w:val="Hyperlink"/>
            <w:rFonts w:ascii="Times New Roman" w:hAnsi="Times New Roman" w:cs="Times New Roman"/>
            <w:iCs/>
            <w:lang w:val="af-ZA"/>
          </w:rPr>
          <w:t>Kuznetsov and Others v. Russia</w:t>
        </w:r>
      </w:hyperlink>
      <w:r w:rsidR="007A3F4A" w:rsidRPr="00EF7399">
        <w:rPr>
          <w:rFonts w:ascii="Times New Roman" w:hAnsi="Times New Roman" w:cs="Times New Roman"/>
          <w:lang w:val="af-ZA"/>
        </w:rPr>
        <w:t xml:space="preserve">, 2007, § 53; </w:t>
      </w:r>
      <w:hyperlink r:id="rId33" w:anchor="{%22itemid%22:[%22001-145013%22]}" w:history="1">
        <w:r w:rsidR="007A3F4A" w:rsidRPr="00273DB8">
          <w:rPr>
            <w:rStyle w:val="Hyperlink"/>
            <w:rFonts w:ascii="Times New Roman" w:hAnsi="Times New Roman" w:cs="Times New Roman"/>
            <w:iCs/>
            <w:lang w:val="af-ZA"/>
          </w:rPr>
          <w:t>Krupko and Others v. Russia</w:t>
        </w:r>
      </w:hyperlink>
      <w:r w:rsidR="007A3F4A" w:rsidRPr="00EF7399">
        <w:rPr>
          <w:rFonts w:ascii="Times New Roman" w:hAnsi="Times New Roman" w:cs="Times New Roman"/>
          <w:lang w:val="af-ZA"/>
        </w:rPr>
        <w:t xml:space="preserve">, 2014, § 42; </w:t>
      </w:r>
      <w:hyperlink r:id="rId34" w:anchor="{%22itemid%22:[%22001-80395%22]}" w:history="1">
        <w:r w:rsidR="007A3F4A" w:rsidRPr="00273DB8">
          <w:rPr>
            <w:rStyle w:val="Hyperlink"/>
            <w:rFonts w:ascii="Times New Roman" w:hAnsi="Times New Roman" w:cs="Times New Roman"/>
            <w:iCs/>
            <w:lang w:val="af-ZA"/>
          </w:rPr>
          <w:t>Members of the Gldani Congregation of Jehovah’s Witnesses and Others v. Georgia</w:t>
        </w:r>
      </w:hyperlink>
      <w:r w:rsidR="007A3F4A" w:rsidRPr="00EF7399">
        <w:rPr>
          <w:rFonts w:ascii="Times New Roman" w:hAnsi="Times New Roman" w:cs="Times New Roman"/>
          <w:lang w:val="af-ZA"/>
        </w:rPr>
        <w:t xml:space="preserve">, 2007, §§ 143-144): </w:t>
      </w:r>
      <w:r w:rsidR="00433F0C" w:rsidRPr="00EF7399">
        <w:rPr>
          <w:rFonts w:ascii="Times New Roman" w:hAnsi="Times New Roman" w:cs="Times New Roman"/>
          <w:lang w:val="hy-AM"/>
        </w:rPr>
        <w:t>Այնուհետև</w:t>
      </w:r>
      <w:r w:rsidR="007A3F4A" w:rsidRPr="00EF7399">
        <w:rPr>
          <w:rFonts w:ascii="Times New Roman" w:hAnsi="Times New Roman" w:cs="Times New Roman"/>
          <w:lang w:val="af-ZA"/>
        </w:rPr>
        <w:t>, մեկ այլ գործով, երբ քաղաքապետի կամ դատական որոշումներով մերժվել է գանգատաբեր կրոն</w:t>
      </w:r>
      <w:r w:rsidR="00433F0C" w:rsidRPr="00EF7399">
        <w:rPr>
          <w:rFonts w:ascii="Times New Roman" w:hAnsi="Times New Roman" w:cs="Times New Roman"/>
          <w:lang w:val="hy-AM"/>
        </w:rPr>
        <w:t>ա</w:t>
      </w:r>
      <w:r w:rsidR="007A3F4A" w:rsidRPr="00EF7399">
        <w:rPr>
          <w:rFonts w:ascii="Times New Roman" w:hAnsi="Times New Roman" w:cs="Times New Roman"/>
          <w:lang w:val="af-ZA"/>
        </w:rPr>
        <w:t>կան կազմակերպության հայտը</w:t>
      </w:r>
      <w:r w:rsidR="00433F0C" w:rsidRPr="00EF7399">
        <w:rPr>
          <w:rFonts w:ascii="Times New Roman" w:hAnsi="Times New Roman" w:cs="Times New Roman"/>
          <w:lang w:val="hy-AM"/>
        </w:rPr>
        <w:t xml:space="preserve">՝ ծրագրելու </w:t>
      </w:r>
      <w:r w:rsidR="00433F0C" w:rsidRPr="00EF7399">
        <w:rPr>
          <w:rFonts w:ascii="Times New Roman" w:hAnsi="Times New Roman" w:cs="Times New Roman"/>
          <w:lang w:val="af-ZA"/>
        </w:rPr>
        <w:t>պաշտամունքի սեփական վայր</w:t>
      </w:r>
      <w:r w:rsidR="00433F0C" w:rsidRPr="00EF7399">
        <w:rPr>
          <w:rFonts w:ascii="Times New Roman" w:hAnsi="Times New Roman" w:cs="Times New Roman"/>
          <w:lang w:val="hy-AM"/>
        </w:rPr>
        <w:t>ի</w:t>
      </w:r>
      <w:r w:rsidR="00433F0C" w:rsidRPr="00EF7399">
        <w:rPr>
          <w:rFonts w:ascii="Times New Roman" w:hAnsi="Times New Roman" w:cs="Times New Roman"/>
          <w:lang w:val="af-ZA"/>
        </w:rPr>
        <w:t xml:space="preserve"> կառուց</w:t>
      </w:r>
      <w:r w:rsidR="00433F0C" w:rsidRPr="00EF7399">
        <w:rPr>
          <w:rFonts w:ascii="Times New Roman" w:hAnsi="Times New Roman" w:cs="Times New Roman"/>
          <w:lang w:val="hy-AM"/>
        </w:rPr>
        <w:t>ումը</w:t>
      </w:r>
      <w:r w:rsidR="007A3F4A" w:rsidRPr="00EF7399">
        <w:rPr>
          <w:rFonts w:ascii="Times New Roman" w:hAnsi="Times New Roman" w:cs="Times New Roman"/>
          <w:lang w:val="af-ZA"/>
        </w:rPr>
        <w:t>, Դատարանը վերաբերելի բողոքները քննել է 9-րդ հոդվածի հիմքով, որը մեկնաբանվել է 11-րդ հոդվածի լույսի ներքո (</w:t>
      </w:r>
      <w:hyperlink r:id="rId35" w:anchor="{%22itemid%22:[%22001-205217%22]}" w:history="1">
        <w:r w:rsidR="007A3F4A" w:rsidRPr="00273DB8">
          <w:rPr>
            <w:rStyle w:val="Hyperlink"/>
            <w:rFonts w:ascii="Times New Roman" w:hAnsi="Times New Roman" w:cs="Times New Roman"/>
            <w:iCs/>
            <w:lang w:val="af-ZA"/>
          </w:rPr>
          <w:t>The Religious Denomination of Jehovah’s Witnesses in Bulgaria v. Bulgaria</w:t>
        </w:r>
      </w:hyperlink>
      <w:r w:rsidR="007A3F4A" w:rsidRPr="00EF7399">
        <w:rPr>
          <w:rFonts w:ascii="Times New Roman" w:hAnsi="Times New Roman" w:cs="Times New Roman"/>
          <w:lang w:val="af-ZA"/>
        </w:rPr>
        <w:t>, 2020, § 80):</w:t>
      </w:r>
      <w:r w:rsidR="007025B2" w:rsidRPr="00EF7399">
        <w:rPr>
          <w:rStyle w:val="FootnoteReference"/>
          <w:rFonts w:ascii="Times New Roman" w:hAnsi="Times New Roman" w:cs="Times New Roman"/>
          <w:lang w:val="af-ZA"/>
        </w:rPr>
        <w:footnoteReference w:id="2"/>
      </w:r>
    </w:p>
    <w:p w14:paraId="2897ACE6" w14:textId="685A7B20" w:rsidR="00D01BC9" w:rsidRPr="00EF7399" w:rsidRDefault="00D01BC9" w:rsidP="00D01BC9">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7</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850360" w:rsidRPr="00EF7399">
        <w:rPr>
          <w:rFonts w:ascii="Times New Roman" w:hAnsi="Times New Roman" w:cs="Times New Roman"/>
          <w:lang w:val="af-ZA"/>
        </w:rPr>
        <w:t>Կրոնական ծեսի մասնակցելու համար, որը եղել է գանգատաբերների կրոնական հավատամքի</w:t>
      </w:r>
      <w:r w:rsidR="00027D4B" w:rsidRPr="00EF7399">
        <w:rPr>
          <w:rFonts w:ascii="Times New Roman" w:hAnsi="Times New Roman" w:cs="Times New Roman"/>
          <w:lang w:val="hy-AM"/>
        </w:rPr>
        <w:t xml:space="preserve"> զուտ</w:t>
      </w:r>
      <w:r w:rsidR="00850360" w:rsidRPr="00EF7399">
        <w:rPr>
          <w:rFonts w:ascii="Times New Roman" w:hAnsi="Times New Roman" w:cs="Times New Roman"/>
          <w:lang w:val="af-ZA"/>
        </w:rPr>
        <w:t xml:space="preserve"> հրապարակային դրսևորում, ահաբեկչության կանխարգելման մասին օրենսդրության համաձայն գանգատաբերների դատապարտ</w:t>
      </w:r>
      <w:r w:rsidR="00027D4B" w:rsidRPr="00EF7399">
        <w:rPr>
          <w:rFonts w:ascii="Times New Roman" w:hAnsi="Times New Roman" w:cs="Times New Roman"/>
          <w:lang w:val="hy-AM"/>
        </w:rPr>
        <w:t>մանն</w:t>
      </w:r>
      <w:r w:rsidR="00850360" w:rsidRPr="00EF7399">
        <w:rPr>
          <w:rFonts w:ascii="Times New Roman" w:hAnsi="Times New Roman" w:cs="Times New Roman"/>
          <w:lang w:val="af-ZA"/>
        </w:rPr>
        <w:t xml:space="preserve"> առնչվող գործով Դատարանը </w:t>
      </w:r>
      <w:r w:rsidR="00027D4B" w:rsidRPr="00EF7399">
        <w:rPr>
          <w:rFonts w:ascii="Times New Roman" w:hAnsi="Times New Roman" w:cs="Times New Roman"/>
          <w:lang w:val="hy-AM"/>
        </w:rPr>
        <w:t>գտել</w:t>
      </w:r>
      <w:r w:rsidR="00027D4B" w:rsidRPr="00EF7399">
        <w:rPr>
          <w:rFonts w:ascii="Times New Roman" w:hAnsi="Times New Roman" w:cs="Times New Roman"/>
          <w:lang w:val="af-ZA"/>
        </w:rPr>
        <w:t xml:space="preserve"> </w:t>
      </w:r>
      <w:r w:rsidR="00850360" w:rsidRPr="00EF7399">
        <w:rPr>
          <w:rFonts w:ascii="Times New Roman" w:hAnsi="Times New Roman" w:cs="Times New Roman"/>
          <w:lang w:val="af-ZA"/>
        </w:rPr>
        <w:t>է, որ խնդրո առարկա իրավիճակը կար</w:t>
      </w:r>
      <w:r w:rsidR="00027D4B" w:rsidRPr="00EF7399">
        <w:rPr>
          <w:rFonts w:ascii="Times New Roman" w:hAnsi="Times New Roman" w:cs="Times New Roman"/>
          <w:lang w:val="hy-AM"/>
        </w:rPr>
        <w:t>ող է</w:t>
      </w:r>
      <w:r w:rsidR="00850360" w:rsidRPr="00EF7399">
        <w:rPr>
          <w:rFonts w:ascii="Times New Roman" w:hAnsi="Times New Roman" w:cs="Times New Roman"/>
          <w:lang w:val="af-ZA"/>
        </w:rPr>
        <w:t xml:space="preserve"> քննության առն</w:t>
      </w:r>
      <w:r w:rsidR="00027D4B" w:rsidRPr="00EF7399">
        <w:rPr>
          <w:rFonts w:ascii="Times New Roman" w:hAnsi="Times New Roman" w:cs="Times New Roman"/>
          <w:lang w:val="hy-AM"/>
        </w:rPr>
        <w:t>վ</w:t>
      </w:r>
      <w:r w:rsidR="00850360" w:rsidRPr="00EF7399">
        <w:rPr>
          <w:rFonts w:ascii="Times New Roman" w:hAnsi="Times New Roman" w:cs="Times New Roman"/>
          <w:lang w:val="af-ZA"/>
        </w:rPr>
        <w:t xml:space="preserve">ել Կոնվենցիայի մի շարք դրույթների </w:t>
      </w:r>
      <w:r w:rsidR="00027D4B" w:rsidRPr="00EF7399">
        <w:rPr>
          <w:rFonts w:ascii="Times New Roman" w:hAnsi="Times New Roman" w:cs="Times New Roman"/>
          <w:lang w:val="hy-AM"/>
        </w:rPr>
        <w:t>ներքո</w:t>
      </w:r>
      <w:r w:rsidR="00850360" w:rsidRPr="00EF7399">
        <w:rPr>
          <w:rFonts w:ascii="Times New Roman" w:hAnsi="Times New Roman" w:cs="Times New Roman"/>
          <w:lang w:val="af-ZA"/>
        </w:rPr>
        <w:t xml:space="preserve">, այդ թվում` գանգատաբերների նշած 7-րդ, 9-րդ և 11-րդ հոդվածներով: </w:t>
      </w:r>
      <w:r w:rsidR="004B070D" w:rsidRPr="00EF7399">
        <w:rPr>
          <w:rFonts w:ascii="Times New Roman" w:hAnsi="Times New Roman" w:cs="Times New Roman"/>
          <w:lang w:val="hy-AM"/>
        </w:rPr>
        <w:t>Այնուամենայնիվ,</w:t>
      </w:r>
      <w:r w:rsidR="004B070D" w:rsidRPr="00EF7399">
        <w:rPr>
          <w:rFonts w:ascii="Times New Roman" w:hAnsi="Times New Roman" w:cs="Times New Roman"/>
          <w:lang w:val="af-ZA"/>
        </w:rPr>
        <w:t xml:space="preserve"> </w:t>
      </w:r>
      <w:r w:rsidR="00850360" w:rsidRPr="00EF7399">
        <w:rPr>
          <w:rFonts w:ascii="Times New Roman" w:hAnsi="Times New Roman" w:cs="Times New Roman"/>
          <w:lang w:val="af-ZA"/>
        </w:rPr>
        <w:t>հայտնել է այն տեսակետը, որ</w:t>
      </w:r>
      <w:r w:rsidR="004B070D" w:rsidRPr="00EF7399">
        <w:rPr>
          <w:rFonts w:ascii="Times New Roman" w:hAnsi="Times New Roman" w:cs="Times New Roman"/>
          <w:lang w:val="hy-AM"/>
        </w:rPr>
        <w:t xml:space="preserve"> կոնկրետ</w:t>
      </w:r>
      <w:r w:rsidR="00850360" w:rsidRPr="00EF7399">
        <w:rPr>
          <w:rFonts w:ascii="Times New Roman" w:hAnsi="Times New Roman" w:cs="Times New Roman"/>
          <w:lang w:val="af-ZA"/>
        </w:rPr>
        <w:t xml:space="preserve"> գործում բարձ</w:t>
      </w:r>
      <w:r w:rsidR="00027D4B" w:rsidRPr="00EF7399">
        <w:rPr>
          <w:rFonts w:ascii="Times New Roman" w:hAnsi="Times New Roman" w:cs="Times New Roman"/>
          <w:lang w:val="hy-AM"/>
        </w:rPr>
        <w:t>ր</w:t>
      </w:r>
      <w:r w:rsidR="00850360" w:rsidRPr="00EF7399">
        <w:rPr>
          <w:rFonts w:ascii="Times New Roman" w:hAnsi="Times New Roman" w:cs="Times New Roman"/>
          <w:lang w:val="af-ZA"/>
        </w:rPr>
        <w:t xml:space="preserve">ացված հիմնական հարցը պետք է քննության առնվի միայն 9-րդ հոդվածի </w:t>
      </w:r>
      <w:r w:rsidR="004B070D" w:rsidRPr="00EF7399">
        <w:rPr>
          <w:rFonts w:ascii="Times New Roman" w:hAnsi="Times New Roman" w:cs="Times New Roman"/>
          <w:lang w:val="hy-AM"/>
        </w:rPr>
        <w:t>ներքո</w:t>
      </w:r>
      <w:r w:rsidRPr="00EF7399">
        <w:rPr>
          <w:rFonts w:ascii="Times New Roman" w:hAnsi="Times New Roman" w:cs="Times New Roman"/>
          <w:lang w:val="af-ZA"/>
        </w:rPr>
        <w:t xml:space="preserve"> (</w:t>
      </w:r>
      <w:hyperlink r:id="rId36" w:history="1">
        <w:r w:rsidRPr="00EF7399">
          <w:rPr>
            <w:rStyle w:val="Hyperlink"/>
            <w:rFonts w:ascii="Times New Roman" w:hAnsi="Times New Roman" w:cs="Times New Roman"/>
            <w:lang w:val="af-ZA"/>
          </w:rPr>
          <w:t>Güler and Uğur</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w:t>
      </w:r>
      <w:r w:rsidR="00297FB5" w:rsidRPr="00EF7399">
        <w:rPr>
          <w:rFonts w:ascii="Times New Roman" w:hAnsi="Times New Roman" w:cs="Times New Roman"/>
          <w:lang w:val="af-ZA"/>
        </w:rPr>
        <w:t xml:space="preserve">2014,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12 and 26)</w:t>
      </w:r>
      <w:r w:rsidR="00850360" w:rsidRPr="00EF7399">
        <w:rPr>
          <w:rFonts w:ascii="Times New Roman" w:hAnsi="Times New Roman" w:cs="Times New Roman"/>
          <w:lang w:val="af-ZA"/>
        </w:rPr>
        <w:t>:</w:t>
      </w:r>
    </w:p>
    <w:p w14:paraId="5DD0AD2C" w14:textId="72325656" w:rsidR="00E2448A" w:rsidRPr="00EF7399" w:rsidRDefault="00850360" w:rsidP="00E2448A">
      <w:pPr>
        <w:pStyle w:val="ECHRHeading3"/>
        <w:rPr>
          <w:rFonts w:ascii="Times New Roman" w:hAnsi="Times New Roman" w:cs="Times New Roman"/>
          <w:lang w:val="af-ZA"/>
        </w:rPr>
      </w:pPr>
      <w:bookmarkStart w:id="22" w:name="_Toc159945206"/>
      <w:r w:rsidRPr="00EF7399">
        <w:rPr>
          <w:rFonts w:ascii="Times New Roman" w:hAnsi="Times New Roman" w:cs="Times New Roman"/>
          <w:lang w:val="af-ZA"/>
        </w:rPr>
        <w:t>Հավաքը</w:t>
      </w:r>
      <w:r w:rsidR="004B070D" w:rsidRPr="00EF7399">
        <w:rPr>
          <w:rFonts w:ascii="Times New Roman" w:hAnsi="Times New Roman" w:cs="Times New Roman"/>
          <w:lang w:val="hy-AM"/>
        </w:rPr>
        <w:t>՝</w:t>
      </w:r>
      <w:r w:rsidRPr="00EF7399">
        <w:rPr>
          <w:rFonts w:ascii="Times New Roman" w:hAnsi="Times New Roman" w:cs="Times New Roman"/>
          <w:lang w:val="af-ZA"/>
        </w:rPr>
        <w:t xml:space="preserve"> որպես արտահայտման ձև և հավաքի ընթացքում կարծիք</w:t>
      </w:r>
      <w:r w:rsidR="004B070D" w:rsidRPr="00EF7399">
        <w:rPr>
          <w:rFonts w:ascii="Times New Roman" w:hAnsi="Times New Roman" w:cs="Times New Roman"/>
          <w:lang w:val="hy-AM"/>
        </w:rPr>
        <w:t>ի</w:t>
      </w:r>
      <w:r w:rsidRPr="00EF7399">
        <w:rPr>
          <w:rFonts w:ascii="Times New Roman" w:hAnsi="Times New Roman" w:cs="Times New Roman"/>
          <w:lang w:val="af-ZA"/>
        </w:rPr>
        <w:t xml:space="preserve"> արտահայտ</w:t>
      </w:r>
      <w:r w:rsidR="004B070D" w:rsidRPr="00EF7399">
        <w:rPr>
          <w:rFonts w:ascii="Times New Roman" w:hAnsi="Times New Roman" w:cs="Times New Roman"/>
          <w:lang w:val="hy-AM"/>
        </w:rPr>
        <w:t>ում</w:t>
      </w:r>
      <w:r w:rsidRPr="00EF7399">
        <w:rPr>
          <w:rFonts w:ascii="Times New Roman" w:hAnsi="Times New Roman" w:cs="Times New Roman"/>
          <w:lang w:val="af-ZA"/>
        </w:rPr>
        <w:t>. 10-րդ և 11-րդ հոդվածներ</w:t>
      </w:r>
      <w:bookmarkEnd w:id="22"/>
    </w:p>
    <w:p w14:paraId="299064FA" w14:textId="7A7E2EF2" w:rsidR="00D01BC9" w:rsidRPr="00EF7399" w:rsidRDefault="0036651F" w:rsidP="00D01BC9">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FE1494" w:rsidRPr="00EF7399">
        <w:rPr>
          <w:rFonts w:ascii="Times New Roman" w:hAnsi="Times New Roman" w:cs="Times New Roman"/>
          <w:lang w:val="af-ZA"/>
        </w:rPr>
        <w:t>Բողոքի քննությունը 10-րդ կամ 11-րդ հոդված</w:t>
      </w:r>
      <w:r w:rsidR="004B070D" w:rsidRPr="00EF7399">
        <w:rPr>
          <w:rFonts w:ascii="Times New Roman" w:hAnsi="Times New Roman" w:cs="Times New Roman"/>
          <w:lang w:val="hy-AM"/>
        </w:rPr>
        <w:t>ի</w:t>
      </w:r>
      <w:r w:rsidR="00FE1494" w:rsidRPr="00EF7399">
        <w:rPr>
          <w:rFonts w:ascii="Times New Roman" w:hAnsi="Times New Roman" w:cs="Times New Roman"/>
          <w:lang w:val="af-ZA"/>
        </w:rPr>
        <w:t xml:space="preserve"> կամ միաժամանակ </w:t>
      </w:r>
      <w:r w:rsidR="004B070D" w:rsidRPr="00EF7399">
        <w:rPr>
          <w:rFonts w:ascii="Times New Roman" w:hAnsi="Times New Roman" w:cs="Times New Roman"/>
          <w:lang w:val="af-ZA"/>
        </w:rPr>
        <w:t>երկու</w:t>
      </w:r>
      <w:r w:rsidR="004B070D" w:rsidRPr="00EF7399">
        <w:rPr>
          <w:rFonts w:ascii="Times New Roman" w:hAnsi="Times New Roman" w:cs="Times New Roman"/>
          <w:lang w:val="hy-AM"/>
        </w:rPr>
        <w:t xml:space="preserve"> հոդվածների ներքո</w:t>
      </w:r>
      <w:r w:rsidR="004B070D" w:rsidRPr="00EF7399">
        <w:rPr>
          <w:rFonts w:ascii="Times New Roman" w:hAnsi="Times New Roman" w:cs="Times New Roman"/>
          <w:lang w:val="af-ZA"/>
        </w:rPr>
        <w:t xml:space="preserve"> </w:t>
      </w:r>
      <w:r w:rsidR="00FE1494" w:rsidRPr="00EF7399">
        <w:rPr>
          <w:rFonts w:ascii="Times New Roman" w:hAnsi="Times New Roman" w:cs="Times New Roman"/>
          <w:lang w:val="af-ZA"/>
        </w:rPr>
        <w:t>պայմանավորված է տվյալ գործի</w:t>
      </w:r>
      <w:r w:rsidR="004B070D" w:rsidRPr="00EF7399">
        <w:rPr>
          <w:rFonts w:ascii="Times New Roman" w:hAnsi="Times New Roman" w:cs="Times New Roman"/>
          <w:lang w:val="af-ZA"/>
        </w:rPr>
        <w:t xml:space="preserve"> </w:t>
      </w:r>
      <w:r w:rsidR="004B070D" w:rsidRPr="00EF7399">
        <w:rPr>
          <w:rFonts w:ascii="Times New Roman" w:hAnsi="Times New Roman" w:cs="Times New Roman"/>
          <w:lang w:val="hy-AM"/>
        </w:rPr>
        <w:t>առանձնահատուկ</w:t>
      </w:r>
      <w:r w:rsidR="00FE1494" w:rsidRPr="00EF7399">
        <w:rPr>
          <w:rFonts w:ascii="Times New Roman" w:hAnsi="Times New Roman" w:cs="Times New Roman"/>
          <w:lang w:val="af-ZA"/>
        </w:rPr>
        <w:t xml:space="preserve"> հանգամանքներով և դիմումատուի գանգատների էությամբ   </w:t>
      </w:r>
      <w:r w:rsidR="00D01BC9" w:rsidRPr="00EF7399">
        <w:rPr>
          <w:rFonts w:ascii="Times New Roman" w:hAnsi="Times New Roman" w:cs="Times New Roman"/>
          <w:lang w:val="af-ZA"/>
        </w:rPr>
        <w:t>(</w:t>
      </w:r>
      <w:hyperlink r:id="rId37" w:history="1">
        <w:r w:rsidR="00D01BC9" w:rsidRPr="00EF7399">
          <w:rPr>
            <w:rStyle w:val="Hyperlink"/>
            <w:rFonts w:ascii="Times New Roman" w:hAnsi="Times New Roman" w:cs="Times New Roman"/>
            <w:lang w:val="af-ZA"/>
          </w:rPr>
          <w:t>Women On Waves and Others</w:t>
        </w:r>
        <w:r w:rsidR="00873234" w:rsidRPr="00EF7399">
          <w:rPr>
            <w:rStyle w:val="Hyperlink"/>
            <w:rFonts w:ascii="Times New Roman" w:hAnsi="Times New Roman" w:cs="Times New Roman"/>
            <w:lang w:val="af-ZA"/>
          </w:rPr>
          <w:t xml:space="preserve"> v. </w:t>
        </w:r>
        <w:r w:rsidR="00D01BC9" w:rsidRPr="00EF7399">
          <w:rPr>
            <w:rStyle w:val="Hyperlink"/>
            <w:rFonts w:ascii="Times New Roman" w:hAnsi="Times New Roman" w:cs="Times New Roman"/>
            <w:lang w:val="af-ZA"/>
          </w:rPr>
          <w:t>Portugal</w:t>
        </w:r>
      </w:hyperlink>
      <w:r w:rsidR="00D01BC9" w:rsidRPr="00EF7399">
        <w:rPr>
          <w:rFonts w:ascii="Times New Roman" w:hAnsi="Times New Roman" w:cs="Times New Roman"/>
          <w:lang w:val="af-ZA"/>
        </w:rPr>
        <w:t xml:space="preserve">, </w:t>
      </w:r>
      <w:r w:rsidR="00297FB5" w:rsidRPr="00EF7399">
        <w:rPr>
          <w:rFonts w:ascii="Times New Roman" w:hAnsi="Times New Roman" w:cs="Times New Roman"/>
          <w:lang w:val="af-ZA"/>
        </w:rPr>
        <w:t xml:space="preserve">2009, </w:t>
      </w:r>
      <w:r w:rsidR="00873234" w:rsidRPr="00EF7399">
        <w:rPr>
          <w:rFonts w:ascii="Times New Roman" w:hAnsi="Times New Roman" w:cs="Times New Roman"/>
          <w:lang w:val="af-ZA"/>
        </w:rPr>
        <w:t>§ </w:t>
      </w:r>
      <w:r w:rsidR="00D01BC9" w:rsidRPr="00EF7399">
        <w:rPr>
          <w:rFonts w:ascii="Times New Roman" w:hAnsi="Times New Roman" w:cs="Times New Roman"/>
          <w:lang w:val="af-ZA"/>
        </w:rPr>
        <w:t>28</w:t>
      </w:r>
      <w:r w:rsidR="00DA673D" w:rsidRPr="00EF7399">
        <w:rPr>
          <w:rFonts w:ascii="Times New Roman" w:hAnsi="Times New Roman" w:cs="Times New Roman"/>
          <w:lang w:val="af-ZA"/>
        </w:rPr>
        <w:t xml:space="preserve">; </w:t>
      </w:r>
      <w:hyperlink r:id="rId38" w:history="1">
        <w:r w:rsidR="00DA673D" w:rsidRPr="00EF7399">
          <w:rPr>
            <w:rStyle w:val="Hyperlink"/>
            <w:rFonts w:ascii="Times New Roman" w:hAnsi="Times New Roman" w:cs="Times New Roman"/>
            <w:lang w:val="af-ZA" w:eastAsia="fr-FR"/>
          </w:rPr>
          <w:t>Bumbeș</w:t>
        </w:r>
        <w:r w:rsidR="00873234" w:rsidRPr="00EF7399">
          <w:rPr>
            <w:rStyle w:val="Hyperlink"/>
            <w:rFonts w:ascii="Times New Roman" w:hAnsi="Times New Roman" w:cs="Times New Roman"/>
            <w:lang w:val="af-ZA" w:eastAsia="fr-FR"/>
          </w:rPr>
          <w:t xml:space="preserve"> v. </w:t>
        </w:r>
        <w:r w:rsidR="00DA673D" w:rsidRPr="00EF7399">
          <w:rPr>
            <w:rStyle w:val="Hyperlink"/>
            <w:rFonts w:ascii="Times New Roman" w:hAnsi="Times New Roman" w:cs="Times New Roman"/>
            <w:lang w:val="af-ZA" w:eastAsia="fr-FR"/>
          </w:rPr>
          <w:t>Romania</w:t>
        </w:r>
      </w:hyperlink>
      <w:r w:rsidR="00DA673D" w:rsidRPr="00EF7399">
        <w:rPr>
          <w:rFonts w:ascii="Times New Roman" w:hAnsi="Times New Roman" w:cs="Times New Roman"/>
          <w:color w:val="000000"/>
          <w:lang w:val="af-ZA" w:eastAsia="fr-FR"/>
        </w:rPr>
        <w:t xml:space="preserve">, 2022, </w:t>
      </w:r>
      <w:r w:rsidR="00873234" w:rsidRPr="00EF7399">
        <w:rPr>
          <w:rFonts w:ascii="Times New Roman" w:hAnsi="Times New Roman" w:cs="Times New Roman"/>
          <w:color w:val="000000"/>
          <w:lang w:val="af-ZA" w:eastAsia="fr-FR"/>
        </w:rPr>
        <w:t>§ </w:t>
      </w:r>
      <w:r w:rsidR="00DA673D" w:rsidRPr="00EF7399">
        <w:rPr>
          <w:rFonts w:ascii="Times New Roman" w:hAnsi="Times New Roman" w:cs="Times New Roman"/>
          <w:color w:val="000000"/>
          <w:lang w:val="af-ZA" w:eastAsia="fr-FR"/>
        </w:rPr>
        <w:t>69</w:t>
      </w:r>
      <w:r w:rsidR="0013397C" w:rsidRPr="00EF7399">
        <w:rPr>
          <w:rFonts w:ascii="Times New Roman" w:hAnsi="Times New Roman" w:cs="Times New Roman"/>
          <w:color w:val="000000"/>
          <w:lang w:val="af-ZA" w:eastAsia="fr-FR"/>
        </w:rPr>
        <w:t xml:space="preserve">; </w:t>
      </w:r>
      <w:hyperlink r:id="rId39" w:history="1">
        <w:r w:rsidR="0013397C" w:rsidRPr="00EF7399">
          <w:rPr>
            <w:rStyle w:val="Hyperlink"/>
            <w:rFonts w:ascii="Times New Roman" w:hAnsi="Times New Roman" w:cs="Times New Roman"/>
            <w:lang w:val="af-ZA" w:eastAsia="fr-FR"/>
          </w:rPr>
          <w:t>Ete v. Türkiye</w:t>
        </w:r>
      </w:hyperlink>
      <w:r w:rsidR="0013397C" w:rsidRPr="00EF7399">
        <w:rPr>
          <w:rFonts w:ascii="Times New Roman" w:hAnsi="Times New Roman" w:cs="Times New Roman"/>
          <w:color w:val="000000"/>
          <w:lang w:val="af-ZA" w:eastAsia="fr-FR"/>
        </w:rPr>
        <w:t>, 2022, § 17</w:t>
      </w:r>
      <w:r w:rsidR="00D01BC9" w:rsidRPr="00EF7399">
        <w:rPr>
          <w:rFonts w:ascii="Times New Roman" w:hAnsi="Times New Roman" w:cs="Times New Roman"/>
          <w:lang w:val="af-ZA"/>
        </w:rPr>
        <w:t>)</w:t>
      </w:r>
      <w:r w:rsidR="00FE1494" w:rsidRPr="00EF7399">
        <w:rPr>
          <w:rFonts w:ascii="Times New Roman" w:hAnsi="Times New Roman" w:cs="Times New Roman"/>
          <w:lang w:val="af-ZA"/>
        </w:rPr>
        <w:t xml:space="preserve">: </w:t>
      </w:r>
      <w:r w:rsidR="00CA546E" w:rsidRPr="00EF7399">
        <w:rPr>
          <w:rFonts w:ascii="Times New Roman" w:hAnsi="Times New Roman" w:cs="Times New Roman"/>
          <w:lang w:val="hy-AM"/>
        </w:rPr>
        <w:t>Բ</w:t>
      </w:r>
      <w:r w:rsidR="00CA546E" w:rsidRPr="00EF7399">
        <w:rPr>
          <w:rFonts w:ascii="Times New Roman" w:hAnsi="Times New Roman" w:cs="Times New Roman"/>
          <w:lang w:val="af-ZA"/>
        </w:rPr>
        <w:t>ողոքներ</w:t>
      </w:r>
      <w:r w:rsidR="00CA546E" w:rsidRPr="00EF7399">
        <w:rPr>
          <w:rFonts w:ascii="Times New Roman" w:hAnsi="Times New Roman" w:cs="Times New Roman"/>
          <w:lang w:val="hy-AM"/>
        </w:rPr>
        <w:t>ը մ</w:t>
      </w:r>
      <w:r w:rsidR="00FE1494" w:rsidRPr="00EF7399">
        <w:rPr>
          <w:rFonts w:ascii="Times New Roman" w:hAnsi="Times New Roman" w:cs="Times New Roman"/>
          <w:lang w:val="af-ZA"/>
        </w:rPr>
        <w:t xml:space="preserve">իջոցառման վերաբերյալ, </w:t>
      </w:r>
      <w:r w:rsidR="00CA546E" w:rsidRPr="00EF7399">
        <w:rPr>
          <w:rFonts w:ascii="Times New Roman" w:hAnsi="Times New Roman" w:cs="Times New Roman"/>
          <w:lang w:val="hy-AM"/>
        </w:rPr>
        <w:t>որի նկատմամբ</w:t>
      </w:r>
      <w:r w:rsidR="00CA546E" w:rsidRPr="00EF7399">
        <w:rPr>
          <w:rFonts w:ascii="Times New Roman" w:hAnsi="Times New Roman" w:cs="Times New Roman"/>
          <w:lang w:val="af-ZA"/>
        </w:rPr>
        <w:t xml:space="preserve"> </w:t>
      </w:r>
      <w:r w:rsidR="00FE1494" w:rsidRPr="00EF7399">
        <w:rPr>
          <w:rFonts w:ascii="Times New Roman" w:hAnsi="Times New Roman" w:cs="Times New Roman"/>
          <w:lang w:val="af-ZA"/>
        </w:rPr>
        <w:t>կիրառելի չէ 11-րդ հոդվածը, քանի որ այն</w:t>
      </w:r>
      <w:r w:rsidR="00CA546E" w:rsidRPr="00EF7399">
        <w:rPr>
          <w:rFonts w:ascii="Times New Roman" w:hAnsi="Times New Roman" w:cs="Times New Roman"/>
          <w:lang w:val="hy-AM"/>
        </w:rPr>
        <w:t xml:space="preserve"> կա</w:t>
      </w:r>
      <w:r w:rsidR="00EC30FE" w:rsidRPr="00EF7399">
        <w:rPr>
          <w:rFonts w:ascii="Times New Roman" w:hAnsi="Times New Roman" w:cs="Times New Roman"/>
          <w:lang w:val="hy-AM"/>
        </w:rPr>
        <w:t>՛</w:t>
      </w:r>
      <w:r w:rsidR="00CA546E" w:rsidRPr="00EF7399">
        <w:rPr>
          <w:rFonts w:ascii="Times New Roman" w:hAnsi="Times New Roman" w:cs="Times New Roman"/>
          <w:lang w:val="hy-AM"/>
        </w:rPr>
        <w:t>մ</w:t>
      </w:r>
      <w:r w:rsidR="00FE1494" w:rsidRPr="00EF7399">
        <w:rPr>
          <w:rFonts w:ascii="Times New Roman" w:hAnsi="Times New Roman" w:cs="Times New Roman"/>
          <w:lang w:val="af-ZA"/>
        </w:rPr>
        <w:t xml:space="preserve"> չի հանդիսացել «հավաք»</w:t>
      </w:r>
      <w:r w:rsidR="00EC30FE" w:rsidRPr="00EF7399">
        <w:rPr>
          <w:rFonts w:ascii="Times New Roman" w:hAnsi="Times New Roman" w:cs="Times New Roman"/>
          <w:lang w:val="hy-AM"/>
        </w:rPr>
        <w:t>,</w:t>
      </w:r>
      <w:r w:rsidR="00FE1494" w:rsidRPr="00EF7399">
        <w:rPr>
          <w:rFonts w:ascii="Times New Roman" w:hAnsi="Times New Roman" w:cs="Times New Roman"/>
          <w:lang w:val="af-ZA"/>
        </w:rPr>
        <w:t xml:space="preserve"> կա</w:t>
      </w:r>
      <w:r w:rsidR="00EC30FE" w:rsidRPr="00EF7399">
        <w:rPr>
          <w:rFonts w:ascii="Times New Roman" w:hAnsi="Times New Roman" w:cs="Times New Roman"/>
          <w:lang w:val="hy-AM"/>
        </w:rPr>
        <w:t>՛</w:t>
      </w:r>
      <w:r w:rsidR="00FE1494" w:rsidRPr="00EF7399">
        <w:rPr>
          <w:rFonts w:ascii="Times New Roman" w:hAnsi="Times New Roman" w:cs="Times New Roman"/>
          <w:lang w:val="af-ZA"/>
        </w:rPr>
        <w:t xml:space="preserve">մ հավաքը չի կրել «խաղաղ» բնույթ, ուսումնասիրվել են 10-րդ հոդվածի </w:t>
      </w:r>
      <w:r w:rsidR="00CA546E" w:rsidRPr="00EF7399">
        <w:rPr>
          <w:rFonts w:ascii="Times New Roman" w:hAnsi="Times New Roman" w:cs="Times New Roman"/>
          <w:lang w:val="hy-AM"/>
        </w:rPr>
        <w:t>շրջանակում</w:t>
      </w:r>
      <w:r w:rsidR="00FE1494" w:rsidRPr="00EF7399">
        <w:rPr>
          <w:rFonts w:ascii="Times New Roman" w:hAnsi="Times New Roman" w:cs="Times New Roman"/>
          <w:lang w:val="af-ZA"/>
        </w:rPr>
        <w:t xml:space="preserve">` 11-րդ հոդվածի լույսի ներքո </w:t>
      </w:r>
      <w:r w:rsidR="00D01BC9" w:rsidRPr="00EF7399">
        <w:rPr>
          <w:rFonts w:ascii="Times New Roman" w:hAnsi="Times New Roman" w:cs="Times New Roman"/>
          <w:lang w:val="af-ZA"/>
        </w:rPr>
        <w:t>(</w:t>
      </w:r>
      <w:hyperlink r:id="rId40" w:history="1">
        <w:r w:rsidR="00D01BC9" w:rsidRPr="00EF7399">
          <w:rPr>
            <w:rStyle w:val="Hyperlink"/>
            <w:rFonts w:ascii="Times New Roman" w:hAnsi="Times New Roman" w:cs="Times New Roman"/>
            <w:lang w:val="af-ZA"/>
          </w:rPr>
          <w:t>Steel and Others</w:t>
        </w:r>
        <w:r w:rsidR="00873234" w:rsidRPr="00EF7399">
          <w:rPr>
            <w:rStyle w:val="Hyperlink"/>
            <w:rFonts w:ascii="Times New Roman" w:hAnsi="Times New Roman" w:cs="Times New Roman"/>
            <w:lang w:val="af-ZA"/>
          </w:rPr>
          <w:t xml:space="preserve"> v. </w:t>
        </w:r>
        <w:r w:rsidR="00D01BC9" w:rsidRPr="00EF7399">
          <w:rPr>
            <w:rStyle w:val="Hyperlink"/>
            <w:rFonts w:ascii="Times New Roman" w:hAnsi="Times New Roman" w:cs="Times New Roman"/>
            <w:lang w:val="af-ZA"/>
          </w:rPr>
          <w:t>the United Kingdom</w:t>
        </w:r>
      </w:hyperlink>
      <w:r w:rsidR="00D01BC9" w:rsidRPr="00EF7399">
        <w:rPr>
          <w:rFonts w:ascii="Times New Roman" w:hAnsi="Times New Roman" w:cs="Times New Roman"/>
          <w:lang w:val="af-ZA"/>
        </w:rPr>
        <w:t xml:space="preserve">, </w:t>
      </w:r>
      <w:r w:rsidR="00297FB5" w:rsidRPr="00EF7399">
        <w:rPr>
          <w:rFonts w:ascii="Times New Roman" w:hAnsi="Times New Roman" w:cs="Times New Roman"/>
          <w:lang w:val="af-ZA"/>
        </w:rPr>
        <w:t xml:space="preserve">1998, </w:t>
      </w:r>
      <w:r w:rsidR="00D01BC9" w:rsidRPr="00EF7399">
        <w:rPr>
          <w:rFonts w:ascii="Times New Roman" w:hAnsi="Times New Roman" w:cs="Times New Roman"/>
          <w:lang w:val="af-ZA"/>
        </w:rPr>
        <w:t>§</w:t>
      </w:r>
      <w:r w:rsidR="00873234" w:rsidRPr="00EF7399">
        <w:rPr>
          <w:rFonts w:ascii="Times New Roman" w:hAnsi="Times New Roman" w:cs="Times New Roman"/>
          <w:lang w:val="af-ZA"/>
        </w:rPr>
        <w:t>§ </w:t>
      </w:r>
      <w:r w:rsidR="00D01BC9" w:rsidRPr="00EF7399">
        <w:rPr>
          <w:rFonts w:ascii="Times New Roman" w:hAnsi="Times New Roman" w:cs="Times New Roman"/>
          <w:lang w:val="af-ZA"/>
        </w:rPr>
        <w:t xml:space="preserve">92 </w:t>
      </w:r>
      <w:r w:rsidR="00FE1494" w:rsidRPr="00EF7399">
        <w:rPr>
          <w:rFonts w:ascii="Times New Roman" w:hAnsi="Times New Roman" w:cs="Times New Roman"/>
          <w:lang w:val="af-ZA"/>
        </w:rPr>
        <w:t>և</w:t>
      </w:r>
      <w:r w:rsidR="00D01BC9" w:rsidRPr="00EF7399">
        <w:rPr>
          <w:rFonts w:ascii="Times New Roman" w:hAnsi="Times New Roman" w:cs="Times New Roman"/>
          <w:lang w:val="af-ZA"/>
        </w:rPr>
        <w:t xml:space="preserve"> 113,</w:t>
      </w:r>
      <w:r w:rsidR="00D01BC9" w:rsidRPr="00EF7399">
        <w:rPr>
          <w:rFonts w:ascii="Times New Roman" w:hAnsi="Times New Roman" w:cs="Times New Roman"/>
          <w:i/>
          <w:lang w:val="af-ZA"/>
        </w:rPr>
        <w:t xml:space="preserve"> </w:t>
      </w:r>
      <w:r w:rsidR="00FE1494" w:rsidRPr="00EF7399">
        <w:rPr>
          <w:rFonts w:ascii="Times New Roman" w:hAnsi="Times New Roman" w:cs="Times New Roman"/>
          <w:lang w:val="af-ZA"/>
        </w:rPr>
        <w:t>ո</w:t>
      </w:r>
      <w:r w:rsidR="00CA546E" w:rsidRPr="00EF7399">
        <w:rPr>
          <w:rFonts w:ascii="Times New Roman" w:hAnsi="Times New Roman" w:cs="Times New Roman"/>
          <w:lang w:val="hy-AM"/>
        </w:rPr>
        <w:t>րտեղ</w:t>
      </w:r>
      <w:r w:rsidR="00FE1494" w:rsidRPr="00EF7399">
        <w:rPr>
          <w:rFonts w:ascii="Times New Roman" w:hAnsi="Times New Roman" w:cs="Times New Roman"/>
          <w:lang w:val="af-ZA"/>
        </w:rPr>
        <w:t xml:space="preserve"> </w:t>
      </w:r>
      <w:r w:rsidR="00CA546E" w:rsidRPr="00EF7399">
        <w:rPr>
          <w:rFonts w:ascii="Times New Roman" w:hAnsi="Times New Roman" w:cs="Times New Roman"/>
          <w:lang w:val="hy-AM"/>
        </w:rPr>
        <w:t>Դ</w:t>
      </w:r>
      <w:r w:rsidR="00FE1494" w:rsidRPr="00EF7399">
        <w:rPr>
          <w:rFonts w:ascii="Times New Roman" w:hAnsi="Times New Roman" w:cs="Times New Roman"/>
          <w:lang w:val="af-ZA"/>
        </w:rPr>
        <w:t xml:space="preserve">ատարանը երկու հարցերն էլ թողել է </w:t>
      </w:r>
      <w:r w:rsidR="00CA546E" w:rsidRPr="00EF7399">
        <w:rPr>
          <w:rFonts w:ascii="Times New Roman" w:hAnsi="Times New Roman" w:cs="Times New Roman"/>
          <w:lang w:val="hy-AM"/>
        </w:rPr>
        <w:t>իբրև բաց հարցեր</w:t>
      </w:r>
      <w:r w:rsidR="00D01BC9" w:rsidRPr="00EF7399">
        <w:rPr>
          <w:rFonts w:ascii="Times New Roman" w:hAnsi="Times New Roman" w:cs="Times New Roman"/>
          <w:lang w:val="af-ZA"/>
        </w:rPr>
        <w:t>)</w:t>
      </w:r>
      <w:r w:rsidR="00FE1494" w:rsidRPr="00EF7399">
        <w:rPr>
          <w:rFonts w:ascii="Times New Roman" w:hAnsi="Times New Roman" w:cs="Times New Roman"/>
          <w:lang w:val="af-ZA"/>
        </w:rPr>
        <w:t>:</w:t>
      </w:r>
      <w:r w:rsidR="00CD78DE" w:rsidRPr="00EF7399">
        <w:rPr>
          <w:rFonts w:ascii="Times New Roman" w:hAnsi="Times New Roman" w:cs="Times New Roman"/>
          <w:lang w:val="af-ZA"/>
        </w:rPr>
        <w:t xml:space="preserve"> Բողոքի ակցիան, որի ընթացքում չթույլատրված </w:t>
      </w:r>
      <w:r w:rsidR="001B276F" w:rsidRPr="00EF7399">
        <w:rPr>
          <w:rFonts w:ascii="Times New Roman" w:hAnsi="Times New Roman" w:cs="Times New Roman"/>
          <w:lang w:val="hy-AM"/>
        </w:rPr>
        <w:t xml:space="preserve">հարկադիր </w:t>
      </w:r>
      <w:r w:rsidR="00CD78DE" w:rsidRPr="00EF7399">
        <w:rPr>
          <w:rFonts w:ascii="Times New Roman" w:hAnsi="Times New Roman" w:cs="Times New Roman"/>
          <w:lang w:val="af-ZA"/>
        </w:rPr>
        <w:t xml:space="preserve">մուտք է </w:t>
      </w:r>
      <w:r w:rsidR="001B276F" w:rsidRPr="00EF7399">
        <w:rPr>
          <w:rFonts w:ascii="Times New Roman" w:hAnsi="Times New Roman" w:cs="Times New Roman"/>
          <w:lang w:val="hy-AM"/>
        </w:rPr>
        <w:t>արվում</w:t>
      </w:r>
      <w:r w:rsidR="001B276F" w:rsidRPr="00EF7399">
        <w:rPr>
          <w:rFonts w:ascii="Times New Roman" w:hAnsi="Times New Roman" w:cs="Times New Roman"/>
          <w:lang w:val="af-ZA"/>
        </w:rPr>
        <w:t xml:space="preserve"> </w:t>
      </w:r>
      <w:r w:rsidR="00CD78DE" w:rsidRPr="00EF7399">
        <w:rPr>
          <w:rFonts w:ascii="Times New Roman" w:hAnsi="Times New Roman" w:cs="Times New Roman"/>
          <w:lang w:val="af-ZA"/>
        </w:rPr>
        <w:t>պաշտոնական տարածք</w:t>
      </w:r>
      <w:r w:rsidR="00EC30FE" w:rsidRPr="00EF7399">
        <w:rPr>
          <w:rFonts w:ascii="Times New Roman" w:hAnsi="Times New Roman" w:cs="Times New Roman"/>
          <w:lang w:val="hy-AM"/>
        </w:rPr>
        <w:t>ներ</w:t>
      </w:r>
      <w:r w:rsidR="00CD78DE" w:rsidRPr="00EF7399">
        <w:rPr>
          <w:rFonts w:ascii="Times New Roman" w:hAnsi="Times New Roman" w:cs="Times New Roman"/>
          <w:lang w:val="af-ZA"/>
        </w:rPr>
        <w:t xml:space="preserve">, կարող է </w:t>
      </w:r>
      <w:r w:rsidR="001B276F" w:rsidRPr="00EF7399">
        <w:rPr>
          <w:rFonts w:ascii="Times New Roman" w:hAnsi="Times New Roman" w:cs="Times New Roman"/>
          <w:lang w:val="hy-AM"/>
        </w:rPr>
        <w:t xml:space="preserve">պարունակել </w:t>
      </w:r>
      <w:r w:rsidR="001B276F" w:rsidRPr="00EF7399">
        <w:rPr>
          <w:rFonts w:ascii="Times New Roman" w:hAnsi="Times New Roman" w:cs="Times New Roman"/>
          <w:lang w:val="af-ZA"/>
        </w:rPr>
        <w:t>արտահայտ</w:t>
      </w:r>
      <w:r w:rsidR="001B276F" w:rsidRPr="00EF7399">
        <w:rPr>
          <w:rFonts w:ascii="Times New Roman" w:hAnsi="Times New Roman" w:cs="Times New Roman"/>
          <w:lang w:val="hy-AM"/>
        </w:rPr>
        <w:t>ման</w:t>
      </w:r>
      <w:r w:rsidR="001B276F" w:rsidRPr="00EF7399">
        <w:rPr>
          <w:rFonts w:ascii="Times New Roman" w:hAnsi="Times New Roman" w:cs="Times New Roman"/>
          <w:lang w:val="af-ZA"/>
        </w:rPr>
        <w:t xml:space="preserve"> ձև</w:t>
      </w:r>
      <w:r w:rsidR="001B276F" w:rsidRPr="00EF7399">
        <w:rPr>
          <w:rFonts w:ascii="Times New Roman" w:hAnsi="Times New Roman" w:cs="Times New Roman"/>
          <w:lang w:val="hy-AM"/>
        </w:rPr>
        <w:t>՝</w:t>
      </w:r>
      <w:r w:rsidR="001B276F" w:rsidRPr="00EF7399">
        <w:rPr>
          <w:rFonts w:ascii="Times New Roman" w:hAnsi="Times New Roman" w:cs="Times New Roman"/>
          <w:lang w:val="af-ZA"/>
        </w:rPr>
        <w:t xml:space="preserve"> </w:t>
      </w:r>
      <w:r w:rsidR="001B276F" w:rsidRPr="00EF7399">
        <w:rPr>
          <w:rFonts w:ascii="Times New Roman" w:hAnsi="Times New Roman" w:cs="Times New Roman"/>
          <w:lang w:val="af-ZA"/>
        </w:rPr>
        <w:lastRenderedPageBreak/>
        <w:t xml:space="preserve">պաշտպանված </w:t>
      </w:r>
      <w:r w:rsidR="00CD78DE" w:rsidRPr="00EF7399">
        <w:rPr>
          <w:rFonts w:ascii="Times New Roman" w:hAnsi="Times New Roman" w:cs="Times New Roman"/>
          <w:lang w:val="af-ZA"/>
        </w:rPr>
        <w:t xml:space="preserve">11-րդ հոդվածի լույսի ներքո մեկնաբանվող 10-րդ հոդվածով </w:t>
      </w:r>
      <w:r w:rsidR="00D01BC9" w:rsidRPr="00EF7399">
        <w:rPr>
          <w:rFonts w:ascii="Times New Roman" w:hAnsi="Times New Roman" w:cs="Times New Roman"/>
          <w:lang w:val="af-ZA"/>
        </w:rPr>
        <w:t>(</w:t>
      </w:r>
      <w:hyperlink r:id="rId41" w:history="1">
        <w:r w:rsidR="00D01BC9" w:rsidRPr="00EF7399">
          <w:rPr>
            <w:rStyle w:val="Hyperlink"/>
            <w:rFonts w:ascii="Times New Roman" w:hAnsi="Times New Roman" w:cs="Times New Roman"/>
            <w:lang w:val="af-ZA"/>
          </w:rPr>
          <w:t>Taranenko</w:t>
        </w:r>
        <w:r w:rsidR="00873234" w:rsidRPr="00EF7399">
          <w:rPr>
            <w:rStyle w:val="Hyperlink"/>
            <w:rFonts w:ascii="Times New Roman" w:hAnsi="Times New Roman" w:cs="Times New Roman"/>
            <w:lang w:val="af-ZA"/>
          </w:rPr>
          <w:t xml:space="preserve"> v. </w:t>
        </w:r>
        <w:r w:rsidR="00D01BC9" w:rsidRPr="00EF7399">
          <w:rPr>
            <w:rStyle w:val="Hyperlink"/>
            <w:rFonts w:ascii="Times New Roman" w:hAnsi="Times New Roman" w:cs="Times New Roman"/>
            <w:lang w:val="af-ZA"/>
          </w:rPr>
          <w:t>Russia</w:t>
        </w:r>
      </w:hyperlink>
      <w:r w:rsidR="00D01BC9" w:rsidRPr="00EF7399">
        <w:rPr>
          <w:rFonts w:ascii="Times New Roman" w:hAnsi="Times New Roman" w:cs="Times New Roman"/>
          <w:lang w:val="af-ZA"/>
        </w:rPr>
        <w:t xml:space="preserve">, </w:t>
      </w:r>
      <w:r w:rsidR="00297FB5"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00D01BC9" w:rsidRPr="00EF7399">
        <w:rPr>
          <w:rFonts w:ascii="Times New Roman" w:hAnsi="Times New Roman" w:cs="Times New Roman"/>
          <w:lang w:val="af-ZA"/>
        </w:rPr>
        <w:t>69</w:t>
      </w:r>
      <w:r w:rsidR="008A7FD3" w:rsidRPr="00EF7399">
        <w:rPr>
          <w:rFonts w:ascii="Times New Roman" w:hAnsi="Times New Roman" w:cs="Times New Roman"/>
          <w:lang w:val="af-ZA"/>
        </w:rPr>
        <w:t>)</w:t>
      </w:r>
      <w:r w:rsidR="00CD78DE" w:rsidRPr="00EF7399">
        <w:rPr>
          <w:rFonts w:ascii="Times New Roman" w:hAnsi="Times New Roman" w:cs="Times New Roman"/>
          <w:lang w:val="af-ZA"/>
        </w:rPr>
        <w:t>:</w:t>
      </w:r>
    </w:p>
    <w:p w14:paraId="237E8531" w14:textId="7350A00E" w:rsidR="00D01BC9" w:rsidRPr="00EF7399" w:rsidRDefault="0024570F" w:rsidP="00D01BC9">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9</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CB585C" w:rsidRPr="00EF7399">
        <w:rPr>
          <w:rFonts w:ascii="Times New Roman" w:hAnsi="Times New Roman" w:cs="Times New Roman"/>
          <w:lang w:val="af-ZA"/>
        </w:rPr>
        <w:t xml:space="preserve">Դատարանը կարևորել է այն փաստը, որ հավաքի մասնակիցները ձգտում են ոչ միայն արտահայտել իրենց կարծիքը, այլև անել դա այլոց հետ միասին </w:t>
      </w:r>
      <w:r w:rsidR="00D01BC9" w:rsidRPr="00EF7399">
        <w:rPr>
          <w:rFonts w:ascii="Times New Roman" w:hAnsi="Times New Roman" w:cs="Times New Roman"/>
          <w:lang w:val="af-ZA"/>
        </w:rPr>
        <w:t>(</w:t>
      </w:r>
      <w:hyperlink r:id="rId42" w:history="1">
        <w:r w:rsidR="00D01BC9" w:rsidRPr="00EF7399">
          <w:rPr>
            <w:rStyle w:val="Hyperlink"/>
            <w:rFonts w:ascii="Times New Roman" w:hAnsi="Times New Roman" w:cs="Times New Roman"/>
            <w:lang w:val="af-ZA"/>
          </w:rPr>
          <w:t>Primov and Others</w:t>
        </w:r>
        <w:r w:rsidR="00873234" w:rsidRPr="00EF7399">
          <w:rPr>
            <w:rStyle w:val="Hyperlink"/>
            <w:rFonts w:ascii="Times New Roman" w:hAnsi="Times New Roman" w:cs="Times New Roman"/>
            <w:lang w:val="af-ZA"/>
          </w:rPr>
          <w:t xml:space="preserve"> v. </w:t>
        </w:r>
        <w:r w:rsidR="00D01BC9" w:rsidRPr="00EF7399">
          <w:rPr>
            <w:rStyle w:val="Hyperlink"/>
            <w:rFonts w:ascii="Times New Roman" w:hAnsi="Times New Roman" w:cs="Times New Roman"/>
            <w:lang w:val="af-ZA"/>
          </w:rPr>
          <w:t>Russia</w:t>
        </w:r>
      </w:hyperlink>
      <w:r w:rsidR="00F73C59" w:rsidRPr="00EF7399">
        <w:rPr>
          <w:rFonts w:ascii="Times New Roman" w:hAnsi="Times New Roman" w:cs="Times New Roman"/>
          <w:lang w:val="af-ZA"/>
        </w:rPr>
        <w:t xml:space="preserve">, </w:t>
      </w:r>
      <w:r w:rsidR="00297FB5"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00D01BC9" w:rsidRPr="00EF7399">
        <w:rPr>
          <w:rFonts w:ascii="Times New Roman" w:hAnsi="Times New Roman" w:cs="Times New Roman"/>
          <w:lang w:val="af-ZA"/>
        </w:rPr>
        <w:t>91)</w:t>
      </w:r>
      <w:r w:rsidR="00CB585C" w:rsidRPr="00EF7399">
        <w:rPr>
          <w:rFonts w:ascii="Times New Roman" w:hAnsi="Times New Roman" w:cs="Times New Roman"/>
          <w:lang w:val="af-ZA"/>
        </w:rPr>
        <w:t xml:space="preserve">: </w:t>
      </w:r>
      <w:r w:rsidR="009E4A57" w:rsidRPr="00EF7399">
        <w:rPr>
          <w:rFonts w:ascii="Times New Roman" w:hAnsi="Times New Roman" w:cs="Times New Roman"/>
          <w:lang w:val="af-ZA"/>
        </w:rPr>
        <w:t xml:space="preserve">Հետևաբար, </w:t>
      </w:r>
      <w:r w:rsidR="001F49A8" w:rsidRPr="00EF7399">
        <w:rPr>
          <w:rFonts w:ascii="Times New Roman" w:hAnsi="Times New Roman" w:cs="Times New Roman"/>
          <w:lang w:val="af-ZA"/>
        </w:rPr>
        <w:t>մեկ</w:t>
      </w:r>
      <w:r w:rsidR="009E4A57" w:rsidRPr="00EF7399">
        <w:rPr>
          <w:rFonts w:ascii="Times New Roman" w:hAnsi="Times New Roman" w:cs="Times New Roman"/>
          <w:lang w:val="af-ZA"/>
        </w:rPr>
        <w:t xml:space="preserve"> մասնակցի կողմից իրականացվող ցույցերը</w:t>
      </w:r>
      <w:r w:rsidR="001F49A8" w:rsidRPr="00EF7399">
        <w:rPr>
          <w:rFonts w:ascii="Times New Roman" w:hAnsi="Times New Roman" w:cs="Times New Roman"/>
          <w:lang w:val="af-ZA"/>
        </w:rPr>
        <w:t xml:space="preserve"> քննության են առնվում 10-րդ հոդվածով</w:t>
      </w:r>
      <w:r w:rsidR="001B276F" w:rsidRPr="00EF7399">
        <w:rPr>
          <w:rFonts w:ascii="Times New Roman" w:hAnsi="Times New Roman" w:cs="Times New Roman"/>
          <w:lang w:val="hy-AM"/>
        </w:rPr>
        <w:t xml:space="preserve">՝ </w:t>
      </w:r>
      <w:r w:rsidR="00274397" w:rsidRPr="00EF7399">
        <w:rPr>
          <w:rFonts w:ascii="Times New Roman" w:hAnsi="Times New Roman" w:cs="Times New Roman"/>
          <w:lang w:val="af-ZA"/>
        </w:rPr>
        <w:t>հաշվի առնելով, ըստ անհրաժեշտության, 11-րդ հոդվածի համատեքստում սահմանված ընդհանուր սկզբունքները</w:t>
      </w:r>
      <w:r w:rsidR="00D01BC9" w:rsidRPr="00EF7399">
        <w:rPr>
          <w:rFonts w:ascii="Times New Roman" w:hAnsi="Times New Roman" w:cs="Times New Roman"/>
          <w:lang w:val="af-ZA"/>
        </w:rPr>
        <w:t xml:space="preserve"> (</w:t>
      </w:r>
      <w:hyperlink r:id="rId43" w:history="1">
        <w:r w:rsidR="00D01BC9" w:rsidRPr="00EF7399">
          <w:rPr>
            <w:rStyle w:val="Hyperlink"/>
            <w:rFonts w:ascii="Times New Roman" w:hAnsi="Times New Roman" w:cs="Times New Roman"/>
            <w:lang w:val="af-ZA"/>
          </w:rPr>
          <w:t>Novikova and Others</w:t>
        </w:r>
        <w:r w:rsidR="00873234" w:rsidRPr="00EF7399">
          <w:rPr>
            <w:rStyle w:val="Hyperlink"/>
            <w:rFonts w:ascii="Times New Roman" w:hAnsi="Times New Roman" w:cs="Times New Roman"/>
            <w:lang w:val="af-ZA"/>
          </w:rPr>
          <w:t xml:space="preserve"> v. </w:t>
        </w:r>
        <w:r w:rsidR="00D01BC9" w:rsidRPr="00EF7399">
          <w:rPr>
            <w:rStyle w:val="Hyperlink"/>
            <w:rFonts w:ascii="Times New Roman" w:hAnsi="Times New Roman" w:cs="Times New Roman"/>
            <w:lang w:val="af-ZA"/>
          </w:rPr>
          <w:t>Russia</w:t>
        </w:r>
      </w:hyperlink>
      <w:r w:rsidR="00D01BC9" w:rsidRPr="00EF7399">
        <w:rPr>
          <w:rFonts w:ascii="Times New Roman" w:hAnsi="Times New Roman" w:cs="Times New Roman"/>
          <w:lang w:val="af-ZA"/>
        </w:rPr>
        <w:t xml:space="preserve">, </w:t>
      </w:r>
      <w:r w:rsidR="00297FB5" w:rsidRPr="00EF7399">
        <w:rPr>
          <w:rFonts w:ascii="Times New Roman" w:hAnsi="Times New Roman" w:cs="Times New Roman"/>
          <w:lang w:val="af-ZA"/>
        </w:rPr>
        <w:t xml:space="preserve">2016, </w:t>
      </w:r>
      <w:r w:rsidR="00873234" w:rsidRPr="00EF7399">
        <w:rPr>
          <w:rFonts w:ascii="Times New Roman" w:hAnsi="Times New Roman" w:cs="Times New Roman"/>
          <w:lang w:val="af-ZA"/>
        </w:rPr>
        <w:t>§ </w:t>
      </w:r>
      <w:r w:rsidR="00D01BC9" w:rsidRPr="00EF7399">
        <w:rPr>
          <w:rFonts w:ascii="Times New Roman" w:hAnsi="Times New Roman" w:cs="Times New Roman"/>
          <w:lang w:val="af-ZA"/>
        </w:rPr>
        <w:t>91)</w:t>
      </w:r>
      <w:r w:rsidR="00274397" w:rsidRPr="00EF7399">
        <w:rPr>
          <w:rFonts w:ascii="Times New Roman" w:hAnsi="Times New Roman" w:cs="Times New Roman"/>
          <w:lang w:val="af-ZA"/>
        </w:rPr>
        <w:t>: Բողոքի ակցիան, որի ընթացքում մոտ երեսուն անձից բաղկացած խումբը փակվել էր պաշտոնական տարածքում, հնչեցնում էր կարգախոսներ և թ</w:t>
      </w:r>
      <w:r w:rsidR="00950BD5" w:rsidRPr="00EF7399">
        <w:rPr>
          <w:rFonts w:ascii="Times New Roman" w:hAnsi="Times New Roman" w:cs="Times New Roman"/>
          <w:lang w:val="af-ZA"/>
        </w:rPr>
        <w:t>ռ</w:t>
      </w:r>
      <w:r w:rsidR="00274397" w:rsidRPr="00EF7399">
        <w:rPr>
          <w:rFonts w:ascii="Times New Roman" w:hAnsi="Times New Roman" w:cs="Times New Roman"/>
          <w:lang w:val="af-ZA"/>
        </w:rPr>
        <w:t>ուցիկներ էր նետում պատուհաններից</w:t>
      </w:r>
      <w:r w:rsidR="001B276F" w:rsidRPr="00EF7399">
        <w:rPr>
          <w:rFonts w:ascii="Times New Roman" w:hAnsi="Times New Roman" w:cs="Times New Roman"/>
          <w:lang w:val="hy-AM"/>
        </w:rPr>
        <w:t>,</w:t>
      </w:r>
      <w:r w:rsidR="00274397" w:rsidRPr="00EF7399">
        <w:rPr>
          <w:rFonts w:ascii="Times New Roman" w:hAnsi="Times New Roman" w:cs="Times New Roman"/>
          <w:lang w:val="af-ZA"/>
        </w:rPr>
        <w:t xml:space="preserve"> քննության է առ</w:t>
      </w:r>
      <w:r w:rsidR="001B276F" w:rsidRPr="00EF7399">
        <w:rPr>
          <w:rFonts w:ascii="Times New Roman" w:hAnsi="Times New Roman" w:cs="Times New Roman"/>
          <w:lang w:val="hy-AM"/>
        </w:rPr>
        <w:t>ն</w:t>
      </w:r>
      <w:r w:rsidR="00274397" w:rsidRPr="00EF7399">
        <w:rPr>
          <w:rFonts w:ascii="Times New Roman" w:hAnsi="Times New Roman" w:cs="Times New Roman"/>
          <w:lang w:val="af-ZA"/>
        </w:rPr>
        <w:t>վել 10-րդ հոդված</w:t>
      </w:r>
      <w:r w:rsidR="001B276F" w:rsidRPr="00EF7399">
        <w:rPr>
          <w:rFonts w:ascii="Times New Roman" w:hAnsi="Times New Roman" w:cs="Times New Roman"/>
          <w:lang w:val="hy-AM"/>
        </w:rPr>
        <w:t>ի ներքո</w:t>
      </w:r>
      <w:r w:rsidR="00274397" w:rsidRPr="00EF7399">
        <w:rPr>
          <w:rFonts w:ascii="Times New Roman" w:hAnsi="Times New Roman" w:cs="Times New Roman"/>
          <w:lang w:val="af-ZA"/>
        </w:rPr>
        <w:t xml:space="preserve"> </w:t>
      </w:r>
      <w:r w:rsidR="0083374A" w:rsidRPr="00EF7399">
        <w:rPr>
          <w:rFonts w:ascii="Times New Roman" w:hAnsi="Times New Roman" w:cs="Times New Roman"/>
          <w:lang w:val="af-ZA"/>
        </w:rPr>
        <w:t>(</w:t>
      </w:r>
      <w:hyperlink r:id="rId44" w:history="1">
        <w:r w:rsidR="00E27464" w:rsidRPr="00EF7399">
          <w:rPr>
            <w:rStyle w:val="Hyperlink"/>
            <w:rFonts w:ascii="Times New Roman" w:hAnsi="Times New Roman" w:cs="Times New Roman"/>
            <w:iCs/>
            <w:lang w:val="af-ZA"/>
          </w:rPr>
          <w:t>Yezhov and Others</w:t>
        </w:r>
        <w:r w:rsidR="00873234" w:rsidRPr="00EF7399">
          <w:rPr>
            <w:rStyle w:val="Hyperlink"/>
            <w:rFonts w:ascii="Times New Roman" w:hAnsi="Times New Roman" w:cs="Times New Roman"/>
            <w:iCs/>
            <w:lang w:val="af-ZA"/>
          </w:rPr>
          <w:t xml:space="preserve"> v. </w:t>
        </w:r>
        <w:r w:rsidR="00E27464" w:rsidRPr="00EF7399">
          <w:rPr>
            <w:rStyle w:val="Hyperlink"/>
            <w:rFonts w:ascii="Times New Roman" w:hAnsi="Times New Roman" w:cs="Times New Roman"/>
            <w:iCs/>
            <w:lang w:val="af-ZA"/>
          </w:rPr>
          <w:t>Russia</w:t>
        </w:r>
      </w:hyperlink>
      <w:r w:rsidR="00E27464" w:rsidRPr="00EF7399">
        <w:rPr>
          <w:rFonts w:ascii="Times New Roman" w:hAnsi="Times New Roman" w:cs="Times New Roman"/>
          <w:lang w:val="af-ZA"/>
        </w:rPr>
        <w:t>,</w:t>
      </w:r>
      <w:r w:rsidR="008479EF" w:rsidRPr="00EF7399">
        <w:rPr>
          <w:rFonts w:ascii="Times New Roman" w:hAnsi="Times New Roman" w:cs="Times New Roman"/>
          <w:lang w:val="af-ZA"/>
        </w:rPr>
        <w:t xml:space="preserve"> </w:t>
      </w:r>
      <w:r w:rsidR="00E27464" w:rsidRPr="00EF7399">
        <w:rPr>
          <w:rFonts w:ascii="Times New Roman" w:hAnsi="Times New Roman" w:cs="Times New Roman"/>
          <w:lang w:val="af-ZA"/>
        </w:rPr>
        <w:t xml:space="preserve">2021, </w:t>
      </w:r>
      <w:r w:rsidR="00873234" w:rsidRPr="00EF7399">
        <w:rPr>
          <w:rFonts w:ascii="Times New Roman" w:hAnsi="Times New Roman" w:cs="Times New Roman"/>
          <w:lang w:val="af-ZA"/>
        </w:rPr>
        <w:t>§ </w:t>
      </w:r>
      <w:r w:rsidR="00E27464" w:rsidRPr="00EF7399">
        <w:rPr>
          <w:rFonts w:ascii="Times New Roman" w:hAnsi="Times New Roman" w:cs="Times New Roman"/>
          <w:lang w:val="af-ZA"/>
        </w:rPr>
        <w:t>27</w:t>
      </w:r>
      <w:r w:rsidR="00421E01" w:rsidRPr="00EF7399">
        <w:rPr>
          <w:rFonts w:ascii="Times New Roman" w:hAnsi="Times New Roman" w:cs="Times New Roman"/>
          <w:lang w:val="af-ZA"/>
        </w:rPr>
        <w:t>)</w:t>
      </w:r>
      <w:r w:rsidR="00274397" w:rsidRPr="00EF7399">
        <w:rPr>
          <w:rFonts w:ascii="Times New Roman" w:hAnsi="Times New Roman" w:cs="Times New Roman"/>
          <w:lang w:val="af-ZA"/>
        </w:rPr>
        <w:t>: Սոցիալական ցանցերի միջոցով մարդկանց հավաքի մասնակցելու կոչեր ուղղել</w:t>
      </w:r>
      <w:r w:rsidR="005416BB" w:rsidRPr="00EF7399">
        <w:rPr>
          <w:rFonts w:ascii="Times New Roman" w:hAnsi="Times New Roman" w:cs="Times New Roman"/>
          <w:lang w:val="af-ZA"/>
        </w:rPr>
        <w:t>ը</w:t>
      </w:r>
      <w:r w:rsidR="00274397" w:rsidRPr="00EF7399">
        <w:rPr>
          <w:rFonts w:ascii="Times New Roman" w:hAnsi="Times New Roman" w:cs="Times New Roman"/>
          <w:lang w:val="af-ZA"/>
        </w:rPr>
        <w:t xml:space="preserve"> 10-րդ հոդվածի </w:t>
      </w:r>
      <w:r w:rsidR="005416BB" w:rsidRPr="00EF7399">
        <w:rPr>
          <w:rFonts w:ascii="Times New Roman" w:hAnsi="Times New Roman" w:cs="Times New Roman"/>
          <w:lang w:val="af-ZA"/>
        </w:rPr>
        <w:t xml:space="preserve">կարգավորման </w:t>
      </w:r>
      <w:r w:rsidR="00274397" w:rsidRPr="00EF7399">
        <w:rPr>
          <w:rFonts w:ascii="Times New Roman" w:hAnsi="Times New Roman" w:cs="Times New Roman"/>
          <w:lang w:val="af-ZA"/>
        </w:rPr>
        <w:t>շրջանակ</w:t>
      </w:r>
      <w:r w:rsidR="005416BB" w:rsidRPr="00EF7399">
        <w:rPr>
          <w:rFonts w:ascii="Times New Roman" w:hAnsi="Times New Roman" w:cs="Times New Roman"/>
          <w:lang w:val="af-ZA"/>
        </w:rPr>
        <w:t xml:space="preserve">ում է, որն, ըստ անհրաժեշտության, մեկնաբանվում է 11-րդ հոդվածի լույսի ներքո </w:t>
      </w:r>
      <w:r w:rsidRPr="00EF7399">
        <w:rPr>
          <w:rFonts w:ascii="Times New Roman" w:hAnsi="Times New Roman" w:cs="Times New Roman"/>
          <w:lang w:val="af-ZA"/>
        </w:rPr>
        <w:t>(</w:t>
      </w:r>
      <w:hyperlink r:id="rId45" w:history="1">
        <w:r w:rsidR="00F570B3" w:rsidRPr="00EF7399">
          <w:rPr>
            <w:rStyle w:val="Hyperlink"/>
            <w:rFonts w:ascii="Times New Roman" w:hAnsi="Times New Roman" w:cs="Times New Roman"/>
            <w:lang w:val="af-ZA"/>
          </w:rPr>
          <w:t>Elvira Dmitriyeva</w:t>
        </w:r>
        <w:r w:rsidR="00873234" w:rsidRPr="00EF7399">
          <w:rPr>
            <w:rStyle w:val="Hyperlink"/>
            <w:rFonts w:ascii="Times New Roman" w:hAnsi="Times New Roman" w:cs="Times New Roman"/>
            <w:lang w:val="af-ZA"/>
          </w:rPr>
          <w:t xml:space="preserve"> v. </w:t>
        </w:r>
        <w:r w:rsidR="00F570B3" w:rsidRPr="00EF7399">
          <w:rPr>
            <w:rStyle w:val="Hyperlink"/>
            <w:rFonts w:ascii="Times New Roman" w:hAnsi="Times New Roman" w:cs="Times New Roman"/>
            <w:lang w:val="af-ZA"/>
          </w:rPr>
          <w:t>Russia</w:t>
        </w:r>
      </w:hyperlink>
      <w:r w:rsidRPr="00EF7399">
        <w:rPr>
          <w:rFonts w:ascii="Times New Roman" w:hAnsi="Times New Roman" w:cs="Times New Roman"/>
          <w:lang w:val="af-ZA"/>
        </w:rPr>
        <w:t xml:space="preserve">, </w:t>
      </w:r>
      <w:r w:rsidR="00297FB5" w:rsidRPr="00EF7399">
        <w:rPr>
          <w:rFonts w:ascii="Times New Roman" w:hAnsi="Times New Roman" w:cs="Times New Roman"/>
          <w:lang w:val="af-ZA"/>
        </w:rPr>
        <w:t xml:space="preserve">2019, </w:t>
      </w:r>
      <w:r w:rsidR="00873234" w:rsidRPr="00EF7399">
        <w:rPr>
          <w:rFonts w:ascii="Times New Roman" w:hAnsi="Times New Roman" w:cs="Times New Roman"/>
          <w:lang w:val="af-ZA"/>
        </w:rPr>
        <w:t>§ </w:t>
      </w:r>
      <w:r w:rsidRPr="00EF7399">
        <w:rPr>
          <w:rFonts w:ascii="Times New Roman" w:hAnsi="Times New Roman" w:cs="Times New Roman"/>
          <w:lang w:val="af-ZA"/>
        </w:rPr>
        <w:t>66)</w:t>
      </w:r>
      <w:r w:rsidR="005416BB" w:rsidRPr="00EF7399">
        <w:rPr>
          <w:rFonts w:ascii="Times New Roman" w:hAnsi="Times New Roman" w:cs="Times New Roman"/>
          <w:lang w:val="af-ZA"/>
        </w:rPr>
        <w:t>:</w:t>
      </w:r>
    </w:p>
    <w:p w14:paraId="2B2467A7" w14:textId="7587C4B5" w:rsidR="00E41048" w:rsidRPr="00EF7399" w:rsidRDefault="00D01BC9" w:rsidP="00E41048">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10</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5416BB" w:rsidRPr="00EF7399">
        <w:rPr>
          <w:rFonts w:ascii="Times New Roman" w:hAnsi="Times New Roman" w:cs="Times New Roman"/>
          <w:lang w:val="af-ZA"/>
        </w:rPr>
        <w:t>Հավաքի ընթացքում կատարված ոչ բռնի արարքները պաշտպանված են 11-րդ հոդվածով: որ դիտավորությամբ երթևեկությանը խոչընդոտող ու կյանքի բնականոն ընթացքը խաթարող</w:t>
      </w:r>
      <w:r w:rsidR="000E2498" w:rsidRPr="00EF7399">
        <w:rPr>
          <w:rFonts w:ascii="Times New Roman" w:hAnsi="Times New Roman" w:cs="Times New Roman"/>
          <w:lang w:val="af-ZA"/>
        </w:rPr>
        <w:t xml:space="preserve"> </w:t>
      </w:r>
      <w:r w:rsidR="005416BB" w:rsidRPr="00EF7399">
        <w:rPr>
          <w:rFonts w:ascii="Times New Roman" w:hAnsi="Times New Roman" w:cs="Times New Roman"/>
          <w:lang w:val="af-ZA"/>
        </w:rPr>
        <w:t>ճանապարհ</w:t>
      </w:r>
      <w:r w:rsidR="000E2498" w:rsidRPr="00EF7399">
        <w:rPr>
          <w:rFonts w:ascii="Times New Roman" w:hAnsi="Times New Roman" w:cs="Times New Roman"/>
          <w:lang w:val="af-ZA"/>
        </w:rPr>
        <w:t>ների</w:t>
      </w:r>
      <w:r w:rsidR="005416BB" w:rsidRPr="00EF7399">
        <w:rPr>
          <w:rFonts w:ascii="Times New Roman" w:hAnsi="Times New Roman" w:cs="Times New Roman"/>
          <w:lang w:val="af-ZA"/>
        </w:rPr>
        <w:t xml:space="preserve"> արգելա</w:t>
      </w:r>
      <w:r w:rsidR="000E2498" w:rsidRPr="00EF7399">
        <w:rPr>
          <w:rFonts w:ascii="Times New Roman" w:hAnsi="Times New Roman" w:cs="Times New Roman"/>
          <w:lang w:val="af-ZA"/>
        </w:rPr>
        <w:t>փալումը</w:t>
      </w:r>
      <w:r w:rsidR="005416BB" w:rsidRPr="00EF7399">
        <w:rPr>
          <w:rFonts w:ascii="Times New Roman" w:hAnsi="Times New Roman" w:cs="Times New Roman"/>
          <w:lang w:val="af-ZA"/>
        </w:rPr>
        <w:t xml:space="preserve"> և այլ ֆիզիկական գործողություններ</w:t>
      </w:r>
      <w:r w:rsidR="000E2498" w:rsidRPr="00EF7399">
        <w:rPr>
          <w:rFonts w:ascii="Times New Roman" w:hAnsi="Times New Roman" w:cs="Times New Roman"/>
          <w:lang w:val="af-ZA"/>
        </w:rPr>
        <w:t>ը</w:t>
      </w:r>
      <w:r w:rsidR="00DA1AAB" w:rsidRPr="00EF7399">
        <w:rPr>
          <w:rFonts w:ascii="Times New Roman" w:hAnsi="Times New Roman" w:cs="Times New Roman"/>
          <w:lang w:val="hy-AM"/>
        </w:rPr>
        <w:t xml:space="preserve"> հ</w:t>
      </w:r>
      <w:r w:rsidR="00DA1AAB" w:rsidRPr="00EF7399">
        <w:rPr>
          <w:rFonts w:ascii="Times New Roman" w:hAnsi="Times New Roman" w:cs="Times New Roman"/>
          <w:lang w:val="af-ZA"/>
        </w:rPr>
        <w:t xml:space="preserve">ամարվել </w:t>
      </w:r>
      <w:r w:rsidR="00DA1AAB" w:rsidRPr="00EF7399">
        <w:rPr>
          <w:rFonts w:ascii="Times New Roman" w:hAnsi="Times New Roman" w:cs="Times New Roman"/>
          <w:lang w:val="hy-AM"/>
        </w:rPr>
        <w:t>են</w:t>
      </w:r>
      <w:r w:rsidR="00DA1AAB" w:rsidRPr="00EF7399">
        <w:rPr>
          <w:rFonts w:ascii="Times New Roman" w:hAnsi="Times New Roman" w:cs="Times New Roman"/>
          <w:lang w:val="af-ZA"/>
        </w:rPr>
        <w:t xml:space="preserve"> </w:t>
      </w:r>
      <w:r w:rsidR="000E2498" w:rsidRPr="00EF7399">
        <w:rPr>
          <w:rFonts w:ascii="Times New Roman" w:hAnsi="Times New Roman" w:cs="Times New Roman"/>
          <w:lang w:val="af-ZA"/>
        </w:rPr>
        <w:t xml:space="preserve"> 11-րդ հոդված</w:t>
      </w:r>
      <w:r w:rsidR="00DA1AAB" w:rsidRPr="00EF7399">
        <w:rPr>
          <w:rFonts w:ascii="Times New Roman" w:hAnsi="Times New Roman" w:cs="Times New Roman"/>
          <w:lang w:val="hy-AM"/>
        </w:rPr>
        <w:t xml:space="preserve">ի շրջանակում </w:t>
      </w:r>
      <w:r w:rsidR="00DA1AAB" w:rsidRPr="00EF7399">
        <w:rPr>
          <w:rFonts w:ascii="Times New Roman" w:hAnsi="Times New Roman" w:cs="Times New Roman"/>
          <w:lang w:val="af-ZA"/>
        </w:rPr>
        <w:t>կարգավորվո</w:t>
      </w:r>
      <w:r w:rsidR="00DA1AAB" w:rsidRPr="00EF7399">
        <w:rPr>
          <w:rFonts w:ascii="Times New Roman" w:hAnsi="Times New Roman" w:cs="Times New Roman"/>
          <w:lang w:val="hy-AM"/>
        </w:rPr>
        <w:t xml:space="preserve">ղ </w:t>
      </w:r>
      <w:r w:rsidRPr="00EF7399">
        <w:rPr>
          <w:rFonts w:ascii="Times New Roman" w:hAnsi="Times New Roman" w:cs="Times New Roman"/>
          <w:lang w:val="af-ZA"/>
        </w:rPr>
        <w:t>(</w:t>
      </w:r>
      <w:hyperlink r:id="rId46" w:history="1">
        <w:r w:rsidRPr="00EF7399">
          <w:rPr>
            <w:rStyle w:val="Hyperlink"/>
            <w:rFonts w:ascii="Times New Roman" w:hAnsi="Times New Roman" w:cs="Times New Roman"/>
            <w:lang w:val="af-ZA"/>
          </w:rPr>
          <w:t>Barraco</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France</w:t>
        </w:r>
      </w:hyperlink>
      <w:r w:rsidR="008E501D" w:rsidRPr="00EF7399">
        <w:rPr>
          <w:rFonts w:ascii="Times New Roman" w:hAnsi="Times New Roman" w:cs="Times New Roman"/>
          <w:lang w:val="af-ZA"/>
        </w:rPr>
        <w:t xml:space="preserve">, </w:t>
      </w:r>
      <w:r w:rsidR="00F04C3E" w:rsidRPr="00EF7399">
        <w:rPr>
          <w:rFonts w:ascii="Times New Roman" w:hAnsi="Times New Roman" w:cs="Times New Roman"/>
          <w:lang w:val="af-ZA"/>
        </w:rPr>
        <w:t xml:space="preserve">2009, </w:t>
      </w:r>
      <w:r w:rsidR="00873234" w:rsidRPr="00EF7399">
        <w:rPr>
          <w:rFonts w:ascii="Times New Roman" w:hAnsi="Times New Roman" w:cs="Times New Roman"/>
          <w:lang w:val="af-ZA"/>
        </w:rPr>
        <w:t>§ </w:t>
      </w:r>
      <w:r w:rsidR="008E501D" w:rsidRPr="00EF7399">
        <w:rPr>
          <w:rFonts w:ascii="Times New Roman" w:hAnsi="Times New Roman" w:cs="Times New Roman"/>
          <w:lang w:val="af-ZA"/>
        </w:rPr>
        <w:t>39;</w:t>
      </w:r>
      <w:r w:rsidRPr="00EF7399">
        <w:rPr>
          <w:rFonts w:ascii="Times New Roman" w:hAnsi="Times New Roman" w:cs="Times New Roman"/>
          <w:lang w:val="af-ZA"/>
        </w:rPr>
        <w:t xml:space="preserve"> </w:t>
      </w:r>
      <w:hyperlink r:id="rId47" w:history="1">
        <w:r w:rsidRPr="00EF7399">
          <w:rPr>
            <w:rStyle w:val="Hyperlink"/>
            <w:rFonts w:ascii="Times New Roman" w:hAnsi="Times New Roman" w:cs="Times New Roman"/>
            <w:lang w:val="af-ZA"/>
          </w:rPr>
          <w:t>Lucas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the United Kingdom</w:t>
        </w:r>
      </w:hyperlink>
      <w:r w:rsidRPr="00EF7399">
        <w:rPr>
          <w:rFonts w:ascii="Times New Roman" w:hAnsi="Times New Roman" w:cs="Times New Roman"/>
          <w:lang w:val="af-ZA"/>
        </w:rPr>
        <w:t xml:space="preserve"> (dec.)</w:t>
      </w:r>
      <w:r w:rsidR="009074F3" w:rsidRPr="00EF7399">
        <w:rPr>
          <w:rFonts w:ascii="Times New Roman" w:hAnsi="Times New Roman" w:cs="Times New Roman"/>
          <w:lang w:val="af-ZA"/>
        </w:rPr>
        <w:t>, 2003</w:t>
      </w:r>
      <w:r w:rsidRPr="00EF7399">
        <w:rPr>
          <w:rFonts w:ascii="Times New Roman" w:hAnsi="Times New Roman" w:cs="Times New Roman"/>
          <w:lang w:val="af-ZA"/>
        </w:rPr>
        <w:t>)</w:t>
      </w:r>
      <w:r w:rsidR="00F04C3E" w:rsidRPr="00EF7399">
        <w:rPr>
          <w:rFonts w:ascii="Times New Roman" w:hAnsi="Times New Roman" w:cs="Times New Roman"/>
          <w:lang w:val="af-ZA"/>
        </w:rPr>
        <w:t xml:space="preserve">, </w:t>
      </w:r>
      <w:r w:rsidR="000E2498" w:rsidRPr="00EF7399">
        <w:rPr>
          <w:rFonts w:ascii="Times New Roman" w:hAnsi="Times New Roman" w:cs="Times New Roman"/>
          <w:lang w:val="af-ZA"/>
        </w:rPr>
        <w:t>թեև Դատարանը նշել է, որ նմանօրինակ արարքները Կոնվենցիայի 11-րդ հոդվածով պաշտպանված</w:t>
      </w:r>
      <w:r w:rsidR="00DA1AAB" w:rsidRPr="00EF7399">
        <w:rPr>
          <w:rFonts w:ascii="Times New Roman" w:hAnsi="Times New Roman" w:cs="Times New Roman"/>
          <w:lang w:val="hy-AM"/>
        </w:rPr>
        <w:t>՝</w:t>
      </w:r>
      <w:r w:rsidR="000E2498" w:rsidRPr="00EF7399">
        <w:rPr>
          <w:rFonts w:ascii="Times New Roman" w:hAnsi="Times New Roman" w:cs="Times New Roman"/>
          <w:lang w:val="af-ZA"/>
        </w:rPr>
        <w:t xml:space="preserve"> խաղաղ հավաքների ազատության բուն իմաստը չեն </w:t>
      </w:r>
      <w:r w:rsidRPr="00EF7399">
        <w:rPr>
          <w:rFonts w:ascii="Times New Roman" w:hAnsi="Times New Roman" w:cs="Times New Roman"/>
          <w:lang w:val="af-ZA"/>
        </w:rPr>
        <w:t>(</w:t>
      </w:r>
      <w:hyperlink r:id="rId48" w:history="1">
        <w:r w:rsidRPr="00EF7399">
          <w:rPr>
            <w:rStyle w:val="Hyperlink"/>
            <w:rFonts w:ascii="Times New Roman" w:hAnsi="Times New Roman" w:cs="Times New Roman"/>
            <w:lang w:val="af-ZA"/>
          </w:rPr>
          <w:t>Kudrevičius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Lithuania</w:t>
        </w:r>
      </w:hyperlink>
      <w:r w:rsidRPr="00EF7399">
        <w:rPr>
          <w:rFonts w:ascii="Times New Roman" w:hAnsi="Times New Roman" w:cs="Times New Roman"/>
          <w:i/>
          <w:lang w:val="af-ZA"/>
        </w:rPr>
        <w:t xml:space="preserve"> </w:t>
      </w:r>
      <w:r w:rsidRPr="00EF7399">
        <w:rPr>
          <w:rFonts w:ascii="Times New Roman" w:hAnsi="Times New Roman" w:cs="Times New Roman"/>
          <w:lang w:val="af-ZA"/>
        </w:rPr>
        <w:t xml:space="preserve">[GC], </w:t>
      </w:r>
      <w:r w:rsidR="00F04C3E"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Pr="00EF7399">
        <w:rPr>
          <w:rFonts w:ascii="Times New Roman" w:hAnsi="Times New Roman" w:cs="Times New Roman"/>
          <w:lang w:val="af-ZA"/>
        </w:rPr>
        <w:t>97)</w:t>
      </w:r>
      <w:r w:rsidR="000E2498" w:rsidRPr="00EF7399">
        <w:rPr>
          <w:rFonts w:ascii="Times New Roman" w:hAnsi="Times New Roman" w:cs="Times New Roman"/>
          <w:lang w:val="af-ZA"/>
        </w:rPr>
        <w:t>: Ցույցի ընթացքում պաստառի տեղադրումը պատին ուսումնասիրվել է միայն 11-րդ հոդված</w:t>
      </w:r>
      <w:r w:rsidR="00DA1AAB" w:rsidRPr="00EF7399">
        <w:rPr>
          <w:rFonts w:ascii="Times New Roman" w:hAnsi="Times New Roman" w:cs="Times New Roman"/>
          <w:lang w:val="hy-AM"/>
        </w:rPr>
        <w:t>ի ներքո</w:t>
      </w:r>
      <w:r w:rsidR="000E2498"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49" w:history="1">
        <w:r w:rsidRPr="00EF7399">
          <w:rPr>
            <w:rStyle w:val="Hyperlink"/>
            <w:rFonts w:ascii="Times New Roman" w:hAnsi="Times New Roman" w:cs="Times New Roman"/>
            <w:iCs/>
            <w:lang w:val="af-ZA"/>
          </w:rPr>
          <w:t>Akarsubaşı and Alçiçek</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Turkey</w:t>
        </w:r>
      </w:hyperlink>
      <w:r w:rsidRPr="00EF7399">
        <w:rPr>
          <w:rFonts w:ascii="Times New Roman" w:hAnsi="Times New Roman" w:cs="Times New Roman"/>
          <w:lang w:val="af-ZA"/>
        </w:rPr>
        <w:t xml:space="preserve">, </w:t>
      </w:r>
      <w:r w:rsidR="00F04C3E" w:rsidRPr="00EF7399">
        <w:rPr>
          <w:rFonts w:ascii="Times New Roman" w:hAnsi="Times New Roman" w:cs="Times New Roman"/>
          <w:lang w:val="af-ZA"/>
        </w:rPr>
        <w:t xml:space="preserve">2018,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31-33</w:t>
      </w:r>
      <w:r w:rsidR="00462629" w:rsidRPr="00EF7399">
        <w:rPr>
          <w:rFonts w:ascii="Times New Roman" w:hAnsi="Times New Roman" w:cs="Times New Roman"/>
          <w:lang w:val="af-ZA"/>
        </w:rPr>
        <w:t xml:space="preserve">; </w:t>
      </w:r>
      <w:r w:rsidR="00DA1AAB" w:rsidRPr="00EF7399">
        <w:rPr>
          <w:rFonts w:ascii="Times New Roman" w:hAnsi="Times New Roman" w:cs="Times New Roman"/>
          <w:lang w:val="hy-AM"/>
        </w:rPr>
        <w:t>ի համեմատություն՝</w:t>
      </w:r>
      <w:r w:rsidR="00462629" w:rsidRPr="00EF7399">
        <w:rPr>
          <w:rFonts w:ascii="Times New Roman" w:hAnsi="Times New Roman" w:cs="Times New Roman"/>
          <w:lang w:val="af-ZA"/>
        </w:rPr>
        <w:t xml:space="preserve"> </w:t>
      </w:r>
      <w:hyperlink r:id="rId50" w:history="1">
        <w:r w:rsidR="00462629" w:rsidRPr="00EF7399">
          <w:rPr>
            <w:rStyle w:val="Hyperlink"/>
            <w:rFonts w:ascii="Times New Roman" w:hAnsi="Times New Roman" w:cs="Times New Roman"/>
            <w:iCs/>
            <w:lang w:val="af-ZA"/>
          </w:rPr>
          <w:t>Olga Kudrina</w:t>
        </w:r>
        <w:r w:rsidR="00873234" w:rsidRPr="00EF7399">
          <w:rPr>
            <w:rStyle w:val="Hyperlink"/>
            <w:rFonts w:ascii="Times New Roman" w:hAnsi="Times New Roman" w:cs="Times New Roman"/>
            <w:iCs/>
            <w:lang w:val="af-ZA"/>
          </w:rPr>
          <w:t xml:space="preserve"> v. </w:t>
        </w:r>
        <w:r w:rsidR="00462629" w:rsidRPr="00EF7399">
          <w:rPr>
            <w:rStyle w:val="Hyperlink"/>
            <w:rFonts w:ascii="Times New Roman" w:hAnsi="Times New Roman" w:cs="Times New Roman"/>
            <w:iCs/>
            <w:lang w:val="af-ZA"/>
          </w:rPr>
          <w:t>Russia</w:t>
        </w:r>
      </w:hyperlink>
      <w:r w:rsidR="00462629" w:rsidRPr="00EF7399">
        <w:rPr>
          <w:rFonts w:ascii="Times New Roman" w:hAnsi="Times New Roman" w:cs="Times New Roman"/>
          <w:lang w:val="af-ZA"/>
        </w:rPr>
        <w:t xml:space="preserve">, 2021, </w:t>
      </w:r>
      <w:r w:rsidR="00873234" w:rsidRPr="00EF7399">
        <w:rPr>
          <w:rFonts w:ascii="Times New Roman" w:hAnsi="Times New Roman" w:cs="Times New Roman"/>
          <w:lang w:val="af-ZA"/>
        </w:rPr>
        <w:t>§ </w:t>
      </w:r>
      <w:r w:rsidR="00462629" w:rsidRPr="00EF7399">
        <w:rPr>
          <w:rFonts w:ascii="Times New Roman" w:hAnsi="Times New Roman" w:cs="Times New Roman"/>
          <w:lang w:val="af-ZA"/>
        </w:rPr>
        <w:t xml:space="preserve">49, </w:t>
      </w:r>
      <w:r w:rsidR="000E2498" w:rsidRPr="00EF7399">
        <w:rPr>
          <w:rFonts w:ascii="Times New Roman" w:hAnsi="Times New Roman" w:cs="Times New Roman"/>
          <w:lang w:val="af-ZA"/>
        </w:rPr>
        <w:t>երբ նմանօրինակ գործողությունները քննության են առնվել 10-րդ հոդված</w:t>
      </w:r>
      <w:r w:rsidR="00DA1AAB" w:rsidRPr="00EF7399">
        <w:rPr>
          <w:rFonts w:ascii="Times New Roman" w:hAnsi="Times New Roman" w:cs="Times New Roman"/>
          <w:lang w:val="hy-AM"/>
        </w:rPr>
        <w:t>ի ներքո</w:t>
      </w:r>
      <w:r w:rsidR="000E2498" w:rsidRPr="00EF7399">
        <w:rPr>
          <w:rFonts w:ascii="Times New Roman" w:hAnsi="Times New Roman" w:cs="Times New Roman"/>
          <w:lang w:val="af-ZA"/>
        </w:rPr>
        <w:t xml:space="preserve">, </w:t>
      </w:r>
      <w:r w:rsidR="00DA1AAB" w:rsidRPr="00EF7399">
        <w:rPr>
          <w:rFonts w:ascii="Times New Roman" w:hAnsi="Times New Roman" w:cs="Times New Roman"/>
          <w:lang w:val="hy-AM"/>
        </w:rPr>
        <w:t>երբ</w:t>
      </w:r>
      <w:r w:rsidR="000E2498" w:rsidRPr="00EF7399">
        <w:rPr>
          <w:rFonts w:ascii="Times New Roman" w:hAnsi="Times New Roman" w:cs="Times New Roman"/>
          <w:lang w:val="af-ZA"/>
        </w:rPr>
        <w:t xml:space="preserve"> դրանք համադրվել են պատուհանից քաղաքական թ</w:t>
      </w:r>
      <w:r w:rsidR="00950BD5" w:rsidRPr="00EF7399">
        <w:rPr>
          <w:rFonts w:ascii="Times New Roman" w:hAnsi="Times New Roman" w:cs="Times New Roman"/>
          <w:lang w:val="af-ZA"/>
        </w:rPr>
        <w:t>ռ</w:t>
      </w:r>
      <w:r w:rsidR="000E2498" w:rsidRPr="00EF7399">
        <w:rPr>
          <w:rFonts w:ascii="Times New Roman" w:hAnsi="Times New Roman" w:cs="Times New Roman"/>
          <w:lang w:val="af-ZA"/>
        </w:rPr>
        <w:t>ուցիկներ նետելու հետ</w:t>
      </w:r>
      <w:r w:rsidRPr="00EF7399">
        <w:rPr>
          <w:rFonts w:ascii="Times New Roman" w:hAnsi="Times New Roman" w:cs="Times New Roman"/>
          <w:lang w:val="af-ZA"/>
        </w:rPr>
        <w:t>),</w:t>
      </w:r>
      <w:r w:rsidR="00950BD5" w:rsidRPr="00EF7399">
        <w:rPr>
          <w:rFonts w:ascii="Times New Roman" w:hAnsi="Times New Roman" w:cs="Times New Roman"/>
          <w:lang w:val="af-ZA"/>
        </w:rPr>
        <w:t xml:space="preserve"> ինչն արվել է նաև օրենսդրական արգելք</w:t>
      </w:r>
      <w:r w:rsidR="00DA1AAB" w:rsidRPr="00EF7399">
        <w:rPr>
          <w:rFonts w:ascii="Times New Roman" w:hAnsi="Times New Roman" w:cs="Times New Roman"/>
          <w:lang w:val="hy-AM"/>
        </w:rPr>
        <w:t>ի</w:t>
      </w:r>
      <w:r w:rsidR="00950BD5" w:rsidRPr="00EF7399">
        <w:rPr>
          <w:rFonts w:ascii="Times New Roman" w:hAnsi="Times New Roman" w:cs="Times New Roman"/>
          <w:lang w:val="af-ZA"/>
        </w:rPr>
        <w:t xml:space="preserve"> անտես</w:t>
      </w:r>
      <w:r w:rsidR="00DA1AAB" w:rsidRPr="00EF7399">
        <w:rPr>
          <w:rFonts w:ascii="Times New Roman" w:hAnsi="Times New Roman" w:cs="Times New Roman"/>
          <w:lang w:val="hy-AM"/>
        </w:rPr>
        <w:t>մամբ</w:t>
      </w:r>
      <w:r w:rsidR="00950BD5" w:rsidRPr="00EF7399">
        <w:rPr>
          <w:rFonts w:ascii="Times New Roman" w:hAnsi="Times New Roman" w:cs="Times New Roman"/>
          <w:lang w:val="af-ZA"/>
        </w:rPr>
        <w:t xml:space="preserve"> դատարանի շենքերի մոտ զանգվածային լրատվամիջոցների առջև արված հրապարակային հայտարարությունների պարագայում </w:t>
      </w:r>
      <w:r w:rsidRPr="00EF7399">
        <w:rPr>
          <w:rFonts w:ascii="Times New Roman" w:hAnsi="Times New Roman" w:cs="Times New Roman"/>
          <w:lang w:val="af-ZA"/>
        </w:rPr>
        <w:t>(</w:t>
      </w:r>
      <w:hyperlink r:id="rId51" w:history="1">
        <w:r w:rsidR="006C704E" w:rsidRPr="00EF7399">
          <w:rPr>
            <w:rStyle w:val="Hyperlink"/>
            <w:rFonts w:ascii="Times New Roman" w:hAnsi="Times New Roman" w:cs="Times New Roman"/>
            <w:iCs/>
            <w:lang w:val="af-ZA"/>
          </w:rPr>
          <w:t>Öğrü</w:t>
        </w:r>
        <w:r w:rsidR="00873234" w:rsidRPr="00EF7399">
          <w:rPr>
            <w:rStyle w:val="Hyperlink"/>
            <w:rFonts w:ascii="Times New Roman" w:hAnsi="Times New Roman" w:cs="Times New Roman"/>
            <w:iCs/>
            <w:lang w:val="af-ZA"/>
          </w:rPr>
          <w:t xml:space="preserve"> v. </w:t>
        </w:r>
        <w:r w:rsidR="006C704E" w:rsidRPr="00EF7399">
          <w:rPr>
            <w:rStyle w:val="Hyperlink"/>
            <w:rFonts w:ascii="Times New Roman" w:hAnsi="Times New Roman" w:cs="Times New Roman"/>
            <w:iCs/>
            <w:lang w:val="af-ZA"/>
          </w:rPr>
          <w:t>Turkey</w:t>
        </w:r>
      </w:hyperlink>
      <w:r w:rsidRPr="00EF7399">
        <w:rPr>
          <w:rFonts w:ascii="Times New Roman" w:hAnsi="Times New Roman" w:cs="Times New Roman"/>
          <w:lang w:val="af-ZA"/>
        </w:rPr>
        <w:t xml:space="preserve">, </w:t>
      </w:r>
      <w:r w:rsidR="00F04C3E" w:rsidRPr="00EF7399">
        <w:rPr>
          <w:rFonts w:ascii="Times New Roman" w:hAnsi="Times New Roman" w:cs="Times New Roman"/>
          <w:lang w:val="af-ZA"/>
        </w:rPr>
        <w:t xml:space="preserve">2017, </w:t>
      </w:r>
      <w:r w:rsidR="00873234" w:rsidRPr="00EF7399">
        <w:rPr>
          <w:rFonts w:ascii="Times New Roman" w:hAnsi="Times New Roman" w:cs="Times New Roman"/>
          <w:lang w:val="af-ZA"/>
        </w:rPr>
        <w:t>§ </w:t>
      </w:r>
      <w:r w:rsidRPr="00EF7399">
        <w:rPr>
          <w:rFonts w:ascii="Times New Roman" w:hAnsi="Times New Roman" w:cs="Times New Roman"/>
          <w:lang w:val="af-ZA"/>
        </w:rPr>
        <w:t>13)</w:t>
      </w:r>
      <w:r w:rsidR="00950BD5" w:rsidRPr="00EF7399">
        <w:rPr>
          <w:rFonts w:ascii="Times New Roman" w:hAnsi="Times New Roman" w:cs="Times New Roman"/>
          <w:lang w:val="af-ZA"/>
        </w:rPr>
        <w:t>:</w:t>
      </w:r>
      <w:r w:rsidR="0002501A" w:rsidRPr="00EF7399">
        <w:rPr>
          <w:rFonts w:ascii="Times New Roman" w:hAnsi="Times New Roman" w:cs="Times New Roman"/>
          <w:lang w:val="af-ZA"/>
        </w:rPr>
        <w:t xml:space="preserve"> </w:t>
      </w:r>
      <w:r w:rsidR="00EB6981" w:rsidRPr="00EF7399">
        <w:rPr>
          <w:rFonts w:ascii="Times New Roman" w:hAnsi="Times New Roman" w:cs="Times New Roman"/>
          <w:lang w:val="hy-AM"/>
        </w:rPr>
        <w:t xml:space="preserve">Նմանապես, </w:t>
      </w:r>
      <w:r w:rsidR="0002501A" w:rsidRPr="00EF7399">
        <w:rPr>
          <w:rFonts w:ascii="Times New Roman" w:hAnsi="Times New Roman" w:cs="Times New Roman"/>
          <w:lang w:val="af-ZA"/>
        </w:rPr>
        <w:t>ողոքի մի շարք գործողություններ</w:t>
      </w:r>
      <w:r w:rsidR="00EB6981" w:rsidRPr="00EF7399">
        <w:rPr>
          <w:rFonts w:ascii="Times New Roman" w:hAnsi="Times New Roman" w:cs="Times New Roman"/>
          <w:lang w:val="hy-AM"/>
        </w:rPr>
        <w:t xml:space="preserve">, ներառյալ՝ </w:t>
      </w:r>
      <w:r w:rsidR="0002501A" w:rsidRPr="00EF7399">
        <w:rPr>
          <w:rFonts w:ascii="Times New Roman" w:hAnsi="Times New Roman" w:cs="Times New Roman"/>
          <w:lang w:val="af-ZA"/>
        </w:rPr>
        <w:t xml:space="preserve">մամլո ասուլիս, երթ և նստացույց, որոնք առնչվում են մեկ քարոզարշավի, քննության են առնվել 11-րդ հոդվածով  </w:t>
      </w:r>
      <w:r w:rsidR="0024570F" w:rsidRPr="00EF7399">
        <w:rPr>
          <w:rFonts w:ascii="Times New Roman" w:hAnsi="Times New Roman" w:cs="Times New Roman"/>
          <w:lang w:val="af-ZA"/>
        </w:rPr>
        <w:t>(</w:t>
      </w:r>
      <w:hyperlink r:id="rId52" w:history="1">
        <w:r w:rsidR="00174ED0" w:rsidRPr="00EF7399">
          <w:rPr>
            <w:rStyle w:val="Hyperlink"/>
            <w:rFonts w:ascii="Times New Roman" w:hAnsi="Times New Roman" w:cs="Times New Roman"/>
            <w:lang w:val="af-ZA"/>
          </w:rPr>
          <w:t xml:space="preserve">Hakim </w:t>
        </w:r>
        <w:r w:rsidR="00F570B3" w:rsidRPr="00EF7399">
          <w:rPr>
            <w:rStyle w:val="Hyperlink"/>
            <w:rFonts w:ascii="Times New Roman" w:hAnsi="Times New Roman" w:cs="Times New Roman"/>
            <w:lang w:val="af-ZA"/>
          </w:rPr>
          <w:t>Aydin</w:t>
        </w:r>
        <w:r w:rsidR="00873234" w:rsidRPr="00EF7399">
          <w:rPr>
            <w:rStyle w:val="Hyperlink"/>
            <w:rFonts w:ascii="Times New Roman" w:hAnsi="Times New Roman" w:cs="Times New Roman"/>
            <w:lang w:val="af-ZA"/>
          </w:rPr>
          <w:t xml:space="preserve"> v. </w:t>
        </w:r>
        <w:r w:rsidR="00F570B3" w:rsidRPr="00EF7399">
          <w:rPr>
            <w:rStyle w:val="Hyperlink"/>
            <w:rFonts w:ascii="Times New Roman" w:hAnsi="Times New Roman" w:cs="Times New Roman"/>
            <w:lang w:val="af-ZA"/>
          </w:rPr>
          <w:t>Turkey</w:t>
        </w:r>
      </w:hyperlink>
      <w:r w:rsidR="0024570F" w:rsidRPr="00EF7399">
        <w:rPr>
          <w:rFonts w:ascii="Times New Roman" w:hAnsi="Times New Roman" w:cs="Times New Roman"/>
          <w:lang w:val="af-ZA"/>
        </w:rPr>
        <w:t xml:space="preserve">, </w:t>
      </w:r>
      <w:r w:rsidR="00F04C3E" w:rsidRPr="00EF7399">
        <w:rPr>
          <w:rFonts w:ascii="Times New Roman" w:hAnsi="Times New Roman" w:cs="Times New Roman"/>
          <w:lang w:val="af-ZA"/>
        </w:rPr>
        <w:t xml:space="preserve">2020, </w:t>
      </w:r>
      <w:r w:rsidR="00873234" w:rsidRPr="00EF7399">
        <w:rPr>
          <w:rFonts w:ascii="Times New Roman" w:hAnsi="Times New Roman" w:cs="Times New Roman"/>
          <w:lang w:val="af-ZA"/>
        </w:rPr>
        <w:t>§ </w:t>
      </w:r>
      <w:r w:rsidR="0024570F" w:rsidRPr="00EF7399">
        <w:rPr>
          <w:rFonts w:ascii="Times New Roman" w:hAnsi="Times New Roman" w:cs="Times New Roman"/>
          <w:lang w:val="af-ZA"/>
        </w:rPr>
        <w:t>50)</w:t>
      </w:r>
      <w:r w:rsidR="0002501A" w:rsidRPr="00EF7399">
        <w:rPr>
          <w:rFonts w:ascii="Times New Roman" w:hAnsi="Times New Roman" w:cs="Times New Roman"/>
          <w:lang w:val="af-ZA"/>
        </w:rPr>
        <w:t>:</w:t>
      </w:r>
      <w:bookmarkStart w:id="23" w:name="_Hlk102467056"/>
      <w:r w:rsidR="0002501A" w:rsidRPr="00EF7399">
        <w:rPr>
          <w:rFonts w:ascii="Times New Roman" w:hAnsi="Times New Roman" w:cs="Times New Roman"/>
          <w:lang w:val="af-ZA"/>
        </w:rPr>
        <w:t xml:space="preserve"> </w:t>
      </w:r>
      <w:hyperlink r:id="rId53" w:history="1">
        <w:r w:rsidR="00E41048" w:rsidRPr="00EF7399">
          <w:rPr>
            <w:rStyle w:val="Hyperlink"/>
            <w:rFonts w:ascii="Times New Roman" w:hAnsi="Times New Roman" w:cs="Times New Roman"/>
            <w:iCs/>
            <w:lang w:val="af-ZA"/>
          </w:rPr>
          <w:t>Ekrem Can and Others</w:t>
        </w:r>
        <w:r w:rsidR="00873234" w:rsidRPr="00EF7399">
          <w:rPr>
            <w:rStyle w:val="Hyperlink"/>
            <w:rFonts w:ascii="Times New Roman" w:hAnsi="Times New Roman" w:cs="Times New Roman"/>
            <w:iCs/>
            <w:lang w:val="af-ZA"/>
          </w:rPr>
          <w:t xml:space="preserve"> v. </w:t>
        </w:r>
        <w:r w:rsidR="00E41048" w:rsidRPr="00EF7399">
          <w:rPr>
            <w:rStyle w:val="Hyperlink"/>
            <w:rFonts w:ascii="Times New Roman" w:hAnsi="Times New Roman" w:cs="Times New Roman"/>
            <w:iCs/>
            <w:lang w:val="af-ZA"/>
          </w:rPr>
          <w:t>Turkey</w:t>
        </w:r>
      </w:hyperlink>
      <w:r w:rsidR="00E41048" w:rsidRPr="00EF7399">
        <w:rPr>
          <w:rFonts w:ascii="Times New Roman" w:hAnsi="Times New Roman" w:cs="Times New Roman"/>
          <w:lang w:val="af-ZA"/>
        </w:rPr>
        <w:t>, 2022,</w:t>
      </w:r>
      <w:bookmarkEnd w:id="23"/>
      <w:r w:rsidR="00E41048" w:rsidRPr="00EF7399">
        <w:rPr>
          <w:rFonts w:ascii="Times New Roman" w:hAnsi="Times New Roman" w:cs="Times New Roman"/>
          <w:lang w:val="af-ZA"/>
        </w:rPr>
        <w:t xml:space="preserve"> </w:t>
      </w:r>
      <w:r w:rsidR="0002501A" w:rsidRPr="00EF7399">
        <w:rPr>
          <w:rFonts w:ascii="Times New Roman" w:hAnsi="Times New Roman" w:cs="Times New Roman"/>
          <w:lang w:val="af-ZA"/>
        </w:rPr>
        <w:t xml:space="preserve">գործով դատարանի շենքի մոտ բողոքի ակցիան, որի ընթացքում գանգատաբերները բացել էին պաստառ, հնչեցրել կարգախոսներ և նետել թռուցիկներ, այդպիսով խոչընդոտելով կենսական նշանակության հանրային ծառայության` արդարադատության պատշաճ իրականացմանը </w:t>
      </w:r>
      <w:r w:rsidR="00E41048" w:rsidRPr="00EF7399">
        <w:rPr>
          <w:rFonts w:ascii="Times New Roman" w:hAnsi="Times New Roman" w:cs="Times New Roman"/>
          <w:lang w:val="af-ZA"/>
        </w:rPr>
        <w:t>(</w:t>
      </w:r>
      <w:r w:rsidR="00873234" w:rsidRPr="00EF7399">
        <w:rPr>
          <w:rFonts w:ascii="Times New Roman" w:hAnsi="Times New Roman" w:cs="Times New Roman"/>
          <w:lang w:val="af-ZA"/>
        </w:rPr>
        <w:t>§ </w:t>
      </w:r>
      <w:r w:rsidR="00E41048" w:rsidRPr="00EF7399">
        <w:rPr>
          <w:rFonts w:ascii="Times New Roman" w:hAnsi="Times New Roman" w:cs="Times New Roman"/>
          <w:lang w:val="af-ZA"/>
        </w:rPr>
        <w:t>91)</w:t>
      </w:r>
      <w:r w:rsidR="0002501A" w:rsidRPr="00EF7399">
        <w:rPr>
          <w:rFonts w:ascii="Times New Roman" w:hAnsi="Times New Roman" w:cs="Times New Roman"/>
          <w:lang w:val="af-ZA"/>
        </w:rPr>
        <w:t>, քննության է առնվել 11-րդ հոդվածով, որը դիտարկվել է 10-րդ հոդվածի լույսի ներքո: Դատարանը նշել է</w:t>
      </w:r>
      <w:r w:rsidR="009B16E9" w:rsidRPr="00EF7399">
        <w:rPr>
          <w:rFonts w:ascii="Times New Roman" w:hAnsi="Times New Roman" w:cs="Times New Roman"/>
          <w:lang w:val="af-ZA"/>
        </w:rPr>
        <w:t>, որ գանգատաբերների բողոքը վերաբեր</w:t>
      </w:r>
      <w:r w:rsidR="00EB6981" w:rsidRPr="00EF7399">
        <w:rPr>
          <w:rFonts w:ascii="Times New Roman" w:hAnsi="Times New Roman" w:cs="Times New Roman"/>
          <w:lang w:val="hy-AM"/>
        </w:rPr>
        <w:t>ել</w:t>
      </w:r>
      <w:r w:rsidR="009B16E9" w:rsidRPr="00EF7399">
        <w:rPr>
          <w:rFonts w:ascii="Times New Roman" w:hAnsi="Times New Roman" w:cs="Times New Roman"/>
          <w:lang w:val="af-ZA"/>
        </w:rPr>
        <w:t xml:space="preserve"> է ոչ միայն այն փաստին, որ նրանց արգելել </w:t>
      </w:r>
      <w:r w:rsidR="00EB6981" w:rsidRPr="00EF7399">
        <w:rPr>
          <w:rFonts w:ascii="Times New Roman" w:hAnsi="Times New Roman" w:cs="Times New Roman"/>
          <w:lang w:val="hy-AM"/>
        </w:rPr>
        <w:t>էին</w:t>
      </w:r>
      <w:r w:rsidR="009B16E9" w:rsidRPr="00EF7399">
        <w:rPr>
          <w:rFonts w:ascii="Times New Roman" w:hAnsi="Times New Roman" w:cs="Times New Roman"/>
          <w:lang w:val="af-ZA"/>
        </w:rPr>
        <w:t xml:space="preserve"> հայտարարություն անել, այլ հիմնականում ոստիկանության միջամտությանը, </w:t>
      </w:r>
      <w:r w:rsidR="00EB6981" w:rsidRPr="00EF7399">
        <w:rPr>
          <w:rFonts w:ascii="Times New Roman" w:hAnsi="Times New Roman" w:cs="Times New Roman"/>
          <w:lang w:val="hy-AM"/>
        </w:rPr>
        <w:t>ինչ</w:t>
      </w:r>
      <w:r w:rsidR="009B16E9" w:rsidRPr="00EF7399">
        <w:rPr>
          <w:rFonts w:ascii="Times New Roman" w:hAnsi="Times New Roman" w:cs="Times New Roman"/>
          <w:lang w:val="af-ZA"/>
        </w:rPr>
        <w:t xml:space="preserve">ի արդյունքում նրանց ուժի գործադրմամբ հեռացրել </w:t>
      </w:r>
      <w:r w:rsidR="00EB6981" w:rsidRPr="00EF7399">
        <w:rPr>
          <w:rFonts w:ascii="Times New Roman" w:hAnsi="Times New Roman" w:cs="Times New Roman"/>
          <w:lang w:val="hy-AM"/>
        </w:rPr>
        <w:t>էին</w:t>
      </w:r>
      <w:r w:rsidR="009B16E9" w:rsidRPr="00EF7399">
        <w:rPr>
          <w:rFonts w:ascii="Times New Roman" w:hAnsi="Times New Roman" w:cs="Times New Roman"/>
          <w:lang w:val="af-ZA"/>
        </w:rPr>
        <w:t xml:space="preserve"> տարածքից </w:t>
      </w:r>
      <w:r w:rsidR="005929E3" w:rsidRPr="00EF7399">
        <w:rPr>
          <w:rFonts w:ascii="Times New Roman" w:hAnsi="Times New Roman" w:cs="Times New Roman"/>
          <w:lang w:val="af-ZA"/>
        </w:rPr>
        <w:t>(</w:t>
      </w:r>
      <w:r w:rsidR="00873234" w:rsidRPr="00EF7399">
        <w:rPr>
          <w:rFonts w:ascii="Times New Roman" w:hAnsi="Times New Roman" w:cs="Times New Roman"/>
          <w:lang w:val="af-ZA"/>
        </w:rPr>
        <w:t>§ </w:t>
      </w:r>
      <w:r w:rsidR="005929E3" w:rsidRPr="00EF7399">
        <w:rPr>
          <w:rFonts w:ascii="Times New Roman" w:hAnsi="Times New Roman" w:cs="Times New Roman"/>
          <w:lang w:val="af-ZA"/>
        </w:rPr>
        <w:t>68)</w:t>
      </w:r>
      <w:r w:rsidR="009B16E9" w:rsidRPr="00EF7399">
        <w:rPr>
          <w:rFonts w:ascii="Times New Roman" w:hAnsi="Times New Roman" w:cs="Times New Roman"/>
          <w:lang w:val="af-ZA"/>
        </w:rPr>
        <w:t>:</w:t>
      </w:r>
    </w:p>
    <w:p w14:paraId="47C86F62" w14:textId="6C0546DC" w:rsidR="00D01BC9" w:rsidRPr="00EF7399" w:rsidRDefault="00560E88" w:rsidP="00D01BC9">
      <w:pPr>
        <w:pStyle w:val="ECHRParaSpaced"/>
        <w:rPr>
          <w:rFonts w:ascii="Times New Roman" w:hAnsi="Times New Roman" w:cs="Times New Roman"/>
          <w:lang w:val="af-ZA"/>
        </w:rPr>
      </w:pPr>
      <w:r w:rsidRPr="00EF7399">
        <w:rPr>
          <w:rFonts w:ascii="Times New Roman" w:hAnsi="Times New Roman" w:cs="Times New Roman"/>
          <w:lang w:val="af-ZA"/>
        </w:rPr>
        <w:t>Ցույցի ընթացքում կ</w:t>
      </w:r>
      <w:r w:rsidR="009B16E9" w:rsidRPr="00EF7399">
        <w:rPr>
          <w:rFonts w:ascii="Times New Roman" w:hAnsi="Times New Roman" w:cs="Times New Roman"/>
          <w:lang w:val="af-ZA"/>
        </w:rPr>
        <w:t xml:space="preserve">արգախոսներ հնչեցնելու և պաստառներ </w:t>
      </w:r>
      <w:r w:rsidRPr="00EF7399">
        <w:rPr>
          <w:rFonts w:ascii="Times New Roman" w:hAnsi="Times New Roman" w:cs="Times New Roman"/>
          <w:lang w:val="af-ZA"/>
        </w:rPr>
        <w:t>պարզելու համար պատժի սահմանումը</w:t>
      </w:r>
      <w:r w:rsidR="004039A9" w:rsidRPr="00EF7399">
        <w:rPr>
          <w:rFonts w:ascii="Times New Roman" w:hAnsi="Times New Roman" w:cs="Times New Roman"/>
          <w:lang w:val="hy-AM"/>
        </w:rPr>
        <w:t>՝</w:t>
      </w:r>
      <w:r w:rsidRPr="00EF7399">
        <w:rPr>
          <w:rFonts w:ascii="Times New Roman" w:hAnsi="Times New Roman" w:cs="Times New Roman"/>
          <w:lang w:val="af-ZA"/>
        </w:rPr>
        <w:t xml:space="preserve"> դրանց բովանդակությունից ելնելով</w:t>
      </w:r>
      <w:r w:rsidR="004039A9" w:rsidRPr="00EF7399">
        <w:rPr>
          <w:rFonts w:ascii="Times New Roman" w:hAnsi="Times New Roman" w:cs="Times New Roman"/>
          <w:lang w:val="hy-AM"/>
        </w:rPr>
        <w:t>,</w:t>
      </w:r>
      <w:r w:rsidRPr="00EF7399">
        <w:rPr>
          <w:rFonts w:ascii="Times New Roman" w:hAnsi="Times New Roman" w:cs="Times New Roman"/>
          <w:lang w:val="af-ZA"/>
        </w:rPr>
        <w:t xml:space="preserve"> համարվում է միջամտություն 11-րդ հոդվածով պաշտպանված</w:t>
      </w:r>
      <w:r w:rsidR="00EB6981" w:rsidRPr="00EF7399">
        <w:rPr>
          <w:rFonts w:ascii="Times New Roman" w:hAnsi="Times New Roman" w:cs="Times New Roman"/>
          <w:lang w:val="hy-AM"/>
        </w:rPr>
        <w:t>՝</w:t>
      </w:r>
      <w:r w:rsidRPr="00EF7399">
        <w:rPr>
          <w:rFonts w:ascii="Times New Roman" w:hAnsi="Times New Roman" w:cs="Times New Roman"/>
          <w:lang w:val="af-ZA"/>
        </w:rPr>
        <w:t xml:space="preserve"> խաղաղ հավաքների ազատության իրավունքին </w:t>
      </w:r>
      <w:r w:rsidR="005F02BF" w:rsidRPr="00EF7399">
        <w:rPr>
          <w:rFonts w:ascii="Times New Roman" w:hAnsi="Times New Roman" w:cs="Times New Roman"/>
          <w:lang w:val="af-ZA"/>
        </w:rPr>
        <w:t>(</w:t>
      </w:r>
      <w:hyperlink r:id="rId54" w:history="1">
        <w:r w:rsidR="00C10117" w:rsidRPr="00EF7399">
          <w:rPr>
            <w:rStyle w:val="Hyperlink"/>
            <w:rFonts w:ascii="Times New Roman" w:hAnsi="Times New Roman" w:cs="Times New Roman"/>
            <w:lang w:val="af-ZA"/>
          </w:rPr>
          <w:t>Kemal Çetin</w:t>
        </w:r>
        <w:r w:rsidR="00873234" w:rsidRPr="00EF7399">
          <w:rPr>
            <w:rStyle w:val="Hyperlink"/>
            <w:rFonts w:ascii="Times New Roman" w:hAnsi="Times New Roman" w:cs="Times New Roman"/>
            <w:lang w:val="af-ZA"/>
          </w:rPr>
          <w:t xml:space="preserve"> v. </w:t>
        </w:r>
        <w:r w:rsidR="00C10117" w:rsidRPr="00EF7399">
          <w:rPr>
            <w:rStyle w:val="Hyperlink"/>
            <w:rFonts w:ascii="Times New Roman" w:hAnsi="Times New Roman" w:cs="Times New Roman"/>
            <w:lang w:val="af-ZA"/>
          </w:rPr>
          <w:t>Turkey</w:t>
        </w:r>
      </w:hyperlink>
      <w:r w:rsidR="005F02BF" w:rsidRPr="00EF7399">
        <w:rPr>
          <w:rFonts w:ascii="Times New Roman" w:hAnsi="Times New Roman" w:cs="Times New Roman"/>
          <w:lang w:val="af-ZA"/>
        </w:rPr>
        <w:t xml:space="preserve">, </w:t>
      </w:r>
      <w:r w:rsidR="00F04C3E" w:rsidRPr="00EF7399">
        <w:rPr>
          <w:rFonts w:ascii="Times New Roman" w:hAnsi="Times New Roman" w:cs="Times New Roman"/>
          <w:lang w:val="af-ZA"/>
        </w:rPr>
        <w:t xml:space="preserve">2020, </w:t>
      </w:r>
      <w:r w:rsidR="00873234" w:rsidRPr="00EF7399">
        <w:rPr>
          <w:rFonts w:ascii="Times New Roman" w:hAnsi="Times New Roman" w:cs="Times New Roman"/>
          <w:lang w:val="af-ZA"/>
        </w:rPr>
        <w:t>§ </w:t>
      </w:r>
      <w:r w:rsidR="005F02BF" w:rsidRPr="00EF7399">
        <w:rPr>
          <w:rFonts w:ascii="Times New Roman" w:hAnsi="Times New Roman" w:cs="Times New Roman"/>
          <w:lang w:val="af-ZA"/>
        </w:rPr>
        <w:t>26)</w:t>
      </w:r>
      <w:r w:rsidRPr="00EF7399">
        <w:rPr>
          <w:rFonts w:ascii="Times New Roman" w:hAnsi="Times New Roman" w:cs="Times New Roman"/>
          <w:lang w:val="af-ZA"/>
        </w:rPr>
        <w:t>:</w:t>
      </w:r>
    </w:p>
    <w:p w14:paraId="24308340" w14:textId="3DF8A253" w:rsidR="00DF297D" w:rsidRPr="00EF7399" w:rsidRDefault="00D01BC9" w:rsidP="00D01BC9">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11</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561009" w:rsidRPr="00EF7399">
        <w:rPr>
          <w:rFonts w:ascii="Times New Roman" w:hAnsi="Times New Roman" w:cs="Times New Roman"/>
          <w:lang w:val="af-ZA"/>
        </w:rPr>
        <w:t xml:space="preserve">Մյուս կողմից, որոշակի բնույթի գործունեությանը խոչընդոտող գործողությունները քննության են առնվում 10-րդ հոդվածով կամ 10-րդ և11-րդ հոդվածներով միաժամանակ: Այսպես, </w:t>
      </w:r>
      <w:r w:rsidR="002E665D" w:rsidRPr="00EF7399">
        <w:rPr>
          <w:rFonts w:ascii="Times New Roman" w:hAnsi="Times New Roman" w:cs="Times New Roman"/>
          <w:lang w:val="af-ZA"/>
        </w:rPr>
        <w:t>բողոքի ակցիան, որի նպատակն էր ֆիզիկապես խանգա</w:t>
      </w:r>
      <w:r w:rsidR="006843A2" w:rsidRPr="00EF7399">
        <w:rPr>
          <w:rFonts w:ascii="Times New Roman" w:hAnsi="Times New Roman" w:cs="Times New Roman"/>
          <w:lang w:val="af-ZA"/>
        </w:rPr>
        <w:t>ր</w:t>
      </w:r>
      <w:r w:rsidR="002E665D" w:rsidRPr="00EF7399">
        <w:rPr>
          <w:rFonts w:ascii="Times New Roman" w:hAnsi="Times New Roman" w:cs="Times New Roman"/>
          <w:lang w:val="af-ZA"/>
        </w:rPr>
        <w:t xml:space="preserve">ել </w:t>
      </w:r>
      <w:r w:rsidR="00561009" w:rsidRPr="00EF7399">
        <w:rPr>
          <w:rFonts w:ascii="Times New Roman" w:hAnsi="Times New Roman" w:cs="Times New Roman"/>
          <w:lang w:val="af-ZA"/>
        </w:rPr>
        <w:t>որսի</w:t>
      </w:r>
      <w:r w:rsidR="002E665D" w:rsidRPr="00EF7399">
        <w:rPr>
          <w:rFonts w:ascii="Times New Roman" w:hAnsi="Times New Roman" w:cs="Times New Roman"/>
          <w:lang w:val="af-ZA"/>
        </w:rPr>
        <w:t>ն</w:t>
      </w:r>
      <w:r w:rsidR="00561009" w:rsidRPr="00EF7399">
        <w:rPr>
          <w:rFonts w:ascii="Times New Roman" w:hAnsi="Times New Roman" w:cs="Times New Roman"/>
          <w:lang w:val="af-ZA"/>
        </w:rPr>
        <w:t xml:space="preserve"> կամ մայրուղու կառուցման</w:t>
      </w:r>
      <w:r w:rsidR="002E665D" w:rsidRPr="00EF7399">
        <w:rPr>
          <w:rFonts w:ascii="Times New Roman" w:hAnsi="Times New Roman" w:cs="Times New Roman"/>
          <w:lang w:val="af-ZA"/>
        </w:rPr>
        <w:t>ը, հանդիսացել է 10-րդ հոդվածի իմաստով</w:t>
      </w:r>
      <w:r w:rsidR="00561009" w:rsidRPr="00EF7399">
        <w:rPr>
          <w:rFonts w:ascii="Times New Roman" w:hAnsi="Times New Roman" w:cs="Times New Roman"/>
          <w:lang w:val="af-ZA"/>
        </w:rPr>
        <w:t xml:space="preserve"> կարծիքի արտահայտման ձև</w:t>
      </w:r>
      <w:r w:rsidR="002E665D" w:rsidRPr="00EF7399">
        <w:rPr>
          <w:rFonts w:ascii="Times New Roman" w:hAnsi="Times New Roman" w:cs="Times New Roman"/>
          <w:lang w:val="af-ZA"/>
        </w:rPr>
        <w:t xml:space="preserve"> </w:t>
      </w:r>
      <w:r w:rsidR="007C73E0" w:rsidRPr="00EF7399">
        <w:rPr>
          <w:rFonts w:ascii="Times New Roman" w:hAnsi="Times New Roman" w:cs="Times New Roman"/>
          <w:lang w:val="af-ZA"/>
        </w:rPr>
        <w:t>(</w:t>
      </w:r>
      <w:hyperlink r:id="rId55" w:history="1">
        <w:r w:rsidR="007C73E0" w:rsidRPr="00EF7399">
          <w:rPr>
            <w:rStyle w:val="Hyperlink"/>
            <w:rFonts w:ascii="Times New Roman" w:hAnsi="Times New Roman" w:cs="Times New Roman"/>
            <w:lang w:val="af-ZA"/>
          </w:rPr>
          <w:t>Steel and Others</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the United Kingdom</w:t>
        </w:r>
      </w:hyperlink>
      <w:r w:rsidR="007C73E0" w:rsidRPr="00EF7399">
        <w:rPr>
          <w:rFonts w:ascii="Times New Roman" w:hAnsi="Times New Roman" w:cs="Times New Roman"/>
          <w:lang w:val="af-ZA"/>
        </w:rPr>
        <w:t xml:space="preserve">, </w:t>
      </w:r>
      <w:r w:rsidR="00F04C3E" w:rsidRPr="00EF7399">
        <w:rPr>
          <w:rFonts w:ascii="Times New Roman" w:hAnsi="Times New Roman" w:cs="Times New Roman"/>
          <w:lang w:val="af-ZA"/>
        </w:rPr>
        <w:t xml:space="preserve">1998,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92)</w:t>
      </w:r>
      <w:r w:rsidR="002E665D" w:rsidRPr="00EF7399">
        <w:rPr>
          <w:rFonts w:ascii="Times New Roman" w:hAnsi="Times New Roman" w:cs="Times New Roman"/>
          <w:lang w:val="af-ZA"/>
        </w:rPr>
        <w:t>: «Գրինփիս» (անգլ.` Greenpeace) կազմակերպության ակտիվիստներ</w:t>
      </w:r>
      <w:r w:rsidR="00680B64" w:rsidRPr="00EF7399">
        <w:rPr>
          <w:rFonts w:ascii="Times New Roman" w:hAnsi="Times New Roman" w:cs="Times New Roman"/>
          <w:lang w:val="af-ZA"/>
        </w:rPr>
        <w:t xml:space="preserve">ի </w:t>
      </w:r>
      <w:r w:rsidR="00C254A5" w:rsidRPr="00EF7399">
        <w:rPr>
          <w:rFonts w:ascii="Times New Roman" w:hAnsi="Times New Roman" w:cs="Times New Roman"/>
          <w:lang w:val="hy-AM"/>
        </w:rPr>
        <w:t>ներկայացրած</w:t>
      </w:r>
      <w:r w:rsidR="00C254A5" w:rsidRPr="00EF7399">
        <w:rPr>
          <w:rFonts w:ascii="Times New Roman" w:hAnsi="Times New Roman" w:cs="Times New Roman"/>
          <w:lang w:val="af-ZA"/>
        </w:rPr>
        <w:t xml:space="preserve"> </w:t>
      </w:r>
      <w:r w:rsidR="00680B64" w:rsidRPr="00EF7399">
        <w:rPr>
          <w:rFonts w:ascii="Times New Roman" w:hAnsi="Times New Roman" w:cs="Times New Roman"/>
          <w:lang w:val="af-ZA"/>
        </w:rPr>
        <w:t>գործում, ովքեր մ</w:t>
      </w:r>
      <w:r w:rsidR="00C254A5" w:rsidRPr="00EF7399">
        <w:rPr>
          <w:rFonts w:ascii="Times New Roman" w:hAnsi="Times New Roman" w:cs="Times New Roman"/>
          <w:lang w:val="hy-AM"/>
        </w:rPr>
        <w:t>ա</w:t>
      </w:r>
      <w:r w:rsidR="00680B64" w:rsidRPr="00EF7399">
        <w:rPr>
          <w:rFonts w:ascii="Times New Roman" w:hAnsi="Times New Roman" w:cs="Times New Roman"/>
          <w:lang w:val="af-ZA"/>
        </w:rPr>
        <w:t>նևրել էին իրենց նավակներով</w:t>
      </w:r>
      <w:r w:rsidR="00C254A5" w:rsidRPr="00EF7399">
        <w:rPr>
          <w:rFonts w:ascii="Times New Roman" w:hAnsi="Times New Roman" w:cs="Times New Roman"/>
          <w:lang w:val="hy-AM"/>
        </w:rPr>
        <w:t>՝</w:t>
      </w:r>
      <w:r w:rsidR="00680B64" w:rsidRPr="00EF7399">
        <w:rPr>
          <w:rFonts w:ascii="Times New Roman" w:hAnsi="Times New Roman" w:cs="Times New Roman"/>
          <w:lang w:val="af-ZA"/>
        </w:rPr>
        <w:t xml:space="preserve"> կետերի որսին խոչընդոտելու նպատակով, Դատարանը ելել է այն ենթադրությունից, որ գանգատաբերները կարող </w:t>
      </w:r>
      <w:r w:rsidR="00C254A5" w:rsidRPr="00EF7399">
        <w:rPr>
          <w:rFonts w:ascii="Times New Roman" w:hAnsi="Times New Roman" w:cs="Times New Roman"/>
          <w:lang w:val="hy-AM"/>
        </w:rPr>
        <w:t>էին</w:t>
      </w:r>
      <w:r w:rsidR="00680B64" w:rsidRPr="00EF7399">
        <w:rPr>
          <w:rFonts w:ascii="Times New Roman" w:hAnsi="Times New Roman" w:cs="Times New Roman"/>
          <w:lang w:val="af-ZA"/>
        </w:rPr>
        <w:t xml:space="preserve"> հիմնվել 10-րդ և</w:t>
      </w:r>
      <w:r w:rsidR="00E54BB7">
        <w:rPr>
          <w:rFonts w:ascii="Times New Roman" w:hAnsi="Times New Roman" w:cs="Times New Roman"/>
          <w:lang w:val="hy-AM"/>
        </w:rPr>
        <w:t xml:space="preserve"> </w:t>
      </w:r>
      <w:r w:rsidR="00680B64" w:rsidRPr="00EF7399">
        <w:rPr>
          <w:rFonts w:ascii="Times New Roman" w:hAnsi="Times New Roman" w:cs="Times New Roman"/>
          <w:lang w:val="af-ZA"/>
        </w:rPr>
        <w:t xml:space="preserve">(կամ) 11-րդ հոդվածների վրա, սակայն տվյալ հանգամանքներում </w:t>
      </w:r>
      <w:r w:rsidR="002470BD" w:rsidRPr="00EF7399">
        <w:rPr>
          <w:rFonts w:ascii="Times New Roman" w:hAnsi="Times New Roman" w:cs="Times New Roman"/>
          <w:lang w:val="af-ZA"/>
        </w:rPr>
        <w:t xml:space="preserve">անհրաժեշտ չի համարել վերագրել </w:t>
      </w:r>
      <w:r w:rsidR="00680B64" w:rsidRPr="00EF7399">
        <w:rPr>
          <w:rFonts w:ascii="Times New Roman" w:hAnsi="Times New Roman" w:cs="Times New Roman"/>
          <w:lang w:val="af-ZA"/>
        </w:rPr>
        <w:t>գանգատ</w:t>
      </w:r>
      <w:r w:rsidR="002470BD" w:rsidRPr="00EF7399">
        <w:rPr>
          <w:rFonts w:ascii="Times New Roman" w:hAnsi="Times New Roman" w:cs="Times New Roman"/>
          <w:lang w:val="af-ZA"/>
        </w:rPr>
        <w:t>ը</w:t>
      </w:r>
      <w:r w:rsidR="00680B64" w:rsidRPr="00EF7399">
        <w:rPr>
          <w:rFonts w:ascii="Times New Roman" w:hAnsi="Times New Roman" w:cs="Times New Roman"/>
          <w:lang w:val="af-ZA"/>
        </w:rPr>
        <w:t xml:space="preserve"> հոդվածներից մեկին կամ </w:t>
      </w:r>
      <w:r w:rsidR="002470BD" w:rsidRPr="00EF7399">
        <w:rPr>
          <w:rFonts w:ascii="Times New Roman" w:hAnsi="Times New Roman" w:cs="Times New Roman"/>
          <w:lang w:val="af-ZA"/>
        </w:rPr>
        <w:t xml:space="preserve">միաժամանակ </w:t>
      </w:r>
      <w:r w:rsidR="00680B64" w:rsidRPr="00EF7399">
        <w:rPr>
          <w:rFonts w:ascii="Times New Roman" w:hAnsi="Times New Roman" w:cs="Times New Roman"/>
          <w:lang w:val="af-ZA"/>
        </w:rPr>
        <w:t xml:space="preserve">երկուսին      </w:t>
      </w:r>
      <w:r w:rsidR="007C73E0" w:rsidRPr="00EF7399">
        <w:rPr>
          <w:rFonts w:ascii="Times New Roman" w:hAnsi="Times New Roman" w:cs="Times New Roman"/>
          <w:lang w:val="af-ZA"/>
        </w:rPr>
        <w:t>(</w:t>
      </w:r>
      <w:hyperlink r:id="rId56" w:history="1">
        <w:r w:rsidR="007C73E0" w:rsidRPr="00EF7399">
          <w:rPr>
            <w:rStyle w:val="Hyperlink"/>
            <w:rFonts w:ascii="Times New Roman" w:hAnsi="Times New Roman" w:cs="Times New Roman"/>
            <w:lang w:val="af-ZA"/>
          </w:rPr>
          <w:t>Drieman and Others</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Norway</w:t>
        </w:r>
      </w:hyperlink>
      <w:r w:rsidR="007C73E0" w:rsidRPr="00EF7399">
        <w:rPr>
          <w:rFonts w:ascii="Times New Roman" w:hAnsi="Times New Roman" w:cs="Times New Roman"/>
          <w:lang w:val="af-ZA"/>
        </w:rPr>
        <w:t xml:space="preserve"> (dec.)</w:t>
      </w:r>
      <w:r w:rsidR="00F04C3E" w:rsidRPr="00EF7399">
        <w:rPr>
          <w:rFonts w:ascii="Times New Roman" w:hAnsi="Times New Roman" w:cs="Times New Roman"/>
          <w:lang w:val="af-ZA"/>
        </w:rPr>
        <w:t>, 2000</w:t>
      </w:r>
      <w:r w:rsidR="007C73E0" w:rsidRPr="00EF7399">
        <w:rPr>
          <w:rFonts w:ascii="Times New Roman" w:hAnsi="Times New Roman" w:cs="Times New Roman"/>
          <w:lang w:val="af-ZA"/>
        </w:rPr>
        <w:t>)</w:t>
      </w:r>
      <w:r w:rsidR="00462629" w:rsidRPr="00EF7399">
        <w:rPr>
          <w:rStyle w:val="FootnoteReference"/>
          <w:rFonts w:ascii="Times New Roman" w:hAnsi="Times New Roman" w:cs="Times New Roman"/>
          <w:lang w:val="af-ZA"/>
        </w:rPr>
        <w:footnoteReference w:id="3"/>
      </w:r>
      <w:r w:rsidR="002470BD" w:rsidRPr="00EF7399">
        <w:rPr>
          <w:rFonts w:ascii="Times New Roman" w:hAnsi="Times New Roman" w:cs="Times New Roman"/>
          <w:lang w:val="af-ZA"/>
        </w:rPr>
        <w:t xml:space="preserve">: Մյուս կողմից, Խորհրդարանի աշխատանքը խոչընդոտելու նպատակով որպես բողոքի ակցիա կազմակերպված ցույցը քննվել է միայն 11-րդ </w:t>
      </w:r>
      <w:r w:rsidR="002470BD" w:rsidRPr="00EF7399">
        <w:rPr>
          <w:rFonts w:ascii="Times New Roman" w:hAnsi="Times New Roman" w:cs="Times New Roman"/>
          <w:lang w:val="af-ZA"/>
        </w:rPr>
        <w:lastRenderedPageBreak/>
        <w:t>հոդված</w:t>
      </w:r>
      <w:r w:rsidR="00C254A5" w:rsidRPr="00EF7399">
        <w:rPr>
          <w:rFonts w:ascii="Times New Roman" w:hAnsi="Times New Roman" w:cs="Times New Roman"/>
          <w:lang w:val="hy-AM"/>
        </w:rPr>
        <w:t>ի ներքո</w:t>
      </w:r>
      <w:r w:rsidR="002470BD" w:rsidRPr="00EF7399">
        <w:rPr>
          <w:rFonts w:ascii="Times New Roman" w:hAnsi="Times New Roman" w:cs="Times New Roman"/>
          <w:lang w:val="af-ZA"/>
        </w:rPr>
        <w:t xml:space="preserve">` հաշվի առնելով միջոցառման բնույթը և նպատակը </w:t>
      </w:r>
      <w:r w:rsidR="008A38EA" w:rsidRPr="00EF7399">
        <w:rPr>
          <w:rFonts w:ascii="Times New Roman" w:hAnsi="Times New Roman" w:cs="Times New Roman"/>
          <w:iCs/>
          <w:lang w:val="af-ZA"/>
        </w:rPr>
        <w:t>(</w:t>
      </w:r>
      <w:bookmarkStart w:id="24" w:name="_Hlk113524807"/>
      <w:r w:rsidR="008A38EA" w:rsidRPr="00EF7399">
        <w:rPr>
          <w:rFonts w:ascii="Times New Roman" w:hAnsi="Times New Roman" w:cs="Times New Roman"/>
          <w:iCs/>
          <w:lang w:val="af-ZA"/>
        </w:rPr>
        <w:fldChar w:fldCharType="begin"/>
      </w:r>
      <w:r w:rsidR="008A38EA" w:rsidRPr="00EF7399">
        <w:rPr>
          <w:rFonts w:ascii="Times New Roman" w:hAnsi="Times New Roman" w:cs="Times New Roman"/>
          <w:iCs/>
          <w:lang w:val="af-ZA"/>
        </w:rPr>
        <w:instrText>HYPERLINK "https://hudoc.echr.coe.int/eng?i=001-218940"</w:instrText>
      </w:r>
      <w:r w:rsidR="008A38EA" w:rsidRPr="00EF7399">
        <w:rPr>
          <w:rFonts w:ascii="Times New Roman" w:hAnsi="Times New Roman" w:cs="Times New Roman"/>
          <w:iCs/>
          <w:lang w:val="af-ZA"/>
        </w:rPr>
      </w:r>
      <w:r w:rsidR="008A38EA" w:rsidRPr="00EF7399">
        <w:rPr>
          <w:rFonts w:ascii="Times New Roman" w:hAnsi="Times New Roman" w:cs="Times New Roman"/>
          <w:iCs/>
          <w:lang w:val="af-ZA"/>
        </w:rPr>
        <w:fldChar w:fldCharType="separate"/>
      </w:r>
      <w:r w:rsidR="008A38EA" w:rsidRPr="00EF7399">
        <w:rPr>
          <w:rStyle w:val="Hyperlink"/>
          <w:rFonts w:ascii="Times New Roman" w:hAnsi="Times New Roman" w:cs="Times New Roman"/>
          <w:iCs/>
          <w:lang w:val="af-ZA"/>
        </w:rPr>
        <w:t>Makarashvili and Others v. Georgia</w:t>
      </w:r>
      <w:r w:rsidR="008A38EA" w:rsidRPr="00EF7399">
        <w:rPr>
          <w:rFonts w:ascii="Times New Roman" w:hAnsi="Times New Roman" w:cs="Times New Roman"/>
          <w:iCs/>
          <w:lang w:val="af-ZA"/>
        </w:rPr>
        <w:fldChar w:fldCharType="end"/>
      </w:r>
      <w:r w:rsidR="008A38EA" w:rsidRPr="00EF7399">
        <w:rPr>
          <w:rFonts w:ascii="Times New Roman" w:hAnsi="Times New Roman" w:cs="Times New Roman"/>
          <w:iCs/>
          <w:lang w:val="af-ZA"/>
        </w:rPr>
        <w:t>, 2022, § </w:t>
      </w:r>
      <w:bookmarkEnd w:id="24"/>
      <w:r w:rsidR="008A38EA" w:rsidRPr="00EF7399">
        <w:rPr>
          <w:rFonts w:ascii="Times New Roman" w:hAnsi="Times New Roman" w:cs="Times New Roman"/>
          <w:iCs/>
          <w:lang w:val="af-ZA"/>
        </w:rPr>
        <w:t>92</w:t>
      </w:r>
      <w:r w:rsidR="008A38EA" w:rsidRPr="00EF7399">
        <w:rPr>
          <w:rFonts w:ascii="Times New Roman" w:hAnsi="Times New Roman" w:cs="Times New Roman"/>
          <w:lang w:val="af-ZA"/>
        </w:rPr>
        <w:t>)</w:t>
      </w:r>
      <w:r w:rsidR="002470BD" w:rsidRPr="00EF7399">
        <w:rPr>
          <w:rFonts w:ascii="Times New Roman" w:hAnsi="Times New Roman" w:cs="Times New Roman"/>
          <w:lang w:val="af-ZA"/>
        </w:rPr>
        <w:t>:</w:t>
      </w:r>
    </w:p>
    <w:p w14:paraId="3261E5BD" w14:textId="105C9E53" w:rsidR="00D01BC9" w:rsidRPr="00EF7399" w:rsidRDefault="00A83DAB" w:rsidP="00A83DAB">
      <w:pPr>
        <w:pStyle w:val="ECHRHeading2"/>
        <w:numPr>
          <w:ilvl w:val="0"/>
          <w:numId w:val="0"/>
        </w:numPr>
        <w:rPr>
          <w:rFonts w:ascii="Times New Roman" w:hAnsi="Times New Roman" w:cs="Times New Roman"/>
          <w:lang w:val="af-ZA"/>
        </w:rPr>
      </w:pPr>
      <w:bookmarkStart w:id="25" w:name="Scope_right_freedom_assembly"/>
      <w:bookmarkStart w:id="26" w:name="_Toc159945207"/>
      <w:r>
        <w:rPr>
          <w:rFonts w:ascii="Times New Roman" w:hAnsi="Times New Roman" w:cs="Times New Roman"/>
          <w:lang w:val="hy-AM"/>
        </w:rPr>
        <w:t xml:space="preserve">Գ․ </w:t>
      </w:r>
      <w:r w:rsidR="002470BD" w:rsidRPr="00EF7399">
        <w:rPr>
          <w:rFonts w:ascii="Times New Roman" w:hAnsi="Times New Roman" w:cs="Times New Roman"/>
          <w:lang w:val="af-ZA"/>
        </w:rPr>
        <w:t>Հավաքների ազատության իրավունքի շրջանակը</w:t>
      </w:r>
      <w:bookmarkEnd w:id="25"/>
      <w:bookmarkEnd w:id="26"/>
    </w:p>
    <w:p w14:paraId="70B764B1" w14:textId="248F35E9" w:rsidR="00E2448A" w:rsidRPr="00EF7399" w:rsidRDefault="0036651F" w:rsidP="00E2448A">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12</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AD260D" w:rsidRPr="00EF7399">
        <w:rPr>
          <w:rFonts w:ascii="Times New Roman" w:hAnsi="Times New Roman" w:cs="Times New Roman"/>
          <w:lang w:val="af-ZA"/>
        </w:rPr>
        <w:t>Նկատի առնելով խաղաղ հավաքների ազատության իրավունք</w:t>
      </w:r>
      <w:r w:rsidR="00F81C6C" w:rsidRPr="00EF7399">
        <w:rPr>
          <w:rFonts w:ascii="Times New Roman" w:hAnsi="Times New Roman" w:cs="Times New Roman"/>
          <w:lang w:val="af-ZA"/>
        </w:rPr>
        <w:t>ը՝</w:t>
      </w:r>
      <w:r w:rsidR="00AD260D" w:rsidRPr="00EF7399">
        <w:rPr>
          <w:rFonts w:ascii="Times New Roman" w:hAnsi="Times New Roman" w:cs="Times New Roman"/>
          <w:lang w:val="af-ZA"/>
        </w:rPr>
        <w:t xml:space="preserve"> այն չպետք է մեկնաբանվի սահմանափակ </w:t>
      </w:r>
      <w:r w:rsidR="00AC4157" w:rsidRPr="00EF7399">
        <w:rPr>
          <w:rFonts w:ascii="Times New Roman" w:hAnsi="Times New Roman" w:cs="Times New Roman"/>
          <w:lang w:val="hy-AM"/>
        </w:rPr>
        <w:t>կերպ</w:t>
      </w:r>
      <w:r w:rsidR="00AD260D" w:rsidRPr="00EF7399">
        <w:rPr>
          <w:rFonts w:ascii="Times New Roman" w:hAnsi="Times New Roman" w:cs="Times New Roman"/>
          <w:lang w:val="af-ZA"/>
        </w:rPr>
        <w:t xml:space="preserve">ով </w:t>
      </w:r>
      <w:r w:rsidR="007C73E0" w:rsidRPr="00EF7399">
        <w:rPr>
          <w:rFonts w:ascii="Times New Roman" w:hAnsi="Times New Roman" w:cs="Times New Roman"/>
          <w:lang w:val="af-ZA"/>
        </w:rPr>
        <w:t>(</w:t>
      </w:r>
      <w:hyperlink r:id="rId57" w:history="1">
        <w:r w:rsidR="007C73E0" w:rsidRPr="00EF7399">
          <w:rPr>
            <w:rStyle w:val="Hyperlink"/>
            <w:rFonts w:ascii="Times New Roman" w:hAnsi="Times New Roman" w:cs="Times New Roman"/>
            <w:lang w:val="af-ZA"/>
          </w:rPr>
          <w:t>Kudrevičius and Others</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Lithuania</w:t>
        </w:r>
      </w:hyperlink>
      <w:r w:rsidR="008E501D" w:rsidRPr="00EF7399">
        <w:rPr>
          <w:rFonts w:ascii="Times New Roman" w:hAnsi="Times New Roman" w:cs="Times New Roman"/>
          <w:lang w:val="af-ZA"/>
        </w:rPr>
        <w:t xml:space="preserve"> [GC], </w:t>
      </w:r>
      <w:r w:rsidR="00F04C3E"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008E501D" w:rsidRPr="00EF7399">
        <w:rPr>
          <w:rFonts w:ascii="Times New Roman" w:hAnsi="Times New Roman" w:cs="Times New Roman"/>
          <w:lang w:val="af-ZA"/>
        </w:rPr>
        <w:t>91;</w:t>
      </w:r>
      <w:r w:rsidR="007C73E0" w:rsidRPr="00EF7399">
        <w:rPr>
          <w:rFonts w:ascii="Times New Roman" w:hAnsi="Times New Roman" w:cs="Times New Roman"/>
          <w:lang w:val="af-ZA"/>
        </w:rPr>
        <w:t xml:space="preserve"> </w:t>
      </w:r>
      <w:hyperlink r:id="rId58" w:history="1">
        <w:r w:rsidR="007C73E0" w:rsidRPr="00EF7399">
          <w:rPr>
            <w:rStyle w:val="Hyperlink"/>
            <w:rFonts w:ascii="Times New Roman" w:hAnsi="Times New Roman" w:cs="Times New Roman"/>
            <w:lang w:val="af-ZA"/>
          </w:rPr>
          <w:t>Taranenko</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Russia</w:t>
        </w:r>
      </w:hyperlink>
      <w:r w:rsidR="007C73E0" w:rsidRPr="00EF7399">
        <w:rPr>
          <w:rFonts w:ascii="Times New Roman" w:hAnsi="Times New Roman" w:cs="Times New Roman"/>
          <w:lang w:val="af-ZA"/>
        </w:rPr>
        <w:t xml:space="preserve">, </w:t>
      </w:r>
      <w:r w:rsidR="00F04C3E"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65)</w:t>
      </w:r>
      <w:r w:rsidR="00AD260D" w:rsidRPr="00EF7399">
        <w:rPr>
          <w:rFonts w:ascii="Times New Roman" w:hAnsi="Times New Roman" w:cs="Times New Roman"/>
          <w:lang w:val="af-ZA"/>
        </w:rPr>
        <w:t>:</w:t>
      </w:r>
      <w:r w:rsidR="007C73E0" w:rsidRPr="00EF7399">
        <w:rPr>
          <w:rFonts w:ascii="Times New Roman" w:hAnsi="Times New Roman" w:cs="Times New Roman"/>
          <w:lang w:val="af-ZA"/>
        </w:rPr>
        <w:t xml:space="preserve"> </w:t>
      </w:r>
      <w:r w:rsidR="00AD260D" w:rsidRPr="00EF7399">
        <w:rPr>
          <w:rFonts w:ascii="Times New Roman" w:hAnsi="Times New Roman" w:cs="Times New Roman"/>
          <w:lang w:val="af-ZA"/>
        </w:rPr>
        <w:t>Սահմանափակ մեկնաբանության վտանգից խուսափելու նպատակով Դատար</w:t>
      </w:r>
      <w:r w:rsidR="00AC4157" w:rsidRPr="00EF7399">
        <w:rPr>
          <w:rFonts w:ascii="Times New Roman" w:hAnsi="Times New Roman" w:cs="Times New Roman"/>
          <w:lang w:val="hy-AM"/>
        </w:rPr>
        <w:t>ա</w:t>
      </w:r>
      <w:r w:rsidR="00AD260D" w:rsidRPr="00EF7399">
        <w:rPr>
          <w:rFonts w:ascii="Times New Roman" w:hAnsi="Times New Roman" w:cs="Times New Roman"/>
          <w:lang w:val="af-ZA"/>
        </w:rPr>
        <w:t xml:space="preserve">նը զերծ է մնացել հավաքի հասկացության ձևակերպումից կամ այն սահմանող չափորոշիչների սպառիչ ցանկ կազմելուց </w:t>
      </w:r>
      <w:r w:rsidR="007C73E0" w:rsidRPr="00EF7399">
        <w:rPr>
          <w:rFonts w:ascii="Times New Roman" w:hAnsi="Times New Roman" w:cs="Times New Roman"/>
          <w:lang w:val="af-ZA"/>
        </w:rPr>
        <w:t>(</w:t>
      </w:r>
      <w:hyperlink r:id="rId59" w:history="1">
        <w:r w:rsidR="007C73E0" w:rsidRPr="00EF7399">
          <w:rPr>
            <w:rStyle w:val="Hyperlink"/>
            <w:rFonts w:ascii="Times New Roman" w:hAnsi="Times New Roman" w:cs="Times New Roman"/>
            <w:lang w:val="af-ZA"/>
          </w:rPr>
          <w:t>Navalnyy</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Russia</w:t>
        </w:r>
      </w:hyperlink>
      <w:r w:rsidR="007C73E0" w:rsidRPr="00EF7399">
        <w:rPr>
          <w:rFonts w:ascii="Times New Roman" w:hAnsi="Times New Roman" w:cs="Times New Roman"/>
          <w:lang w:val="af-ZA"/>
        </w:rPr>
        <w:t xml:space="preserve"> [GC], </w:t>
      </w:r>
      <w:r w:rsidR="00F04C3E" w:rsidRPr="00EF7399">
        <w:rPr>
          <w:rFonts w:ascii="Times New Roman" w:hAnsi="Times New Roman" w:cs="Times New Roman"/>
          <w:lang w:val="af-ZA"/>
        </w:rPr>
        <w:t xml:space="preserve">2018,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98)</w:t>
      </w:r>
      <w:r w:rsidR="00AD260D" w:rsidRPr="00EF7399">
        <w:rPr>
          <w:rFonts w:ascii="Times New Roman" w:hAnsi="Times New Roman" w:cs="Times New Roman"/>
          <w:lang w:val="af-ZA"/>
        </w:rPr>
        <w:t>:</w:t>
      </w:r>
    </w:p>
    <w:p w14:paraId="469EBCC2" w14:textId="75E56650" w:rsidR="00535E5C" w:rsidRPr="00EF7399" w:rsidRDefault="00E2448A" w:rsidP="00E2448A">
      <w:pPr>
        <w:pStyle w:val="ECHRParaSpaced"/>
        <w:rPr>
          <w:rStyle w:val="sb8d990e2"/>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2C7DDE" w:rsidRPr="00EF7399">
        <w:rPr>
          <w:rFonts w:ascii="Times New Roman" w:hAnsi="Times New Roman" w:cs="Times New Roman"/>
          <w:lang w:val="af-ZA"/>
        </w:rPr>
        <w:t>«Հավաք</w:t>
      </w:r>
      <w:r w:rsidR="008468F7" w:rsidRPr="00EF7399">
        <w:rPr>
          <w:rFonts w:ascii="Times New Roman" w:hAnsi="Times New Roman" w:cs="Times New Roman"/>
          <w:lang w:val="af-ZA"/>
        </w:rPr>
        <w:t>ը</w:t>
      </w:r>
      <w:r w:rsidR="002C7DDE" w:rsidRPr="00EF7399">
        <w:rPr>
          <w:rFonts w:ascii="Times New Roman" w:hAnsi="Times New Roman" w:cs="Times New Roman"/>
          <w:lang w:val="af-ZA"/>
        </w:rPr>
        <w:t xml:space="preserve">» </w:t>
      </w:r>
      <w:r w:rsidR="008468F7" w:rsidRPr="00EF7399">
        <w:rPr>
          <w:rFonts w:ascii="Times New Roman" w:hAnsi="Times New Roman" w:cs="Times New Roman"/>
          <w:lang w:val="af-ZA"/>
        </w:rPr>
        <w:t xml:space="preserve">ինքնավար </w:t>
      </w:r>
      <w:r w:rsidR="002C7DDE" w:rsidRPr="00EF7399">
        <w:rPr>
          <w:rFonts w:ascii="Times New Roman" w:hAnsi="Times New Roman" w:cs="Times New Roman"/>
          <w:lang w:val="af-ZA"/>
        </w:rPr>
        <w:t>հասկացություն</w:t>
      </w:r>
      <w:r w:rsidR="008468F7" w:rsidRPr="00EF7399">
        <w:rPr>
          <w:rFonts w:ascii="Times New Roman" w:hAnsi="Times New Roman" w:cs="Times New Roman"/>
          <w:lang w:val="af-ZA"/>
        </w:rPr>
        <w:t xml:space="preserve"> </w:t>
      </w:r>
      <w:r w:rsidR="002C7DDE" w:rsidRPr="00EF7399">
        <w:rPr>
          <w:rFonts w:ascii="Times New Roman" w:hAnsi="Times New Roman" w:cs="Times New Roman"/>
          <w:lang w:val="af-ZA"/>
        </w:rPr>
        <w:t>է: Այն, մասնավորապես, ընդգրկում է հավաք</w:t>
      </w:r>
      <w:r w:rsidR="00B472D7" w:rsidRPr="00EF7399">
        <w:rPr>
          <w:rFonts w:ascii="Times New Roman" w:hAnsi="Times New Roman" w:cs="Times New Roman"/>
          <w:lang w:val="af-ZA"/>
        </w:rPr>
        <w:t>ույթ</w:t>
      </w:r>
      <w:r w:rsidR="002C7DDE" w:rsidRPr="00EF7399">
        <w:rPr>
          <w:rFonts w:ascii="Times New Roman" w:hAnsi="Times New Roman" w:cs="Times New Roman"/>
          <w:lang w:val="af-ZA"/>
        </w:rPr>
        <w:t>ներ, որոնք ներպետական իրավական կարգավորման առարկա չեն</w:t>
      </w:r>
      <w:r w:rsidR="003A16B7" w:rsidRPr="00EF7399">
        <w:rPr>
          <w:rFonts w:ascii="Times New Roman" w:hAnsi="Times New Roman" w:cs="Times New Roman"/>
          <w:lang w:val="hy-AM"/>
        </w:rPr>
        <w:t>՝</w:t>
      </w:r>
      <w:r w:rsidR="002C7DDE" w:rsidRPr="00EF7399">
        <w:rPr>
          <w:rFonts w:ascii="Times New Roman" w:hAnsi="Times New Roman" w:cs="Times New Roman"/>
          <w:lang w:val="af-ZA"/>
        </w:rPr>
        <w:t xml:space="preserve"> անկախ այն հանգամանքից</w:t>
      </w:r>
      <w:r w:rsidR="004B3A67" w:rsidRPr="00EF7399">
        <w:rPr>
          <w:rFonts w:ascii="Times New Roman" w:hAnsi="Times New Roman" w:cs="Times New Roman"/>
          <w:lang w:val="af-ZA"/>
        </w:rPr>
        <w:t xml:space="preserve">, </w:t>
      </w:r>
      <w:r w:rsidR="003A16B7" w:rsidRPr="00EF7399">
        <w:rPr>
          <w:rFonts w:ascii="Times New Roman" w:hAnsi="Times New Roman" w:cs="Times New Roman"/>
          <w:lang w:val="hy-AM"/>
        </w:rPr>
        <w:t>թե</w:t>
      </w:r>
      <w:r w:rsidR="002C7DDE" w:rsidRPr="00EF7399">
        <w:rPr>
          <w:rFonts w:ascii="Times New Roman" w:hAnsi="Times New Roman" w:cs="Times New Roman"/>
          <w:lang w:val="af-ZA"/>
        </w:rPr>
        <w:t xml:space="preserve"> դրանք պահանջում են </w:t>
      </w:r>
      <w:r w:rsidR="004D6CC3" w:rsidRPr="00EF7399">
        <w:rPr>
          <w:rFonts w:ascii="Times New Roman" w:hAnsi="Times New Roman" w:cs="Times New Roman"/>
          <w:lang w:val="af-ZA"/>
        </w:rPr>
        <w:t>իրազեկում</w:t>
      </w:r>
      <w:r w:rsidR="002C7DDE" w:rsidRPr="00EF7399">
        <w:rPr>
          <w:rFonts w:ascii="Times New Roman" w:hAnsi="Times New Roman" w:cs="Times New Roman"/>
          <w:lang w:val="af-ZA"/>
        </w:rPr>
        <w:t xml:space="preserve"> կամ</w:t>
      </w:r>
      <w:r w:rsidR="00E038C3" w:rsidRPr="00EF7399">
        <w:rPr>
          <w:rFonts w:ascii="Times New Roman" w:hAnsi="Times New Roman" w:cs="Times New Roman"/>
          <w:lang w:val="af-ZA"/>
        </w:rPr>
        <w:t xml:space="preserve"> արտոնում</w:t>
      </w:r>
      <w:r w:rsidR="002C7DDE" w:rsidRPr="00EF7399">
        <w:rPr>
          <w:rFonts w:ascii="Times New Roman" w:hAnsi="Times New Roman" w:cs="Times New Roman"/>
          <w:lang w:val="af-ZA"/>
        </w:rPr>
        <w:t xml:space="preserve"> կամ</w:t>
      </w:r>
      <w:r w:rsidR="003A16B7" w:rsidRPr="00EF7399">
        <w:rPr>
          <w:rFonts w:ascii="Times New Roman" w:hAnsi="Times New Roman" w:cs="Times New Roman"/>
          <w:lang w:val="hy-AM"/>
        </w:rPr>
        <w:t xml:space="preserve"> թե</w:t>
      </w:r>
      <w:r w:rsidR="002C7DDE" w:rsidRPr="00EF7399">
        <w:rPr>
          <w:rFonts w:ascii="Times New Roman" w:hAnsi="Times New Roman" w:cs="Times New Roman"/>
          <w:lang w:val="af-ZA"/>
        </w:rPr>
        <w:t xml:space="preserve"> դուրս են նման </w:t>
      </w:r>
      <w:r w:rsidR="003A16B7" w:rsidRPr="00EF7399">
        <w:rPr>
          <w:rFonts w:ascii="Times New Roman" w:hAnsi="Times New Roman" w:cs="Times New Roman"/>
          <w:lang w:val="hy-AM"/>
        </w:rPr>
        <w:t>ընթացակարգերից</w:t>
      </w:r>
      <w:r w:rsidR="008468F7" w:rsidRPr="00EF7399">
        <w:rPr>
          <w:rFonts w:ascii="Times New Roman" w:hAnsi="Times New Roman" w:cs="Times New Roman"/>
          <w:lang w:val="af-ZA"/>
        </w:rPr>
        <w:t xml:space="preserve">: Այսպես, </w:t>
      </w:r>
      <w:r w:rsidR="002A27A6" w:rsidRPr="00EF7399">
        <w:rPr>
          <w:rFonts w:ascii="Times New Roman" w:hAnsi="Times New Roman" w:cs="Times New Roman"/>
          <w:lang w:val="af-ZA"/>
        </w:rPr>
        <w:t>Դատարանը գտավ, որ 11-րդ հոդվածը կիրառելի է</w:t>
      </w:r>
      <w:r w:rsidRPr="00EF7399">
        <w:rPr>
          <w:rFonts w:ascii="Times New Roman" w:hAnsi="Times New Roman" w:cs="Times New Roman"/>
          <w:lang w:val="af-ZA"/>
        </w:rPr>
        <w:t xml:space="preserve"> </w:t>
      </w:r>
      <w:r w:rsidR="008468F7" w:rsidRPr="00EF7399">
        <w:rPr>
          <w:rFonts w:ascii="Times New Roman" w:hAnsi="Times New Roman" w:cs="Times New Roman"/>
          <w:lang w:val="af-ZA"/>
        </w:rPr>
        <w:t xml:space="preserve">խաղաղ </w:t>
      </w:r>
      <w:r w:rsidR="002A27A6" w:rsidRPr="00EF7399">
        <w:rPr>
          <w:rFonts w:ascii="Times New Roman" w:hAnsi="Times New Roman" w:cs="Times New Roman"/>
          <w:lang w:val="af-ZA"/>
        </w:rPr>
        <w:t>«զբոսանք</w:t>
      </w:r>
      <w:r w:rsidR="00B472D7" w:rsidRPr="00EF7399">
        <w:rPr>
          <w:rFonts w:ascii="Times New Roman" w:hAnsi="Times New Roman" w:cs="Times New Roman"/>
          <w:lang w:val="af-ZA"/>
        </w:rPr>
        <w:t>ի</w:t>
      </w:r>
      <w:r w:rsidR="002A27A6" w:rsidRPr="00EF7399">
        <w:rPr>
          <w:rFonts w:ascii="Times New Roman" w:hAnsi="Times New Roman" w:cs="Times New Roman"/>
          <w:lang w:val="af-ZA"/>
        </w:rPr>
        <w:t>» հավաք</w:t>
      </w:r>
      <w:r w:rsidR="00B472D7" w:rsidRPr="00EF7399">
        <w:rPr>
          <w:rFonts w:ascii="Times New Roman" w:hAnsi="Times New Roman" w:cs="Times New Roman"/>
          <w:lang w:val="af-ZA"/>
        </w:rPr>
        <w:t>ույթ</w:t>
      </w:r>
      <w:r w:rsidR="002A27A6" w:rsidRPr="00EF7399">
        <w:rPr>
          <w:rFonts w:ascii="Times New Roman" w:hAnsi="Times New Roman" w:cs="Times New Roman"/>
          <w:lang w:val="af-ZA"/>
        </w:rPr>
        <w:t>ին, երբ քաղաքական դիրքորոշում արտահայտելու նպատակով մի խումբ անձինք գործել են համակարգված և նպատակային կերպով, իսկ գանգատաբեր</w:t>
      </w:r>
      <w:r w:rsidR="00B472D7" w:rsidRPr="00EF7399">
        <w:rPr>
          <w:rFonts w:ascii="Times New Roman" w:hAnsi="Times New Roman" w:cs="Times New Roman"/>
          <w:lang w:val="af-ZA"/>
        </w:rPr>
        <w:t xml:space="preserve">ն այն </w:t>
      </w:r>
      <w:r w:rsidR="002A27A6" w:rsidRPr="00EF7399">
        <w:rPr>
          <w:rFonts w:ascii="Times New Roman" w:hAnsi="Times New Roman" w:cs="Times New Roman"/>
          <w:lang w:val="af-ZA"/>
        </w:rPr>
        <w:t xml:space="preserve">չի համարել </w:t>
      </w:r>
      <w:r w:rsidR="00D543BC" w:rsidRPr="00EF7399">
        <w:rPr>
          <w:rFonts w:ascii="Times New Roman" w:hAnsi="Times New Roman" w:cs="Times New Roman"/>
          <w:lang w:val="hy-AM"/>
        </w:rPr>
        <w:t>կիրառելի</w:t>
      </w:r>
      <w:r w:rsidR="00D543BC" w:rsidRPr="00EF7399">
        <w:rPr>
          <w:rFonts w:ascii="Times New Roman" w:hAnsi="Times New Roman" w:cs="Times New Roman"/>
          <w:lang w:val="af-ZA"/>
        </w:rPr>
        <w:t xml:space="preserve"> </w:t>
      </w:r>
      <w:r w:rsidR="002A27A6" w:rsidRPr="00EF7399">
        <w:rPr>
          <w:rFonts w:ascii="Times New Roman" w:hAnsi="Times New Roman" w:cs="Times New Roman"/>
          <w:lang w:val="af-ZA"/>
        </w:rPr>
        <w:t xml:space="preserve">ներպետական օրենսդրությամբ </w:t>
      </w:r>
      <w:r w:rsidR="004D6CC3" w:rsidRPr="00EF7399">
        <w:rPr>
          <w:rFonts w:ascii="Times New Roman" w:hAnsi="Times New Roman" w:cs="Times New Roman"/>
          <w:lang w:val="af-ZA"/>
        </w:rPr>
        <w:t>իրազեկման</w:t>
      </w:r>
      <w:r w:rsidR="002A27A6" w:rsidRPr="00EF7399">
        <w:rPr>
          <w:rFonts w:ascii="Times New Roman" w:hAnsi="Times New Roman" w:cs="Times New Roman"/>
          <w:lang w:val="af-ZA"/>
        </w:rPr>
        <w:t xml:space="preserve"> ենթակա «երթ» կամ «հանրահավաք» </w:t>
      </w:r>
      <w:r w:rsidR="007C73E0" w:rsidRPr="00EF7399">
        <w:rPr>
          <w:rFonts w:ascii="Times New Roman" w:hAnsi="Times New Roman" w:cs="Times New Roman"/>
          <w:lang w:val="af-ZA"/>
        </w:rPr>
        <w:t>(</w:t>
      </w:r>
      <w:hyperlink r:id="rId60" w:history="1">
        <w:r w:rsidR="007C73E0" w:rsidRPr="00EF7399">
          <w:rPr>
            <w:rStyle w:val="Hyperlink"/>
            <w:rFonts w:ascii="Times New Roman" w:hAnsi="Times New Roman" w:cs="Times New Roman"/>
            <w:lang w:val="af-ZA"/>
          </w:rPr>
          <w:t>Navalnyy</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Russia</w:t>
        </w:r>
      </w:hyperlink>
      <w:r w:rsidR="007C73E0" w:rsidRPr="00EF7399">
        <w:rPr>
          <w:rFonts w:ascii="Times New Roman" w:hAnsi="Times New Roman" w:cs="Times New Roman"/>
          <w:lang w:val="af-ZA"/>
        </w:rPr>
        <w:t xml:space="preserve"> [GC], </w:t>
      </w:r>
      <w:r w:rsidR="00F04C3E" w:rsidRPr="00EF7399">
        <w:rPr>
          <w:rFonts w:ascii="Times New Roman" w:hAnsi="Times New Roman" w:cs="Times New Roman"/>
          <w:lang w:val="af-ZA"/>
        </w:rPr>
        <w:t xml:space="preserve">2018,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10</w:t>
      </w:r>
      <w:r w:rsidR="00D36F39" w:rsidRPr="00EF7399">
        <w:rPr>
          <w:rFonts w:ascii="Times New Roman" w:hAnsi="Times New Roman" w:cs="Times New Roman"/>
          <w:lang w:val="af-ZA"/>
        </w:rPr>
        <w:t>8</w:t>
      </w:r>
      <w:r w:rsidR="007C73E0" w:rsidRPr="00EF7399">
        <w:rPr>
          <w:rFonts w:ascii="Times New Roman" w:hAnsi="Times New Roman" w:cs="Times New Roman"/>
          <w:lang w:val="af-ZA"/>
        </w:rPr>
        <w:t>)</w:t>
      </w:r>
      <w:r w:rsidR="002A27A6" w:rsidRPr="00EF7399">
        <w:rPr>
          <w:rFonts w:ascii="Times New Roman" w:hAnsi="Times New Roman" w:cs="Times New Roman"/>
          <w:lang w:val="af-ZA"/>
        </w:rPr>
        <w:t xml:space="preserve">: </w:t>
      </w:r>
      <w:r w:rsidR="00D543BC" w:rsidRPr="00EF7399">
        <w:rPr>
          <w:rFonts w:ascii="Times New Roman" w:hAnsi="Times New Roman" w:cs="Times New Roman"/>
          <w:lang w:val="hy-AM"/>
        </w:rPr>
        <w:t xml:space="preserve">Նույն կերպ, </w:t>
      </w:r>
      <w:r w:rsidR="002A27A6" w:rsidRPr="00EF7399">
        <w:rPr>
          <w:rFonts w:ascii="Times New Roman" w:hAnsi="Times New Roman" w:cs="Times New Roman"/>
          <w:lang w:val="af-ZA"/>
        </w:rPr>
        <w:t xml:space="preserve">Դատարանը գտավ, որ գանգատաբերի կողմից որպես «ֆլեշ մոբ» </w:t>
      </w:r>
      <w:r w:rsidR="00B472D7" w:rsidRPr="00EF7399">
        <w:rPr>
          <w:rFonts w:ascii="Times New Roman" w:hAnsi="Times New Roman" w:cs="Times New Roman"/>
          <w:lang w:val="af-ZA"/>
        </w:rPr>
        <w:t>նկարագրված հավաքույթը կարող է հավաք համարվել` անկախ այն հանգամանքից</w:t>
      </w:r>
      <w:r w:rsidR="00D543BC" w:rsidRPr="00EF7399">
        <w:rPr>
          <w:rFonts w:ascii="Times New Roman" w:hAnsi="Times New Roman" w:cs="Times New Roman"/>
          <w:lang w:val="hy-AM"/>
        </w:rPr>
        <w:t>, թե արդյոք այն</w:t>
      </w:r>
      <w:r w:rsidR="00B472D7" w:rsidRPr="00EF7399">
        <w:rPr>
          <w:rFonts w:ascii="Times New Roman" w:hAnsi="Times New Roman" w:cs="Times New Roman"/>
          <w:lang w:val="af-ZA"/>
        </w:rPr>
        <w:t xml:space="preserve"> համապատասխանում է ներպետական օրենսդրությամբ սահմանված «հանրային միջոցառում» կամ «ստատիկ ցույց» հասկացություններին</w:t>
      </w:r>
      <w:r w:rsidR="00D543BC" w:rsidRPr="00EF7399">
        <w:rPr>
          <w:rFonts w:ascii="Times New Roman" w:hAnsi="Times New Roman" w:cs="Times New Roman"/>
          <w:lang w:val="hy-AM"/>
        </w:rPr>
        <w:t xml:space="preserve">, թե </w:t>
      </w:r>
      <w:r w:rsidR="00B472D7" w:rsidRPr="00EF7399">
        <w:rPr>
          <w:rFonts w:ascii="Times New Roman" w:hAnsi="Times New Roman" w:cs="Times New Roman"/>
          <w:lang w:val="af-ZA"/>
        </w:rPr>
        <w:t xml:space="preserve">ոչ </w:t>
      </w:r>
      <w:r w:rsidR="00522240" w:rsidRPr="00EF7399">
        <w:rPr>
          <w:rStyle w:val="sb8d990e2"/>
          <w:rFonts w:ascii="Times New Roman" w:hAnsi="Times New Roman" w:cs="Times New Roman"/>
          <w:lang w:val="af-ZA"/>
        </w:rPr>
        <w:t>(</w:t>
      </w:r>
      <w:hyperlink r:id="rId61" w:history="1">
        <w:r w:rsidR="00576721" w:rsidRPr="00EF7399">
          <w:rPr>
            <w:rStyle w:val="Hyperlink"/>
            <w:rFonts w:ascii="Times New Roman" w:hAnsi="Times New Roman" w:cs="Times New Roman"/>
            <w:iCs/>
            <w:lang w:val="af-ZA"/>
          </w:rPr>
          <w:t>Obote</w:t>
        </w:r>
        <w:r w:rsidR="00873234" w:rsidRPr="00EF7399">
          <w:rPr>
            <w:rStyle w:val="Hyperlink"/>
            <w:rFonts w:ascii="Times New Roman" w:hAnsi="Times New Roman" w:cs="Times New Roman"/>
            <w:iCs/>
            <w:lang w:val="af-ZA"/>
          </w:rPr>
          <w:t xml:space="preserve"> v. </w:t>
        </w:r>
        <w:r w:rsidR="00576721" w:rsidRPr="00EF7399">
          <w:rPr>
            <w:rStyle w:val="Hyperlink"/>
            <w:rFonts w:ascii="Times New Roman" w:hAnsi="Times New Roman" w:cs="Times New Roman"/>
            <w:iCs/>
            <w:lang w:val="af-ZA"/>
          </w:rPr>
          <w:t>Russia</w:t>
        </w:r>
      </w:hyperlink>
      <w:r w:rsidR="00522240" w:rsidRPr="00EF7399">
        <w:rPr>
          <w:rFonts w:ascii="Times New Roman" w:hAnsi="Times New Roman" w:cs="Times New Roman"/>
          <w:iCs/>
          <w:color w:val="000000"/>
          <w:lang w:val="af-ZA"/>
        </w:rPr>
        <w:t xml:space="preserve">, </w:t>
      </w:r>
      <w:r w:rsidR="00F04C3E" w:rsidRPr="00EF7399">
        <w:rPr>
          <w:rFonts w:ascii="Times New Roman" w:hAnsi="Times New Roman" w:cs="Times New Roman"/>
          <w:iCs/>
          <w:color w:val="000000"/>
          <w:lang w:val="af-ZA"/>
        </w:rPr>
        <w:t xml:space="preserve">2019, </w:t>
      </w:r>
      <w:r w:rsidR="00873234" w:rsidRPr="00EF7399">
        <w:rPr>
          <w:rFonts w:ascii="Times New Roman" w:hAnsi="Times New Roman" w:cs="Times New Roman"/>
          <w:iCs/>
          <w:color w:val="000000"/>
          <w:lang w:val="af-ZA"/>
        </w:rPr>
        <w:t>§ </w:t>
      </w:r>
      <w:r w:rsidR="00522240" w:rsidRPr="00EF7399">
        <w:rPr>
          <w:rFonts w:ascii="Times New Roman" w:hAnsi="Times New Roman" w:cs="Times New Roman"/>
          <w:iCs/>
          <w:color w:val="000000"/>
          <w:lang w:val="af-ZA"/>
        </w:rPr>
        <w:t>35</w:t>
      </w:r>
      <w:r w:rsidR="00522240" w:rsidRPr="00EF7399">
        <w:rPr>
          <w:rStyle w:val="sb8d990e2"/>
          <w:rFonts w:ascii="Times New Roman" w:hAnsi="Times New Roman" w:cs="Times New Roman"/>
          <w:lang w:val="af-ZA"/>
        </w:rPr>
        <w:t>)</w:t>
      </w:r>
      <w:r w:rsidR="00B472D7" w:rsidRPr="00EF7399">
        <w:rPr>
          <w:rStyle w:val="sb8d990e2"/>
          <w:rFonts w:ascii="Times New Roman" w:hAnsi="Times New Roman" w:cs="Times New Roman"/>
          <w:lang w:val="af-ZA"/>
        </w:rPr>
        <w:t>` հղում կատարելով Կոնվենցիայի ներքո «հավաքի» ինքնավար հասկացությանը:</w:t>
      </w:r>
    </w:p>
    <w:p w14:paraId="52BC2C07" w14:textId="7C92F6CE" w:rsidR="00E2448A" w:rsidRPr="00EF7399" w:rsidRDefault="00E2448A" w:rsidP="00E2448A">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B472D7" w:rsidRPr="00EF7399">
        <w:rPr>
          <w:rFonts w:ascii="Times New Roman" w:hAnsi="Times New Roman" w:cs="Times New Roman"/>
          <w:lang w:val="af-ZA"/>
        </w:rPr>
        <w:t xml:space="preserve">Հավաքը, մասնավորապես, սահմանվում է մասնակիցների ընդհանուր նպատակով և պետք է տարբերակվի անհատների պատահական կուտակումից, օրինակ` հանրային շենք մուտք գործելու հերթից, որտեղ յուրաքանչյուր ոք հետապնդում է սեփական նպատակ: </w:t>
      </w:r>
      <w:r w:rsidR="00CD6111" w:rsidRPr="00EF7399">
        <w:rPr>
          <w:rFonts w:ascii="Times New Roman" w:hAnsi="Times New Roman" w:cs="Times New Roman"/>
          <w:lang w:val="af-ZA"/>
        </w:rPr>
        <w:t xml:space="preserve">Այսպես, քաղաքական բնույթի քրեական գործով դատական նիստին մասնակցելու նպատակով դատարանի շենքի մոտ ներկա ակտիվիստների խումբը համապատասխանում է «հավաք» հասկացությանն այն հիմքով, որ իրենց ներկայութամբ այդ անձինք նպատակ </w:t>
      </w:r>
      <w:r w:rsidR="003C6E57" w:rsidRPr="00EF7399">
        <w:rPr>
          <w:rFonts w:ascii="Times New Roman" w:hAnsi="Times New Roman" w:cs="Times New Roman"/>
          <w:lang w:val="hy-AM"/>
        </w:rPr>
        <w:t xml:space="preserve">են </w:t>
      </w:r>
      <w:r w:rsidR="00CD6111" w:rsidRPr="00EF7399">
        <w:rPr>
          <w:rFonts w:ascii="Times New Roman" w:hAnsi="Times New Roman" w:cs="Times New Roman"/>
          <w:lang w:val="af-ZA"/>
        </w:rPr>
        <w:t>ունե</w:t>
      </w:r>
      <w:r w:rsidR="003C6E57" w:rsidRPr="00EF7399">
        <w:rPr>
          <w:rFonts w:ascii="Times New Roman" w:hAnsi="Times New Roman" w:cs="Times New Roman"/>
          <w:lang w:val="hy-AM"/>
        </w:rPr>
        <w:t>ցել</w:t>
      </w:r>
      <w:r w:rsidR="00CD6111" w:rsidRPr="00EF7399">
        <w:rPr>
          <w:rFonts w:ascii="Times New Roman" w:hAnsi="Times New Roman" w:cs="Times New Roman"/>
          <w:lang w:val="af-ZA"/>
        </w:rPr>
        <w:t xml:space="preserve"> արտահայտել</w:t>
      </w:r>
      <w:r w:rsidR="003C6E57" w:rsidRPr="00EF7399">
        <w:rPr>
          <w:rFonts w:ascii="Times New Roman" w:hAnsi="Times New Roman" w:cs="Times New Roman"/>
          <w:lang w:val="hy-AM"/>
        </w:rPr>
        <w:t>ու</w:t>
      </w:r>
      <w:r w:rsidR="00CD6111" w:rsidRPr="00EF7399">
        <w:rPr>
          <w:rFonts w:ascii="Times New Roman" w:hAnsi="Times New Roman" w:cs="Times New Roman"/>
          <w:lang w:val="af-ZA"/>
        </w:rPr>
        <w:t xml:space="preserve"> հանրային կարևորություն ունեցող հարցում անձնական ներգրավվածությունը: Դատարանը տարբերակեց այս չնախատեսված հավաքույթն այն իրավիճակից, երբ որևէ անցորդ պատահաբար խառնվում է ցույցի և սխալմամբ համարվում դրա մասնակից </w:t>
      </w:r>
      <w:r w:rsidR="007C73E0" w:rsidRPr="00EF7399">
        <w:rPr>
          <w:rFonts w:ascii="Times New Roman" w:hAnsi="Times New Roman" w:cs="Times New Roman"/>
          <w:lang w:val="af-ZA"/>
        </w:rPr>
        <w:t>(</w:t>
      </w:r>
      <w:hyperlink r:id="rId62" w:history="1">
        <w:r w:rsidR="007C73E0" w:rsidRPr="00EF7399">
          <w:rPr>
            <w:rStyle w:val="Hyperlink"/>
            <w:rFonts w:ascii="Times New Roman" w:hAnsi="Times New Roman" w:cs="Times New Roman"/>
            <w:lang w:val="af-ZA"/>
          </w:rPr>
          <w:t>Navalnyy</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Russia</w:t>
        </w:r>
      </w:hyperlink>
      <w:r w:rsidR="007C73E0" w:rsidRPr="00EF7399">
        <w:rPr>
          <w:rFonts w:ascii="Times New Roman" w:hAnsi="Times New Roman" w:cs="Times New Roman"/>
          <w:lang w:val="af-ZA"/>
        </w:rPr>
        <w:t xml:space="preserve"> [GC], </w:t>
      </w:r>
      <w:r w:rsidR="00F04C3E" w:rsidRPr="00EF7399">
        <w:rPr>
          <w:rFonts w:ascii="Times New Roman" w:hAnsi="Times New Roman" w:cs="Times New Roman"/>
          <w:lang w:val="af-ZA"/>
        </w:rPr>
        <w:t xml:space="preserve">2018,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110)</w:t>
      </w:r>
      <w:r w:rsidR="00CD6111" w:rsidRPr="00EF7399">
        <w:rPr>
          <w:rFonts w:ascii="Times New Roman" w:hAnsi="Times New Roman" w:cs="Times New Roman"/>
          <w:lang w:val="af-ZA"/>
        </w:rPr>
        <w:t>:</w:t>
      </w:r>
    </w:p>
    <w:p w14:paraId="32AD72A3" w14:textId="7713C039" w:rsidR="002A54E2" w:rsidRPr="00EF7399" w:rsidRDefault="00340B04" w:rsidP="00E2448A">
      <w:pPr>
        <w:pStyle w:val="ECHRParaSpaced"/>
        <w:rPr>
          <w:rFonts w:ascii="Times New Roman" w:hAnsi="Times New Roman" w:cs="Times New Roman"/>
          <w:iCs/>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 MERGEFORMAT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15</w:t>
      </w:r>
      <w:r w:rsidRPr="00EF7399">
        <w:rPr>
          <w:rFonts w:ascii="Times New Roman" w:hAnsi="Times New Roman" w:cs="Times New Roman"/>
          <w:lang w:val="af-ZA"/>
        </w:rPr>
        <w:fldChar w:fldCharType="end"/>
      </w:r>
      <w:r w:rsidR="004D77F5" w:rsidRPr="00EF7399">
        <w:rPr>
          <w:rFonts w:ascii="Times New Roman" w:hAnsi="Times New Roman" w:cs="Times New Roman"/>
          <w:lang w:val="af-ZA"/>
        </w:rPr>
        <w:t>.  </w:t>
      </w:r>
      <w:r w:rsidR="00CD6111" w:rsidRPr="00EF7399">
        <w:rPr>
          <w:rFonts w:ascii="Times New Roman" w:hAnsi="Times New Roman" w:cs="Times New Roman"/>
          <w:lang w:val="af-ZA"/>
        </w:rPr>
        <w:t xml:space="preserve">Տարածքների երկարատև գրավումը, որը կրում է խաղաղ բնույթ, </w:t>
      </w:r>
      <w:r w:rsidR="00901A64" w:rsidRPr="00EF7399">
        <w:rPr>
          <w:rFonts w:ascii="Times New Roman" w:hAnsi="Times New Roman" w:cs="Times New Roman"/>
          <w:lang w:val="hy-AM"/>
        </w:rPr>
        <w:t>անգամ եթե</w:t>
      </w:r>
      <w:r w:rsidR="00901A64" w:rsidRPr="00EF7399">
        <w:rPr>
          <w:rFonts w:ascii="Times New Roman" w:hAnsi="Times New Roman" w:cs="Times New Roman"/>
          <w:lang w:val="af-ZA"/>
        </w:rPr>
        <w:t xml:space="preserve"> </w:t>
      </w:r>
      <w:r w:rsidR="00901A64" w:rsidRPr="00EF7399">
        <w:rPr>
          <w:rFonts w:ascii="Times New Roman" w:hAnsi="Times New Roman" w:cs="Times New Roman"/>
          <w:lang w:val="hy-AM"/>
        </w:rPr>
        <w:t>հստակ</w:t>
      </w:r>
      <w:r w:rsidR="00CD6111" w:rsidRPr="00EF7399">
        <w:rPr>
          <w:rFonts w:ascii="Times New Roman" w:hAnsi="Times New Roman" w:cs="Times New Roman"/>
          <w:lang w:val="af-ZA"/>
        </w:rPr>
        <w:t xml:space="preserve">որեն խախտում է ներպետական օրենքները, կարող է համարվել «խաղաղ հավաք» </w:t>
      </w:r>
      <w:r w:rsidR="007C73E0" w:rsidRPr="00EF7399">
        <w:rPr>
          <w:rFonts w:ascii="Times New Roman" w:hAnsi="Times New Roman" w:cs="Times New Roman"/>
          <w:lang w:val="af-ZA"/>
        </w:rPr>
        <w:t>(</w:t>
      </w:r>
      <w:hyperlink r:id="rId63" w:history="1">
        <w:r w:rsidR="007C73E0" w:rsidRPr="00EF7399">
          <w:rPr>
            <w:rStyle w:val="Hyperlink"/>
            <w:rFonts w:ascii="Times New Roman" w:hAnsi="Times New Roman" w:cs="Times New Roman"/>
            <w:lang w:val="af-ZA"/>
          </w:rPr>
          <w:t>Cisse</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France</w:t>
        </w:r>
      </w:hyperlink>
      <w:r w:rsidR="007C73E0" w:rsidRPr="00EF7399">
        <w:rPr>
          <w:rFonts w:ascii="Times New Roman" w:hAnsi="Times New Roman" w:cs="Times New Roman"/>
          <w:lang w:val="af-ZA"/>
        </w:rPr>
        <w:t xml:space="preserve">, </w:t>
      </w:r>
      <w:r w:rsidR="00F04C3E" w:rsidRPr="00EF7399">
        <w:rPr>
          <w:rFonts w:ascii="Times New Roman" w:hAnsi="Times New Roman" w:cs="Times New Roman"/>
          <w:lang w:val="af-ZA"/>
        </w:rPr>
        <w:t xml:space="preserve">2002, </w:t>
      </w:r>
      <w:r w:rsidR="007C73E0" w:rsidRPr="00EF7399">
        <w:rPr>
          <w:rFonts w:ascii="Times New Roman" w:hAnsi="Times New Roman" w:cs="Times New Roman"/>
          <w:lang w:val="af-ZA"/>
        </w:rPr>
        <w:t>§</w:t>
      </w:r>
      <w:r w:rsidR="00873234" w:rsidRPr="00EF7399">
        <w:rPr>
          <w:rFonts w:ascii="Times New Roman" w:hAnsi="Times New Roman" w:cs="Times New Roman"/>
          <w:lang w:val="af-ZA"/>
        </w:rPr>
        <w:t>§ </w:t>
      </w:r>
      <w:r w:rsidR="007C73E0" w:rsidRPr="00EF7399">
        <w:rPr>
          <w:rFonts w:ascii="Times New Roman" w:hAnsi="Times New Roman" w:cs="Times New Roman"/>
          <w:lang w:val="af-ZA"/>
        </w:rPr>
        <w:t xml:space="preserve">39-40; </w:t>
      </w:r>
      <w:hyperlink r:id="rId64" w:history="1">
        <w:r w:rsidR="007C73E0" w:rsidRPr="00EF7399">
          <w:rPr>
            <w:rStyle w:val="Hyperlink"/>
            <w:rFonts w:ascii="Times New Roman" w:hAnsi="Times New Roman" w:cs="Times New Roman"/>
            <w:iCs/>
            <w:lang w:val="af-ZA"/>
          </w:rPr>
          <w:t>Tuskia and Others</w:t>
        </w:r>
        <w:r w:rsidR="00873234" w:rsidRPr="00EF7399">
          <w:rPr>
            <w:rStyle w:val="Hyperlink"/>
            <w:rFonts w:ascii="Times New Roman" w:hAnsi="Times New Roman" w:cs="Times New Roman"/>
            <w:iCs/>
            <w:lang w:val="af-ZA"/>
          </w:rPr>
          <w:t xml:space="preserve"> v. </w:t>
        </w:r>
        <w:r w:rsidR="007C73E0" w:rsidRPr="00EF7399">
          <w:rPr>
            <w:rStyle w:val="Hyperlink"/>
            <w:rFonts w:ascii="Times New Roman" w:hAnsi="Times New Roman" w:cs="Times New Roman"/>
            <w:iCs/>
            <w:lang w:val="af-ZA"/>
          </w:rPr>
          <w:t>Georgia</w:t>
        </w:r>
      </w:hyperlink>
      <w:r w:rsidR="007C73E0" w:rsidRPr="00EF7399">
        <w:rPr>
          <w:rFonts w:ascii="Times New Roman" w:hAnsi="Times New Roman" w:cs="Times New Roman"/>
          <w:iCs/>
          <w:lang w:val="af-ZA"/>
        </w:rPr>
        <w:t xml:space="preserve">, </w:t>
      </w:r>
      <w:r w:rsidR="00F04C3E" w:rsidRPr="00EF7399">
        <w:rPr>
          <w:rFonts w:ascii="Times New Roman" w:hAnsi="Times New Roman" w:cs="Times New Roman"/>
          <w:iCs/>
          <w:lang w:val="af-ZA"/>
        </w:rPr>
        <w:t xml:space="preserve">2018, </w:t>
      </w:r>
      <w:r w:rsidR="00873234" w:rsidRPr="00EF7399">
        <w:rPr>
          <w:rFonts w:ascii="Times New Roman" w:hAnsi="Times New Roman" w:cs="Times New Roman"/>
          <w:iCs/>
          <w:lang w:val="af-ZA"/>
        </w:rPr>
        <w:t>§ </w:t>
      </w:r>
      <w:r w:rsidR="007C73E0" w:rsidRPr="00EF7399">
        <w:rPr>
          <w:rFonts w:ascii="Times New Roman" w:hAnsi="Times New Roman" w:cs="Times New Roman"/>
          <w:iCs/>
          <w:lang w:val="af-ZA"/>
        </w:rPr>
        <w:t xml:space="preserve">73; </w:t>
      </w:r>
      <w:hyperlink r:id="rId65" w:history="1">
        <w:r w:rsidR="007C73E0" w:rsidRPr="00EF7399">
          <w:rPr>
            <w:rStyle w:val="Hyperlink"/>
            <w:rFonts w:ascii="Times New Roman" w:hAnsi="Times New Roman" w:cs="Times New Roman"/>
            <w:iCs/>
            <w:lang w:val="af-ZA"/>
          </w:rPr>
          <w:t>Annenkov and Others</w:t>
        </w:r>
        <w:r w:rsidR="00873234" w:rsidRPr="00EF7399">
          <w:rPr>
            <w:rStyle w:val="Hyperlink"/>
            <w:rFonts w:ascii="Times New Roman" w:hAnsi="Times New Roman" w:cs="Times New Roman"/>
            <w:iCs/>
            <w:lang w:val="af-ZA"/>
          </w:rPr>
          <w:t xml:space="preserve"> v. </w:t>
        </w:r>
        <w:r w:rsidR="007C73E0" w:rsidRPr="00EF7399">
          <w:rPr>
            <w:rStyle w:val="Hyperlink"/>
            <w:rFonts w:ascii="Times New Roman" w:hAnsi="Times New Roman" w:cs="Times New Roman"/>
            <w:iCs/>
            <w:lang w:val="af-ZA"/>
          </w:rPr>
          <w:t>Russia</w:t>
        </w:r>
      </w:hyperlink>
      <w:r w:rsidR="007C73E0" w:rsidRPr="00EF7399">
        <w:rPr>
          <w:rFonts w:ascii="Times New Roman" w:hAnsi="Times New Roman" w:cs="Times New Roman"/>
          <w:lang w:val="af-ZA"/>
        </w:rPr>
        <w:t xml:space="preserve">, </w:t>
      </w:r>
      <w:r w:rsidR="00F04C3E" w:rsidRPr="00EF7399">
        <w:rPr>
          <w:rFonts w:ascii="Times New Roman" w:hAnsi="Times New Roman" w:cs="Times New Roman"/>
          <w:lang w:val="af-ZA"/>
        </w:rPr>
        <w:t xml:space="preserve">2017,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123</w:t>
      </w:r>
      <w:r w:rsidR="007C73E0" w:rsidRPr="00EF7399">
        <w:rPr>
          <w:rFonts w:ascii="Times New Roman" w:hAnsi="Times New Roman" w:cs="Times New Roman"/>
          <w:iCs/>
          <w:lang w:val="af-ZA"/>
        </w:rPr>
        <w:t>)</w:t>
      </w:r>
      <w:r w:rsidR="00CD6111" w:rsidRPr="00EF7399">
        <w:rPr>
          <w:rFonts w:ascii="Times New Roman" w:hAnsi="Times New Roman" w:cs="Times New Roman"/>
          <w:iCs/>
          <w:lang w:val="af-ZA"/>
        </w:rPr>
        <w:t>:</w:t>
      </w:r>
    </w:p>
    <w:p w14:paraId="3583BB67" w14:textId="1E4659E8" w:rsidR="00E2448A" w:rsidRPr="00EF7399" w:rsidRDefault="00E2448A" w:rsidP="00E2448A">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0C1915" w:rsidRPr="00EF7399">
        <w:rPr>
          <w:rFonts w:ascii="Times New Roman" w:hAnsi="Times New Roman" w:cs="Times New Roman"/>
          <w:lang w:val="af-ZA"/>
        </w:rPr>
        <w:t>Նույնիսկ այն դեպքերում, երբ հավաքի փաստը կասկածից վեր է, 11-րդ հոդված</w:t>
      </w:r>
      <w:r w:rsidR="00901A64" w:rsidRPr="00EF7399">
        <w:rPr>
          <w:rFonts w:ascii="Times New Roman" w:hAnsi="Times New Roman" w:cs="Times New Roman"/>
          <w:lang w:val="hy-AM"/>
        </w:rPr>
        <w:t>ի ներքո</w:t>
      </w:r>
      <w:r w:rsidR="000C1915" w:rsidRPr="00EF7399">
        <w:rPr>
          <w:rFonts w:ascii="Times New Roman" w:hAnsi="Times New Roman" w:cs="Times New Roman"/>
          <w:lang w:val="af-ZA"/>
        </w:rPr>
        <w:t xml:space="preserve"> </w:t>
      </w:r>
      <w:r w:rsidR="00901A64" w:rsidRPr="00EF7399">
        <w:rPr>
          <w:rFonts w:ascii="Times New Roman" w:hAnsi="Times New Roman" w:cs="Times New Roman"/>
          <w:lang w:val="hy-AM"/>
        </w:rPr>
        <w:t>ներկայացված</w:t>
      </w:r>
      <w:r w:rsidR="00901A64" w:rsidRPr="00EF7399">
        <w:rPr>
          <w:rFonts w:ascii="Times New Roman" w:hAnsi="Times New Roman" w:cs="Times New Roman"/>
          <w:lang w:val="af-ZA"/>
        </w:rPr>
        <w:t xml:space="preserve"> </w:t>
      </w:r>
      <w:r w:rsidR="000C1915" w:rsidRPr="00EF7399">
        <w:rPr>
          <w:rFonts w:ascii="Times New Roman" w:hAnsi="Times New Roman" w:cs="Times New Roman"/>
          <w:lang w:val="af-ZA"/>
        </w:rPr>
        <w:t>գանգատի ընդունելի</w:t>
      </w:r>
      <w:r w:rsidR="00901A64" w:rsidRPr="00EF7399">
        <w:rPr>
          <w:rFonts w:ascii="Times New Roman" w:hAnsi="Times New Roman" w:cs="Times New Roman"/>
          <w:lang w:val="hy-AM"/>
        </w:rPr>
        <w:t xml:space="preserve">ությունն </w:t>
      </w:r>
      <w:r w:rsidR="000C1915" w:rsidRPr="00EF7399">
        <w:rPr>
          <w:rFonts w:ascii="Times New Roman" w:hAnsi="Times New Roman" w:cs="Times New Roman"/>
          <w:lang w:val="af-ZA"/>
        </w:rPr>
        <w:t>առանձին գանգատաբերի մասով</w:t>
      </w:r>
      <w:r w:rsidR="00901A64" w:rsidRPr="00EF7399">
        <w:rPr>
          <w:rFonts w:ascii="Times New Roman" w:hAnsi="Times New Roman" w:cs="Times New Roman"/>
          <w:lang w:val="hy-AM"/>
        </w:rPr>
        <w:t xml:space="preserve"> կարող</w:t>
      </w:r>
      <w:r w:rsidR="00901A64" w:rsidRPr="00EF7399">
        <w:rPr>
          <w:rFonts w:ascii="Times New Roman" w:hAnsi="Times New Roman" w:cs="Times New Roman"/>
          <w:lang w:val="af-ZA"/>
        </w:rPr>
        <w:t xml:space="preserve"> է հարցականի տակ դրվել</w:t>
      </w:r>
      <w:r w:rsidR="000C1915" w:rsidRPr="00EF7399">
        <w:rPr>
          <w:rFonts w:ascii="Times New Roman" w:hAnsi="Times New Roman" w:cs="Times New Roman"/>
          <w:lang w:val="af-ZA"/>
        </w:rPr>
        <w:t xml:space="preserve">, եթե վերջինս Դատարանի առջև ժխտում է այդ հավաքի մասնակից լինելու փաստը: </w:t>
      </w:r>
      <w:r w:rsidR="00901A64" w:rsidRPr="00EF7399">
        <w:rPr>
          <w:rFonts w:ascii="Times New Roman" w:hAnsi="Times New Roman" w:cs="Times New Roman"/>
          <w:lang w:val="hy-AM"/>
        </w:rPr>
        <w:t>Պետք</w:t>
      </w:r>
      <w:r w:rsidR="000C1915" w:rsidRPr="00EF7399">
        <w:rPr>
          <w:rFonts w:ascii="Times New Roman" w:hAnsi="Times New Roman" w:cs="Times New Roman"/>
          <w:lang w:val="af-ZA"/>
        </w:rPr>
        <w:t xml:space="preserve"> է հստակ և հաստատված կապ </w:t>
      </w:r>
      <w:r w:rsidR="00901A64" w:rsidRPr="00EF7399">
        <w:rPr>
          <w:rFonts w:ascii="Times New Roman" w:hAnsi="Times New Roman" w:cs="Times New Roman"/>
          <w:lang w:val="hy-AM"/>
        </w:rPr>
        <w:t xml:space="preserve">լինի </w:t>
      </w:r>
      <w:r w:rsidR="000C1915" w:rsidRPr="00EF7399">
        <w:rPr>
          <w:rFonts w:ascii="Times New Roman" w:hAnsi="Times New Roman" w:cs="Times New Roman"/>
          <w:lang w:val="af-ZA"/>
        </w:rPr>
        <w:t xml:space="preserve">գանգատաբերների կողմից խաղաղ հավաքի </w:t>
      </w:r>
      <w:r w:rsidR="00901A64" w:rsidRPr="00EF7399">
        <w:rPr>
          <w:rFonts w:ascii="Times New Roman" w:hAnsi="Times New Roman" w:cs="Times New Roman"/>
          <w:lang w:val="hy-AM"/>
        </w:rPr>
        <w:t>ազատությունն</w:t>
      </w:r>
      <w:r w:rsidR="00901A64" w:rsidRPr="00EF7399">
        <w:rPr>
          <w:rFonts w:ascii="Times New Roman" w:hAnsi="Times New Roman" w:cs="Times New Roman"/>
          <w:lang w:val="af-ZA"/>
        </w:rPr>
        <w:t xml:space="preserve"> </w:t>
      </w:r>
      <w:r w:rsidR="000C1915" w:rsidRPr="00EF7399">
        <w:rPr>
          <w:rFonts w:ascii="Times New Roman" w:hAnsi="Times New Roman" w:cs="Times New Roman"/>
          <w:lang w:val="af-ZA"/>
        </w:rPr>
        <w:t>իրա</w:t>
      </w:r>
      <w:r w:rsidR="00901A64" w:rsidRPr="00EF7399">
        <w:rPr>
          <w:rFonts w:ascii="Times New Roman" w:hAnsi="Times New Roman" w:cs="Times New Roman"/>
          <w:lang w:val="hy-AM"/>
        </w:rPr>
        <w:t>ցն</w:t>
      </w:r>
      <w:r w:rsidR="000C1915" w:rsidRPr="00EF7399">
        <w:rPr>
          <w:rFonts w:ascii="Times New Roman" w:hAnsi="Times New Roman" w:cs="Times New Roman"/>
          <w:lang w:val="af-ZA"/>
        </w:rPr>
        <w:t xml:space="preserve">ելու և նրանց դեմ ձեռնարկած գործողությունների միջև </w:t>
      </w:r>
      <w:r w:rsidR="007C73E0" w:rsidRPr="00EF7399">
        <w:rPr>
          <w:rFonts w:ascii="Times New Roman" w:hAnsi="Times New Roman" w:cs="Times New Roman"/>
          <w:lang w:val="af-ZA"/>
        </w:rPr>
        <w:t>(</w:t>
      </w:r>
      <w:hyperlink r:id="rId66" w:history="1">
        <w:r w:rsidR="007C73E0" w:rsidRPr="00EF7399">
          <w:rPr>
            <w:rStyle w:val="Hyperlink"/>
            <w:rFonts w:ascii="Times New Roman" w:hAnsi="Times New Roman" w:cs="Times New Roman"/>
            <w:lang w:val="af-ZA"/>
          </w:rPr>
          <w:t>Navalnyy and Yashin</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Russia</w:t>
        </w:r>
      </w:hyperlink>
      <w:r w:rsidR="007C73E0" w:rsidRPr="00EF7399">
        <w:rPr>
          <w:rFonts w:ascii="Times New Roman" w:hAnsi="Times New Roman" w:cs="Times New Roman"/>
          <w:lang w:val="af-ZA"/>
        </w:rPr>
        <w:t xml:space="preserve">, </w:t>
      </w:r>
      <w:r w:rsidR="004B116B"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52)</w:t>
      </w:r>
      <w:r w:rsidR="000C1915" w:rsidRPr="00EF7399">
        <w:rPr>
          <w:rFonts w:ascii="Times New Roman" w:hAnsi="Times New Roman" w:cs="Times New Roman"/>
          <w:lang w:val="af-ZA"/>
        </w:rPr>
        <w:t xml:space="preserve">: Նման կապը հաստատելու հարցում Դատարանը հաշվի է առնում գանգատաբերի սկզբնական </w:t>
      </w:r>
      <w:r w:rsidR="00901A64" w:rsidRPr="00EF7399">
        <w:rPr>
          <w:rFonts w:ascii="Times New Roman" w:hAnsi="Times New Roman" w:cs="Times New Roman"/>
          <w:lang w:val="hy-AM"/>
        </w:rPr>
        <w:t>մտադրությունը</w:t>
      </w:r>
      <w:r w:rsidR="000C1915" w:rsidRPr="00EF7399">
        <w:rPr>
          <w:rFonts w:ascii="Times New Roman" w:hAnsi="Times New Roman" w:cs="Times New Roman"/>
          <w:lang w:val="af-ZA"/>
        </w:rPr>
        <w:t xml:space="preserve">, հավաքին </w:t>
      </w:r>
      <w:r w:rsidR="00901A64" w:rsidRPr="00EF7399">
        <w:rPr>
          <w:rFonts w:ascii="Times New Roman" w:hAnsi="Times New Roman" w:cs="Times New Roman"/>
          <w:lang w:val="hy-AM"/>
        </w:rPr>
        <w:t>փաստացի ներգրավվածության</w:t>
      </w:r>
      <w:r w:rsidR="000C1915" w:rsidRPr="00EF7399">
        <w:rPr>
          <w:rFonts w:ascii="Times New Roman" w:hAnsi="Times New Roman" w:cs="Times New Roman"/>
          <w:lang w:val="af-ZA"/>
        </w:rPr>
        <w:t xml:space="preserve"> չափը</w:t>
      </w:r>
      <w:r w:rsidR="00901A64" w:rsidRPr="00EF7399">
        <w:rPr>
          <w:rFonts w:ascii="Times New Roman" w:hAnsi="Times New Roman" w:cs="Times New Roman"/>
          <w:lang w:val="hy-AM"/>
        </w:rPr>
        <w:t xml:space="preserve"> և</w:t>
      </w:r>
      <w:r w:rsidR="000C1915" w:rsidRPr="00EF7399">
        <w:rPr>
          <w:rFonts w:ascii="Times New Roman" w:hAnsi="Times New Roman" w:cs="Times New Roman"/>
          <w:lang w:val="af-ZA"/>
        </w:rPr>
        <w:t xml:space="preserve"> ներպետական ատյաններ</w:t>
      </w:r>
      <w:r w:rsidR="00901A64" w:rsidRPr="00EF7399">
        <w:rPr>
          <w:rFonts w:ascii="Times New Roman" w:hAnsi="Times New Roman" w:cs="Times New Roman"/>
          <w:lang w:val="hy-AM"/>
        </w:rPr>
        <w:t>ի</w:t>
      </w:r>
      <w:r w:rsidR="003E28B2" w:rsidRPr="00EF7399">
        <w:rPr>
          <w:rFonts w:ascii="Times New Roman" w:hAnsi="Times New Roman" w:cs="Times New Roman"/>
          <w:lang w:val="hy-AM"/>
        </w:rPr>
        <w:t>ն</w:t>
      </w:r>
      <w:r w:rsidR="000C1915" w:rsidRPr="00EF7399">
        <w:rPr>
          <w:rFonts w:ascii="Times New Roman" w:hAnsi="Times New Roman" w:cs="Times New Roman"/>
          <w:lang w:val="af-ZA"/>
        </w:rPr>
        <w:t xml:space="preserve"> ու Դատարան</w:t>
      </w:r>
      <w:r w:rsidR="00901A64" w:rsidRPr="00EF7399">
        <w:rPr>
          <w:rFonts w:ascii="Times New Roman" w:hAnsi="Times New Roman" w:cs="Times New Roman"/>
          <w:lang w:val="hy-AM"/>
        </w:rPr>
        <w:t>ի</w:t>
      </w:r>
      <w:r w:rsidR="003E28B2" w:rsidRPr="00EF7399">
        <w:rPr>
          <w:rFonts w:ascii="Times New Roman" w:hAnsi="Times New Roman" w:cs="Times New Roman"/>
          <w:lang w:val="hy-AM"/>
        </w:rPr>
        <w:t>ն</w:t>
      </w:r>
      <w:r w:rsidR="00901A64" w:rsidRPr="00EF7399">
        <w:rPr>
          <w:rFonts w:ascii="Times New Roman" w:hAnsi="Times New Roman" w:cs="Times New Roman"/>
          <w:lang w:val="hy-AM"/>
        </w:rPr>
        <w:t xml:space="preserve"> ներկայացված հայցի</w:t>
      </w:r>
      <w:r w:rsidR="000C1915" w:rsidRPr="00EF7399">
        <w:rPr>
          <w:rFonts w:ascii="Times New Roman" w:hAnsi="Times New Roman" w:cs="Times New Roman"/>
          <w:lang w:val="af-ZA"/>
        </w:rPr>
        <w:t xml:space="preserve"> բովանդակությունը </w:t>
      </w:r>
      <w:r w:rsidR="007C73E0" w:rsidRPr="00EF7399">
        <w:rPr>
          <w:rFonts w:ascii="Times New Roman" w:hAnsi="Times New Roman" w:cs="Times New Roman"/>
          <w:lang w:val="af-ZA"/>
        </w:rPr>
        <w:t>(</w:t>
      </w:r>
      <w:hyperlink r:id="rId67" w:history="1">
        <w:r w:rsidR="007C73E0" w:rsidRPr="00EF7399">
          <w:rPr>
            <w:rStyle w:val="Hyperlink"/>
            <w:rFonts w:ascii="Times New Roman" w:hAnsi="Times New Roman" w:cs="Times New Roman"/>
            <w:iCs/>
            <w:lang w:val="af-ZA"/>
          </w:rPr>
          <w:t>Agit Demir</w:t>
        </w:r>
        <w:r w:rsidR="00873234" w:rsidRPr="00EF7399">
          <w:rPr>
            <w:rStyle w:val="Hyperlink"/>
            <w:rFonts w:ascii="Times New Roman" w:hAnsi="Times New Roman" w:cs="Times New Roman"/>
            <w:iCs/>
            <w:lang w:val="af-ZA"/>
          </w:rPr>
          <w:t xml:space="preserve"> v. </w:t>
        </w:r>
        <w:r w:rsidR="007C73E0" w:rsidRPr="00EF7399">
          <w:rPr>
            <w:rStyle w:val="Hyperlink"/>
            <w:rFonts w:ascii="Times New Roman" w:hAnsi="Times New Roman" w:cs="Times New Roman"/>
            <w:iCs/>
            <w:lang w:val="af-ZA"/>
          </w:rPr>
          <w:t>Turkey</w:t>
        </w:r>
      </w:hyperlink>
      <w:r w:rsidR="007C73E0" w:rsidRPr="00EF7399">
        <w:rPr>
          <w:rFonts w:ascii="Times New Roman" w:hAnsi="Times New Roman" w:cs="Times New Roman"/>
          <w:lang w:val="af-ZA"/>
        </w:rPr>
        <w:t xml:space="preserve">, </w:t>
      </w:r>
      <w:r w:rsidR="00F04C3E" w:rsidRPr="00EF7399">
        <w:rPr>
          <w:rFonts w:ascii="Times New Roman" w:hAnsi="Times New Roman" w:cs="Times New Roman"/>
          <w:lang w:val="af-ZA"/>
        </w:rPr>
        <w:t xml:space="preserve">2018,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 xml:space="preserve">68; </w:t>
      </w:r>
      <w:hyperlink r:id="rId68" w:history="1">
        <w:r w:rsidR="007C73E0" w:rsidRPr="00EF7399">
          <w:rPr>
            <w:rStyle w:val="Hyperlink"/>
            <w:rFonts w:ascii="Times New Roman" w:hAnsi="Times New Roman" w:cs="Times New Roman"/>
            <w:lang w:val="af-ZA"/>
          </w:rPr>
          <w:t>Navalnyy</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Russia</w:t>
        </w:r>
      </w:hyperlink>
      <w:r w:rsidR="007C73E0" w:rsidRPr="00EF7399">
        <w:rPr>
          <w:rFonts w:ascii="Times New Roman" w:hAnsi="Times New Roman" w:cs="Times New Roman"/>
          <w:lang w:val="af-ZA"/>
        </w:rPr>
        <w:t xml:space="preserve"> [GC], </w:t>
      </w:r>
      <w:r w:rsidR="00F04C3E" w:rsidRPr="00EF7399">
        <w:rPr>
          <w:rFonts w:ascii="Times New Roman" w:hAnsi="Times New Roman" w:cs="Times New Roman"/>
          <w:lang w:val="af-ZA"/>
        </w:rPr>
        <w:t xml:space="preserve">2018, </w:t>
      </w:r>
      <w:r w:rsidR="007C73E0" w:rsidRPr="00EF7399">
        <w:rPr>
          <w:rFonts w:ascii="Times New Roman" w:hAnsi="Times New Roman" w:cs="Times New Roman"/>
          <w:lang w:val="af-ZA"/>
        </w:rPr>
        <w:t>§</w:t>
      </w:r>
      <w:r w:rsidR="00873234" w:rsidRPr="00EF7399">
        <w:rPr>
          <w:rFonts w:ascii="Times New Roman" w:hAnsi="Times New Roman" w:cs="Times New Roman"/>
          <w:lang w:val="af-ZA"/>
        </w:rPr>
        <w:t>§ </w:t>
      </w:r>
      <w:r w:rsidR="007C73E0" w:rsidRPr="00EF7399">
        <w:rPr>
          <w:rFonts w:ascii="Times New Roman" w:hAnsi="Times New Roman" w:cs="Times New Roman"/>
          <w:lang w:val="af-ZA"/>
        </w:rPr>
        <w:t>109-111</w:t>
      </w:r>
      <w:r w:rsidR="00CC382A" w:rsidRPr="00EF7399">
        <w:rPr>
          <w:rFonts w:ascii="Times New Roman" w:hAnsi="Times New Roman" w:cs="Times New Roman"/>
          <w:lang w:val="af-ZA"/>
        </w:rPr>
        <w:t xml:space="preserve">; </w:t>
      </w:r>
      <w:hyperlink r:id="rId69" w:history="1">
        <w:r w:rsidR="000C7A73" w:rsidRPr="00EF7399">
          <w:rPr>
            <w:rStyle w:val="Hyperlink"/>
            <w:rFonts w:ascii="Times New Roman" w:hAnsi="Times New Roman" w:cs="Times New Roman"/>
            <w:lang w:val="af-ZA"/>
          </w:rPr>
          <w:t>Zulkuf Murat Kahraman</w:t>
        </w:r>
        <w:r w:rsidR="00873234" w:rsidRPr="00EF7399">
          <w:rPr>
            <w:rStyle w:val="Hyperlink"/>
            <w:rFonts w:ascii="Times New Roman" w:hAnsi="Times New Roman" w:cs="Times New Roman"/>
            <w:lang w:val="af-ZA"/>
          </w:rPr>
          <w:t xml:space="preserve"> v. </w:t>
        </w:r>
        <w:r w:rsidR="000C7A73" w:rsidRPr="00EF7399">
          <w:rPr>
            <w:rStyle w:val="Hyperlink"/>
            <w:rFonts w:ascii="Times New Roman" w:hAnsi="Times New Roman" w:cs="Times New Roman"/>
            <w:lang w:val="af-ZA"/>
          </w:rPr>
          <w:t>Turkey</w:t>
        </w:r>
      </w:hyperlink>
      <w:r w:rsidR="00CC382A" w:rsidRPr="00EF7399">
        <w:rPr>
          <w:rFonts w:ascii="Times New Roman" w:hAnsi="Times New Roman" w:cs="Times New Roman"/>
          <w:color w:val="000000"/>
          <w:lang w:val="af-ZA"/>
        </w:rPr>
        <w:t xml:space="preserve">, </w:t>
      </w:r>
      <w:r w:rsidR="004B116B" w:rsidRPr="00EF7399">
        <w:rPr>
          <w:rFonts w:ascii="Times New Roman" w:hAnsi="Times New Roman" w:cs="Times New Roman"/>
          <w:color w:val="000000"/>
          <w:lang w:val="af-ZA"/>
        </w:rPr>
        <w:t xml:space="preserve">2019, </w:t>
      </w:r>
      <w:r w:rsidR="00873234" w:rsidRPr="00EF7399">
        <w:rPr>
          <w:rFonts w:ascii="Times New Roman" w:hAnsi="Times New Roman" w:cs="Times New Roman"/>
          <w:color w:val="000000"/>
          <w:lang w:val="af-ZA"/>
        </w:rPr>
        <w:t>§ </w:t>
      </w:r>
      <w:r w:rsidR="00CC382A" w:rsidRPr="00EF7399">
        <w:rPr>
          <w:rFonts w:ascii="Times New Roman" w:hAnsi="Times New Roman" w:cs="Times New Roman"/>
          <w:color w:val="000000"/>
          <w:lang w:val="af-ZA"/>
        </w:rPr>
        <w:t>45</w:t>
      </w:r>
      <w:r w:rsidR="00522240" w:rsidRPr="00EF7399">
        <w:rPr>
          <w:rFonts w:ascii="Times New Roman" w:hAnsi="Times New Roman" w:cs="Times New Roman"/>
          <w:color w:val="000000"/>
          <w:lang w:val="af-ZA"/>
        </w:rPr>
        <w:t xml:space="preserve">, </w:t>
      </w:r>
      <w:hyperlink r:id="rId70" w:history="1">
        <w:r w:rsidR="00576721" w:rsidRPr="00EF7399">
          <w:rPr>
            <w:rStyle w:val="Hyperlink"/>
            <w:rFonts w:ascii="Times New Roman" w:hAnsi="Times New Roman" w:cs="Times New Roman"/>
            <w:iCs/>
            <w:lang w:val="af-ZA"/>
          </w:rPr>
          <w:t>Obote</w:t>
        </w:r>
        <w:r w:rsidR="00873234" w:rsidRPr="00EF7399">
          <w:rPr>
            <w:rStyle w:val="Hyperlink"/>
            <w:rFonts w:ascii="Times New Roman" w:hAnsi="Times New Roman" w:cs="Times New Roman"/>
            <w:iCs/>
            <w:lang w:val="af-ZA"/>
          </w:rPr>
          <w:t xml:space="preserve"> v. </w:t>
        </w:r>
        <w:r w:rsidR="00576721" w:rsidRPr="00EF7399">
          <w:rPr>
            <w:rStyle w:val="Hyperlink"/>
            <w:rFonts w:ascii="Times New Roman" w:hAnsi="Times New Roman" w:cs="Times New Roman"/>
            <w:iCs/>
            <w:lang w:val="af-ZA"/>
          </w:rPr>
          <w:t>Russia</w:t>
        </w:r>
      </w:hyperlink>
      <w:r w:rsidR="00522240" w:rsidRPr="00EF7399">
        <w:rPr>
          <w:rFonts w:ascii="Times New Roman" w:hAnsi="Times New Roman" w:cs="Times New Roman"/>
          <w:iCs/>
          <w:color w:val="000000"/>
          <w:lang w:val="af-ZA"/>
        </w:rPr>
        <w:t xml:space="preserve">, </w:t>
      </w:r>
      <w:r w:rsidR="00F04C3E" w:rsidRPr="00EF7399">
        <w:rPr>
          <w:rFonts w:ascii="Times New Roman" w:hAnsi="Times New Roman" w:cs="Times New Roman"/>
          <w:iCs/>
          <w:color w:val="000000"/>
          <w:lang w:val="af-ZA"/>
        </w:rPr>
        <w:t xml:space="preserve">2019, </w:t>
      </w:r>
      <w:r w:rsidR="00873234" w:rsidRPr="00EF7399">
        <w:rPr>
          <w:rFonts w:ascii="Times New Roman" w:hAnsi="Times New Roman" w:cs="Times New Roman"/>
          <w:iCs/>
          <w:color w:val="000000"/>
          <w:lang w:val="af-ZA"/>
        </w:rPr>
        <w:t>§ </w:t>
      </w:r>
      <w:r w:rsidR="00522240" w:rsidRPr="00EF7399">
        <w:rPr>
          <w:rFonts w:ascii="Times New Roman" w:hAnsi="Times New Roman" w:cs="Times New Roman"/>
          <w:iCs/>
          <w:color w:val="000000"/>
          <w:lang w:val="af-ZA"/>
        </w:rPr>
        <w:t>35</w:t>
      </w:r>
      <w:r w:rsidR="00AE67B6">
        <w:rPr>
          <w:rFonts w:ascii="Times New Roman" w:hAnsi="Times New Roman" w:cs="Times New Roman"/>
          <w:iCs/>
          <w:color w:val="000000"/>
          <w:lang w:val="hy-AM"/>
        </w:rPr>
        <w:t xml:space="preserve">; </w:t>
      </w:r>
      <w:hyperlink r:id="rId71" w:history="1">
        <w:r w:rsidR="00AE67B6" w:rsidRPr="00EA55DF">
          <w:rPr>
            <w:rStyle w:val="Hyperlink"/>
            <w:rFonts w:ascii="Times New Roman" w:hAnsi="Times New Roman" w:cs="Times New Roman"/>
            <w:iCs/>
            <w:lang w:val="hy-AM"/>
          </w:rPr>
          <w:t>Kazan v. Türkiye, 2023, § 56</w:t>
        </w:r>
      </w:hyperlink>
      <w:r w:rsidR="007C73E0" w:rsidRPr="00EF7399">
        <w:rPr>
          <w:rFonts w:ascii="Times New Roman" w:hAnsi="Times New Roman" w:cs="Times New Roman"/>
          <w:lang w:val="af-ZA"/>
        </w:rPr>
        <w:t>)</w:t>
      </w:r>
      <w:r w:rsidR="00A91530" w:rsidRPr="00EF7399">
        <w:rPr>
          <w:rFonts w:ascii="Times New Roman" w:hAnsi="Times New Roman" w:cs="Times New Roman"/>
          <w:lang w:val="af-ZA"/>
        </w:rPr>
        <w:t xml:space="preserve">: Հավաքին մասնակցելու համար գանգատաբերին պատժի ենթարկելու փաստն ինքնին բավարար չէ 11-րդ հոդվածի շրջանակներում գանգատ </w:t>
      </w:r>
      <w:r w:rsidR="009A1DE6" w:rsidRPr="00EF7399">
        <w:rPr>
          <w:rFonts w:ascii="Times New Roman" w:hAnsi="Times New Roman" w:cs="Times New Roman"/>
          <w:lang w:val="hy-AM"/>
        </w:rPr>
        <w:t>ներկայացնելու</w:t>
      </w:r>
      <w:r w:rsidR="009A1DE6" w:rsidRPr="00EF7399">
        <w:rPr>
          <w:rFonts w:ascii="Times New Roman" w:hAnsi="Times New Roman" w:cs="Times New Roman"/>
          <w:lang w:val="af-ZA"/>
        </w:rPr>
        <w:t xml:space="preserve"> </w:t>
      </w:r>
      <w:r w:rsidR="00A91530" w:rsidRPr="00EF7399">
        <w:rPr>
          <w:rFonts w:ascii="Times New Roman" w:hAnsi="Times New Roman" w:cs="Times New Roman"/>
          <w:lang w:val="af-ZA"/>
        </w:rPr>
        <w:t xml:space="preserve">համար, եթե գանգատաբերը հետևողականորեն պնդել է, որ իրեն սխալմամբ են մասնակից համարել </w:t>
      </w:r>
      <w:r w:rsidR="007C73E0" w:rsidRPr="00EF7399">
        <w:rPr>
          <w:rFonts w:ascii="Times New Roman" w:hAnsi="Times New Roman" w:cs="Times New Roman"/>
          <w:lang w:val="af-ZA"/>
        </w:rPr>
        <w:t>(</w:t>
      </w:r>
      <w:hyperlink r:id="rId72" w:history="1">
        <w:r w:rsidR="007C73E0" w:rsidRPr="00EF7399">
          <w:rPr>
            <w:rStyle w:val="Hyperlink"/>
            <w:rFonts w:ascii="Times New Roman" w:hAnsi="Times New Roman" w:cs="Times New Roman"/>
            <w:lang w:val="af-ZA"/>
          </w:rPr>
          <w:t>Kasparov and Others</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Russia</w:t>
        </w:r>
      </w:hyperlink>
      <w:r w:rsidR="007C73E0" w:rsidRPr="00EF7399">
        <w:rPr>
          <w:rFonts w:ascii="Times New Roman" w:hAnsi="Times New Roman" w:cs="Times New Roman"/>
          <w:lang w:val="af-ZA"/>
        </w:rPr>
        <w:t xml:space="preserve">, </w:t>
      </w:r>
      <w:r w:rsidR="004B116B" w:rsidRPr="00EF7399">
        <w:rPr>
          <w:rFonts w:ascii="Times New Roman" w:hAnsi="Times New Roman" w:cs="Times New Roman"/>
          <w:lang w:val="af-ZA"/>
        </w:rPr>
        <w:t xml:space="preserve">2013,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72)</w:t>
      </w:r>
      <w:r w:rsidR="00A91530" w:rsidRPr="00EF7399">
        <w:rPr>
          <w:rFonts w:ascii="Times New Roman" w:hAnsi="Times New Roman" w:cs="Times New Roman"/>
          <w:lang w:val="af-ZA"/>
        </w:rPr>
        <w:t>: Կոնվենցիայի 11-րդ հոդվածը կարող է կիրառելի լինել ցույցը պարզապես դիտ</w:t>
      </w:r>
      <w:r w:rsidR="006E50C1" w:rsidRPr="00EF7399">
        <w:rPr>
          <w:rFonts w:ascii="Times New Roman" w:hAnsi="Times New Roman" w:cs="Times New Roman"/>
          <w:lang w:val="hy-AM"/>
        </w:rPr>
        <w:t>արկ</w:t>
      </w:r>
      <w:r w:rsidR="00A91530" w:rsidRPr="00EF7399">
        <w:rPr>
          <w:rFonts w:ascii="Times New Roman" w:hAnsi="Times New Roman" w:cs="Times New Roman"/>
          <w:lang w:val="af-ZA"/>
        </w:rPr>
        <w:t xml:space="preserve">ող անձանց </w:t>
      </w:r>
      <w:r w:rsidR="006E50C1" w:rsidRPr="00EF7399">
        <w:rPr>
          <w:rFonts w:ascii="Times New Roman" w:hAnsi="Times New Roman" w:cs="Times New Roman"/>
          <w:lang w:val="hy-AM"/>
        </w:rPr>
        <w:t xml:space="preserve">նկատմամբ </w:t>
      </w:r>
      <w:r w:rsidR="009440B7" w:rsidRPr="00EF7399">
        <w:rPr>
          <w:rFonts w:ascii="Times New Roman" w:hAnsi="Times New Roman" w:cs="Times New Roman"/>
          <w:lang w:val="af-ZA"/>
        </w:rPr>
        <w:t>(</w:t>
      </w:r>
      <w:r w:rsidR="00A91530" w:rsidRPr="00EF7399">
        <w:rPr>
          <w:rFonts w:ascii="Times New Roman" w:hAnsi="Times New Roman" w:cs="Times New Roman"/>
          <w:lang w:val="af-ZA"/>
        </w:rPr>
        <w:t>տե՛ս</w:t>
      </w:r>
      <w:r w:rsidR="009440B7" w:rsidRPr="00EF7399">
        <w:rPr>
          <w:rFonts w:ascii="Times New Roman" w:hAnsi="Times New Roman" w:cs="Times New Roman"/>
          <w:lang w:val="af-ZA"/>
        </w:rPr>
        <w:t xml:space="preserve">, </w:t>
      </w:r>
      <w:r w:rsidR="00A91530" w:rsidRPr="00EF7399">
        <w:rPr>
          <w:rFonts w:ascii="Times New Roman" w:hAnsi="Times New Roman" w:cs="Times New Roman"/>
          <w:lang w:val="af-ZA"/>
        </w:rPr>
        <w:t>օրինակ</w:t>
      </w:r>
      <w:r w:rsidR="009440B7" w:rsidRPr="00EF7399">
        <w:rPr>
          <w:rFonts w:ascii="Times New Roman" w:hAnsi="Times New Roman" w:cs="Times New Roman"/>
          <w:lang w:val="af-ZA"/>
        </w:rPr>
        <w:t>, </w:t>
      </w:r>
      <w:bookmarkStart w:id="27" w:name="_Hlk62073410"/>
      <w:r w:rsidR="009440B7" w:rsidRPr="00EF7399">
        <w:fldChar w:fldCharType="begin"/>
      </w:r>
      <w:r w:rsidR="009440B7" w:rsidRPr="00EF7399">
        <w:rPr>
          <w:rFonts w:ascii="Times New Roman" w:hAnsi="Times New Roman" w:cs="Times New Roman"/>
          <w:lang w:val="af-ZA"/>
        </w:rPr>
        <w:instrText xml:space="preserve"> HYPERLINK "http://hudoc.echr.coe.int/eng?i=001-83297" </w:instrText>
      </w:r>
      <w:r w:rsidR="009440B7" w:rsidRPr="00EF7399">
        <w:fldChar w:fldCharType="separate"/>
      </w:r>
      <w:r w:rsidR="009440B7" w:rsidRPr="00EF7399">
        <w:rPr>
          <w:rStyle w:val="Hyperlink"/>
          <w:rFonts w:ascii="Times New Roman" w:hAnsi="Times New Roman" w:cs="Times New Roman"/>
          <w:lang w:val="af-ZA"/>
        </w:rPr>
        <w:t>Galstyan</w:t>
      </w:r>
      <w:r w:rsidR="00873234" w:rsidRPr="00EF7399">
        <w:rPr>
          <w:rStyle w:val="Hyperlink"/>
          <w:rFonts w:ascii="Times New Roman" w:hAnsi="Times New Roman" w:cs="Times New Roman"/>
          <w:lang w:val="af-ZA"/>
        </w:rPr>
        <w:t xml:space="preserve"> v. </w:t>
      </w:r>
      <w:r w:rsidR="009440B7" w:rsidRPr="00EF7399">
        <w:rPr>
          <w:rStyle w:val="Hyperlink"/>
          <w:rFonts w:ascii="Times New Roman" w:hAnsi="Times New Roman" w:cs="Times New Roman"/>
          <w:lang w:val="af-ZA"/>
        </w:rPr>
        <w:t>Armenia</w:t>
      </w:r>
      <w:r w:rsidR="009440B7" w:rsidRPr="00EF7399">
        <w:rPr>
          <w:rStyle w:val="Hyperlink"/>
          <w:rFonts w:ascii="Times New Roman" w:hAnsi="Times New Roman" w:cs="Times New Roman"/>
          <w:lang w:val="af-ZA"/>
        </w:rPr>
        <w:fldChar w:fldCharType="end"/>
      </w:r>
      <w:r w:rsidR="009440B7" w:rsidRPr="00EF7399">
        <w:rPr>
          <w:rFonts w:ascii="Times New Roman" w:hAnsi="Times New Roman" w:cs="Times New Roman"/>
          <w:lang w:val="af-ZA"/>
        </w:rPr>
        <w:t xml:space="preserve">, </w:t>
      </w:r>
      <w:r w:rsidR="004B116B" w:rsidRPr="00EF7399">
        <w:rPr>
          <w:rFonts w:ascii="Times New Roman" w:hAnsi="Times New Roman" w:cs="Times New Roman"/>
          <w:lang w:val="af-ZA"/>
        </w:rPr>
        <w:t xml:space="preserve">2007, </w:t>
      </w:r>
      <w:r w:rsidR="00873234" w:rsidRPr="00EF7399">
        <w:rPr>
          <w:rFonts w:ascii="Times New Roman" w:hAnsi="Times New Roman" w:cs="Times New Roman"/>
          <w:lang w:val="af-ZA"/>
        </w:rPr>
        <w:lastRenderedPageBreak/>
        <w:t>§ </w:t>
      </w:r>
      <w:r w:rsidR="009440B7" w:rsidRPr="00EF7399">
        <w:rPr>
          <w:rFonts w:ascii="Times New Roman" w:hAnsi="Times New Roman" w:cs="Times New Roman"/>
          <w:lang w:val="af-ZA"/>
        </w:rPr>
        <w:t xml:space="preserve">100), </w:t>
      </w:r>
      <w:bookmarkEnd w:id="27"/>
      <w:r w:rsidR="00A91530" w:rsidRPr="00EF7399">
        <w:rPr>
          <w:rFonts w:ascii="Times New Roman" w:hAnsi="Times New Roman" w:cs="Times New Roman"/>
          <w:lang w:val="af-ZA"/>
        </w:rPr>
        <w:t xml:space="preserve">թեև վերջիններս պետք է համոզիչ փաստարկ ներկայացնեն, որ իրադարձություններին հետևելու նպատակով </w:t>
      </w:r>
      <w:r w:rsidR="006E50C1" w:rsidRPr="00EF7399">
        <w:rPr>
          <w:rFonts w:ascii="Times New Roman" w:hAnsi="Times New Roman" w:cs="Times New Roman"/>
          <w:lang w:val="af-ZA"/>
        </w:rPr>
        <w:t xml:space="preserve">հավաքին </w:t>
      </w:r>
      <w:r w:rsidR="00A91530" w:rsidRPr="00EF7399">
        <w:rPr>
          <w:rFonts w:ascii="Times New Roman" w:hAnsi="Times New Roman" w:cs="Times New Roman"/>
          <w:lang w:val="af-ZA"/>
        </w:rPr>
        <w:t>ներկայություն</w:t>
      </w:r>
      <w:r w:rsidR="006E50C1" w:rsidRPr="00EF7399">
        <w:rPr>
          <w:rFonts w:ascii="Times New Roman" w:hAnsi="Times New Roman" w:cs="Times New Roman"/>
          <w:lang w:val="hy-AM"/>
        </w:rPr>
        <w:t>ն ինքնին</w:t>
      </w:r>
      <w:r w:rsidR="00A91530" w:rsidRPr="00EF7399">
        <w:rPr>
          <w:rFonts w:ascii="Times New Roman" w:hAnsi="Times New Roman" w:cs="Times New Roman"/>
          <w:lang w:val="af-ZA"/>
        </w:rPr>
        <w:t xml:space="preserve"> կարող է համարվել խաղաղ հավաքի իրենց իրավունքի իրա</w:t>
      </w:r>
      <w:r w:rsidR="006E50C1" w:rsidRPr="00EF7399">
        <w:rPr>
          <w:rFonts w:ascii="Times New Roman" w:hAnsi="Times New Roman" w:cs="Times New Roman"/>
          <w:lang w:val="hy-AM"/>
        </w:rPr>
        <w:t>ց</w:t>
      </w:r>
      <w:r w:rsidR="00A91530" w:rsidRPr="00EF7399">
        <w:rPr>
          <w:rFonts w:ascii="Times New Roman" w:hAnsi="Times New Roman" w:cs="Times New Roman"/>
          <w:lang w:val="af-ZA"/>
        </w:rPr>
        <w:t xml:space="preserve">ում </w:t>
      </w:r>
      <w:r w:rsidR="009C3C96" w:rsidRPr="00EF7399">
        <w:rPr>
          <w:rFonts w:ascii="Times New Roman" w:hAnsi="Times New Roman" w:cs="Times New Roman"/>
          <w:lang w:val="af-ZA"/>
        </w:rPr>
        <w:t>(</w:t>
      </w:r>
      <w:hyperlink r:id="rId73" w:history="1">
        <w:r w:rsidR="009C3C96" w:rsidRPr="00EF7399">
          <w:rPr>
            <w:rStyle w:val="Hyperlink"/>
            <w:rFonts w:ascii="Times New Roman" w:hAnsi="Times New Roman" w:cs="Times New Roman"/>
            <w:iCs/>
            <w:lang w:val="af-ZA"/>
          </w:rPr>
          <w:t>Shmorgunov and Others</w:t>
        </w:r>
        <w:r w:rsidR="00873234" w:rsidRPr="00EF7399">
          <w:rPr>
            <w:rStyle w:val="Hyperlink"/>
            <w:rFonts w:ascii="Times New Roman" w:hAnsi="Times New Roman" w:cs="Times New Roman"/>
            <w:iCs/>
            <w:lang w:val="af-ZA"/>
          </w:rPr>
          <w:t xml:space="preserve"> v. </w:t>
        </w:r>
        <w:r w:rsidR="009C3C96" w:rsidRPr="00EF7399">
          <w:rPr>
            <w:rStyle w:val="Hyperlink"/>
            <w:rFonts w:ascii="Times New Roman" w:hAnsi="Times New Roman" w:cs="Times New Roman"/>
            <w:iCs/>
            <w:lang w:val="af-ZA"/>
          </w:rPr>
          <w:t>Ukraine</w:t>
        </w:r>
      </w:hyperlink>
      <w:r w:rsidR="009C3C96" w:rsidRPr="00EF7399">
        <w:rPr>
          <w:rFonts w:ascii="Times New Roman" w:hAnsi="Times New Roman" w:cs="Times New Roman"/>
          <w:lang w:val="af-ZA"/>
        </w:rPr>
        <w:t xml:space="preserve">, 2021, </w:t>
      </w:r>
      <w:r w:rsidR="00873234" w:rsidRPr="00EF7399">
        <w:rPr>
          <w:rFonts w:ascii="Times New Roman" w:hAnsi="Times New Roman" w:cs="Times New Roman"/>
          <w:lang w:val="af-ZA"/>
        </w:rPr>
        <w:t>§ </w:t>
      </w:r>
      <w:r w:rsidR="009C3C96" w:rsidRPr="00EF7399">
        <w:rPr>
          <w:rFonts w:ascii="Times New Roman" w:hAnsi="Times New Roman" w:cs="Times New Roman"/>
          <w:lang w:val="af-ZA"/>
        </w:rPr>
        <w:t>487)</w:t>
      </w:r>
      <w:r w:rsidR="00A91530" w:rsidRPr="00EF7399">
        <w:rPr>
          <w:rFonts w:ascii="Times New Roman" w:hAnsi="Times New Roman" w:cs="Times New Roman"/>
          <w:lang w:val="af-ZA"/>
        </w:rPr>
        <w:t>:</w:t>
      </w:r>
    </w:p>
    <w:p w14:paraId="19B93BEE" w14:textId="31108F54" w:rsidR="00D01BC9" w:rsidRPr="00EF7399" w:rsidRDefault="00E2448A" w:rsidP="00E2448A">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17</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A91530" w:rsidRPr="00EF7399">
        <w:rPr>
          <w:rFonts w:ascii="Times New Roman" w:hAnsi="Times New Roman" w:cs="Times New Roman"/>
          <w:lang w:val="af-ZA"/>
        </w:rPr>
        <w:t>Թեև մինչ այսօր հավաք</w:t>
      </w:r>
      <w:r w:rsidR="00D84FFB" w:rsidRPr="00EF7399">
        <w:rPr>
          <w:rFonts w:ascii="Times New Roman" w:hAnsi="Times New Roman" w:cs="Times New Roman"/>
          <w:lang w:val="af-ZA"/>
        </w:rPr>
        <w:t>ների ազատության բացասական իրավունքի վերաբերյալ գործ չի եղել, հավաքին հարկ</w:t>
      </w:r>
      <w:r w:rsidR="006E50C1" w:rsidRPr="00EF7399">
        <w:rPr>
          <w:rFonts w:ascii="Times New Roman" w:hAnsi="Times New Roman" w:cs="Times New Roman"/>
          <w:lang w:val="hy-AM"/>
        </w:rPr>
        <w:t>ա</w:t>
      </w:r>
      <w:r w:rsidR="00D84FFB" w:rsidRPr="00EF7399">
        <w:rPr>
          <w:rFonts w:ascii="Times New Roman" w:hAnsi="Times New Roman" w:cs="Times New Roman"/>
          <w:lang w:val="af-ZA"/>
        </w:rPr>
        <w:t xml:space="preserve">դրաբար մասնակցելուց զերծ մնալու իրավունքը </w:t>
      </w:r>
      <w:r w:rsidR="006E50C1" w:rsidRPr="00EF7399">
        <w:rPr>
          <w:rFonts w:ascii="Times New Roman" w:hAnsi="Times New Roman" w:cs="Times New Roman"/>
          <w:lang w:val="hy-AM"/>
        </w:rPr>
        <w:t>կարող է բխեցվել</w:t>
      </w:r>
      <w:r w:rsidR="00D84FFB" w:rsidRPr="00EF7399">
        <w:rPr>
          <w:rFonts w:ascii="Times New Roman" w:hAnsi="Times New Roman" w:cs="Times New Roman"/>
          <w:lang w:val="af-ZA"/>
        </w:rPr>
        <w:t xml:space="preserve"> նախադեպային իրավունք</w:t>
      </w:r>
      <w:r w:rsidR="006E50C1" w:rsidRPr="00EF7399">
        <w:rPr>
          <w:rFonts w:ascii="Times New Roman" w:hAnsi="Times New Roman" w:cs="Times New Roman"/>
          <w:lang w:val="hy-AM"/>
        </w:rPr>
        <w:t>ից</w:t>
      </w:r>
      <w:r w:rsidR="00D84FFB" w:rsidRPr="00EF7399">
        <w:rPr>
          <w:rFonts w:ascii="Times New Roman" w:hAnsi="Times New Roman" w:cs="Times New Roman"/>
          <w:lang w:val="af-ZA"/>
        </w:rPr>
        <w:t xml:space="preserve"> </w:t>
      </w:r>
      <w:r w:rsidR="007C73E0" w:rsidRPr="00EF7399">
        <w:rPr>
          <w:rFonts w:ascii="Times New Roman" w:hAnsi="Times New Roman" w:cs="Times New Roman"/>
          <w:lang w:val="af-ZA"/>
        </w:rPr>
        <w:t>(</w:t>
      </w:r>
      <w:hyperlink r:id="rId74" w:history="1">
        <w:r w:rsidR="007C73E0" w:rsidRPr="00EF7399">
          <w:rPr>
            <w:rStyle w:val="Hyperlink"/>
            <w:rFonts w:ascii="Times New Roman" w:hAnsi="Times New Roman" w:cs="Times New Roman"/>
            <w:lang w:val="af-ZA"/>
          </w:rPr>
          <w:t>Sørensen and Rasmussen</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Denmark</w:t>
        </w:r>
      </w:hyperlink>
      <w:r w:rsidR="007C73E0" w:rsidRPr="00EF7399">
        <w:rPr>
          <w:rFonts w:ascii="Times New Roman" w:hAnsi="Times New Roman" w:cs="Times New Roman"/>
          <w:lang w:val="af-ZA"/>
        </w:rPr>
        <w:t xml:space="preserve"> [GC], </w:t>
      </w:r>
      <w:r w:rsidR="004B116B" w:rsidRPr="00EF7399">
        <w:rPr>
          <w:rFonts w:ascii="Times New Roman" w:hAnsi="Times New Roman" w:cs="Times New Roman"/>
          <w:lang w:val="af-ZA"/>
        </w:rPr>
        <w:t xml:space="preserve">2006,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 xml:space="preserve">54; </w:t>
      </w:r>
      <w:hyperlink r:id="rId75" w:history="1">
        <w:r w:rsidR="007C73E0" w:rsidRPr="00EF7399">
          <w:rPr>
            <w:rStyle w:val="Hyperlink"/>
            <w:rFonts w:ascii="Times New Roman" w:hAnsi="Times New Roman" w:cs="Times New Roman"/>
            <w:lang w:val="af-ZA"/>
          </w:rPr>
          <w:t>Novikova and Others</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Russia</w:t>
        </w:r>
      </w:hyperlink>
      <w:r w:rsidR="007C73E0" w:rsidRPr="00EF7399">
        <w:rPr>
          <w:rFonts w:ascii="Times New Roman" w:hAnsi="Times New Roman" w:cs="Times New Roman"/>
          <w:lang w:val="af-ZA"/>
        </w:rPr>
        <w:t xml:space="preserve">, </w:t>
      </w:r>
      <w:r w:rsidR="004B116B" w:rsidRPr="00EF7399">
        <w:rPr>
          <w:rFonts w:ascii="Times New Roman" w:hAnsi="Times New Roman" w:cs="Times New Roman"/>
          <w:lang w:val="af-ZA"/>
        </w:rPr>
        <w:t xml:space="preserve">2016,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91)</w:t>
      </w:r>
      <w:r w:rsidR="00D84FFB" w:rsidRPr="00EF7399">
        <w:rPr>
          <w:rFonts w:ascii="Times New Roman" w:hAnsi="Times New Roman" w:cs="Times New Roman"/>
          <w:lang w:val="af-ZA"/>
        </w:rPr>
        <w:t>:</w:t>
      </w:r>
    </w:p>
    <w:p w14:paraId="723CE74F" w14:textId="49E030BA" w:rsidR="00856EA1" w:rsidRPr="007B753F" w:rsidRDefault="00D84FFB" w:rsidP="007B753F">
      <w:pPr>
        <w:pStyle w:val="ECHRHeading3"/>
        <w:numPr>
          <w:ilvl w:val="2"/>
          <w:numId w:val="51"/>
        </w:numPr>
        <w:rPr>
          <w:rFonts w:ascii="Times New Roman" w:eastAsiaTheme="minorHAnsi" w:hAnsi="Times New Roman" w:cs="Times New Roman"/>
          <w:color w:val="auto"/>
          <w:sz w:val="22"/>
          <w:lang w:val="af-ZA"/>
        </w:rPr>
      </w:pPr>
      <w:bookmarkStart w:id="28" w:name="_Toc159945208"/>
      <w:r w:rsidRPr="007B753F">
        <w:rPr>
          <w:rFonts w:ascii="Times New Roman" w:hAnsi="Times New Roman" w:cs="Times New Roman"/>
          <w:lang w:val="af-ZA"/>
        </w:rPr>
        <w:t>Հավաքի ձևը և տեսակը</w:t>
      </w:r>
      <w:bookmarkEnd w:id="28"/>
    </w:p>
    <w:p w14:paraId="2582B757" w14:textId="210F3252" w:rsidR="000924FB" w:rsidRPr="00EF7399" w:rsidRDefault="00856EA1" w:rsidP="000924FB">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640AF6" w:rsidRPr="00EF7399">
        <w:rPr>
          <w:rFonts w:ascii="Times New Roman" w:hAnsi="Times New Roman" w:cs="Times New Roman"/>
          <w:lang w:val="hy-AM"/>
        </w:rPr>
        <w:t>Այս ի</w:t>
      </w:r>
      <w:r w:rsidR="008D3D80" w:rsidRPr="00EF7399">
        <w:rPr>
          <w:rFonts w:ascii="Times New Roman" w:hAnsi="Times New Roman" w:cs="Times New Roman"/>
          <w:lang w:val="af-ZA"/>
        </w:rPr>
        <w:t>րավունքն ընդգրկում է թե՛ մասնավոր հանրահավաքները</w:t>
      </w:r>
      <w:r w:rsidR="00640AF6" w:rsidRPr="00EF7399">
        <w:rPr>
          <w:rFonts w:ascii="Times New Roman" w:hAnsi="Times New Roman" w:cs="Times New Roman"/>
          <w:lang w:val="hy-AM"/>
        </w:rPr>
        <w:t xml:space="preserve"> և </w:t>
      </w:r>
      <w:r w:rsidR="008D3D80" w:rsidRPr="00EF7399">
        <w:rPr>
          <w:rFonts w:ascii="Times New Roman" w:hAnsi="Times New Roman" w:cs="Times New Roman"/>
          <w:lang w:val="af-ZA"/>
        </w:rPr>
        <w:t>թե՛ հանրային վայրերում հանրահավաքները</w:t>
      </w:r>
      <w:r w:rsidR="00640AF6" w:rsidRPr="00EF7399">
        <w:rPr>
          <w:rFonts w:ascii="Times New Roman" w:hAnsi="Times New Roman" w:cs="Times New Roman"/>
          <w:lang w:val="hy-AM"/>
        </w:rPr>
        <w:t>՝</w:t>
      </w:r>
      <w:r w:rsidR="008D3D80" w:rsidRPr="00EF7399">
        <w:rPr>
          <w:rFonts w:ascii="Times New Roman" w:hAnsi="Times New Roman" w:cs="Times New Roman"/>
          <w:lang w:val="af-ZA"/>
        </w:rPr>
        <w:t xml:space="preserve"> անկախ դրանց ստատիկ կամ </w:t>
      </w:r>
      <w:r w:rsidR="00640AF6" w:rsidRPr="00EF7399">
        <w:rPr>
          <w:rFonts w:ascii="Times New Roman" w:hAnsi="Times New Roman" w:cs="Times New Roman"/>
          <w:lang w:val="hy-AM"/>
        </w:rPr>
        <w:t>երթի</w:t>
      </w:r>
      <w:r w:rsidR="00640AF6" w:rsidRPr="00EF7399">
        <w:rPr>
          <w:rFonts w:ascii="Times New Roman" w:hAnsi="Times New Roman" w:cs="Times New Roman"/>
          <w:lang w:val="af-ZA"/>
        </w:rPr>
        <w:t xml:space="preserve"> </w:t>
      </w:r>
      <w:r w:rsidR="008D3D80" w:rsidRPr="00EF7399">
        <w:rPr>
          <w:rFonts w:ascii="Times New Roman" w:hAnsi="Times New Roman" w:cs="Times New Roman"/>
          <w:lang w:val="af-ZA"/>
        </w:rPr>
        <w:t>ձևով լինելու</w:t>
      </w:r>
      <w:r w:rsidR="00640AF6" w:rsidRPr="00EF7399">
        <w:rPr>
          <w:rFonts w:ascii="Times New Roman" w:hAnsi="Times New Roman" w:cs="Times New Roman"/>
          <w:lang w:val="hy-AM"/>
        </w:rPr>
        <w:t>ց</w:t>
      </w:r>
      <w:r w:rsidR="008D3D80" w:rsidRPr="00EF7399">
        <w:rPr>
          <w:rFonts w:ascii="Times New Roman" w:hAnsi="Times New Roman" w:cs="Times New Roman"/>
          <w:lang w:val="af-ZA"/>
        </w:rPr>
        <w:t xml:space="preserve">, </w:t>
      </w:r>
      <w:r w:rsidR="00640AF6" w:rsidRPr="00EF7399">
        <w:rPr>
          <w:rFonts w:ascii="Times New Roman" w:hAnsi="Times New Roman" w:cs="Times New Roman"/>
          <w:lang w:val="hy-AM"/>
        </w:rPr>
        <w:t>ավելին,</w:t>
      </w:r>
      <w:r w:rsidR="008D3D80" w:rsidRPr="00EF7399">
        <w:rPr>
          <w:rFonts w:ascii="Times New Roman" w:hAnsi="Times New Roman" w:cs="Times New Roman"/>
          <w:lang w:val="af-ZA"/>
        </w:rPr>
        <w:t xml:space="preserve"> այդ իրավունքը կարող </w:t>
      </w:r>
      <w:r w:rsidR="00640AF6" w:rsidRPr="00EF7399">
        <w:rPr>
          <w:rFonts w:ascii="Times New Roman" w:hAnsi="Times New Roman" w:cs="Times New Roman"/>
          <w:lang w:val="hy-AM"/>
        </w:rPr>
        <w:t xml:space="preserve">է իրացվել </w:t>
      </w:r>
      <w:r w:rsidR="008D3D80" w:rsidRPr="00EF7399">
        <w:rPr>
          <w:rFonts w:ascii="Times New Roman" w:hAnsi="Times New Roman" w:cs="Times New Roman"/>
          <w:lang w:val="af-ZA"/>
        </w:rPr>
        <w:t>անհատ մասնակիցնե</w:t>
      </w:r>
      <w:r w:rsidR="00640AF6" w:rsidRPr="00EF7399">
        <w:rPr>
          <w:rFonts w:ascii="Times New Roman" w:hAnsi="Times New Roman" w:cs="Times New Roman"/>
          <w:lang w:val="hy-AM"/>
        </w:rPr>
        <w:t>րի</w:t>
      </w:r>
      <w:r w:rsidR="008D3D80" w:rsidRPr="00EF7399">
        <w:rPr>
          <w:rFonts w:ascii="Times New Roman" w:hAnsi="Times New Roman" w:cs="Times New Roman"/>
          <w:lang w:val="af-ZA"/>
        </w:rPr>
        <w:t xml:space="preserve"> և հավաքի կազմակերպիչներ</w:t>
      </w:r>
      <w:r w:rsidR="00640AF6" w:rsidRPr="00EF7399">
        <w:rPr>
          <w:rFonts w:ascii="Times New Roman" w:hAnsi="Times New Roman" w:cs="Times New Roman"/>
          <w:lang w:val="hy-AM"/>
        </w:rPr>
        <w:t>ի կողմից</w:t>
      </w:r>
      <w:r w:rsidR="008D3D80" w:rsidRPr="00EF7399">
        <w:rPr>
          <w:rFonts w:ascii="Times New Roman" w:hAnsi="Times New Roman" w:cs="Times New Roman"/>
          <w:lang w:val="af-ZA"/>
        </w:rPr>
        <w:t xml:space="preserve"> </w:t>
      </w:r>
      <w:r w:rsidR="007C73E0" w:rsidRPr="00EF7399">
        <w:rPr>
          <w:rFonts w:ascii="Times New Roman" w:hAnsi="Times New Roman" w:cs="Times New Roman"/>
          <w:lang w:val="af-ZA"/>
        </w:rPr>
        <w:t>(</w:t>
      </w:r>
      <w:hyperlink r:id="rId76" w:history="1">
        <w:r w:rsidR="007C73E0" w:rsidRPr="00EF7399">
          <w:rPr>
            <w:rStyle w:val="Hyperlink"/>
            <w:rFonts w:ascii="Times New Roman" w:hAnsi="Times New Roman" w:cs="Times New Roman"/>
            <w:lang w:val="af-ZA"/>
          </w:rPr>
          <w:t>Kudrevičius and Others</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Lithuania</w:t>
        </w:r>
      </w:hyperlink>
      <w:r w:rsidR="007C73E0" w:rsidRPr="00EF7399">
        <w:rPr>
          <w:rFonts w:ascii="Times New Roman" w:hAnsi="Times New Roman" w:cs="Times New Roman"/>
          <w:i/>
          <w:lang w:val="af-ZA"/>
        </w:rPr>
        <w:t xml:space="preserve"> </w:t>
      </w:r>
      <w:r w:rsidR="007C73E0" w:rsidRPr="00EF7399">
        <w:rPr>
          <w:rFonts w:ascii="Times New Roman" w:hAnsi="Times New Roman" w:cs="Times New Roman"/>
          <w:lang w:val="af-ZA"/>
        </w:rPr>
        <w:t xml:space="preserve">[GC], </w:t>
      </w:r>
      <w:r w:rsidR="00503BDF"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 xml:space="preserve">91; </w:t>
      </w:r>
      <w:hyperlink r:id="rId77" w:history="1">
        <w:r w:rsidR="007C73E0" w:rsidRPr="00EF7399">
          <w:rPr>
            <w:rStyle w:val="Hyperlink"/>
            <w:rFonts w:ascii="Times New Roman" w:hAnsi="Times New Roman" w:cs="Times New Roman"/>
            <w:lang w:val="af-ZA"/>
          </w:rPr>
          <w:t>Djavit An</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Turkey</w:t>
        </w:r>
      </w:hyperlink>
      <w:r w:rsidR="007C73E0" w:rsidRPr="00EF7399">
        <w:rPr>
          <w:rFonts w:ascii="Times New Roman" w:hAnsi="Times New Roman" w:cs="Times New Roman"/>
          <w:lang w:val="af-ZA"/>
        </w:rPr>
        <w:t xml:space="preserve">, </w:t>
      </w:r>
      <w:r w:rsidR="00503BDF" w:rsidRPr="00EF7399">
        <w:rPr>
          <w:rFonts w:ascii="Times New Roman" w:hAnsi="Times New Roman" w:cs="Times New Roman"/>
          <w:lang w:val="af-ZA"/>
        </w:rPr>
        <w:t xml:space="preserve">2003,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56)</w:t>
      </w:r>
      <w:r w:rsidR="008D3D80" w:rsidRPr="00EF7399">
        <w:rPr>
          <w:rFonts w:ascii="Times New Roman" w:hAnsi="Times New Roman" w:cs="Times New Roman"/>
          <w:lang w:val="af-ZA"/>
        </w:rPr>
        <w:t>:</w:t>
      </w:r>
    </w:p>
    <w:p w14:paraId="22C03EFA" w14:textId="082788F8" w:rsidR="00856EA1" w:rsidRPr="00EF7399" w:rsidRDefault="000924FB" w:rsidP="000924FB">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19</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8D3D80" w:rsidRPr="00EF7399">
        <w:rPr>
          <w:rFonts w:ascii="Times New Roman" w:hAnsi="Times New Roman" w:cs="Times New Roman"/>
          <w:lang w:val="af-ZA"/>
        </w:rPr>
        <w:t>Թեև 11-րդ հոդվածի գլխավոր նպատակն է պաշտպանել խաղաղ քաղաքական ցույցերին և ժողովրդավարական գործընթացին մասնակցելու իրավունքը</w:t>
      </w:r>
      <w:r w:rsidR="00640AF6" w:rsidRPr="00EF7399">
        <w:rPr>
          <w:rFonts w:ascii="Times New Roman" w:hAnsi="Times New Roman" w:cs="Times New Roman"/>
          <w:lang w:val="hy-AM"/>
        </w:rPr>
        <w:t xml:space="preserve">, </w:t>
      </w:r>
      <w:r w:rsidR="008D3D80" w:rsidRPr="00EF7399">
        <w:rPr>
          <w:rFonts w:ascii="Times New Roman" w:hAnsi="Times New Roman" w:cs="Times New Roman"/>
          <w:lang w:val="af-ZA"/>
        </w:rPr>
        <w:t>տվյալ հոդվածի անընդունելի նեղ մ</w:t>
      </w:r>
      <w:r w:rsidR="00640AF6" w:rsidRPr="00EF7399">
        <w:rPr>
          <w:rFonts w:ascii="Times New Roman" w:hAnsi="Times New Roman" w:cs="Times New Roman"/>
          <w:lang w:val="hy-AM"/>
        </w:rPr>
        <w:t>ե</w:t>
      </w:r>
      <w:r w:rsidR="008D3D80" w:rsidRPr="00EF7399">
        <w:rPr>
          <w:rFonts w:ascii="Times New Roman" w:hAnsi="Times New Roman" w:cs="Times New Roman"/>
          <w:lang w:val="af-ZA"/>
        </w:rPr>
        <w:t xml:space="preserve">կնաբանություն կլինի դրա սահմանափակումը հավաքի միայն այդ ձևով, ինչպես 10-րդ հոդվածի </w:t>
      </w:r>
      <w:r w:rsidR="00B0018F" w:rsidRPr="00EF7399">
        <w:rPr>
          <w:rFonts w:ascii="Times New Roman" w:hAnsi="Times New Roman" w:cs="Times New Roman"/>
          <w:lang w:val="af-ZA"/>
        </w:rPr>
        <w:t>նեղ մեկնաբանություն կլինի միայն քաղաքական բնույթի կարծիք</w:t>
      </w:r>
      <w:r w:rsidR="00640AF6" w:rsidRPr="00EF7399">
        <w:rPr>
          <w:rFonts w:ascii="Times New Roman" w:hAnsi="Times New Roman" w:cs="Times New Roman"/>
          <w:lang w:val="hy-AM"/>
        </w:rPr>
        <w:t>ի</w:t>
      </w:r>
      <w:r w:rsidR="00B0018F" w:rsidRPr="00EF7399">
        <w:rPr>
          <w:rFonts w:ascii="Times New Roman" w:hAnsi="Times New Roman" w:cs="Times New Roman"/>
          <w:lang w:val="af-ZA"/>
        </w:rPr>
        <w:t xml:space="preserve"> արտահայտ</w:t>
      </w:r>
      <w:r w:rsidR="00640AF6" w:rsidRPr="00EF7399">
        <w:rPr>
          <w:rFonts w:ascii="Times New Roman" w:hAnsi="Times New Roman" w:cs="Times New Roman"/>
          <w:lang w:val="hy-AM"/>
        </w:rPr>
        <w:t>մամբ</w:t>
      </w:r>
      <w:r w:rsidR="00B0018F" w:rsidRPr="00EF7399">
        <w:rPr>
          <w:rFonts w:ascii="Times New Roman" w:hAnsi="Times New Roman" w:cs="Times New Roman"/>
          <w:lang w:val="af-ZA"/>
        </w:rPr>
        <w:t xml:space="preserve"> սահմանափակելը  </w:t>
      </w:r>
      <w:r w:rsidR="007C73E0" w:rsidRPr="00EF7399">
        <w:rPr>
          <w:rFonts w:ascii="Times New Roman" w:hAnsi="Times New Roman" w:cs="Times New Roman"/>
          <w:lang w:val="af-ZA"/>
        </w:rPr>
        <w:t>(</w:t>
      </w:r>
      <w:hyperlink r:id="rId78" w:history="1">
        <w:r w:rsidR="007C73E0" w:rsidRPr="00EF7399">
          <w:rPr>
            <w:rStyle w:val="Hyperlink"/>
            <w:rFonts w:ascii="Times New Roman" w:hAnsi="Times New Roman" w:cs="Times New Roman"/>
            <w:lang w:val="af-ZA"/>
          </w:rPr>
          <w:t>Friend, the Countryside Alliance and others</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the United Kingdom</w:t>
        </w:r>
      </w:hyperlink>
      <w:r w:rsidR="007C73E0" w:rsidRPr="00EF7399">
        <w:rPr>
          <w:rFonts w:ascii="Times New Roman" w:hAnsi="Times New Roman" w:cs="Times New Roman"/>
          <w:lang w:val="af-ZA"/>
        </w:rPr>
        <w:t xml:space="preserve"> (dec.), </w:t>
      </w:r>
      <w:r w:rsidR="00503BDF" w:rsidRPr="00EF7399">
        <w:rPr>
          <w:rFonts w:ascii="Times New Roman" w:hAnsi="Times New Roman" w:cs="Times New Roman"/>
          <w:lang w:val="af-ZA"/>
        </w:rPr>
        <w:t xml:space="preserve">2009,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50)</w:t>
      </w:r>
      <w:r w:rsidR="00B0018F" w:rsidRPr="00EF7399">
        <w:rPr>
          <w:rFonts w:ascii="Times New Roman" w:hAnsi="Times New Roman" w:cs="Times New Roman"/>
          <w:lang w:val="af-ZA"/>
        </w:rPr>
        <w:t>: Հետևաբար, 11-րդ հոդվածը կիրառելի է համարվել ըստ էության սոցիալական բնույթ կրող հավաքներին</w:t>
      </w:r>
      <w:r w:rsidR="000D4440" w:rsidRPr="00EF7399">
        <w:rPr>
          <w:rFonts w:ascii="Times New Roman" w:hAnsi="Times New Roman" w:cs="Times New Roman"/>
          <w:lang w:val="hy-AM"/>
        </w:rPr>
        <w:t xml:space="preserve"> նկատմամբ </w:t>
      </w:r>
      <w:r w:rsidR="007C73E0" w:rsidRPr="00EF7399">
        <w:rPr>
          <w:rFonts w:ascii="Times New Roman" w:hAnsi="Times New Roman" w:cs="Times New Roman"/>
          <w:lang w:val="af-ZA"/>
        </w:rPr>
        <w:t>(</w:t>
      </w:r>
      <w:hyperlink r:id="rId79" w:history="1">
        <w:r w:rsidR="007C73E0" w:rsidRPr="00EF7399">
          <w:rPr>
            <w:rStyle w:val="Hyperlink"/>
            <w:rFonts w:ascii="Times New Roman" w:hAnsi="Times New Roman" w:cs="Times New Roman"/>
            <w:lang w:val="af-ZA"/>
          </w:rPr>
          <w:t>Emin Huseynov</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Azerbaijan</w:t>
        </w:r>
      </w:hyperlink>
      <w:r w:rsidR="007C73E0" w:rsidRPr="00EF7399">
        <w:rPr>
          <w:rFonts w:ascii="Times New Roman" w:hAnsi="Times New Roman" w:cs="Times New Roman"/>
          <w:lang w:val="af-ZA"/>
        </w:rPr>
        <w:t xml:space="preserve">, </w:t>
      </w:r>
      <w:r w:rsidR="00503BDF"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 xml:space="preserve">91, </w:t>
      </w:r>
      <w:r w:rsidR="000D4440" w:rsidRPr="00EF7399">
        <w:rPr>
          <w:rFonts w:ascii="Times New Roman" w:hAnsi="Times New Roman" w:cs="Times New Roman"/>
          <w:lang w:val="hy-AM"/>
        </w:rPr>
        <w:t>վերաբերում</w:t>
      </w:r>
      <w:r w:rsidR="000D4440" w:rsidRPr="00EF7399">
        <w:rPr>
          <w:rFonts w:ascii="Times New Roman" w:hAnsi="Times New Roman" w:cs="Times New Roman"/>
          <w:lang w:val="af-ZA"/>
        </w:rPr>
        <w:t xml:space="preserve"> </w:t>
      </w:r>
      <w:r w:rsidR="00B0018F" w:rsidRPr="00EF7399">
        <w:rPr>
          <w:rFonts w:ascii="Times New Roman" w:hAnsi="Times New Roman" w:cs="Times New Roman"/>
          <w:lang w:val="af-ZA"/>
        </w:rPr>
        <w:t>է ոստիկանության միջամտությանը մասնավոր սրճարանում</w:t>
      </w:r>
      <w:r w:rsidR="000D4440" w:rsidRPr="00EF7399">
        <w:rPr>
          <w:rFonts w:ascii="Times New Roman" w:hAnsi="Times New Roman" w:cs="Times New Roman"/>
          <w:lang w:val="hy-AM"/>
        </w:rPr>
        <w:t xml:space="preserve"> իրականացված </w:t>
      </w:r>
      <w:r w:rsidR="000D4440" w:rsidRPr="00EF7399">
        <w:rPr>
          <w:rFonts w:ascii="Times New Roman" w:hAnsi="Times New Roman" w:cs="Times New Roman"/>
          <w:lang w:val="af-ZA"/>
        </w:rPr>
        <w:t>հավաքույթի</w:t>
      </w:r>
      <w:r w:rsidR="000D4440" w:rsidRPr="00EF7399">
        <w:rPr>
          <w:rFonts w:ascii="Times New Roman" w:hAnsi="Times New Roman" w:cs="Times New Roman"/>
          <w:lang w:val="hy-AM"/>
        </w:rPr>
        <w:t>ն</w:t>
      </w:r>
      <w:r w:rsidR="007C73E0" w:rsidRPr="00EF7399">
        <w:rPr>
          <w:rFonts w:ascii="Times New Roman" w:hAnsi="Times New Roman" w:cs="Times New Roman"/>
          <w:lang w:val="af-ZA"/>
        </w:rPr>
        <w:t xml:space="preserve">; </w:t>
      </w:r>
      <w:hyperlink r:id="rId80" w:history="1">
        <w:r w:rsidR="007C73E0" w:rsidRPr="00EF7399">
          <w:rPr>
            <w:rStyle w:val="Hyperlink"/>
            <w:rFonts w:ascii="Times New Roman" w:hAnsi="Times New Roman" w:cs="Times New Roman"/>
            <w:lang w:val="af-ZA"/>
          </w:rPr>
          <w:t>Djavit An</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Turkey</w:t>
        </w:r>
      </w:hyperlink>
      <w:r w:rsidR="007C73E0" w:rsidRPr="00EF7399">
        <w:rPr>
          <w:rFonts w:ascii="Times New Roman" w:hAnsi="Times New Roman" w:cs="Times New Roman"/>
          <w:lang w:val="af-ZA"/>
        </w:rPr>
        <w:t xml:space="preserve">, </w:t>
      </w:r>
      <w:r w:rsidR="00503BDF" w:rsidRPr="00EF7399">
        <w:rPr>
          <w:rFonts w:ascii="Times New Roman" w:hAnsi="Times New Roman" w:cs="Times New Roman"/>
          <w:lang w:val="af-ZA"/>
        </w:rPr>
        <w:t xml:space="preserve">2003,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60,</w:t>
      </w:r>
      <w:r w:rsidR="000D4440" w:rsidRPr="00EF7399">
        <w:rPr>
          <w:rFonts w:ascii="Times New Roman" w:hAnsi="Times New Roman" w:cs="Times New Roman"/>
          <w:lang w:val="hy-AM"/>
        </w:rPr>
        <w:t xml:space="preserve"> վերաբերում է</w:t>
      </w:r>
      <w:r w:rsidR="007C73E0" w:rsidRPr="00EF7399">
        <w:rPr>
          <w:rFonts w:ascii="Times New Roman" w:hAnsi="Times New Roman" w:cs="Times New Roman"/>
          <w:lang w:val="af-ZA"/>
        </w:rPr>
        <w:t xml:space="preserve"> </w:t>
      </w:r>
      <w:r w:rsidR="00B0018F" w:rsidRPr="00EF7399">
        <w:rPr>
          <w:rFonts w:ascii="Times New Roman" w:hAnsi="Times New Roman" w:cs="Times New Roman"/>
          <w:lang w:val="af-ZA"/>
        </w:rPr>
        <w:t>իշխանություններ</w:t>
      </w:r>
      <w:r w:rsidR="000D4440" w:rsidRPr="00EF7399">
        <w:rPr>
          <w:rFonts w:ascii="Times New Roman" w:hAnsi="Times New Roman" w:cs="Times New Roman"/>
          <w:lang w:val="hy-AM"/>
        </w:rPr>
        <w:t xml:space="preserve">ի մերժմանը՝ թույլատրելու </w:t>
      </w:r>
      <w:r w:rsidR="00B0018F" w:rsidRPr="00EF7399">
        <w:rPr>
          <w:rFonts w:ascii="Times New Roman" w:hAnsi="Times New Roman" w:cs="Times New Roman"/>
          <w:lang w:val="af-ZA"/>
        </w:rPr>
        <w:t xml:space="preserve">գանգատաբերին հատել «կանաչ գիծը» </w:t>
      </w:r>
      <w:r w:rsidR="000D4440" w:rsidRPr="00EF7399">
        <w:rPr>
          <w:rFonts w:ascii="Times New Roman" w:hAnsi="Times New Roman" w:cs="Times New Roman"/>
          <w:lang w:val="hy-AM"/>
        </w:rPr>
        <w:t>դեպի</w:t>
      </w:r>
      <w:r w:rsidR="00B0018F" w:rsidRPr="00EF7399">
        <w:rPr>
          <w:rFonts w:ascii="Times New Roman" w:hAnsi="Times New Roman" w:cs="Times New Roman"/>
          <w:lang w:val="af-ZA"/>
        </w:rPr>
        <w:t xml:space="preserve"> հարավային Կիպրոս</w:t>
      </w:r>
      <w:r w:rsidR="000D4440" w:rsidRPr="00EF7399">
        <w:rPr>
          <w:rFonts w:ascii="Times New Roman" w:hAnsi="Times New Roman" w:cs="Times New Roman"/>
          <w:lang w:val="hy-AM"/>
        </w:rPr>
        <w:t>՝</w:t>
      </w:r>
      <w:r w:rsidR="00B0018F" w:rsidRPr="00EF7399">
        <w:rPr>
          <w:rFonts w:ascii="Times New Roman" w:hAnsi="Times New Roman" w:cs="Times New Roman"/>
          <w:lang w:val="af-ZA"/>
        </w:rPr>
        <w:t xml:space="preserve"> երկու համայնքների հանդիպումներին մասնակցելու համար</w:t>
      </w:r>
      <w:r w:rsidR="007C73E0" w:rsidRPr="00EF7399">
        <w:rPr>
          <w:rFonts w:ascii="Times New Roman" w:hAnsi="Times New Roman" w:cs="Times New Roman"/>
          <w:lang w:val="af-ZA"/>
        </w:rPr>
        <w:t>)</w:t>
      </w:r>
      <w:r w:rsidR="00B0018F" w:rsidRPr="00EF7399">
        <w:rPr>
          <w:rFonts w:ascii="Times New Roman" w:hAnsi="Times New Roman" w:cs="Times New Roman"/>
          <w:lang w:val="af-ZA"/>
        </w:rPr>
        <w:t xml:space="preserve">, </w:t>
      </w:r>
      <w:r w:rsidR="000D4440" w:rsidRPr="00EF7399">
        <w:rPr>
          <w:rFonts w:ascii="Times New Roman" w:hAnsi="Times New Roman" w:cs="Times New Roman"/>
          <w:lang w:val="hy-AM"/>
        </w:rPr>
        <w:t xml:space="preserve">ինչպես նաև </w:t>
      </w:r>
      <w:r w:rsidR="00B0018F" w:rsidRPr="00EF7399">
        <w:rPr>
          <w:rFonts w:ascii="Times New Roman" w:hAnsi="Times New Roman" w:cs="Times New Roman"/>
          <w:lang w:val="af-ZA"/>
        </w:rPr>
        <w:t xml:space="preserve">մշակութային հավաքույթներին </w:t>
      </w:r>
      <w:r w:rsidR="007C73E0" w:rsidRPr="00EF7399">
        <w:rPr>
          <w:rFonts w:ascii="Times New Roman" w:hAnsi="Times New Roman" w:cs="Times New Roman"/>
          <w:lang w:val="af-ZA"/>
        </w:rPr>
        <w:t>(</w:t>
      </w:r>
      <w:hyperlink r:id="rId81" w:history="1">
        <w:r w:rsidR="007C73E0" w:rsidRPr="00EF7399">
          <w:rPr>
            <w:rStyle w:val="Hyperlink"/>
            <w:rFonts w:ascii="Times New Roman" w:hAnsi="Times New Roman" w:cs="Times New Roman"/>
            <w:lang w:val="af-ZA"/>
          </w:rPr>
          <w:t>The Gypsy Council and Others</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the United Kingdom</w:t>
        </w:r>
      </w:hyperlink>
      <w:r w:rsidR="007C73E0" w:rsidRPr="00EF7399">
        <w:rPr>
          <w:rFonts w:ascii="Times New Roman" w:hAnsi="Times New Roman" w:cs="Times New Roman"/>
          <w:lang w:val="af-ZA"/>
        </w:rPr>
        <w:t xml:space="preserve"> (dec.)</w:t>
      </w:r>
      <w:r w:rsidR="00503BDF" w:rsidRPr="00EF7399">
        <w:rPr>
          <w:rFonts w:ascii="Times New Roman" w:hAnsi="Times New Roman" w:cs="Times New Roman"/>
          <w:lang w:val="af-ZA"/>
        </w:rPr>
        <w:t>, 2002</w:t>
      </w:r>
      <w:r w:rsidR="007C73E0" w:rsidRPr="00EF7399">
        <w:rPr>
          <w:rFonts w:ascii="Times New Roman" w:hAnsi="Times New Roman" w:cs="Times New Roman"/>
          <w:lang w:val="af-ZA"/>
        </w:rPr>
        <w:t>)</w:t>
      </w:r>
      <w:r w:rsidR="00B0018F" w:rsidRPr="00EF7399">
        <w:rPr>
          <w:rFonts w:ascii="Times New Roman" w:hAnsi="Times New Roman" w:cs="Times New Roman"/>
          <w:lang w:val="af-ZA"/>
        </w:rPr>
        <w:t xml:space="preserve">, կրոնական և հոգևոր ժողովներին </w:t>
      </w:r>
      <w:r w:rsidR="007C73E0" w:rsidRPr="00EF7399">
        <w:rPr>
          <w:rFonts w:ascii="Times New Roman" w:hAnsi="Times New Roman" w:cs="Times New Roman"/>
          <w:lang w:val="af-ZA"/>
        </w:rPr>
        <w:t>(</w:t>
      </w:r>
      <w:hyperlink r:id="rId82" w:history="1">
        <w:r w:rsidR="007C73E0" w:rsidRPr="00EF7399">
          <w:rPr>
            <w:rStyle w:val="Hyperlink"/>
            <w:rFonts w:ascii="Times New Roman" w:hAnsi="Times New Roman" w:cs="Times New Roman"/>
            <w:lang w:val="af-ZA"/>
          </w:rPr>
          <w:t>Barankevich</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Russia</w:t>
        </w:r>
      </w:hyperlink>
      <w:r w:rsidR="007C73E0" w:rsidRPr="00EF7399">
        <w:rPr>
          <w:rFonts w:ascii="Times New Roman" w:hAnsi="Times New Roman" w:cs="Times New Roman"/>
          <w:lang w:val="af-ZA"/>
        </w:rPr>
        <w:t xml:space="preserve">, </w:t>
      </w:r>
      <w:r w:rsidR="00503BDF" w:rsidRPr="00EF7399">
        <w:rPr>
          <w:rFonts w:ascii="Times New Roman" w:hAnsi="Times New Roman" w:cs="Times New Roman"/>
          <w:lang w:val="af-ZA"/>
        </w:rPr>
        <w:t xml:space="preserve">2007,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15)</w:t>
      </w:r>
      <w:r w:rsidR="00B0018F" w:rsidRPr="00EF7399">
        <w:rPr>
          <w:rFonts w:ascii="Times New Roman" w:hAnsi="Times New Roman" w:cs="Times New Roman"/>
          <w:lang w:val="af-ZA"/>
        </w:rPr>
        <w:t xml:space="preserve">: Պաշտոնական հանդիպումները, </w:t>
      </w:r>
      <w:r w:rsidR="00E25194" w:rsidRPr="00EF7399">
        <w:rPr>
          <w:rFonts w:ascii="Times New Roman" w:hAnsi="Times New Roman" w:cs="Times New Roman"/>
          <w:lang w:val="af-ZA"/>
        </w:rPr>
        <w:t xml:space="preserve">մասնավորապես` խորհրդարանական նիստերը, ընկնում են 11-րդ հոդվածի կարգավորման </w:t>
      </w:r>
      <w:r w:rsidR="000D4440" w:rsidRPr="00EF7399">
        <w:rPr>
          <w:rFonts w:ascii="Times New Roman" w:hAnsi="Times New Roman" w:cs="Times New Roman"/>
          <w:lang w:val="hy-AM"/>
        </w:rPr>
        <w:t>շրջանակում</w:t>
      </w:r>
      <w:r w:rsidR="000D4440" w:rsidRPr="00EF7399">
        <w:rPr>
          <w:rFonts w:ascii="Times New Roman" w:hAnsi="Times New Roman" w:cs="Times New Roman"/>
          <w:lang w:val="af-ZA"/>
        </w:rPr>
        <w:t xml:space="preserve"> </w:t>
      </w:r>
      <w:r w:rsidR="001B04CE" w:rsidRPr="00EF7399">
        <w:rPr>
          <w:rFonts w:ascii="Times New Roman" w:hAnsi="Times New Roman" w:cs="Times New Roman"/>
          <w:lang w:val="af-ZA"/>
        </w:rPr>
        <w:t>(</w:t>
      </w:r>
      <w:hyperlink r:id="rId83" w:history="1">
        <w:r w:rsidR="00C10117" w:rsidRPr="00EF7399">
          <w:rPr>
            <w:rStyle w:val="Hyperlink"/>
            <w:rFonts w:ascii="Times New Roman" w:hAnsi="Times New Roman" w:cs="Times New Roman"/>
            <w:lang w:val="af-ZA"/>
          </w:rPr>
          <w:t>Forcadell i lluis</w:t>
        </w:r>
        <w:r w:rsidR="00873234" w:rsidRPr="00EF7399">
          <w:rPr>
            <w:rStyle w:val="Hyperlink"/>
            <w:rFonts w:ascii="Times New Roman" w:hAnsi="Times New Roman" w:cs="Times New Roman"/>
            <w:lang w:val="af-ZA"/>
          </w:rPr>
          <w:t xml:space="preserve"> v. </w:t>
        </w:r>
        <w:r w:rsidR="00C10117" w:rsidRPr="00EF7399">
          <w:rPr>
            <w:rStyle w:val="Hyperlink"/>
            <w:rFonts w:ascii="Times New Roman" w:hAnsi="Times New Roman" w:cs="Times New Roman"/>
            <w:lang w:val="af-ZA"/>
          </w:rPr>
          <w:t>Spain</w:t>
        </w:r>
      </w:hyperlink>
      <w:r w:rsidR="001B04CE" w:rsidRPr="00EF7399">
        <w:rPr>
          <w:rStyle w:val="sb8d990e2"/>
          <w:rFonts w:ascii="Times New Roman" w:hAnsi="Times New Roman" w:cs="Times New Roman"/>
          <w:lang w:val="af-ZA"/>
        </w:rPr>
        <w:t xml:space="preserve"> (dec.),</w:t>
      </w:r>
      <w:r w:rsidR="00503BDF" w:rsidRPr="00EF7399">
        <w:rPr>
          <w:rStyle w:val="sb8d990e2"/>
          <w:rFonts w:ascii="Times New Roman" w:hAnsi="Times New Roman" w:cs="Times New Roman"/>
          <w:lang w:val="af-ZA"/>
        </w:rPr>
        <w:t xml:space="preserve"> 2019,</w:t>
      </w:r>
      <w:r w:rsidR="001B04CE" w:rsidRPr="00EF7399">
        <w:rPr>
          <w:rStyle w:val="sb8d990e2"/>
          <w:rFonts w:ascii="Times New Roman" w:hAnsi="Times New Roman" w:cs="Times New Roman"/>
          <w:lang w:val="af-ZA"/>
        </w:rPr>
        <w:t xml:space="preserve"> </w:t>
      </w:r>
      <w:r w:rsidR="00873234" w:rsidRPr="00EF7399">
        <w:rPr>
          <w:rStyle w:val="sb8d990e2"/>
          <w:rFonts w:ascii="Times New Roman" w:hAnsi="Times New Roman" w:cs="Times New Roman"/>
          <w:lang w:val="af-ZA"/>
        </w:rPr>
        <w:t>§ </w:t>
      </w:r>
      <w:r w:rsidR="001B04CE" w:rsidRPr="00EF7399">
        <w:rPr>
          <w:rStyle w:val="sb8d990e2"/>
          <w:rFonts w:ascii="Times New Roman" w:hAnsi="Times New Roman" w:cs="Times New Roman"/>
          <w:lang w:val="af-ZA"/>
        </w:rPr>
        <w:t>24</w:t>
      </w:r>
      <w:r w:rsidR="001B04CE" w:rsidRPr="00EF7399">
        <w:rPr>
          <w:rFonts w:ascii="Times New Roman" w:hAnsi="Times New Roman" w:cs="Times New Roman"/>
          <w:lang w:val="af-ZA"/>
        </w:rPr>
        <w:t>)</w:t>
      </w:r>
      <w:r w:rsidR="00E25194" w:rsidRPr="00EF7399">
        <w:rPr>
          <w:rFonts w:ascii="Times New Roman" w:hAnsi="Times New Roman" w:cs="Times New Roman"/>
          <w:lang w:val="af-ZA"/>
        </w:rPr>
        <w:t>:</w:t>
      </w:r>
    </w:p>
    <w:p w14:paraId="443CC367" w14:textId="68DC1F6D" w:rsidR="00E976B6" w:rsidRPr="00EF7399" w:rsidRDefault="00EF327B" w:rsidP="00B41E9B">
      <w:pPr>
        <w:pStyle w:val="ECHRHeading3"/>
        <w:rPr>
          <w:rFonts w:ascii="Times New Roman" w:hAnsi="Times New Roman" w:cs="Times New Roman"/>
          <w:lang w:val="af-ZA"/>
        </w:rPr>
      </w:pPr>
      <w:bookmarkStart w:id="29" w:name="_Toc436664098"/>
      <w:bookmarkStart w:id="30" w:name="_Toc436664765"/>
      <w:bookmarkStart w:id="31" w:name="_Toc436741691"/>
      <w:bookmarkStart w:id="32" w:name="_Toc436833765"/>
      <w:bookmarkStart w:id="33" w:name="_Toc437417581"/>
      <w:bookmarkStart w:id="34" w:name="_Toc441568628"/>
      <w:bookmarkStart w:id="35" w:name="Freedom_forum"/>
      <w:bookmarkStart w:id="36" w:name="_Toc159945209"/>
      <w:r w:rsidRPr="00EF7399">
        <w:rPr>
          <w:rFonts w:ascii="Times New Roman" w:hAnsi="Times New Roman" w:cs="Times New Roman"/>
          <w:lang w:val="af-ZA"/>
        </w:rPr>
        <w:t>Հավաքի վայր</w:t>
      </w:r>
      <w:r w:rsidR="00FE4300" w:rsidRPr="00EF7399">
        <w:rPr>
          <w:rFonts w:ascii="Times New Roman" w:hAnsi="Times New Roman" w:cs="Times New Roman"/>
          <w:lang w:val="af-ZA"/>
        </w:rPr>
        <w:t>ի ազատությունը</w:t>
      </w:r>
      <w:bookmarkEnd w:id="36"/>
      <w:r w:rsidRPr="00EF7399">
        <w:rPr>
          <w:rFonts w:ascii="Times New Roman" w:hAnsi="Times New Roman" w:cs="Times New Roman"/>
          <w:lang w:val="af-ZA"/>
        </w:rPr>
        <w:t xml:space="preserve"> </w:t>
      </w:r>
      <w:bookmarkEnd w:id="29"/>
      <w:bookmarkEnd w:id="30"/>
      <w:bookmarkEnd w:id="31"/>
      <w:bookmarkEnd w:id="32"/>
      <w:bookmarkEnd w:id="33"/>
      <w:bookmarkEnd w:id="34"/>
      <w:bookmarkEnd w:id="35"/>
    </w:p>
    <w:p w14:paraId="6A21244D" w14:textId="31674529" w:rsidR="000924FB" w:rsidRPr="001B2612" w:rsidRDefault="000924FB" w:rsidP="000924FB">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20</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E25194" w:rsidRPr="00EF7399">
        <w:rPr>
          <w:rFonts w:ascii="Times New Roman" w:hAnsi="Times New Roman" w:cs="Times New Roman"/>
          <w:lang w:val="af-ZA"/>
        </w:rPr>
        <w:t xml:space="preserve">Հավաքների ազատության իրավունքը ներառում է 11-րդ հոդվածի 2-րդ մասի շրջանակներում հավաքն անցկացնելու ժամը, վայրը և ձևն ընտրելու իրավունքը </w:t>
      </w:r>
      <w:r w:rsidR="007C73E0" w:rsidRPr="00EF7399">
        <w:rPr>
          <w:rFonts w:ascii="Times New Roman" w:hAnsi="Times New Roman" w:cs="Times New Roman"/>
          <w:lang w:val="af-ZA"/>
        </w:rPr>
        <w:t>(</w:t>
      </w:r>
      <w:hyperlink r:id="rId84" w:history="1">
        <w:r w:rsidR="007C73E0" w:rsidRPr="00EF7399">
          <w:rPr>
            <w:rStyle w:val="Hyperlink"/>
            <w:rFonts w:ascii="Times New Roman" w:hAnsi="Times New Roman" w:cs="Times New Roman"/>
            <w:lang w:val="af-ZA"/>
          </w:rPr>
          <w:t>Sáska</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Hungary</w:t>
        </w:r>
      </w:hyperlink>
      <w:r w:rsidR="007C73E0" w:rsidRPr="00EF7399">
        <w:rPr>
          <w:rFonts w:ascii="Times New Roman" w:hAnsi="Times New Roman" w:cs="Times New Roman"/>
          <w:lang w:val="af-ZA"/>
        </w:rPr>
        <w:t xml:space="preserve">, </w:t>
      </w:r>
      <w:r w:rsidR="00503BDF" w:rsidRPr="00EF7399">
        <w:rPr>
          <w:rFonts w:ascii="Times New Roman" w:hAnsi="Times New Roman" w:cs="Times New Roman"/>
          <w:lang w:val="af-ZA"/>
        </w:rPr>
        <w:t xml:space="preserve">2012,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21)</w:t>
      </w:r>
      <w:r w:rsidR="00E25194" w:rsidRPr="00EF7399">
        <w:rPr>
          <w:rFonts w:ascii="Times New Roman" w:hAnsi="Times New Roman" w:cs="Times New Roman"/>
          <w:lang w:val="af-ZA"/>
        </w:rPr>
        <w:t>:</w:t>
      </w:r>
      <w:r w:rsidR="007C73E0" w:rsidRPr="00EF7399">
        <w:rPr>
          <w:rFonts w:ascii="Times New Roman" w:hAnsi="Times New Roman" w:cs="Times New Roman"/>
          <w:lang w:val="af-ZA"/>
        </w:rPr>
        <w:t xml:space="preserve"> </w:t>
      </w:r>
      <w:r w:rsidR="00E25194" w:rsidRPr="00EF7399">
        <w:rPr>
          <w:rFonts w:ascii="Times New Roman" w:hAnsi="Times New Roman" w:cs="Times New Roman"/>
          <w:lang w:val="af-ZA"/>
        </w:rPr>
        <w:t>Հետևաբար, ե</w:t>
      </w:r>
      <w:r w:rsidR="00A6344A" w:rsidRPr="00EF7399">
        <w:rPr>
          <w:rFonts w:ascii="Times New Roman" w:hAnsi="Times New Roman" w:cs="Times New Roman"/>
          <w:lang w:val="hy-AM"/>
        </w:rPr>
        <w:t>րբ</w:t>
      </w:r>
      <w:r w:rsidR="00E25194" w:rsidRPr="00EF7399">
        <w:rPr>
          <w:rFonts w:ascii="Times New Roman" w:hAnsi="Times New Roman" w:cs="Times New Roman"/>
          <w:lang w:val="af-ZA"/>
        </w:rPr>
        <w:t xml:space="preserve"> հավաքի վայրը կարևոր է մասնակիցների համար</w:t>
      </w:r>
      <w:r w:rsidR="00B56D31" w:rsidRPr="00EF7399">
        <w:rPr>
          <w:rFonts w:ascii="Times New Roman" w:hAnsi="Times New Roman" w:cs="Times New Roman"/>
          <w:lang w:val="af-ZA"/>
        </w:rPr>
        <w:t>, այն փո</w:t>
      </w:r>
      <w:r w:rsidR="00A6344A" w:rsidRPr="00EF7399">
        <w:rPr>
          <w:rFonts w:ascii="Times New Roman" w:hAnsi="Times New Roman" w:cs="Times New Roman"/>
          <w:lang w:val="hy-AM"/>
        </w:rPr>
        <w:t>փո</w:t>
      </w:r>
      <w:r w:rsidR="00B56D31" w:rsidRPr="00EF7399">
        <w:rPr>
          <w:rFonts w:ascii="Times New Roman" w:hAnsi="Times New Roman" w:cs="Times New Roman"/>
          <w:lang w:val="af-ZA"/>
        </w:rPr>
        <w:t>խելու հրահանգը կարող է համարվել միջամտություն հավաքների ազատության նրանց իրավունքին</w:t>
      </w:r>
      <w:r w:rsidR="00A6344A" w:rsidRPr="00EF7399">
        <w:rPr>
          <w:rFonts w:ascii="Times New Roman" w:hAnsi="Times New Roman" w:cs="Times New Roman"/>
          <w:lang w:val="hy-AM"/>
        </w:rPr>
        <w:t xml:space="preserve">՝ </w:t>
      </w:r>
      <w:r w:rsidR="00A6344A" w:rsidRPr="00EF7399">
        <w:rPr>
          <w:rFonts w:ascii="Times New Roman" w:hAnsi="Times New Roman" w:cs="Times New Roman"/>
          <w:lang w:val="af-ZA"/>
        </w:rPr>
        <w:t xml:space="preserve">Կոնվենցիայի 11-րդ հոդվածի </w:t>
      </w:r>
      <w:r w:rsidR="00A6344A" w:rsidRPr="00EF7399">
        <w:rPr>
          <w:rFonts w:ascii="Times New Roman" w:hAnsi="Times New Roman" w:cs="Times New Roman"/>
          <w:lang w:val="hy-AM"/>
        </w:rPr>
        <w:t>ներքո</w:t>
      </w:r>
      <w:r w:rsidR="00B56D31" w:rsidRPr="00EF7399">
        <w:rPr>
          <w:rFonts w:ascii="Times New Roman" w:hAnsi="Times New Roman" w:cs="Times New Roman"/>
          <w:lang w:val="af-ZA"/>
        </w:rPr>
        <w:t xml:space="preserve"> </w:t>
      </w:r>
      <w:r w:rsidR="007C73E0" w:rsidRPr="00EF7399">
        <w:rPr>
          <w:rFonts w:ascii="Times New Roman" w:hAnsi="Times New Roman" w:cs="Times New Roman"/>
          <w:lang w:val="af-ZA"/>
        </w:rPr>
        <w:t>(</w:t>
      </w:r>
      <w:hyperlink r:id="rId85" w:history="1">
        <w:r w:rsidR="003F7A5C" w:rsidRPr="00EF7399">
          <w:rPr>
            <w:rStyle w:val="Hyperlink"/>
            <w:rFonts w:ascii="Times New Roman" w:hAnsi="Times New Roman" w:cs="Times New Roman"/>
            <w:lang w:val="af-ZA"/>
          </w:rPr>
          <w:t>The United Macedonian Organisation Ilinden and Ivanov</w:t>
        </w:r>
        <w:r w:rsidR="00873234" w:rsidRPr="00EF7399">
          <w:rPr>
            <w:rStyle w:val="Hyperlink"/>
            <w:rFonts w:ascii="Times New Roman" w:hAnsi="Times New Roman" w:cs="Times New Roman"/>
            <w:lang w:val="af-ZA"/>
          </w:rPr>
          <w:t xml:space="preserve"> v. </w:t>
        </w:r>
        <w:r w:rsidR="003F7A5C" w:rsidRPr="00EF7399">
          <w:rPr>
            <w:rStyle w:val="Hyperlink"/>
            <w:rFonts w:ascii="Times New Roman" w:hAnsi="Times New Roman" w:cs="Times New Roman"/>
            <w:lang w:val="af-ZA"/>
          </w:rPr>
          <w:t>Bulgaria</w:t>
        </w:r>
      </w:hyperlink>
      <w:r w:rsidR="007C73E0" w:rsidRPr="00EF7399">
        <w:rPr>
          <w:rFonts w:ascii="Times New Roman" w:hAnsi="Times New Roman" w:cs="Times New Roman"/>
          <w:lang w:val="af-ZA"/>
        </w:rPr>
        <w:t xml:space="preserve">, </w:t>
      </w:r>
      <w:r w:rsidR="00503BDF" w:rsidRPr="00EF7399">
        <w:rPr>
          <w:rFonts w:ascii="Times New Roman" w:hAnsi="Times New Roman" w:cs="Times New Roman"/>
          <w:lang w:val="af-ZA"/>
        </w:rPr>
        <w:t xml:space="preserve">2005,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 xml:space="preserve">103; </w:t>
      </w:r>
      <w:hyperlink r:id="rId86" w:history="1">
        <w:r w:rsidR="007C73E0" w:rsidRPr="00EF7399">
          <w:rPr>
            <w:rStyle w:val="Hyperlink"/>
            <w:rFonts w:ascii="Times New Roman" w:hAnsi="Times New Roman" w:cs="Times New Roman"/>
            <w:lang w:val="af-ZA"/>
          </w:rPr>
          <w:t>Lashmankin and Others</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Russia</w:t>
        </w:r>
      </w:hyperlink>
      <w:r w:rsidR="007C73E0" w:rsidRPr="00EF7399">
        <w:rPr>
          <w:rFonts w:ascii="Times New Roman" w:hAnsi="Times New Roman" w:cs="Times New Roman"/>
          <w:lang w:val="af-ZA"/>
        </w:rPr>
        <w:t xml:space="preserve">, </w:t>
      </w:r>
      <w:r w:rsidR="00503BDF" w:rsidRPr="00EF7399">
        <w:rPr>
          <w:rFonts w:ascii="Times New Roman" w:hAnsi="Times New Roman" w:cs="Times New Roman"/>
          <w:lang w:val="af-ZA"/>
        </w:rPr>
        <w:t xml:space="preserve">2017,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405</w:t>
      </w:r>
      <w:r w:rsidR="005C7F7C" w:rsidRPr="00EF7399">
        <w:rPr>
          <w:rFonts w:ascii="Times New Roman" w:hAnsi="Times New Roman" w:cs="Times New Roman"/>
          <w:lang w:val="af-ZA"/>
        </w:rPr>
        <w:t xml:space="preserve">; </w:t>
      </w:r>
      <w:hyperlink r:id="rId87" w:history="1">
        <w:r w:rsidR="005C7F7C" w:rsidRPr="00EF7399">
          <w:rPr>
            <w:rStyle w:val="Hyperlink"/>
            <w:rFonts w:ascii="Times New Roman" w:hAnsi="Times New Roman" w:cs="Times New Roman"/>
            <w:iCs/>
            <w:lang w:val="af-ZA"/>
          </w:rPr>
          <w:t>Mustafa Hajili and Others v. Azerbaijan</w:t>
        </w:r>
      </w:hyperlink>
      <w:r w:rsidR="005C7F7C" w:rsidRPr="00EF7399">
        <w:rPr>
          <w:rFonts w:ascii="Times New Roman" w:hAnsi="Times New Roman" w:cs="Times New Roman"/>
          <w:lang w:val="af-ZA"/>
        </w:rPr>
        <w:t>, 2022, § 65</w:t>
      </w:r>
      <w:r w:rsidR="007C73E0" w:rsidRPr="00EF7399">
        <w:rPr>
          <w:rFonts w:ascii="Times New Roman" w:hAnsi="Times New Roman" w:cs="Times New Roman"/>
          <w:lang w:val="af-ZA"/>
        </w:rPr>
        <w:t>)</w:t>
      </w:r>
      <w:r w:rsidR="00B56D31" w:rsidRPr="00EF7399">
        <w:rPr>
          <w:rFonts w:ascii="Times New Roman" w:hAnsi="Times New Roman" w:cs="Times New Roman"/>
          <w:lang w:val="af-ZA"/>
        </w:rPr>
        <w:t>:</w:t>
      </w:r>
    </w:p>
    <w:p w14:paraId="147A8EAB" w14:textId="402647E4" w:rsidR="000924FB" w:rsidRPr="00EF7399" w:rsidRDefault="000924FB" w:rsidP="000924FB">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21</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CA612F" w:rsidRPr="00EF7399">
        <w:rPr>
          <w:rFonts w:ascii="Times New Roman" w:hAnsi="Times New Roman" w:cs="Times New Roman"/>
          <w:lang w:val="hy-AM"/>
        </w:rPr>
        <w:t>Այդուհանդերձ,</w:t>
      </w:r>
      <w:r w:rsidR="00CA612F" w:rsidRPr="00EF7399">
        <w:rPr>
          <w:rFonts w:ascii="Times New Roman" w:hAnsi="Times New Roman" w:cs="Times New Roman"/>
          <w:lang w:val="af-ZA"/>
        </w:rPr>
        <w:t xml:space="preserve"> </w:t>
      </w:r>
      <w:r w:rsidR="00A930E6" w:rsidRPr="00EF7399">
        <w:rPr>
          <w:rFonts w:ascii="Times New Roman" w:hAnsi="Times New Roman" w:cs="Times New Roman"/>
          <w:lang w:val="af-ZA"/>
        </w:rPr>
        <w:t>10-րդ հոդվածը</w:t>
      </w:r>
      <w:r w:rsidR="00CA612F" w:rsidRPr="00EF7399">
        <w:rPr>
          <w:rFonts w:ascii="Times New Roman" w:hAnsi="Times New Roman" w:cs="Times New Roman"/>
          <w:lang w:val="hy-AM"/>
        </w:rPr>
        <w:t xml:space="preserve"> և հետևաբար,</w:t>
      </w:r>
      <w:r w:rsidR="00A930E6" w:rsidRPr="00EF7399">
        <w:rPr>
          <w:rFonts w:ascii="Times New Roman" w:hAnsi="Times New Roman" w:cs="Times New Roman"/>
          <w:lang w:val="af-ZA"/>
        </w:rPr>
        <w:t xml:space="preserve"> 11-րդ հոդված</w:t>
      </w:r>
      <w:r w:rsidR="00CA612F" w:rsidRPr="00EF7399">
        <w:rPr>
          <w:rFonts w:ascii="Times New Roman" w:hAnsi="Times New Roman" w:cs="Times New Roman"/>
          <w:lang w:val="hy-AM"/>
        </w:rPr>
        <w:t xml:space="preserve">ը </w:t>
      </w:r>
      <w:r w:rsidR="00A930E6" w:rsidRPr="00EF7399">
        <w:rPr>
          <w:rFonts w:ascii="Times New Roman" w:hAnsi="Times New Roman" w:cs="Times New Roman"/>
          <w:lang w:val="af-ZA"/>
        </w:rPr>
        <w:t>չ</w:t>
      </w:r>
      <w:r w:rsidR="00CA612F" w:rsidRPr="00EF7399">
        <w:rPr>
          <w:rFonts w:ascii="Times New Roman" w:hAnsi="Times New Roman" w:cs="Times New Roman"/>
          <w:lang w:val="hy-AM"/>
        </w:rPr>
        <w:t>են</w:t>
      </w:r>
      <w:r w:rsidR="00A930E6" w:rsidRPr="00EF7399">
        <w:rPr>
          <w:rFonts w:ascii="Times New Roman" w:hAnsi="Times New Roman" w:cs="Times New Roman"/>
          <w:lang w:val="af-ZA"/>
        </w:rPr>
        <w:t xml:space="preserve"> տալիս այդ իրավունք</w:t>
      </w:r>
      <w:r w:rsidR="00CA612F" w:rsidRPr="00EF7399">
        <w:rPr>
          <w:rFonts w:ascii="Times New Roman" w:hAnsi="Times New Roman" w:cs="Times New Roman"/>
          <w:lang w:val="hy-AM"/>
        </w:rPr>
        <w:t xml:space="preserve">ի իրացման </w:t>
      </w:r>
      <w:r w:rsidR="00A930E6" w:rsidRPr="00EF7399">
        <w:rPr>
          <w:rFonts w:ascii="Times New Roman" w:hAnsi="Times New Roman" w:cs="Times New Roman"/>
          <w:lang w:val="af-ZA"/>
        </w:rPr>
        <w:t xml:space="preserve">համար վայրի ընտրության </w:t>
      </w:r>
      <w:r w:rsidR="00CA612F" w:rsidRPr="00EF7399">
        <w:rPr>
          <w:rFonts w:ascii="Times New Roman" w:hAnsi="Times New Roman" w:cs="Times New Roman"/>
          <w:lang w:val="hy-AM"/>
        </w:rPr>
        <w:t>ցանկացած</w:t>
      </w:r>
      <w:r w:rsidR="00CA612F" w:rsidRPr="00EF7399">
        <w:rPr>
          <w:rFonts w:ascii="Times New Roman" w:hAnsi="Times New Roman" w:cs="Times New Roman"/>
          <w:lang w:val="af-ZA"/>
        </w:rPr>
        <w:t xml:space="preserve"> </w:t>
      </w:r>
      <w:r w:rsidR="00A930E6" w:rsidRPr="00EF7399">
        <w:rPr>
          <w:rFonts w:ascii="Times New Roman" w:hAnsi="Times New Roman" w:cs="Times New Roman"/>
          <w:lang w:val="af-ZA"/>
        </w:rPr>
        <w:t xml:space="preserve">ազատություն: Մասնավորապես, այդ դրույթն ինքնաբերաբար չի առաջացնում մասնավոր կամ նույնիսկ պետական սեփականություն հանդիսացող բոլոր տարածքներ, օրինակ` կառավարական շենքեր, համալսարանական մասնաշենքեր կամ դատարաններ մուտք գործելու իրավունքներ </w:t>
      </w:r>
      <w:r w:rsidR="007C73E0" w:rsidRPr="00EF7399">
        <w:rPr>
          <w:rFonts w:ascii="Times New Roman" w:hAnsi="Times New Roman" w:cs="Times New Roman"/>
          <w:lang w:val="af-ZA"/>
        </w:rPr>
        <w:t>(</w:t>
      </w:r>
      <w:hyperlink r:id="rId88" w:history="1">
        <w:r w:rsidR="007C73E0" w:rsidRPr="00EF7399">
          <w:rPr>
            <w:rStyle w:val="Hyperlink"/>
            <w:rFonts w:ascii="Times New Roman" w:hAnsi="Times New Roman" w:cs="Times New Roman"/>
            <w:lang w:val="af-ZA"/>
          </w:rPr>
          <w:t>Appleby and Others</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the United Kingdom</w:t>
        </w:r>
      </w:hyperlink>
      <w:r w:rsidR="007C73E0" w:rsidRPr="00EF7399">
        <w:rPr>
          <w:rFonts w:ascii="Times New Roman" w:hAnsi="Times New Roman" w:cs="Times New Roman"/>
          <w:lang w:val="af-ZA"/>
        </w:rPr>
        <w:t xml:space="preserve">, </w:t>
      </w:r>
      <w:r w:rsidR="00503BDF" w:rsidRPr="00EF7399">
        <w:rPr>
          <w:rFonts w:ascii="Times New Roman" w:hAnsi="Times New Roman" w:cs="Times New Roman"/>
          <w:lang w:val="af-ZA"/>
        </w:rPr>
        <w:t xml:space="preserve">2003,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 xml:space="preserve">47; </w:t>
      </w:r>
      <w:hyperlink r:id="rId89" w:history="1">
        <w:r w:rsidR="007C73E0" w:rsidRPr="00EF7399">
          <w:rPr>
            <w:rStyle w:val="Hyperlink"/>
            <w:rFonts w:ascii="Times New Roman" w:hAnsi="Times New Roman" w:cs="Times New Roman"/>
            <w:lang w:val="af-ZA"/>
          </w:rPr>
          <w:t>Taranenko</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Russia</w:t>
        </w:r>
      </w:hyperlink>
      <w:r w:rsidR="007C73E0" w:rsidRPr="00EF7399">
        <w:rPr>
          <w:rFonts w:ascii="Times New Roman" w:hAnsi="Times New Roman" w:cs="Times New Roman"/>
          <w:lang w:val="af-ZA"/>
        </w:rPr>
        <w:t xml:space="preserve">, </w:t>
      </w:r>
      <w:r w:rsidR="00503BDF"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 xml:space="preserve">78; </w:t>
      </w:r>
      <w:hyperlink r:id="rId90" w:history="1">
        <w:r w:rsidR="007C73E0" w:rsidRPr="00EF7399">
          <w:rPr>
            <w:rStyle w:val="Hyperlink"/>
            <w:rFonts w:ascii="Times New Roman" w:hAnsi="Times New Roman" w:cs="Times New Roman"/>
            <w:iCs/>
            <w:lang w:val="af-ZA"/>
          </w:rPr>
          <w:t>Tuskia and Others</w:t>
        </w:r>
        <w:r w:rsidR="00873234" w:rsidRPr="00EF7399">
          <w:rPr>
            <w:rStyle w:val="Hyperlink"/>
            <w:rFonts w:ascii="Times New Roman" w:hAnsi="Times New Roman" w:cs="Times New Roman"/>
            <w:iCs/>
            <w:lang w:val="af-ZA"/>
          </w:rPr>
          <w:t xml:space="preserve"> v. </w:t>
        </w:r>
        <w:r w:rsidR="007C73E0" w:rsidRPr="00EF7399">
          <w:rPr>
            <w:rStyle w:val="Hyperlink"/>
            <w:rFonts w:ascii="Times New Roman" w:hAnsi="Times New Roman" w:cs="Times New Roman"/>
            <w:iCs/>
            <w:lang w:val="af-ZA"/>
          </w:rPr>
          <w:t>Georgia</w:t>
        </w:r>
      </w:hyperlink>
      <w:r w:rsidR="007C73E0" w:rsidRPr="00EF7399">
        <w:rPr>
          <w:rFonts w:ascii="Times New Roman" w:hAnsi="Times New Roman" w:cs="Times New Roman"/>
          <w:lang w:val="af-ZA"/>
        </w:rPr>
        <w:t xml:space="preserve">, </w:t>
      </w:r>
      <w:r w:rsidR="00503BDF" w:rsidRPr="00EF7399">
        <w:rPr>
          <w:rFonts w:ascii="Times New Roman" w:hAnsi="Times New Roman" w:cs="Times New Roman"/>
          <w:lang w:val="af-ZA"/>
        </w:rPr>
        <w:t xml:space="preserve">2018,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72</w:t>
      </w:r>
      <w:r w:rsidR="00AC7150" w:rsidRPr="00EF7399">
        <w:rPr>
          <w:rFonts w:ascii="Times New Roman" w:hAnsi="Times New Roman" w:cs="Times New Roman"/>
          <w:lang w:val="af-ZA"/>
        </w:rPr>
        <w:t xml:space="preserve">; </w:t>
      </w:r>
      <w:hyperlink r:id="rId91" w:history="1">
        <w:r w:rsidR="00AC7150" w:rsidRPr="00EF7399">
          <w:rPr>
            <w:rStyle w:val="Hyperlink"/>
            <w:rFonts w:ascii="Times New Roman" w:hAnsi="Times New Roman" w:cs="Times New Roman"/>
            <w:iCs/>
            <w:lang w:val="af-ZA"/>
          </w:rPr>
          <w:t>Ekrem Can and Others</w:t>
        </w:r>
        <w:r w:rsidR="00873234" w:rsidRPr="00EF7399">
          <w:rPr>
            <w:rStyle w:val="Hyperlink"/>
            <w:rFonts w:ascii="Times New Roman" w:hAnsi="Times New Roman" w:cs="Times New Roman"/>
            <w:iCs/>
            <w:lang w:val="af-ZA"/>
          </w:rPr>
          <w:t xml:space="preserve"> v. </w:t>
        </w:r>
        <w:r w:rsidR="00AC7150" w:rsidRPr="00EF7399">
          <w:rPr>
            <w:rStyle w:val="Hyperlink"/>
            <w:rFonts w:ascii="Times New Roman" w:hAnsi="Times New Roman" w:cs="Times New Roman"/>
            <w:iCs/>
            <w:lang w:val="af-ZA"/>
          </w:rPr>
          <w:t>Turkey</w:t>
        </w:r>
      </w:hyperlink>
      <w:r w:rsidR="00AC7150" w:rsidRPr="00EF7399">
        <w:rPr>
          <w:rFonts w:ascii="Times New Roman" w:hAnsi="Times New Roman" w:cs="Times New Roman"/>
          <w:lang w:val="af-ZA"/>
        </w:rPr>
        <w:t xml:space="preserve">, 2022, </w:t>
      </w:r>
      <w:r w:rsidR="00873234" w:rsidRPr="00EF7399">
        <w:rPr>
          <w:rFonts w:ascii="Times New Roman" w:hAnsi="Times New Roman" w:cs="Times New Roman"/>
          <w:lang w:val="af-ZA"/>
        </w:rPr>
        <w:t>§ </w:t>
      </w:r>
      <w:r w:rsidR="00AC7150" w:rsidRPr="00EF7399">
        <w:rPr>
          <w:rFonts w:ascii="Times New Roman" w:hAnsi="Times New Roman" w:cs="Times New Roman"/>
          <w:lang w:val="af-ZA"/>
        </w:rPr>
        <w:t>91</w:t>
      </w:r>
      <w:r w:rsidR="007C73E0" w:rsidRPr="00EF7399">
        <w:rPr>
          <w:rFonts w:ascii="Times New Roman" w:hAnsi="Times New Roman" w:cs="Times New Roman"/>
          <w:lang w:val="af-ZA"/>
        </w:rPr>
        <w:t>)</w:t>
      </w:r>
      <w:r w:rsidR="00A930E6" w:rsidRPr="00EF7399">
        <w:rPr>
          <w:rFonts w:ascii="Times New Roman" w:hAnsi="Times New Roman" w:cs="Times New Roman"/>
          <w:lang w:val="af-ZA"/>
        </w:rPr>
        <w:t xml:space="preserve">: Ոչ էլ 11-րդ հոդվածն է </w:t>
      </w:r>
      <w:r w:rsidR="00207480" w:rsidRPr="00EF7399">
        <w:rPr>
          <w:rFonts w:ascii="Times New Roman" w:hAnsi="Times New Roman" w:cs="Times New Roman"/>
          <w:lang w:val="af-ZA"/>
        </w:rPr>
        <w:t xml:space="preserve">երաշխավորում որևէ անձի նախընտրած վայրում, օրինակ` հանրային այգում, բողոքի ճամբար տեղակայելու իրավունք, թեև նման ժամանակավոր կառույցները որոշ հանգամանքներում հանդիսանում են քաղաքական արտահայտման ձև, որոնց նկատմամբ սահմանափակումները պետք է համապատասխանեն Կոնվենցիայի 10-րդ հոդվածի 2-րդ մասի պահանջներին </w:t>
      </w:r>
      <w:r w:rsidR="007C73E0" w:rsidRPr="00EF7399">
        <w:rPr>
          <w:rFonts w:ascii="Times New Roman" w:hAnsi="Times New Roman" w:cs="Times New Roman"/>
          <w:lang w:val="af-ZA"/>
        </w:rPr>
        <w:t>(</w:t>
      </w:r>
      <w:hyperlink r:id="rId92" w:history="1">
        <w:r w:rsidR="007C73E0" w:rsidRPr="00EF7399">
          <w:rPr>
            <w:rStyle w:val="Hyperlink"/>
            <w:rFonts w:ascii="Times New Roman" w:hAnsi="Times New Roman" w:cs="Times New Roman"/>
            <w:lang w:val="af-ZA"/>
          </w:rPr>
          <w:t>Frumkin</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Russia</w:t>
        </w:r>
      </w:hyperlink>
      <w:r w:rsidR="007C73E0" w:rsidRPr="00EF7399">
        <w:rPr>
          <w:rFonts w:ascii="Times New Roman" w:hAnsi="Times New Roman" w:cs="Times New Roman"/>
          <w:lang w:val="af-ZA"/>
        </w:rPr>
        <w:t xml:space="preserve">, </w:t>
      </w:r>
      <w:r w:rsidR="00503BDF" w:rsidRPr="00EF7399">
        <w:rPr>
          <w:rFonts w:ascii="Times New Roman" w:hAnsi="Times New Roman" w:cs="Times New Roman"/>
          <w:lang w:val="af-ZA"/>
        </w:rPr>
        <w:t xml:space="preserve">2016,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107)</w:t>
      </w:r>
      <w:r w:rsidR="00207480" w:rsidRPr="00EF7399">
        <w:rPr>
          <w:rFonts w:ascii="Times New Roman" w:hAnsi="Times New Roman" w:cs="Times New Roman"/>
          <w:lang w:val="af-ZA"/>
        </w:rPr>
        <w:t>:</w:t>
      </w:r>
    </w:p>
    <w:p w14:paraId="3CBFF0CA" w14:textId="4F6CE73B" w:rsidR="000924FB" w:rsidRPr="00EF7399" w:rsidRDefault="000924FB" w:rsidP="000924FB">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22</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207480" w:rsidRPr="00EF7399">
        <w:rPr>
          <w:rFonts w:ascii="Times New Roman" w:hAnsi="Times New Roman" w:cs="Times New Roman"/>
          <w:lang w:val="af-ZA"/>
        </w:rPr>
        <w:t xml:space="preserve">Որոշ վայրերում հանրային միջոցառումներ անցկացնելու արգելքը չի հակասում 11-րդ հոդվածին, եթե այն </w:t>
      </w:r>
      <w:r w:rsidR="00CA612F" w:rsidRPr="00EF7399">
        <w:rPr>
          <w:rFonts w:ascii="Times New Roman" w:hAnsi="Times New Roman" w:cs="Times New Roman"/>
          <w:lang w:val="hy-AM"/>
        </w:rPr>
        <w:t>կիրառվում</w:t>
      </w:r>
      <w:r w:rsidR="00CA612F" w:rsidRPr="00EF7399">
        <w:rPr>
          <w:rFonts w:ascii="Times New Roman" w:hAnsi="Times New Roman" w:cs="Times New Roman"/>
          <w:lang w:val="af-ZA"/>
        </w:rPr>
        <w:t xml:space="preserve"> </w:t>
      </w:r>
      <w:r w:rsidR="00207480" w:rsidRPr="00EF7399">
        <w:rPr>
          <w:rFonts w:ascii="Times New Roman" w:hAnsi="Times New Roman" w:cs="Times New Roman"/>
          <w:lang w:val="af-ZA"/>
        </w:rPr>
        <w:t xml:space="preserve">է անվտանգության նկատառումներով </w:t>
      </w:r>
      <w:r w:rsidR="007C73E0" w:rsidRPr="00EF7399">
        <w:rPr>
          <w:rFonts w:ascii="Times New Roman" w:hAnsi="Times New Roman" w:cs="Times New Roman"/>
          <w:lang w:val="af-ZA"/>
        </w:rPr>
        <w:t>(</w:t>
      </w:r>
      <w:hyperlink r:id="rId93" w:history="1">
        <w:r w:rsidR="007C73E0" w:rsidRPr="00EF7399">
          <w:rPr>
            <w:rStyle w:val="Hyperlink"/>
            <w:rFonts w:ascii="Times New Roman" w:hAnsi="Times New Roman" w:cs="Times New Roman"/>
            <w:lang w:val="af-ZA"/>
          </w:rPr>
          <w:t>Rai and Evans</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 xml:space="preserve">the </w:t>
        </w:r>
        <w:r w:rsidR="007C73E0" w:rsidRPr="00EF7399">
          <w:rPr>
            <w:rStyle w:val="Hyperlink"/>
            <w:rFonts w:ascii="Times New Roman" w:hAnsi="Times New Roman" w:cs="Times New Roman"/>
            <w:lang w:val="af-ZA"/>
          </w:rPr>
          <w:lastRenderedPageBreak/>
          <w:t>United Kingdom</w:t>
        </w:r>
      </w:hyperlink>
      <w:r w:rsidR="007C73E0" w:rsidRPr="00EF7399">
        <w:rPr>
          <w:rFonts w:ascii="Times New Roman" w:hAnsi="Times New Roman" w:cs="Times New Roman"/>
          <w:lang w:val="af-ZA"/>
        </w:rPr>
        <w:t xml:space="preserve"> (dec.)</w:t>
      </w:r>
      <w:r w:rsidR="00503BDF" w:rsidRPr="00EF7399">
        <w:rPr>
          <w:rFonts w:ascii="Times New Roman" w:hAnsi="Times New Roman" w:cs="Times New Roman"/>
          <w:lang w:val="af-ZA"/>
        </w:rPr>
        <w:t>, 2009</w:t>
      </w:r>
      <w:r w:rsidR="007C73E0" w:rsidRPr="00EF7399">
        <w:rPr>
          <w:rFonts w:ascii="Times New Roman" w:hAnsi="Times New Roman" w:cs="Times New Roman"/>
          <w:lang w:val="af-ZA"/>
        </w:rPr>
        <w:t xml:space="preserve">) </w:t>
      </w:r>
      <w:r w:rsidR="00207480" w:rsidRPr="00EF7399">
        <w:rPr>
          <w:rFonts w:ascii="Times New Roman" w:hAnsi="Times New Roman" w:cs="Times New Roman"/>
          <w:lang w:val="af-ZA"/>
        </w:rPr>
        <w:t xml:space="preserve">կամ, </w:t>
      </w:r>
      <w:r w:rsidR="00E17370" w:rsidRPr="00EF7399">
        <w:rPr>
          <w:rFonts w:ascii="Times New Roman" w:hAnsi="Times New Roman" w:cs="Times New Roman"/>
          <w:lang w:val="af-ZA"/>
        </w:rPr>
        <w:t>որոշ</w:t>
      </w:r>
      <w:r w:rsidR="00207480" w:rsidRPr="00EF7399">
        <w:rPr>
          <w:rFonts w:ascii="Times New Roman" w:hAnsi="Times New Roman" w:cs="Times New Roman"/>
          <w:lang w:val="af-ZA"/>
        </w:rPr>
        <w:t xml:space="preserve"> դեպքերում, դատարանների շենքերի անմիջական հարևանությամբ գտնվող վայրերի պարագայում` </w:t>
      </w:r>
      <w:r w:rsidR="00576181" w:rsidRPr="00EF7399">
        <w:rPr>
          <w:rFonts w:ascii="Times New Roman" w:hAnsi="Times New Roman" w:cs="Times New Roman"/>
          <w:lang w:val="af-ZA"/>
        </w:rPr>
        <w:t>որոշակի գործի դատաքննությունն արտաքին ազդեցությունից զերծ պահելու նպատակով, այդպիսով պաշտպանելով այլոց</w:t>
      </w:r>
      <w:r w:rsidR="00E17370" w:rsidRPr="00EF7399">
        <w:rPr>
          <w:rFonts w:ascii="Times New Roman" w:hAnsi="Times New Roman" w:cs="Times New Roman"/>
          <w:lang w:val="af-ZA"/>
        </w:rPr>
        <w:t xml:space="preserve">, այսինքն` </w:t>
      </w:r>
      <w:r w:rsidR="00576181" w:rsidRPr="00EF7399">
        <w:rPr>
          <w:rFonts w:ascii="Times New Roman" w:hAnsi="Times New Roman" w:cs="Times New Roman"/>
          <w:lang w:val="af-ZA"/>
        </w:rPr>
        <w:t>դատավարության կողմերի</w:t>
      </w:r>
      <w:r w:rsidR="00E17370" w:rsidRPr="00EF7399">
        <w:rPr>
          <w:rFonts w:ascii="Times New Roman" w:hAnsi="Times New Roman" w:cs="Times New Roman"/>
          <w:lang w:val="af-ZA"/>
        </w:rPr>
        <w:t xml:space="preserve"> իրավունքները: </w:t>
      </w:r>
      <w:r w:rsidR="00CA612F" w:rsidRPr="00EF7399">
        <w:rPr>
          <w:rFonts w:ascii="Times New Roman" w:hAnsi="Times New Roman" w:cs="Times New Roman"/>
          <w:lang w:val="hy-AM"/>
        </w:rPr>
        <w:t>Տ</w:t>
      </w:r>
      <w:r w:rsidR="00E17370" w:rsidRPr="00EF7399">
        <w:rPr>
          <w:rFonts w:ascii="Times New Roman" w:hAnsi="Times New Roman" w:cs="Times New Roman"/>
          <w:lang w:val="af-ZA"/>
        </w:rPr>
        <w:t>վյալ արգելքը</w:t>
      </w:r>
      <w:r w:rsidR="00CA612F" w:rsidRPr="00EF7399">
        <w:rPr>
          <w:rFonts w:ascii="Times New Roman" w:hAnsi="Times New Roman" w:cs="Times New Roman"/>
          <w:lang w:val="hy-AM"/>
        </w:rPr>
        <w:t>, այնուամենայնիվ,</w:t>
      </w:r>
      <w:r w:rsidR="00E17370" w:rsidRPr="00EF7399">
        <w:rPr>
          <w:rFonts w:ascii="Times New Roman" w:hAnsi="Times New Roman" w:cs="Times New Roman"/>
          <w:lang w:val="af-ZA"/>
        </w:rPr>
        <w:t xml:space="preserve"> պետք է </w:t>
      </w:r>
      <w:r w:rsidR="00FA620E" w:rsidRPr="00EF7399">
        <w:rPr>
          <w:rFonts w:ascii="Times New Roman" w:hAnsi="Times New Roman" w:cs="Times New Roman"/>
          <w:lang w:val="hy-AM"/>
        </w:rPr>
        <w:t>ձևակերպվի նեղ՝ ուղղված</w:t>
      </w:r>
      <w:r w:rsidR="00E17370" w:rsidRPr="00EF7399">
        <w:rPr>
          <w:rFonts w:ascii="Times New Roman" w:hAnsi="Times New Roman" w:cs="Times New Roman"/>
          <w:lang w:val="af-ZA"/>
        </w:rPr>
        <w:t xml:space="preserve"> այդ նպատակի</w:t>
      </w:r>
      <w:r w:rsidR="00FA620E" w:rsidRPr="00EF7399">
        <w:rPr>
          <w:rFonts w:ascii="Times New Roman" w:hAnsi="Times New Roman" w:cs="Times New Roman"/>
          <w:lang w:val="hy-AM"/>
        </w:rPr>
        <w:t xml:space="preserve"> իրագործմանը </w:t>
      </w:r>
      <w:r w:rsidR="007C73E0" w:rsidRPr="00EF7399">
        <w:rPr>
          <w:rFonts w:ascii="Times New Roman" w:hAnsi="Times New Roman" w:cs="Times New Roman"/>
          <w:lang w:val="af-ZA"/>
        </w:rPr>
        <w:t>(</w:t>
      </w:r>
      <w:hyperlink r:id="rId94" w:history="1">
        <w:r w:rsidR="007C73E0" w:rsidRPr="00EF7399">
          <w:rPr>
            <w:rStyle w:val="Hyperlink"/>
            <w:rFonts w:ascii="Times New Roman" w:hAnsi="Times New Roman" w:cs="Times New Roman"/>
            <w:lang w:val="af-ZA"/>
          </w:rPr>
          <w:t>Lashmankin and Others</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Russia</w:t>
        </w:r>
      </w:hyperlink>
      <w:r w:rsidR="007C73E0" w:rsidRPr="00EF7399">
        <w:rPr>
          <w:rFonts w:ascii="Times New Roman" w:hAnsi="Times New Roman" w:cs="Times New Roman"/>
          <w:lang w:val="af-ZA"/>
        </w:rPr>
        <w:t xml:space="preserve">, </w:t>
      </w:r>
      <w:r w:rsidR="00503BDF" w:rsidRPr="00EF7399">
        <w:rPr>
          <w:rFonts w:ascii="Times New Roman" w:hAnsi="Times New Roman" w:cs="Times New Roman"/>
          <w:lang w:val="af-ZA"/>
        </w:rPr>
        <w:t xml:space="preserve">2017,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 xml:space="preserve">440; </w:t>
      </w:r>
      <w:hyperlink r:id="rId95" w:history="1">
        <w:r w:rsidR="007C73E0" w:rsidRPr="00EF7399">
          <w:rPr>
            <w:rStyle w:val="Hyperlink"/>
            <w:rFonts w:ascii="Times New Roman" w:hAnsi="Times New Roman" w:cs="Times New Roman"/>
            <w:iCs/>
            <w:lang w:val="af-ZA"/>
          </w:rPr>
          <w:t>Öğrü</w:t>
        </w:r>
        <w:r w:rsidR="00873234" w:rsidRPr="00EF7399">
          <w:rPr>
            <w:rStyle w:val="Hyperlink"/>
            <w:rFonts w:ascii="Times New Roman" w:hAnsi="Times New Roman" w:cs="Times New Roman"/>
            <w:iCs/>
            <w:lang w:val="af-ZA"/>
          </w:rPr>
          <w:t xml:space="preserve"> v. </w:t>
        </w:r>
        <w:r w:rsidR="007C73E0" w:rsidRPr="00EF7399">
          <w:rPr>
            <w:rStyle w:val="Hyperlink"/>
            <w:rFonts w:ascii="Times New Roman" w:hAnsi="Times New Roman" w:cs="Times New Roman"/>
            <w:iCs/>
            <w:lang w:val="af-ZA"/>
          </w:rPr>
          <w:t>Turkey</w:t>
        </w:r>
      </w:hyperlink>
      <w:r w:rsidR="007C73E0" w:rsidRPr="00EF7399">
        <w:rPr>
          <w:rFonts w:ascii="Times New Roman" w:hAnsi="Times New Roman" w:cs="Times New Roman"/>
          <w:lang w:val="af-ZA"/>
        </w:rPr>
        <w:t xml:space="preserve">, </w:t>
      </w:r>
      <w:r w:rsidR="00503BDF" w:rsidRPr="00EF7399">
        <w:rPr>
          <w:rFonts w:ascii="Times New Roman" w:hAnsi="Times New Roman" w:cs="Times New Roman"/>
          <w:lang w:val="af-ZA"/>
        </w:rPr>
        <w:t xml:space="preserve">2017,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26)</w:t>
      </w:r>
      <w:r w:rsidR="00E17370" w:rsidRPr="00EF7399">
        <w:rPr>
          <w:rFonts w:ascii="Times New Roman" w:hAnsi="Times New Roman" w:cs="Times New Roman"/>
          <w:lang w:val="af-ZA"/>
        </w:rPr>
        <w:t>:</w:t>
      </w:r>
    </w:p>
    <w:p w14:paraId="2A8557D7" w14:textId="2F314439" w:rsidR="00663C2E" w:rsidRPr="00EF7399" w:rsidRDefault="00E17370" w:rsidP="00663C2E">
      <w:pPr>
        <w:pStyle w:val="ECHRHeading3"/>
        <w:rPr>
          <w:rFonts w:ascii="Times New Roman" w:hAnsi="Times New Roman" w:cs="Times New Roman"/>
          <w:lang w:val="af-ZA"/>
        </w:rPr>
      </w:pPr>
      <w:bookmarkStart w:id="37" w:name="_Toc159945210"/>
      <w:r w:rsidRPr="00EF7399">
        <w:rPr>
          <w:rFonts w:ascii="Times New Roman" w:hAnsi="Times New Roman" w:cs="Times New Roman"/>
          <w:lang w:val="af-ZA"/>
        </w:rPr>
        <w:t>Խաղաղ հավաք</w:t>
      </w:r>
      <w:bookmarkEnd w:id="37"/>
    </w:p>
    <w:p w14:paraId="5887A081" w14:textId="67196BC7" w:rsidR="00663C2E" w:rsidRPr="00EF7399" w:rsidRDefault="00663C2E" w:rsidP="00663C2E">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E17370" w:rsidRPr="00EF7399">
        <w:rPr>
          <w:rFonts w:ascii="Times New Roman" w:hAnsi="Times New Roman" w:cs="Times New Roman"/>
          <w:lang w:val="af-ZA"/>
        </w:rPr>
        <w:t>Կոնվենցիայի 11-րդ հոդվածը պաշտպանում է միայն «խաղաղ հավաքի» իրավունքը` հասկացություն, որը չի ընդգրկում որևէ ցույց, որի կազմակերպիչներն ու մասնակիցներն ունեն բռնի նպ</w:t>
      </w:r>
      <w:r w:rsidR="00FA620E" w:rsidRPr="00EF7399">
        <w:rPr>
          <w:rFonts w:ascii="Times New Roman" w:hAnsi="Times New Roman" w:cs="Times New Roman"/>
          <w:lang w:val="hy-AM"/>
        </w:rPr>
        <w:t>ա</w:t>
      </w:r>
      <w:r w:rsidR="00E17370" w:rsidRPr="00EF7399">
        <w:rPr>
          <w:rFonts w:ascii="Times New Roman" w:hAnsi="Times New Roman" w:cs="Times New Roman"/>
          <w:lang w:val="af-ZA"/>
        </w:rPr>
        <w:t>տակներ:</w:t>
      </w:r>
      <w:r w:rsidRPr="00EF7399">
        <w:rPr>
          <w:rFonts w:ascii="Times New Roman" w:hAnsi="Times New Roman" w:cs="Times New Roman"/>
          <w:lang w:val="af-ZA"/>
        </w:rPr>
        <w:t xml:space="preserve"> </w:t>
      </w:r>
      <w:r w:rsidR="00E17370" w:rsidRPr="00EF7399">
        <w:rPr>
          <w:rFonts w:ascii="Times New Roman" w:hAnsi="Times New Roman" w:cs="Times New Roman"/>
          <w:lang w:val="af-ZA"/>
        </w:rPr>
        <w:t>Հետևաբար, 11-րդ հոդվածի երաշխիքները կիրառելի են բոլոր հավաքույթների</w:t>
      </w:r>
      <w:r w:rsidR="00FA620E" w:rsidRPr="00EF7399">
        <w:rPr>
          <w:rFonts w:ascii="Times New Roman" w:hAnsi="Times New Roman" w:cs="Times New Roman"/>
          <w:lang w:val="hy-AM"/>
        </w:rPr>
        <w:t xml:space="preserve"> </w:t>
      </w:r>
      <w:r w:rsidR="00E17370" w:rsidRPr="00EF7399">
        <w:rPr>
          <w:rFonts w:ascii="Times New Roman" w:hAnsi="Times New Roman" w:cs="Times New Roman"/>
          <w:lang w:val="af-ZA"/>
        </w:rPr>
        <w:t>ն</w:t>
      </w:r>
      <w:r w:rsidR="00FA620E" w:rsidRPr="00EF7399">
        <w:rPr>
          <w:rFonts w:ascii="Times New Roman" w:hAnsi="Times New Roman" w:cs="Times New Roman"/>
          <w:lang w:val="hy-AM"/>
        </w:rPr>
        <w:t>կատմամբ</w:t>
      </w:r>
      <w:r w:rsidR="00BA701E" w:rsidRPr="00EF7399">
        <w:rPr>
          <w:rFonts w:ascii="Times New Roman" w:hAnsi="Times New Roman" w:cs="Times New Roman"/>
          <w:lang w:val="af-ZA"/>
        </w:rPr>
        <w:t>, բացառությամբ այն հավաքների, որոնց կազմակերպիչները և մասնակիցներն ունեն  նման նպատակներ, հրահրում են բռնությու</w:t>
      </w:r>
      <w:r w:rsidR="00337B36" w:rsidRPr="00EF7399">
        <w:rPr>
          <w:rFonts w:ascii="Times New Roman" w:hAnsi="Times New Roman" w:cs="Times New Roman"/>
          <w:lang w:val="af-ZA"/>
        </w:rPr>
        <w:t>ն</w:t>
      </w:r>
      <w:r w:rsidR="00BA701E" w:rsidRPr="00EF7399">
        <w:rPr>
          <w:rFonts w:ascii="Times New Roman" w:hAnsi="Times New Roman" w:cs="Times New Roman"/>
          <w:lang w:val="af-ZA"/>
        </w:rPr>
        <w:t xml:space="preserve"> կամ այլ ձևերով մերժում ժողովրդավարական հասարակության հիմքերը </w:t>
      </w:r>
      <w:r w:rsidR="007C73E0" w:rsidRPr="00EF7399">
        <w:rPr>
          <w:rFonts w:ascii="Times New Roman" w:hAnsi="Times New Roman" w:cs="Times New Roman"/>
          <w:lang w:val="af-ZA"/>
        </w:rPr>
        <w:t>(</w:t>
      </w:r>
      <w:hyperlink r:id="rId96" w:history="1">
        <w:r w:rsidR="007C73E0" w:rsidRPr="00EF7399">
          <w:rPr>
            <w:rStyle w:val="Hyperlink"/>
            <w:rFonts w:ascii="Times New Roman" w:hAnsi="Times New Roman" w:cs="Times New Roman"/>
            <w:lang w:val="af-ZA"/>
          </w:rPr>
          <w:t>Kudrevičius and Others</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Lithuania</w:t>
        </w:r>
      </w:hyperlink>
      <w:r w:rsidR="007C73E0" w:rsidRPr="00EF7399">
        <w:rPr>
          <w:rFonts w:ascii="Times New Roman" w:hAnsi="Times New Roman" w:cs="Times New Roman"/>
          <w:i/>
          <w:lang w:val="af-ZA"/>
        </w:rPr>
        <w:t xml:space="preserve"> </w:t>
      </w:r>
      <w:r w:rsidR="007C73E0" w:rsidRPr="00EF7399">
        <w:rPr>
          <w:rFonts w:ascii="Times New Roman" w:hAnsi="Times New Roman" w:cs="Times New Roman"/>
          <w:lang w:val="af-ZA"/>
        </w:rPr>
        <w:t xml:space="preserve">[GC], </w:t>
      </w:r>
      <w:r w:rsidR="00503BDF"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92)</w:t>
      </w:r>
      <w:r w:rsidR="00BA701E" w:rsidRPr="00EF7399">
        <w:rPr>
          <w:rFonts w:ascii="Times New Roman" w:hAnsi="Times New Roman" w:cs="Times New Roman"/>
          <w:lang w:val="af-ZA"/>
        </w:rPr>
        <w:t>:</w:t>
      </w:r>
    </w:p>
    <w:p w14:paraId="6625670D" w14:textId="43E743FC" w:rsidR="007C73E0" w:rsidRPr="001B2612" w:rsidRDefault="00663C2E" w:rsidP="007C73E0">
      <w:pPr>
        <w:pStyle w:val="ECHRParaSpaced"/>
        <w:rPr>
          <w:rFonts w:ascii="Times New Roman" w:hAnsi="Times New Roman" w:cs="Times New Roman"/>
          <w:lang w:val="hy-AM"/>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BA701E" w:rsidRPr="00EF7399">
        <w:rPr>
          <w:rFonts w:ascii="Times New Roman" w:hAnsi="Times New Roman" w:cs="Times New Roman"/>
          <w:lang w:val="af-ZA"/>
        </w:rPr>
        <w:t>Ելնելով հիմնական փաստերից և գանգատների բնույթից</w:t>
      </w:r>
      <w:r w:rsidR="00FA620E" w:rsidRPr="00EF7399">
        <w:rPr>
          <w:rFonts w:ascii="Times New Roman" w:hAnsi="Times New Roman" w:cs="Times New Roman"/>
          <w:lang w:val="hy-AM"/>
        </w:rPr>
        <w:t>՝</w:t>
      </w:r>
      <w:r w:rsidR="00BA701E" w:rsidRPr="00EF7399">
        <w:rPr>
          <w:rFonts w:ascii="Times New Roman" w:hAnsi="Times New Roman" w:cs="Times New Roman"/>
          <w:lang w:val="af-ZA"/>
        </w:rPr>
        <w:t xml:space="preserve"> հավաքի «խաղաղ» լինելու հարցը կարող է ուսումնասիրվել</w:t>
      </w:r>
      <w:r w:rsidR="00FA620E" w:rsidRPr="00EF7399">
        <w:rPr>
          <w:rFonts w:ascii="Times New Roman" w:hAnsi="Times New Roman" w:cs="Times New Roman"/>
          <w:lang w:val="hy-AM"/>
        </w:rPr>
        <w:t>՝</w:t>
      </w:r>
      <w:r w:rsidR="00BA701E" w:rsidRPr="00EF7399">
        <w:rPr>
          <w:rFonts w:ascii="Times New Roman" w:hAnsi="Times New Roman" w:cs="Times New Roman"/>
          <w:lang w:val="af-ZA"/>
        </w:rPr>
        <w:t xml:space="preserve"> որպես 11-րդ հոդվածի կիրառելիության </w:t>
      </w:r>
      <w:r w:rsidR="007C73E0" w:rsidRPr="00EF7399">
        <w:rPr>
          <w:rFonts w:ascii="Times New Roman" w:hAnsi="Times New Roman" w:cs="Times New Roman"/>
          <w:lang w:val="af-ZA"/>
        </w:rPr>
        <w:t>(</w:t>
      </w:r>
      <w:hyperlink r:id="rId97" w:history="1">
        <w:r w:rsidR="007C73E0" w:rsidRPr="00EF7399">
          <w:rPr>
            <w:rStyle w:val="Hyperlink"/>
            <w:rFonts w:ascii="Times New Roman" w:hAnsi="Times New Roman" w:cs="Times New Roman"/>
            <w:lang w:val="af-ZA"/>
          </w:rPr>
          <w:t>Kudrevičius and Others</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Lithuania</w:t>
        </w:r>
      </w:hyperlink>
      <w:r w:rsidR="007C73E0" w:rsidRPr="00EF7399">
        <w:rPr>
          <w:rFonts w:ascii="Times New Roman" w:hAnsi="Times New Roman" w:cs="Times New Roman"/>
          <w:i/>
          <w:lang w:val="af-ZA"/>
        </w:rPr>
        <w:t xml:space="preserve"> </w:t>
      </w:r>
      <w:r w:rsidR="007C73E0" w:rsidRPr="00EF7399">
        <w:rPr>
          <w:rFonts w:ascii="Times New Roman" w:hAnsi="Times New Roman" w:cs="Times New Roman"/>
          <w:lang w:val="af-ZA"/>
        </w:rPr>
        <w:t xml:space="preserve">[GC], </w:t>
      </w:r>
      <w:r w:rsidR="00503BDF" w:rsidRPr="00EF7399">
        <w:rPr>
          <w:rFonts w:ascii="Times New Roman" w:hAnsi="Times New Roman" w:cs="Times New Roman"/>
          <w:lang w:val="af-ZA"/>
        </w:rPr>
        <w:t xml:space="preserve">2015, </w:t>
      </w:r>
      <w:r w:rsidR="007C73E0" w:rsidRPr="00EF7399">
        <w:rPr>
          <w:rFonts w:ascii="Times New Roman" w:hAnsi="Times New Roman" w:cs="Times New Roman"/>
          <w:lang w:val="af-ZA"/>
        </w:rPr>
        <w:t>§</w:t>
      </w:r>
      <w:r w:rsidR="00873234" w:rsidRPr="00EF7399">
        <w:rPr>
          <w:rFonts w:ascii="Times New Roman" w:hAnsi="Times New Roman" w:cs="Times New Roman"/>
          <w:lang w:val="af-ZA"/>
        </w:rPr>
        <w:t>§ </w:t>
      </w:r>
      <w:r w:rsidR="007C73E0" w:rsidRPr="00EF7399">
        <w:rPr>
          <w:rFonts w:ascii="Times New Roman" w:hAnsi="Times New Roman" w:cs="Times New Roman"/>
          <w:lang w:val="af-ZA"/>
        </w:rPr>
        <w:t>97-99)</w:t>
      </w:r>
      <w:r w:rsidR="00BA701E" w:rsidRPr="00EF7399">
        <w:rPr>
          <w:rFonts w:ascii="Times New Roman" w:hAnsi="Times New Roman" w:cs="Times New Roman"/>
          <w:lang w:val="af-ZA"/>
        </w:rPr>
        <w:t xml:space="preserve"> կամ միջամտության առկայության հարց </w:t>
      </w:r>
      <w:r w:rsidR="007C73E0" w:rsidRPr="00EF7399">
        <w:rPr>
          <w:rFonts w:ascii="Times New Roman" w:hAnsi="Times New Roman" w:cs="Times New Roman"/>
          <w:lang w:val="af-ZA"/>
        </w:rPr>
        <w:t>(</w:t>
      </w:r>
      <w:hyperlink r:id="rId98" w:history="1">
        <w:r w:rsidR="007C73E0" w:rsidRPr="00EF7399">
          <w:rPr>
            <w:rStyle w:val="Hyperlink"/>
            <w:rFonts w:ascii="Times New Roman" w:hAnsi="Times New Roman" w:cs="Times New Roman"/>
            <w:lang w:val="af-ZA"/>
          </w:rPr>
          <w:t>Primov and Others</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Russia</w:t>
        </w:r>
      </w:hyperlink>
      <w:r w:rsidR="007C73E0" w:rsidRPr="00EF7399">
        <w:rPr>
          <w:rFonts w:ascii="Times New Roman" w:hAnsi="Times New Roman" w:cs="Times New Roman"/>
          <w:lang w:val="af-ZA"/>
        </w:rPr>
        <w:t xml:space="preserve">, </w:t>
      </w:r>
      <w:r w:rsidR="009B4331" w:rsidRPr="00EF7399">
        <w:rPr>
          <w:rFonts w:ascii="Times New Roman" w:hAnsi="Times New Roman" w:cs="Times New Roman"/>
          <w:lang w:val="af-ZA"/>
        </w:rPr>
        <w:t xml:space="preserve">2014, </w:t>
      </w:r>
      <w:r w:rsidR="007C73E0" w:rsidRPr="00EF7399">
        <w:rPr>
          <w:rFonts w:ascii="Times New Roman" w:hAnsi="Times New Roman" w:cs="Times New Roman"/>
          <w:lang w:val="af-ZA"/>
        </w:rPr>
        <w:t>§</w:t>
      </w:r>
      <w:r w:rsidR="00873234" w:rsidRPr="00EF7399">
        <w:rPr>
          <w:rFonts w:ascii="Times New Roman" w:hAnsi="Times New Roman" w:cs="Times New Roman"/>
          <w:lang w:val="af-ZA"/>
        </w:rPr>
        <w:t>§ </w:t>
      </w:r>
      <w:r w:rsidR="007C73E0" w:rsidRPr="00EF7399">
        <w:rPr>
          <w:rFonts w:ascii="Times New Roman" w:hAnsi="Times New Roman" w:cs="Times New Roman"/>
          <w:lang w:val="af-ZA"/>
        </w:rPr>
        <w:t>93-103),</w:t>
      </w:r>
      <w:r w:rsidR="00BA701E" w:rsidRPr="00EF7399">
        <w:rPr>
          <w:rFonts w:ascii="Times New Roman" w:hAnsi="Times New Roman" w:cs="Times New Roman"/>
          <w:lang w:val="af-ZA"/>
        </w:rPr>
        <w:t xml:space="preserve"> կամ երկու հարցերը կարող են գնահատվել ըն</w:t>
      </w:r>
      <w:r w:rsidR="00FA620E" w:rsidRPr="00EF7399">
        <w:rPr>
          <w:rFonts w:ascii="Times New Roman" w:hAnsi="Times New Roman" w:cs="Times New Roman"/>
          <w:lang w:val="hy-AM"/>
        </w:rPr>
        <w:t>դ</w:t>
      </w:r>
      <w:r w:rsidR="00BA701E" w:rsidRPr="00EF7399">
        <w:rPr>
          <w:rFonts w:ascii="Times New Roman" w:hAnsi="Times New Roman" w:cs="Times New Roman"/>
          <w:lang w:val="af-ZA"/>
        </w:rPr>
        <w:t>հան</w:t>
      </w:r>
      <w:r w:rsidR="00FA620E" w:rsidRPr="00EF7399">
        <w:rPr>
          <w:rFonts w:ascii="Times New Roman" w:hAnsi="Times New Roman" w:cs="Times New Roman"/>
          <w:lang w:val="hy-AM"/>
        </w:rPr>
        <w:t>ուր</w:t>
      </w:r>
      <w:r w:rsidR="00BA701E" w:rsidRPr="00EF7399">
        <w:rPr>
          <w:rFonts w:ascii="Times New Roman" w:hAnsi="Times New Roman" w:cs="Times New Roman"/>
          <w:lang w:val="af-ZA"/>
        </w:rPr>
        <w:t xml:space="preserve"> </w:t>
      </w:r>
      <w:r w:rsidR="00FA620E" w:rsidRPr="00EF7399">
        <w:rPr>
          <w:rFonts w:ascii="Times New Roman" w:hAnsi="Times New Roman" w:cs="Times New Roman"/>
          <w:lang w:val="hy-AM"/>
        </w:rPr>
        <w:t>առմամբ</w:t>
      </w:r>
      <w:r w:rsidR="00FA620E" w:rsidRPr="00EF7399">
        <w:rPr>
          <w:rFonts w:ascii="Times New Roman" w:hAnsi="Times New Roman" w:cs="Times New Roman"/>
          <w:lang w:val="af-ZA"/>
        </w:rPr>
        <w:t xml:space="preserve"> </w:t>
      </w:r>
      <w:r w:rsidR="007C73E0" w:rsidRPr="00EF7399">
        <w:rPr>
          <w:rFonts w:ascii="Times New Roman" w:hAnsi="Times New Roman" w:cs="Times New Roman"/>
          <w:lang w:val="af-ZA"/>
        </w:rPr>
        <w:t>(</w:t>
      </w:r>
      <w:hyperlink r:id="rId99" w:history="1">
        <w:r w:rsidR="007C73E0" w:rsidRPr="00EF7399">
          <w:rPr>
            <w:rStyle w:val="Hyperlink"/>
            <w:rFonts w:ascii="Times New Roman" w:hAnsi="Times New Roman" w:cs="Times New Roman"/>
            <w:lang w:val="af-ZA"/>
          </w:rPr>
          <w:t>Gülcü</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Turkey</w:t>
        </w:r>
      </w:hyperlink>
      <w:r w:rsidR="007C73E0" w:rsidRPr="00EF7399">
        <w:rPr>
          <w:rFonts w:ascii="Times New Roman" w:hAnsi="Times New Roman" w:cs="Times New Roman"/>
          <w:lang w:val="af-ZA"/>
        </w:rPr>
        <w:t xml:space="preserve">, </w:t>
      </w:r>
      <w:r w:rsidR="009B4331" w:rsidRPr="00EF7399">
        <w:rPr>
          <w:rFonts w:ascii="Times New Roman" w:hAnsi="Times New Roman" w:cs="Times New Roman"/>
          <w:lang w:val="af-ZA"/>
        </w:rPr>
        <w:t xml:space="preserve">2016, </w:t>
      </w:r>
      <w:r w:rsidR="007C73E0" w:rsidRPr="00EF7399">
        <w:rPr>
          <w:rFonts w:ascii="Times New Roman" w:hAnsi="Times New Roman" w:cs="Times New Roman"/>
          <w:lang w:val="af-ZA"/>
        </w:rPr>
        <w:t>§</w:t>
      </w:r>
      <w:r w:rsidR="00873234" w:rsidRPr="00EF7399">
        <w:rPr>
          <w:rFonts w:ascii="Times New Roman" w:hAnsi="Times New Roman" w:cs="Times New Roman"/>
          <w:lang w:val="af-ZA"/>
        </w:rPr>
        <w:t>§ </w:t>
      </w:r>
      <w:r w:rsidR="007C73E0" w:rsidRPr="00EF7399">
        <w:rPr>
          <w:rFonts w:ascii="Times New Roman" w:hAnsi="Times New Roman" w:cs="Times New Roman"/>
          <w:lang w:val="af-ZA"/>
        </w:rPr>
        <w:t xml:space="preserve">92-93 </w:t>
      </w:r>
      <w:r w:rsidR="00BA701E" w:rsidRPr="00EF7399">
        <w:rPr>
          <w:rFonts w:ascii="Times New Roman" w:hAnsi="Times New Roman" w:cs="Times New Roman"/>
          <w:lang w:val="af-ZA"/>
        </w:rPr>
        <w:t>և</w:t>
      </w:r>
      <w:r w:rsidR="007C73E0" w:rsidRPr="00EF7399">
        <w:rPr>
          <w:rFonts w:ascii="Times New Roman" w:hAnsi="Times New Roman" w:cs="Times New Roman"/>
          <w:lang w:val="af-ZA"/>
        </w:rPr>
        <w:t xml:space="preserve"> 97</w:t>
      </w:r>
      <w:r w:rsidR="008E501D" w:rsidRPr="00EF7399">
        <w:rPr>
          <w:rFonts w:ascii="Times New Roman" w:hAnsi="Times New Roman" w:cs="Times New Roman"/>
          <w:lang w:val="af-ZA"/>
        </w:rPr>
        <w:t>;</w:t>
      </w:r>
      <w:r w:rsidR="007C73E0" w:rsidRPr="00EF7399">
        <w:rPr>
          <w:rFonts w:ascii="Times New Roman" w:hAnsi="Times New Roman" w:cs="Times New Roman"/>
          <w:lang w:val="af-ZA"/>
        </w:rPr>
        <w:t xml:space="preserve"> </w:t>
      </w:r>
      <w:hyperlink r:id="rId100" w:history="1">
        <w:r w:rsidR="007C73E0" w:rsidRPr="00EF7399">
          <w:rPr>
            <w:rStyle w:val="Hyperlink"/>
            <w:rFonts w:ascii="Times New Roman" w:hAnsi="Times New Roman" w:cs="Times New Roman"/>
            <w:lang w:val="af-ZA"/>
          </w:rPr>
          <w:t>Yaroslav Belousov</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Russia</w:t>
        </w:r>
      </w:hyperlink>
      <w:r w:rsidR="007C73E0" w:rsidRPr="00EF7399">
        <w:rPr>
          <w:rFonts w:ascii="Times New Roman" w:hAnsi="Times New Roman" w:cs="Times New Roman"/>
          <w:lang w:val="af-ZA"/>
        </w:rPr>
        <w:t xml:space="preserve">, </w:t>
      </w:r>
      <w:r w:rsidR="009B4331" w:rsidRPr="00EF7399">
        <w:rPr>
          <w:rFonts w:ascii="Times New Roman" w:hAnsi="Times New Roman" w:cs="Times New Roman"/>
          <w:lang w:val="af-ZA"/>
        </w:rPr>
        <w:t xml:space="preserve">2016, </w:t>
      </w:r>
      <w:r w:rsidR="007C73E0" w:rsidRPr="00EF7399">
        <w:rPr>
          <w:rFonts w:ascii="Times New Roman" w:hAnsi="Times New Roman" w:cs="Times New Roman"/>
          <w:lang w:val="af-ZA"/>
        </w:rPr>
        <w:t>§</w:t>
      </w:r>
      <w:r w:rsidR="00873234" w:rsidRPr="00EF7399">
        <w:rPr>
          <w:rFonts w:ascii="Times New Roman" w:hAnsi="Times New Roman" w:cs="Times New Roman"/>
          <w:lang w:val="af-ZA"/>
        </w:rPr>
        <w:t>§ </w:t>
      </w:r>
      <w:r w:rsidR="007C73E0" w:rsidRPr="00EF7399">
        <w:rPr>
          <w:rFonts w:ascii="Times New Roman" w:hAnsi="Times New Roman" w:cs="Times New Roman"/>
          <w:lang w:val="af-ZA"/>
        </w:rPr>
        <w:t>168-172)</w:t>
      </w:r>
      <w:r w:rsidR="00BA701E" w:rsidRPr="00EF7399">
        <w:rPr>
          <w:rFonts w:ascii="Times New Roman" w:hAnsi="Times New Roman" w:cs="Times New Roman"/>
          <w:lang w:val="af-ZA"/>
        </w:rPr>
        <w:t xml:space="preserve">: Վերոնշյալ բոլոր դեպքերում կիրառելիությունը </w:t>
      </w:r>
      <w:r w:rsidR="0069638C" w:rsidRPr="00EF7399">
        <w:rPr>
          <w:rFonts w:ascii="Times New Roman" w:hAnsi="Times New Roman" w:cs="Times New Roman"/>
          <w:lang w:val="af-ZA"/>
        </w:rPr>
        <w:t xml:space="preserve">գնահատվել է ըստ էության քննության փուլում, բացառությամբ </w:t>
      </w:r>
      <w:hyperlink r:id="rId101" w:history="1">
        <w:r w:rsidR="007C73E0" w:rsidRPr="00EF7399">
          <w:rPr>
            <w:rStyle w:val="Hyperlink"/>
            <w:rFonts w:ascii="Times New Roman" w:hAnsi="Times New Roman" w:cs="Times New Roman"/>
            <w:lang w:val="af-ZA"/>
          </w:rPr>
          <w:t>Primov and Others</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Russia</w:t>
        </w:r>
      </w:hyperlink>
      <w:r w:rsidR="00E8150F" w:rsidRPr="00EF7399">
        <w:rPr>
          <w:rFonts w:ascii="Times New Roman" w:hAnsi="Times New Roman" w:cs="Times New Roman"/>
          <w:lang w:val="af-ZA"/>
        </w:rPr>
        <w:t xml:space="preserve"> </w:t>
      </w:r>
      <w:r w:rsidR="0069638C" w:rsidRPr="00EF7399">
        <w:rPr>
          <w:rFonts w:ascii="Times New Roman" w:hAnsi="Times New Roman" w:cs="Times New Roman"/>
          <w:lang w:val="af-ZA"/>
        </w:rPr>
        <w:t xml:space="preserve">գործի, երբ կիրառելիությանն անդրադարձ է կատարվել ընդունելիության փուլում </w:t>
      </w:r>
      <w:r w:rsidR="007C73E0" w:rsidRPr="00EF7399">
        <w:rPr>
          <w:rFonts w:ascii="Times New Roman" w:hAnsi="Times New Roman" w:cs="Times New Roman"/>
          <w:lang w:val="af-ZA"/>
        </w:rPr>
        <w:t>(</w:t>
      </w:r>
      <w:r w:rsidR="009B4331" w:rsidRPr="00EF7399">
        <w:rPr>
          <w:rFonts w:ascii="Times New Roman" w:hAnsi="Times New Roman" w:cs="Times New Roman"/>
          <w:lang w:val="af-ZA"/>
        </w:rPr>
        <w:t xml:space="preserve">2014, </w:t>
      </w:r>
      <w:r w:rsidR="007C73E0" w:rsidRPr="00EF7399">
        <w:rPr>
          <w:rFonts w:ascii="Times New Roman" w:hAnsi="Times New Roman" w:cs="Times New Roman"/>
          <w:lang w:val="af-ZA"/>
        </w:rPr>
        <w:t>§</w:t>
      </w:r>
      <w:r w:rsidR="00873234" w:rsidRPr="00EF7399">
        <w:rPr>
          <w:rFonts w:ascii="Times New Roman" w:hAnsi="Times New Roman" w:cs="Times New Roman"/>
          <w:lang w:val="af-ZA"/>
        </w:rPr>
        <w:t>§ </w:t>
      </w:r>
      <w:r w:rsidR="007C73E0" w:rsidRPr="00EF7399">
        <w:rPr>
          <w:rFonts w:ascii="Times New Roman" w:hAnsi="Times New Roman" w:cs="Times New Roman"/>
          <w:lang w:val="af-ZA"/>
        </w:rPr>
        <w:t xml:space="preserve">99 </w:t>
      </w:r>
      <w:r w:rsidR="0069638C" w:rsidRPr="00EF7399">
        <w:rPr>
          <w:rFonts w:ascii="Times New Roman" w:hAnsi="Times New Roman" w:cs="Times New Roman"/>
          <w:lang w:val="af-ZA"/>
        </w:rPr>
        <w:t>և</w:t>
      </w:r>
      <w:r w:rsidR="00E8150F" w:rsidRPr="00EF7399">
        <w:rPr>
          <w:rFonts w:ascii="Times New Roman" w:hAnsi="Times New Roman" w:cs="Times New Roman"/>
          <w:lang w:val="af-ZA"/>
        </w:rPr>
        <w:t xml:space="preserve"> 156)</w:t>
      </w:r>
      <w:r w:rsidR="0069638C" w:rsidRPr="00EF7399">
        <w:rPr>
          <w:rFonts w:ascii="Times New Roman" w:hAnsi="Times New Roman" w:cs="Times New Roman"/>
          <w:lang w:val="af-ZA"/>
        </w:rPr>
        <w:t>: Հավաքի խաղաղ լինելու հարցը տարբերվում է գանգատաբերի վարք</w:t>
      </w:r>
      <w:r w:rsidR="00CC65AF" w:rsidRPr="00EF7399">
        <w:rPr>
          <w:rFonts w:ascii="Times New Roman" w:hAnsi="Times New Roman" w:cs="Times New Roman"/>
          <w:lang w:val="hy-AM"/>
        </w:rPr>
        <w:t>ագծ</w:t>
      </w:r>
      <w:r w:rsidR="0069638C" w:rsidRPr="00EF7399">
        <w:rPr>
          <w:rFonts w:ascii="Times New Roman" w:hAnsi="Times New Roman" w:cs="Times New Roman"/>
          <w:lang w:val="af-ZA"/>
        </w:rPr>
        <w:t xml:space="preserve">ի գնահատումից: </w:t>
      </w:r>
      <w:r w:rsidR="00961A0E" w:rsidRPr="00EF7399">
        <w:rPr>
          <w:rFonts w:ascii="Times New Roman" w:hAnsi="Times New Roman" w:cs="Times New Roman"/>
          <w:lang w:val="af-ZA"/>
        </w:rPr>
        <w:t>Դա գ</w:t>
      </w:r>
      <w:r w:rsidR="0069638C" w:rsidRPr="00EF7399">
        <w:rPr>
          <w:rFonts w:ascii="Times New Roman" w:hAnsi="Times New Roman" w:cs="Times New Roman"/>
          <w:lang w:val="af-ZA"/>
        </w:rPr>
        <w:t>նահատ</w:t>
      </w:r>
      <w:r w:rsidR="00961A0E" w:rsidRPr="00EF7399">
        <w:rPr>
          <w:rFonts w:ascii="Times New Roman" w:hAnsi="Times New Roman" w:cs="Times New Roman"/>
          <w:lang w:val="af-ZA"/>
        </w:rPr>
        <w:t>վում է որպես համաչափության վերլուծության մաս, որը կատարվում է պարզելու համար, թե արդյո՞ք բողոք</w:t>
      </w:r>
      <w:r w:rsidR="0007221E" w:rsidRPr="00EF7399">
        <w:rPr>
          <w:rFonts w:ascii="Times New Roman" w:hAnsi="Times New Roman" w:cs="Times New Roman"/>
          <w:lang w:val="af-ZA"/>
        </w:rPr>
        <w:t>արկվող</w:t>
      </w:r>
      <w:r w:rsidR="00961A0E" w:rsidRPr="00EF7399">
        <w:rPr>
          <w:rFonts w:ascii="Times New Roman" w:hAnsi="Times New Roman" w:cs="Times New Roman"/>
          <w:lang w:val="af-ZA"/>
        </w:rPr>
        <w:t xml:space="preserve"> միջոցները «անհրաժեշտ էին ժողովրդավարական հասարակությունում»: </w:t>
      </w:r>
    </w:p>
    <w:p w14:paraId="43EF5708" w14:textId="56554A19" w:rsidR="00663C2E" w:rsidRPr="00EF7399" w:rsidRDefault="00663C2E" w:rsidP="00663C2E">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25</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07221E" w:rsidRPr="00EF7399">
        <w:rPr>
          <w:rFonts w:ascii="Times New Roman" w:hAnsi="Times New Roman" w:cs="Times New Roman"/>
          <w:lang w:val="af-ZA"/>
        </w:rPr>
        <w:t>Հավաքի կազմակերպիչների բռնի նպատակներ</w:t>
      </w:r>
      <w:r w:rsidR="003A58A2" w:rsidRPr="00EF7399">
        <w:rPr>
          <w:rFonts w:ascii="Times New Roman" w:hAnsi="Times New Roman" w:cs="Times New Roman"/>
          <w:lang w:val="af-ZA"/>
        </w:rPr>
        <w:t>ի</w:t>
      </w:r>
      <w:r w:rsidR="0007221E" w:rsidRPr="00EF7399">
        <w:rPr>
          <w:rFonts w:ascii="Times New Roman" w:hAnsi="Times New Roman" w:cs="Times New Roman"/>
          <w:lang w:val="af-ZA"/>
        </w:rPr>
        <w:t xml:space="preserve"> ապացուց</w:t>
      </w:r>
      <w:r w:rsidR="003A58A2" w:rsidRPr="00EF7399">
        <w:rPr>
          <w:rFonts w:ascii="Times New Roman" w:hAnsi="Times New Roman" w:cs="Times New Roman"/>
          <w:lang w:val="af-ZA"/>
        </w:rPr>
        <w:t>ման</w:t>
      </w:r>
      <w:r w:rsidR="0007221E" w:rsidRPr="00EF7399">
        <w:rPr>
          <w:rFonts w:ascii="Times New Roman" w:hAnsi="Times New Roman" w:cs="Times New Roman"/>
          <w:lang w:val="af-ZA"/>
        </w:rPr>
        <w:t xml:space="preserve"> </w:t>
      </w:r>
      <w:r w:rsidR="003A58A2" w:rsidRPr="00EF7399">
        <w:rPr>
          <w:rFonts w:ascii="Times New Roman" w:hAnsi="Times New Roman" w:cs="Times New Roman"/>
          <w:lang w:val="af-ZA"/>
        </w:rPr>
        <w:t xml:space="preserve">բեռն ընկնում է իշխանությունների վրա </w:t>
      </w:r>
      <w:r w:rsidR="007C73E0" w:rsidRPr="00EF7399">
        <w:rPr>
          <w:rFonts w:ascii="Times New Roman" w:hAnsi="Times New Roman" w:cs="Times New Roman"/>
          <w:lang w:val="af-ZA"/>
        </w:rPr>
        <w:t>(</w:t>
      </w:r>
      <w:hyperlink r:id="rId102" w:history="1">
        <w:r w:rsidR="007C73E0" w:rsidRPr="00EF7399">
          <w:rPr>
            <w:rStyle w:val="Hyperlink"/>
            <w:rFonts w:ascii="Times New Roman" w:hAnsi="Times New Roman" w:cs="Times New Roman"/>
            <w:lang w:val="af-ZA"/>
          </w:rPr>
          <w:t>Christian Democratic People</w:t>
        </w:r>
        <w:r w:rsidR="00DF297D" w:rsidRPr="00EF7399">
          <w:rPr>
            <w:rStyle w:val="Hyperlink"/>
            <w:rFonts w:ascii="Times New Roman" w:hAnsi="Times New Roman" w:cs="Times New Roman"/>
            <w:lang w:val="af-ZA"/>
          </w:rPr>
          <w:t>’</w:t>
        </w:r>
        <w:r w:rsidR="007C73E0" w:rsidRPr="00EF7399">
          <w:rPr>
            <w:rStyle w:val="Hyperlink"/>
            <w:rFonts w:ascii="Times New Roman" w:hAnsi="Times New Roman" w:cs="Times New Roman"/>
            <w:lang w:val="af-ZA"/>
          </w:rPr>
          <w:t>s Party</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Moldova (no. 2)</w:t>
        </w:r>
      </w:hyperlink>
      <w:r w:rsidR="007C73E0" w:rsidRPr="00EF7399">
        <w:rPr>
          <w:rFonts w:ascii="Times New Roman" w:hAnsi="Times New Roman" w:cs="Times New Roman"/>
          <w:lang w:val="af-ZA"/>
        </w:rPr>
        <w:t xml:space="preserve">, </w:t>
      </w:r>
      <w:r w:rsidR="009B4331" w:rsidRPr="00EF7399">
        <w:rPr>
          <w:rFonts w:ascii="Times New Roman" w:hAnsi="Times New Roman" w:cs="Times New Roman"/>
          <w:lang w:val="af-ZA"/>
        </w:rPr>
        <w:t xml:space="preserve">2010,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23)</w:t>
      </w:r>
      <w:r w:rsidR="003A58A2" w:rsidRPr="00EF7399">
        <w:rPr>
          <w:rFonts w:ascii="Times New Roman" w:hAnsi="Times New Roman" w:cs="Times New Roman"/>
          <w:lang w:val="af-ZA"/>
        </w:rPr>
        <w:t>:</w:t>
      </w:r>
    </w:p>
    <w:p w14:paraId="4FEAAAAB" w14:textId="1CEE8563" w:rsidR="00663C2E" w:rsidRPr="00EF7399" w:rsidRDefault="00663C2E" w:rsidP="00663C2E">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3A58A2" w:rsidRPr="00EF7399">
        <w:rPr>
          <w:rFonts w:ascii="Times New Roman" w:hAnsi="Times New Roman" w:cs="Times New Roman"/>
          <w:lang w:val="af-ZA"/>
        </w:rPr>
        <w:t xml:space="preserve">Անգամ </w:t>
      </w:r>
      <w:r w:rsidR="008F75D5" w:rsidRPr="00EF7399">
        <w:rPr>
          <w:rFonts w:ascii="Times New Roman" w:hAnsi="Times New Roman" w:cs="Times New Roman"/>
          <w:lang w:val="af-ZA"/>
        </w:rPr>
        <w:t xml:space="preserve">երբ </w:t>
      </w:r>
      <w:r w:rsidR="003A58A2" w:rsidRPr="00EF7399">
        <w:rPr>
          <w:rFonts w:ascii="Times New Roman" w:hAnsi="Times New Roman" w:cs="Times New Roman"/>
          <w:lang w:val="af-ZA"/>
        </w:rPr>
        <w:t xml:space="preserve">առկա է իրական վտանգ, որ </w:t>
      </w:r>
      <w:r w:rsidR="008F75D5" w:rsidRPr="00EF7399">
        <w:rPr>
          <w:rFonts w:ascii="Times New Roman" w:hAnsi="Times New Roman" w:cs="Times New Roman"/>
          <w:lang w:val="af-ZA"/>
        </w:rPr>
        <w:t xml:space="preserve">կազմակերպիչների վերահսկողությունից դուրս գտնվող զարգացումների արդյունքում </w:t>
      </w:r>
      <w:r w:rsidR="003A58A2" w:rsidRPr="00EF7399">
        <w:rPr>
          <w:rFonts w:ascii="Times New Roman" w:hAnsi="Times New Roman" w:cs="Times New Roman"/>
          <w:lang w:val="af-ZA"/>
        </w:rPr>
        <w:t>հավաքը կարող է հանգեցնել անկարգությ</w:t>
      </w:r>
      <w:r w:rsidR="008F75D5" w:rsidRPr="00EF7399">
        <w:rPr>
          <w:rFonts w:ascii="Times New Roman" w:hAnsi="Times New Roman" w:cs="Times New Roman"/>
          <w:lang w:val="af-ZA"/>
        </w:rPr>
        <w:t xml:space="preserve">ան, տվյալ հավաքը դուրս չի մնում 11-րդ հոդվածի </w:t>
      </w:r>
      <w:r w:rsidR="0023590B" w:rsidRPr="00EF7399">
        <w:rPr>
          <w:rFonts w:ascii="Times New Roman" w:hAnsi="Times New Roman" w:cs="Times New Roman"/>
          <w:lang w:val="af-ZA"/>
        </w:rPr>
        <w:t xml:space="preserve">1-ին մասի </w:t>
      </w:r>
      <w:r w:rsidR="008F75D5" w:rsidRPr="00EF7399">
        <w:rPr>
          <w:rFonts w:ascii="Times New Roman" w:hAnsi="Times New Roman" w:cs="Times New Roman"/>
          <w:lang w:val="af-ZA"/>
        </w:rPr>
        <w:t>կարգավորման շրջանակից</w:t>
      </w:r>
      <w:r w:rsidR="00CC65AF" w:rsidRPr="00EF7399">
        <w:rPr>
          <w:rFonts w:ascii="Times New Roman" w:hAnsi="Times New Roman" w:cs="Times New Roman"/>
          <w:lang w:val="hy-AM"/>
        </w:rPr>
        <w:t>,</w:t>
      </w:r>
      <w:r w:rsidR="0023590B" w:rsidRPr="00EF7399">
        <w:rPr>
          <w:rFonts w:ascii="Times New Roman" w:hAnsi="Times New Roman" w:cs="Times New Roman"/>
          <w:lang w:val="af-ZA"/>
        </w:rPr>
        <w:t xml:space="preserve"> և դրա</w:t>
      </w:r>
      <w:r w:rsidR="00CC65AF" w:rsidRPr="00EF7399">
        <w:rPr>
          <w:rFonts w:ascii="Times New Roman" w:hAnsi="Times New Roman" w:cs="Times New Roman"/>
          <w:lang w:val="hy-AM"/>
        </w:rPr>
        <w:t xml:space="preserve"> </w:t>
      </w:r>
      <w:r w:rsidR="0023590B" w:rsidRPr="00EF7399">
        <w:rPr>
          <w:rFonts w:ascii="Times New Roman" w:hAnsi="Times New Roman" w:cs="Times New Roman"/>
          <w:lang w:val="af-ZA"/>
        </w:rPr>
        <w:t>ն</w:t>
      </w:r>
      <w:r w:rsidR="00CC65AF" w:rsidRPr="00EF7399">
        <w:rPr>
          <w:rFonts w:ascii="Times New Roman" w:hAnsi="Times New Roman" w:cs="Times New Roman"/>
          <w:lang w:val="hy-AM"/>
        </w:rPr>
        <w:t>կատմամբ</w:t>
      </w:r>
      <w:r w:rsidR="0023590B" w:rsidRPr="00EF7399">
        <w:rPr>
          <w:rFonts w:ascii="Times New Roman" w:hAnsi="Times New Roman" w:cs="Times New Roman"/>
          <w:lang w:val="af-ZA"/>
        </w:rPr>
        <w:t xml:space="preserve"> կիրառվող բոլոր սահմանափակումները պետք է համապատասխանեն տվյալ հոդվածի 2-րդ մասի պահանջներին </w:t>
      </w:r>
      <w:r w:rsidR="007C73E0" w:rsidRPr="00EF7399">
        <w:rPr>
          <w:rFonts w:ascii="Times New Roman" w:hAnsi="Times New Roman" w:cs="Times New Roman"/>
          <w:lang w:val="af-ZA"/>
        </w:rPr>
        <w:t>(</w:t>
      </w:r>
      <w:hyperlink r:id="rId103" w:history="1">
        <w:r w:rsidR="007C73E0" w:rsidRPr="00EF7399">
          <w:rPr>
            <w:rStyle w:val="Hyperlink"/>
            <w:rFonts w:ascii="Times New Roman" w:hAnsi="Times New Roman" w:cs="Times New Roman"/>
            <w:lang w:val="af-ZA"/>
          </w:rPr>
          <w:t>Schwabe and M.G.</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Germany</w:t>
        </w:r>
      </w:hyperlink>
      <w:r w:rsidR="007C73E0" w:rsidRPr="00EF7399">
        <w:rPr>
          <w:rFonts w:ascii="Times New Roman" w:hAnsi="Times New Roman" w:cs="Times New Roman"/>
          <w:lang w:val="af-ZA"/>
        </w:rPr>
        <w:t xml:space="preserve">, </w:t>
      </w:r>
      <w:r w:rsidR="009074F3" w:rsidRPr="00EF7399">
        <w:rPr>
          <w:rFonts w:ascii="Times New Roman" w:hAnsi="Times New Roman" w:cs="Times New Roman"/>
          <w:lang w:val="af-ZA"/>
        </w:rPr>
        <w:t xml:space="preserve">2011,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103)</w:t>
      </w:r>
      <w:r w:rsidR="0023590B" w:rsidRPr="00EF7399">
        <w:rPr>
          <w:rFonts w:ascii="Times New Roman" w:hAnsi="Times New Roman" w:cs="Times New Roman"/>
          <w:lang w:val="af-ZA"/>
        </w:rPr>
        <w:t>:</w:t>
      </w:r>
    </w:p>
    <w:p w14:paraId="78A23703" w14:textId="7037A756" w:rsidR="007C73E0" w:rsidRPr="00EF7399" w:rsidRDefault="00D67F8B" w:rsidP="007C73E0">
      <w:pPr>
        <w:pStyle w:val="ECHRParaSpaced"/>
        <w:rPr>
          <w:rFonts w:ascii="Times New Roman" w:hAnsi="Times New Roman" w:cs="Times New Roman"/>
          <w:iCs/>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27</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CE662F" w:rsidRPr="00EF7399">
        <w:rPr>
          <w:rFonts w:ascii="Times New Roman" w:hAnsi="Times New Roman" w:cs="Times New Roman"/>
          <w:lang w:val="af-ZA"/>
        </w:rPr>
        <w:t xml:space="preserve"> Տ</w:t>
      </w:r>
      <w:r w:rsidR="0046229F" w:rsidRPr="00EF7399">
        <w:rPr>
          <w:rFonts w:ascii="Times New Roman" w:hAnsi="Times New Roman" w:cs="Times New Roman"/>
          <w:lang w:val="af-ZA"/>
        </w:rPr>
        <w:t>րանսպորտային մայրուղիների արգելափակումը</w:t>
      </w:r>
      <w:r w:rsidR="00CC65AF" w:rsidRPr="00EF7399">
        <w:rPr>
          <w:rFonts w:ascii="Times New Roman" w:hAnsi="Times New Roman" w:cs="Times New Roman"/>
          <w:lang w:val="hy-AM"/>
        </w:rPr>
        <w:t>՝</w:t>
      </w:r>
      <w:r w:rsidR="0046229F" w:rsidRPr="00EF7399">
        <w:rPr>
          <w:rFonts w:ascii="Times New Roman" w:hAnsi="Times New Roman" w:cs="Times New Roman"/>
          <w:lang w:val="af-ZA"/>
        </w:rPr>
        <w:t xml:space="preserve"> </w:t>
      </w:r>
      <w:r w:rsidR="00CE662F" w:rsidRPr="00EF7399">
        <w:rPr>
          <w:rFonts w:ascii="Times New Roman" w:hAnsi="Times New Roman" w:cs="Times New Roman"/>
          <w:lang w:val="af-ZA"/>
        </w:rPr>
        <w:t>որպես ցույցի մաս</w:t>
      </w:r>
      <w:r w:rsidR="00CC65AF" w:rsidRPr="00EF7399">
        <w:rPr>
          <w:rFonts w:ascii="Times New Roman" w:hAnsi="Times New Roman" w:cs="Times New Roman"/>
          <w:lang w:val="hy-AM"/>
        </w:rPr>
        <w:t>,</w:t>
      </w:r>
      <w:r w:rsidR="00CE662F" w:rsidRPr="00EF7399">
        <w:rPr>
          <w:rFonts w:ascii="Times New Roman" w:hAnsi="Times New Roman" w:cs="Times New Roman"/>
          <w:lang w:val="af-ZA"/>
        </w:rPr>
        <w:t xml:space="preserve"> </w:t>
      </w:r>
      <w:r w:rsidR="00D318A9" w:rsidRPr="00EF7399">
        <w:rPr>
          <w:rFonts w:ascii="Times New Roman" w:hAnsi="Times New Roman" w:cs="Times New Roman"/>
          <w:lang w:val="af-ZA"/>
        </w:rPr>
        <w:t>գործելակերպ</w:t>
      </w:r>
      <w:r w:rsidR="0046229F" w:rsidRPr="00EF7399">
        <w:rPr>
          <w:rFonts w:ascii="Times New Roman" w:hAnsi="Times New Roman" w:cs="Times New Roman"/>
          <w:lang w:val="af-ZA"/>
        </w:rPr>
        <w:t xml:space="preserve"> է, որն ինքնին համարվում է խաղաղ:</w:t>
      </w:r>
      <w:r w:rsidR="00D318A9" w:rsidRPr="00EF7399">
        <w:rPr>
          <w:rFonts w:ascii="Times New Roman" w:hAnsi="Times New Roman" w:cs="Times New Roman"/>
          <w:lang w:val="af-ZA"/>
        </w:rPr>
        <w:t xml:space="preserve"> Թեև ժամանակակից հասարակություններում հավաքների ազատության իրա</w:t>
      </w:r>
      <w:r w:rsidR="00CC65AF" w:rsidRPr="00EF7399">
        <w:rPr>
          <w:rFonts w:ascii="Times New Roman" w:hAnsi="Times New Roman" w:cs="Times New Roman"/>
          <w:lang w:val="hy-AM"/>
        </w:rPr>
        <w:t>ցմ</w:t>
      </w:r>
      <w:r w:rsidR="00D318A9" w:rsidRPr="00EF7399">
        <w:rPr>
          <w:rFonts w:ascii="Times New Roman" w:hAnsi="Times New Roman" w:cs="Times New Roman"/>
          <w:lang w:val="af-ZA"/>
        </w:rPr>
        <w:t xml:space="preserve">ան համատեքստում </w:t>
      </w:r>
      <w:r w:rsidR="00D74A33" w:rsidRPr="00EF7399">
        <w:rPr>
          <w:rFonts w:ascii="Times New Roman" w:hAnsi="Times New Roman" w:cs="Times New Roman"/>
          <w:lang w:val="af-ZA"/>
        </w:rPr>
        <w:t>այն</w:t>
      </w:r>
      <w:r w:rsidR="00D318A9" w:rsidRPr="00EF7399">
        <w:rPr>
          <w:rFonts w:ascii="Times New Roman" w:hAnsi="Times New Roman" w:cs="Times New Roman"/>
          <w:lang w:val="af-ZA"/>
        </w:rPr>
        <w:t xml:space="preserve"> արտասովոր երևույթ չէ</w:t>
      </w:r>
      <w:r w:rsidR="00D74A33" w:rsidRPr="00EF7399">
        <w:rPr>
          <w:rFonts w:ascii="Times New Roman" w:hAnsi="Times New Roman" w:cs="Times New Roman"/>
          <w:lang w:val="af-ZA"/>
        </w:rPr>
        <w:t>, այլոց գործունեությունը լրջորեն խաթարելու</w:t>
      </w:r>
      <w:r w:rsidR="003447AC" w:rsidRPr="00EF7399">
        <w:rPr>
          <w:rFonts w:ascii="Times New Roman" w:hAnsi="Times New Roman" w:cs="Times New Roman"/>
          <w:lang w:val="af-ZA"/>
        </w:rPr>
        <w:t>ն ուղղված ֆիզիկական</w:t>
      </w:r>
      <w:r w:rsidR="00D74A33" w:rsidRPr="00EF7399">
        <w:rPr>
          <w:rFonts w:ascii="Times New Roman" w:hAnsi="Times New Roman" w:cs="Times New Roman"/>
          <w:lang w:val="af-ZA"/>
        </w:rPr>
        <w:t xml:space="preserve"> գործելակերպը, որը </w:t>
      </w:r>
      <w:r w:rsidR="003447AC" w:rsidRPr="00EF7399">
        <w:rPr>
          <w:rFonts w:ascii="Times New Roman" w:hAnsi="Times New Roman" w:cs="Times New Roman"/>
          <w:lang w:val="af-ZA"/>
        </w:rPr>
        <w:t>նպատակային</w:t>
      </w:r>
      <w:r w:rsidR="00696142" w:rsidRPr="00EF7399">
        <w:rPr>
          <w:rFonts w:ascii="Times New Roman" w:hAnsi="Times New Roman" w:cs="Times New Roman"/>
          <w:lang w:val="af-ZA"/>
        </w:rPr>
        <w:t xml:space="preserve"> խոչընդոտում է </w:t>
      </w:r>
      <w:r w:rsidR="00D74A33" w:rsidRPr="00EF7399">
        <w:rPr>
          <w:rFonts w:ascii="Times New Roman" w:hAnsi="Times New Roman" w:cs="Times New Roman"/>
          <w:lang w:val="af-ZA"/>
        </w:rPr>
        <w:t>երթևեկությ</w:t>
      </w:r>
      <w:r w:rsidR="003447AC" w:rsidRPr="00EF7399">
        <w:rPr>
          <w:rFonts w:ascii="Times New Roman" w:hAnsi="Times New Roman" w:cs="Times New Roman"/>
          <w:lang w:val="af-ZA"/>
        </w:rPr>
        <w:t>ա</w:t>
      </w:r>
      <w:r w:rsidR="00696142" w:rsidRPr="00EF7399">
        <w:rPr>
          <w:rFonts w:ascii="Times New Roman" w:hAnsi="Times New Roman" w:cs="Times New Roman"/>
          <w:lang w:val="af-ZA"/>
        </w:rPr>
        <w:t>նը</w:t>
      </w:r>
      <w:r w:rsidR="00D74A33" w:rsidRPr="00EF7399">
        <w:rPr>
          <w:rFonts w:ascii="Times New Roman" w:hAnsi="Times New Roman" w:cs="Times New Roman"/>
          <w:lang w:val="af-ZA"/>
        </w:rPr>
        <w:t xml:space="preserve"> և կյանքի բնականոն ընթացք</w:t>
      </w:r>
      <w:r w:rsidR="003447AC" w:rsidRPr="00EF7399">
        <w:rPr>
          <w:rFonts w:ascii="Times New Roman" w:hAnsi="Times New Roman" w:cs="Times New Roman"/>
          <w:lang w:val="af-ZA"/>
        </w:rPr>
        <w:t>ին</w:t>
      </w:r>
      <w:r w:rsidR="00CC65AF" w:rsidRPr="00EF7399">
        <w:rPr>
          <w:rFonts w:ascii="Times New Roman" w:hAnsi="Times New Roman" w:cs="Times New Roman"/>
          <w:lang w:val="hy-AM"/>
        </w:rPr>
        <w:t>,</w:t>
      </w:r>
      <w:r w:rsidR="007F1C3C" w:rsidRPr="00EF7399">
        <w:rPr>
          <w:rFonts w:ascii="Times New Roman" w:hAnsi="Times New Roman" w:cs="Times New Roman"/>
          <w:lang w:val="af-ZA"/>
        </w:rPr>
        <w:t xml:space="preserve"> </w:t>
      </w:r>
      <w:r w:rsidR="003447AC" w:rsidRPr="00EF7399">
        <w:rPr>
          <w:rFonts w:ascii="Times New Roman" w:hAnsi="Times New Roman" w:cs="Times New Roman"/>
          <w:lang w:val="af-ZA"/>
        </w:rPr>
        <w:t>Կոնվենցիայի 11-րդ հոդվածով պաշտպանվող ազատության</w:t>
      </w:r>
      <w:r w:rsidR="007F1C3C" w:rsidRPr="00EF7399">
        <w:rPr>
          <w:rFonts w:ascii="Times New Roman" w:hAnsi="Times New Roman" w:cs="Times New Roman"/>
          <w:lang w:val="af-ZA"/>
        </w:rPr>
        <w:t xml:space="preserve"> բուն իմաստը չէ: Նման փաստական հանգամանքները հետևանքներ են առաջացնում 11-րդ հոդվածի 2-րդ մաս</w:t>
      </w:r>
      <w:r w:rsidR="00CC65AF" w:rsidRPr="00EF7399">
        <w:rPr>
          <w:rFonts w:ascii="Times New Roman" w:hAnsi="Times New Roman" w:cs="Times New Roman"/>
          <w:lang w:val="hy-AM"/>
        </w:rPr>
        <w:t>ի ներքո</w:t>
      </w:r>
      <w:r w:rsidR="007F1C3C" w:rsidRPr="00EF7399">
        <w:rPr>
          <w:rFonts w:ascii="Times New Roman" w:hAnsi="Times New Roman" w:cs="Times New Roman"/>
          <w:lang w:val="af-ZA"/>
        </w:rPr>
        <w:t xml:space="preserve"> «անհրաժեշտության» գնահատման համար </w:t>
      </w:r>
      <w:r w:rsidR="007C73E0" w:rsidRPr="00EF7399">
        <w:rPr>
          <w:rFonts w:ascii="Times New Roman" w:hAnsi="Times New Roman" w:cs="Times New Roman"/>
          <w:lang w:val="af-ZA"/>
        </w:rPr>
        <w:t>(</w:t>
      </w:r>
      <w:hyperlink r:id="rId104" w:history="1">
        <w:r w:rsidR="007C73E0" w:rsidRPr="00EF7399">
          <w:rPr>
            <w:rStyle w:val="Hyperlink"/>
            <w:rFonts w:ascii="Times New Roman" w:hAnsi="Times New Roman" w:cs="Times New Roman"/>
            <w:lang w:val="af-ZA"/>
          </w:rPr>
          <w:t>Kudrevičius and Others</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Lithuania</w:t>
        </w:r>
      </w:hyperlink>
      <w:r w:rsidR="007C73E0" w:rsidRPr="00EF7399">
        <w:rPr>
          <w:rFonts w:ascii="Times New Roman" w:hAnsi="Times New Roman" w:cs="Times New Roman"/>
          <w:i/>
          <w:lang w:val="af-ZA"/>
        </w:rPr>
        <w:t xml:space="preserve"> </w:t>
      </w:r>
      <w:r w:rsidR="007C73E0" w:rsidRPr="00EF7399">
        <w:rPr>
          <w:rFonts w:ascii="Times New Roman" w:hAnsi="Times New Roman" w:cs="Times New Roman"/>
          <w:lang w:val="af-ZA"/>
        </w:rPr>
        <w:t xml:space="preserve">[GC], </w:t>
      </w:r>
      <w:r w:rsidR="009B4331"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 xml:space="preserve">97 </w:t>
      </w:r>
      <w:r w:rsidR="007F1C3C" w:rsidRPr="00EF7399">
        <w:rPr>
          <w:rFonts w:ascii="Times New Roman" w:hAnsi="Times New Roman" w:cs="Times New Roman"/>
          <w:lang w:val="af-ZA"/>
        </w:rPr>
        <w:t>լրացուցիչ հղումներով և օրինակներով</w:t>
      </w:r>
      <w:r w:rsidR="007C73E0" w:rsidRPr="00EF7399">
        <w:rPr>
          <w:rFonts w:ascii="Times New Roman" w:hAnsi="Times New Roman" w:cs="Times New Roman"/>
          <w:lang w:val="af-ZA"/>
        </w:rPr>
        <w:t>)</w:t>
      </w:r>
      <w:r w:rsidR="007F1C3C" w:rsidRPr="00EF7399">
        <w:rPr>
          <w:rFonts w:ascii="Times New Roman" w:hAnsi="Times New Roman" w:cs="Times New Roman"/>
          <w:lang w:val="af-ZA"/>
        </w:rPr>
        <w:t>:</w:t>
      </w:r>
      <w:r w:rsidR="007C73E0" w:rsidRPr="00EF7399">
        <w:rPr>
          <w:rFonts w:ascii="Times New Roman" w:hAnsi="Times New Roman" w:cs="Times New Roman"/>
          <w:lang w:val="af-ZA"/>
        </w:rPr>
        <w:t xml:space="preserve"> </w:t>
      </w:r>
      <w:r w:rsidR="007F1C3C" w:rsidRPr="00EF7399">
        <w:rPr>
          <w:rFonts w:ascii="Times New Roman" w:hAnsi="Times New Roman" w:cs="Times New Roman"/>
          <w:lang w:val="af-ZA"/>
        </w:rPr>
        <w:t>Նույն տրամաբանությամբ</w:t>
      </w:r>
      <w:r w:rsidR="004F350D" w:rsidRPr="00EF7399">
        <w:rPr>
          <w:rFonts w:ascii="Times New Roman" w:hAnsi="Times New Roman" w:cs="Times New Roman"/>
          <w:lang w:val="af-ZA"/>
        </w:rPr>
        <w:t>՝</w:t>
      </w:r>
      <w:r w:rsidR="007F1C3C" w:rsidRPr="00EF7399">
        <w:rPr>
          <w:rFonts w:ascii="Times New Roman" w:hAnsi="Times New Roman" w:cs="Times New Roman"/>
          <w:lang w:val="af-ZA"/>
        </w:rPr>
        <w:t xml:space="preserve"> հանրային շենքերի գրավումը, չնայած իր անօրինական բնույթի և առաջացրած խաթարումների, ընդհանուր առմամբ, համարվում է խաղաղ գործելակերպ  </w:t>
      </w:r>
      <w:r w:rsidR="007C73E0" w:rsidRPr="00EF7399">
        <w:rPr>
          <w:rFonts w:ascii="Times New Roman" w:hAnsi="Times New Roman" w:cs="Times New Roman"/>
          <w:lang w:val="af-ZA"/>
        </w:rPr>
        <w:t>(</w:t>
      </w:r>
      <w:hyperlink r:id="rId105" w:history="1">
        <w:r w:rsidR="007C73E0" w:rsidRPr="00EF7399">
          <w:rPr>
            <w:rStyle w:val="Hyperlink"/>
            <w:rFonts w:ascii="Times New Roman" w:hAnsi="Times New Roman" w:cs="Times New Roman"/>
            <w:lang w:val="af-ZA"/>
          </w:rPr>
          <w:t>Cisse</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France</w:t>
        </w:r>
      </w:hyperlink>
      <w:r w:rsidR="007C73E0" w:rsidRPr="00EF7399">
        <w:rPr>
          <w:rFonts w:ascii="Times New Roman" w:hAnsi="Times New Roman" w:cs="Times New Roman"/>
          <w:lang w:val="af-ZA"/>
        </w:rPr>
        <w:t xml:space="preserve">, </w:t>
      </w:r>
      <w:r w:rsidR="009B4331" w:rsidRPr="00EF7399">
        <w:rPr>
          <w:rFonts w:ascii="Times New Roman" w:hAnsi="Times New Roman" w:cs="Times New Roman"/>
          <w:lang w:val="af-ZA"/>
        </w:rPr>
        <w:t xml:space="preserve">2002, </w:t>
      </w:r>
      <w:r w:rsidR="007C73E0" w:rsidRPr="00EF7399">
        <w:rPr>
          <w:rFonts w:ascii="Times New Roman" w:hAnsi="Times New Roman" w:cs="Times New Roman"/>
          <w:lang w:val="af-ZA"/>
        </w:rPr>
        <w:t>§</w:t>
      </w:r>
      <w:r w:rsidR="00873234" w:rsidRPr="00EF7399">
        <w:rPr>
          <w:rFonts w:ascii="Times New Roman" w:hAnsi="Times New Roman" w:cs="Times New Roman"/>
          <w:lang w:val="af-ZA"/>
        </w:rPr>
        <w:t>§ </w:t>
      </w:r>
      <w:r w:rsidR="007C73E0" w:rsidRPr="00EF7399">
        <w:rPr>
          <w:rFonts w:ascii="Times New Roman" w:hAnsi="Times New Roman" w:cs="Times New Roman"/>
          <w:lang w:val="af-ZA"/>
        </w:rPr>
        <w:t xml:space="preserve">39-40; </w:t>
      </w:r>
      <w:hyperlink r:id="rId106" w:history="1">
        <w:r w:rsidR="007C73E0" w:rsidRPr="00EF7399">
          <w:rPr>
            <w:rStyle w:val="Hyperlink"/>
            <w:rFonts w:ascii="Times New Roman" w:hAnsi="Times New Roman" w:cs="Times New Roman"/>
            <w:iCs/>
            <w:lang w:val="af-ZA"/>
          </w:rPr>
          <w:t>Tuskia and Others</w:t>
        </w:r>
        <w:r w:rsidR="00873234" w:rsidRPr="00EF7399">
          <w:rPr>
            <w:rStyle w:val="Hyperlink"/>
            <w:rFonts w:ascii="Times New Roman" w:hAnsi="Times New Roman" w:cs="Times New Roman"/>
            <w:iCs/>
            <w:lang w:val="af-ZA"/>
          </w:rPr>
          <w:t xml:space="preserve"> v. </w:t>
        </w:r>
        <w:r w:rsidR="007C73E0" w:rsidRPr="00EF7399">
          <w:rPr>
            <w:rStyle w:val="Hyperlink"/>
            <w:rFonts w:ascii="Times New Roman" w:hAnsi="Times New Roman" w:cs="Times New Roman"/>
            <w:iCs/>
            <w:lang w:val="af-ZA"/>
          </w:rPr>
          <w:t>Georgia</w:t>
        </w:r>
      </w:hyperlink>
      <w:r w:rsidR="007C73E0" w:rsidRPr="00EF7399">
        <w:rPr>
          <w:rFonts w:ascii="Times New Roman" w:hAnsi="Times New Roman" w:cs="Times New Roman"/>
          <w:iCs/>
          <w:lang w:val="af-ZA"/>
        </w:rPr>
        <w:t xml:space="preserve">, </w:t>
      </w:r>
      <w:r w:rsidR="009B4331" w:rsidRPr="00EF7399">
        <w:rPr>
          <w:rFonts w:ascii="Times New Roman" w:hAnsi="Times New Roman" w:cs="Times New Roman"/>
          <w:iCs/>
          <w:lang w:val="af-ZA"/>
        </w:rPr>
        <w:t xml:space="preserve">2018, </w:t>
      </w:r>
      <w:r w:rsidR="00873234" w:rsidRPr="00EF7399">
        <w:rPr>
          <w:rFonts w:ascii="Times New Roman" w:hAnsi="Times New Roman" w:cs="Times New Roman"/>
          <w:iCs/>
          <w:lang w:val="af-ZA"/>
        </w:rPr>
        <w:t>§ </w:t>
      </w:r>
      <w:r w:rsidR="007C73E0" w:rsidRPr="00EF7399">
        <w:rPr>
          <w:rFonts w:ascii="Times New Roman" w:hAnsi="Times New Roman" w:cs="Times New Roman"/>
          <w:iCs/>
          <w:lang w:val="af-ZA"/>
        </w:rPr>
        <w:t xml:space="preserve">73; </w:t>
      </w:r>
      <w:hyperlink r:id="rId107" w:history="1">
        <w:r w:rsidR="007C73E0" w:rsidRPr="00EF7399">
          <w:rPr>
            <w:rStyle w:val="Hyperlink"/>
            <w:rFonts w:ascii="Times New Roman" w:hAnsi="Times New Roman" w:cs="Times New Roman"/>
            <w:iCs/>
            <w:lang w:val="af-ZA"/>
          </w:rPr>
          <w:t>Annenkov and Others</w:t>
        </w:r>
        <w:r w:rsidR="00873234" w:rsidRPr="00EF7399">
          <w:rPr>
            <w:rStyle w:val="Hyperlink"/>
            <w:rFonts w:ascii="Times New Roman" w:hAnsi="Times New Roman" w:cs="Times New Roman"/>
            <w:iCs/>
            <w:lang w:val="af-ZA"/>
          </w:rPr>
          <w:t xml:space="preserve"> v. </w:t>
        </w:r>
        <w:r w:rsidR="007C73E0" w:rsidRPr="00EF7399">
          <w:rPr>
            <w:rStyle w:val="Hyperlink"/>
            <w:rFonts w:ascii="Times New Roman" w:hAnsi="Times New Roman" w:cs="Times New Roman"/>
            <w:iCs/>
            <w:lang w:val="af-ZA"/>
          </w:rPr>
          <w:t>Russia</w:t>
        </w:r>
      </w:hyperlink>
      <w:r w:rsidR="007C73E0" w:rsidRPr="00EF7399">
        <w:rPr>
          <w:rFonts w:ascii="Times New Roman" w:hAnsi="Times New Roman" w:cs="Times New Roman"/>
          <w:lang w:val="af-ZA"/>
        </w:rPr>
        <w:t xml:space="preserve">, </w:t>
      </w:r>
      <w:r w:rsidR="009B4331" w:rsidRPr="00EF7399">
        <w:rPr>
          <w:rFonts w:ascii="Times New Roman" w:hAnsi="Times New Roman" w:cs="Times New Roman"/>
          <w:lang w:val="af-ZA"/>
        </w:rPr>
        <w:t xml:space="preserve">2017,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126</w:t>
      </w:r>
      <w:r w:rsidR="007C73E0" w:rsidRPr="00EF7399">
        <w:rPr>
          <w:rFonts w:ascii="Times New Roman" w:hAnsi="Times New Roman" w:cs="Times New Roman"/>
          <w:iCs/>
          <w:lang w:val="af-ZA"/>
        </w:rPr>
        <w:t>)</w:t>
      </w:r>
      <w:r w:rsidR="007F1C3C" w:rsidRPr="00EF7399">
        <w:rPr>
          <w:rFonts w:ascii="Times New Roman" w:hAnsi="Times New Roman" w:cs="Times New Roman"/>
          <w:iCs/>
          <w:lang w:val="af-ZA"/>
        </w:rPr>
        <w:t>:</w:t>
      </w:r>
    </w:p>
    <w:p w14:paraId="18214194" w14:textId="16A777FE" w:rsidR="008A38EA" w:rsidRPr="00EF7399" w:rsidRDefault="0014026F" w:rsidP="007C73E0">
      <w:pPr>
        <w:pStyle w:val="ECHRParaSpaced"/>
        <w:rPr>
          <w:rFonts w:ascii="Times New Roman" w:hAnsi="Times New Roman" w:cs="Times New Roman"/>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 MERGEFORMAT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28</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7F1C3C" w:rsidRPr="00EF7399">
        <w:rPr>
          <w:rFonts w:ascii="Times New Roman" w:hAnsi="Times New Roman" w:cs="Times New Roman"/>
          <w:iCs/>
          <w:lang w:val="af-ZA"/>
        </w:rPr>
        <w:t xml:space="preserve">Խորհրդարանի շենքի շրջափակումը, որի նպատակն է խաթարել օրենսդրական գործընթացը, պարտադիր չէ համարել ժողովրդավարական հասարակության հիմքերի խարխլում և կարող է </w:t>
      </w:r>
      <w:r w:rsidR="00192672" w:rsidRPr="00EF7399">
        <w:rPr>
          <w:rFonts w:ascii="Times New Roman" w:hAnsi="Times New Roman" w:cs="Times New Roman"/>
          <w:iCs/>
          <w:lang w:val="af-ZA"/>
        </w:rPr>
        <w:t xml:space="preserve">տեղավորվել </w:t>
      </w:r>
      <w:r w:rsidR="007F1C3C" w:rsidRPr="00EF7399">
        <w:rPr>
          <w:rFonts w:ascii="Times New Roman" w:hAnsi="Times New Roman" w:cs="Times New Roman"/>
          <w:iCs/>
          <w:lang w:val="af-ZA"/>
        </w:rPr>
        <w:t>11-րդ հոդվածի</w:t>
      </w:r>
      <w:r w:rsidR="00192672" w:rsidRPr="00EF7399">
        <w:rPr>
          <w:rFonts w:ascii="Times New Roman" w:hAnsi="Times New Roman" w:cs="Times New Roman"/>
          <w:iCs/>
          <w:lang w:val="af-ZA"/>
        </w:rPr>
        <w:t xml:space="preserve"> սահմաններում, ինչպես օրենսդրի կողմից ընտրական համակարգի բարեփոխումները ձախողելու դեմ բողոքի պարագայում</w:t>
      </w:r>
      <w:r w:rsidR="006D2DF2" w:rsidRPr="00EF7399">
        <w:rPr>
          <w:rFonts w:ascii="Times New Roman" w:hAnsi="Times New Roman" w:cs="Times New Roman"/>
          <w:iCs/>
          <w:lang w:val="hy-AM"/>
        </w:rPr>
        <w:t xml:space="preserve"> էր</w:t>
      </w:r>
      <w:r w:rsidR="007F1C3C" w:rsidRPr="00EF7399">
        <w:rPr>
          <w:rFonts w:ascii="Times New Roman" w:hAnsi="Times New Roman" w:cs="Times New Roman"/>
          <w:iCs/>
          <w:lang w:val="af-ZA"/>
        </w:rPr>
        <w:t xml:space="preserve"> </w:t>
      </w:r>
      <w:r w:rsidR="008A38EA" w:rsidRPr="00EF7399">
        <w:rPr>
          <w:rFonts w:ascii="Times New Roman" w:hAnsi="Times New Roman" w:cs="Times New Roman"/>
          <w:iCs/>
          <w:lang w:val="af-ZA"/>
        </w:rPr>
        <w:t>(</w:t>
      </w:r>
      <w:hyperlink r:id="rId108" w:history="1">
        <w:r w:rsidR="008A38EA" w:rsidRPr="00EF7399">
          <w:rPr>
            <w:rStyle w:val="Hyperlink"/>
            <w:rFonts w:ascii="Times New Roman" w:hAnsi="Times New Roman" w:cs="Times New Roman"/>
            <w:iCs/>
            <w:lang w:val="af-ZA"/>
          </w:rPr>
          <w:t>Makarashvili and Others v. Georgia</w:t>
        </w:r>
      </w:hyperlink>
      <w:r w:rsidR="008A38EA" w:rsidRPr="00EF7399">
        <w:rPr>
          <w:rFonts w:ascii="Times New Roman" w:hAnsi="Times New Roman" w:cs="Times New Roman"/>
          <w:iCs/>
          <w:lang w:val="af-ZA"/>
        </w:rPr>
        <w:t>, 2022, §§ 89-94)</w:t>
      </w:r>
      <w:r w:rsidR="00192672" w:rsidRPr="00EF7399">
        <w:rPr>
          <w:rFonts w:ascii="Times New Roman" w:hAnsi="Times New Roman" w:cs="Times New Roman"/>
          <w:iCs/>
          <w:lang w:val="af-ZA"/>
        </w:rPr>
        <w:t>:</w:t>
      </w:r>
    </w:p>
    <w:p w14:paraId="02256694" w14:textId="57AFCFD6" w:rsidR="00B40BA9" w:rsidRPr="00EF7399" w:rsidRDefault="00663C2E" w:rsidP="00663C2E">
      <w:pPr>
        <w:pStyle w:val="ECHRParaSpaced"/>
        <w:rPr>
          <w:rFonts w:ascii="Times New Roman" w:hAnsi="Times New Roman" w:cs="Times New Roman"/>
          <w:lang w:val="af-ZA"/>
        </w:rPr>
      </w:pPr>
      <w:r w:rsidRPr="00EF7399">
        <w:rPr>
          <w:rFonts w:ascii="Times New Roman" w:hAnsi="Times New Roman" w:cs="Times New Roman"/>
          <w:lang w:val="af-ZA"/>
        </w:rPr>
        <w:lastRenderedPageBreak/>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29</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92672" w:rsidRPr="00EF7399">
        <w:rPr>
          <w:rFonts w:ascii="Times New Roman" w:hAnsi="Times New Roman" w:cs="Times New Roman"/>
          <w:lang w:val="af-ZA"/>
        </w:rPr>
        <w:t>Հավաքը, որը ստվեր</w:t>
      </w:r>
      <w:r w:rsidR="006D2DF2" w:rsidRPr="00EF7399">
        <w:rPr>
          <w:rFonts w:ascii="Times New Roman" w:hAnsi="Times New Roman" w:cs="Times New Roman"/>
          <w:lang w:val="hy-AM"/>
        </w:rPr>
        <w:t>վ</w:t>
      </w:r>
      <w:r w:rsidR="00192672" w:rsidRPr="00EF7399">
        <w:rPr>
          <w:rFonts w:ascii="Times New Roman" w:hAnsi="Times New Roman" w:cs="Times New Roman"/>
          <w:lang w:val="af-ZA"/>
        </w:rPr>
        <w:t>ել</w:t>
      </w:r>
      <w:r w:rsidR="006D2DF2" w:rsidRPr="00EF7399">
        <w:rPr>
          <w:rFonts w:ascii="Times New Roman" w:hAnsi="Times New Roman" w:cs="Times New Roman"/>
          <w:lang w:val="hy-AM"/>
        </w:rPr>
        <w:t xml:space="preserve"> է</w:t>
      </w:r>
      <w:r w:rsidR="00192672" w:rsidRPr="00EF7399">
        <w:rPr>
          <w:rFonts w:ascii="Times New Roman" w:hAnsi="Times New Roman" w:cs="Times New Roman"/>
          <w:lang w:val="af-ZA"/>
        </w:rPr>
        <w:t xml:space="preserve"> առանձին բռնարարքներ</w:t>
      </w:r>
      <w:r w:rsidR="006D2DF2" w:rsidRPr="00EF7399">
        <w:rPr>
          <w:rFonts w:ascii="Times New Roman" w:hAnsi="Times New Roman" w:cs="Times New Roman"/>
          <w:lang w:val="hy-AM"/>
        </w:rPr>
        <w:t>ի պատճառով</w:t>
      </w:r>
      <w:r w:rsidR="00192672" w:rsidRPr="00EF7399">
        <w:rPr>
          <w:rFonts w:ascii="Times New Roman" w:hAnsi="Times New Roman" w:cs="Times New Roman"/>
          <w:lang w:val="af-ZA"/>
        </w:rPr>
        <w:t xml:space="preserve">, ինքնաբերաբար չի համարվում ոչ խաղաղ, որպեսզի զրկվի 11-րդ հոդվածով նախատեսված պաշտպանությունից: Ցույցի ընթացքում </w:t>
      </w:r>
      <w:r w:rsidR="00644F1E" w:rsidRPr="00EF7399">
        <w:rPr>
          <w:rFonts w:ascii="Times New Roman" w:hAnsi="Times New Roman" w:cs="Times New Roman"/>
          <w:lang w:val="af-ZA"/>
        </w:rPr>
        <w:t>ա</w:t>
      </w:r>
      <w:r w:rsidR="00192672" w:rsidRPr="00EF7399">
        <w:rPr>
          <w:rFonts w:ascii="Times New Roman" w:hAnsi="Times New Roman" w:cs="Times New Roman"/>
          <w:lang w:val="af-ZA"/>
        </w:rPr>
        <w:t xml:space="preserve">յլ անձանց </w:t>
      </w:r>
      <w:r w:rsidR="00644F1E" w:rsidRPr="00EF7399">
        <w:rPr>
          <w:rFonts w:ascii="Times New Roman" w:hAnsi="Times New Roman" w:cs="Times New Roman"/>
          <w:lang w:val="af-ZA"/>
        </w:rPr>
        <w:t>գործած եզակի բ</w:t>
      </w:r>
      <w:r w:rsidR="00192672" w:rsidRPr="00EF7399">
        <w:rPr>
          <w:rFonts w:ascii="Times New Roman" w:hAnsi="Times New Roman" w:cs="Times New Roman"/>
          <w:lang w:val="af-ZA"/>
        </w:rPr>
        <w:t>ռն</w:t>
      </w:r>
      <w:r w:rsidR="00644F1E" w:rsidRPr="00EF7399">
        <w:rPr>
          <w:rFonts w:ascii="Times New Roman" w:hAnsi="Times New Roman" w:cs="Times New Roman"/>
          <w:lang w:val="af-ZA"/>
        </w:rPr>
        <w:t>արար</w:t>
      </w:r>
      <w:r w:rsidR="00192672" w:rsidRPr="00EF7399">
        <w:rPr>
          <w:rFonts w:ascii="Times New Roman" w:hAnsi="Times New Roman" w:cs="Times New Roman"/>
          <w:lang w:val="af-ZA"/>
        </w:rPr>
        <w:t>ք</w:t>
      </w:r>
      <w:r w:rsidR="00644F1E" w:rsidRPr="00EF7399">
        <w:rPr>
          <w:rFonts w:ascii="Times New Roman" w:hAnsi="Times New Roman" w:cs="Times New Roman"/>
          <w:lang w:val="af-ZA"/>
        </w:rPr>
        <w:t>ն</w:t>
      </w:r>
      <w:r w:rsidR="00192672" w:rsidRPr="00EF7399">
        <w:rPr>
          <w:rFonts w:ascii="Times New Roman" w:hAnsi="Times New Roman" w:cs="Times New Roman"/>
          <w:lang w:val="af-ZA"/>
        </w:rPr>
        <w:t>երի կամ պատժելի այլ արարքների հետևանքով որևէ անհատ չի դադարում օգտվել խաղաղ հավաքների իրավունքից</w:t>
      </w:r>
      <w:r w:rsidR="00644F1E" w:rsidRPr="00EF7399">
        <w:rPr>
          <w:rFonts w:ascii="Times New Roman" w:hAnsi="Times New Roman" w:cs="Times New Roman"/>
          <w:lang w:val="af-ZA"/>
        </w:rPr>
        <w:t xml:space="preserve">, եթե տվյալ անձի նպատակները կամ վարքագիծը մնում են խաղաղ </w:t>
      </w:r>
      <w:r w:rsidR="007C73E0" w:rsidRPr="00EF7399">
        <w:rPr>
          <w:rFonts w:ascii="Times New Roman" w:hAnsi="Times New Roman" w:cs="Times New Roman"/>
          <w:lang w:val="af-ZA"/>
        </w:rPr>
        <w:t>(</w:t>
      </w:r>
      <w:hyperlink r:id="rId109" w:history="1">
        <w:r w:rsidR="007C73E0" w:rsidRPr="00EF7399">
          <w:rPr>
            <w:rStyle w:val="Hyperlink"/>
            <w:rFonts w:ascii="Times New Roman" w:hAnsi="Times New Roman" w:cs="Times New Roman"/>
            <w:lang w:val="af-ZA"/>
          </w:rPr>
          <w:t>Ezelin</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France</w:t>
        </w:r>
      </w:hyperlink>
      <w:r w:rsidR="007C73E0" w:rsidRPr="00EF7399">
        <w:rPr>
          <w:rFonts w:ascii="Times New Roman" w:hAnsi="Times New Roman" w:cs="Times New Roman"/>
          <w:lang w:val="af-ZA"/>
        </w:rPr>
        <w:t xml:space="preserve">, </w:t>
      </w:r>
      <w:r w:rsidR="009B4331" w:rsidRPr="00EF7399">
        <w:rPr>
          <w:rFonts w:ascii="Times New Roman" w:hAnsi="Times New Roman" w:cs="Times New Roman"/>
          <w:lang w:val="af-ZA"/>
        </w:rPr>
        <w:t xml:space="preserve">1991,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 xml:space="preserve">53; </w:t>
      </w:r>
      <w:hyperlink r:id="rId110" w:history="1">
        <w:r w:rsidR="007C73E0" w:rsidRPr="00EF7399">
          <w:rPr>
            <w:rStyle w:val="Hyperlink"/>
            <w:rFonts w:ascii="Times New Roman" w:hAnsi="Times New Roman" w:cs="Times New Roman"/>
            <w:lang w:val="af-ZA"/>
          </w:rPr>
          <w:t>Frumkin</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Russia</w:t>
        </w:r>
      </w:hyperlink>
      <w:r w:rsidR="007C73E0" w:rsidRPr="00EF7399">
        <w:rPr>
          <w:rFonts w:ascii="Times New Roman" w:hAnsi="Times New Roman" w:cs="Times New Roman"/>
          <w:lang w:val="af-ZA"/>
        </w:rPr>
        <w:t xml:space="preserve">, </w:t>
      </w:r>
      <w:r w:rsidR="009B4331" w:rsidRPr="00EF7399">
        <w:rPr>
          <w:rFonts w:ascii="Times New Roman" w:hAnsi="Times New Roman" w:cs="Times New Roman"/>
          <w:lang w:val="af-ZA"/>
        </w:rPr>
        <w:t xml:space="preserve">2016,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99</w:t>
      </w:r>
      <w:r w:rsidR="00AA5746" w:rsidRPr="00EF7399">
        <w:rPr>
          <w:rFonts w:ascii="Times New Roman" w:hAnsi="Times New Roman" w:cs="Times New Roman"/>
          <w:lang w:val="af-ZA"/>
        </w:rPr>
        <w:t xml:space="preserve">; </w:t>
      </w:r>
      <w:hyperlink r:id="rId111" w:history="1">
        <w:r w:rsidR="00481003" w:rsidRPr="00EF7399">
          <w:rPr>
            <w:rStyle w:val="Hyperlink"/>
            <w:rFonts w:ascii="Times New Roman" w:hAnsi="Times New Roman" w:cs="Times New Roman"/>
            <w:lang w:val="af-ZA"/>
          </w:rPr>
          <w:t>Laguna Guzman</w:t>
        </w:r>
        <w:r w:rsidR="00873234" w:rsidRPr="00EF7399">
          <w:rPr>
            <w:rStyle w:val="Hyperlink"/>
            <w:rFonts w:ascii="Times New Roman" w:hAnsi="Times New Roman" w:cs="Times New Roman"/>
            <w:lang w:val="af-ZA"/>
          </w:rPr>
          <w:t xml:space="preserve"> v. </w:t>
        </w:r>
        <w:r w:rsidR="00481003" w:rsidRPr="00EF7399">
          <w:rPr>
            <w:rStyle w:val="Hyperlink"/>
            <w:rFonts w:ascii="Times New Roman" w:hAnsi="Times New Roman" w:cs="Times New Roman"/>
            <w:lang w:val="af-ZA"/>
          </w:rPr>
          <w:t>Spain</w:t>
        </w:r>
      </w:hyperlink>
      <w:r w:rsidR="00AA5746" w:rsidRPr="00EF7399">
        <w:rPr>
          <w:rFonts w:ascii="Times New Roman" w:hAnsi="Times New Roman" w:cs="Times New Roman"/>
          <w:lang w:val="af-ZA"/>
        </w:rPr>
        <w:t xml:space="preserve">, </w:t>
      </w:r>
      <w:r w:rsidR="009B4331" w:rsidRPr="00EF7399">
        <w:rPr>
          <w:rFonts w:ascii="Times New Roman" w:hAnsi="Times New Roman" w:cs="Times New Roman"/>
          <w:lang w:val="af-ZA"/>
        </w:rPr>
        <w:t xml:space="preserve">2020, </w:t>
      </w:r>
      <w:r w:rsidR="00873234" w:rsidRPr="00EF7399">
        <w:rPr>
          <w:rFonts w:ascii="Times New Roman" w:hAnsi="Times New Roman" w:cs="Times New Roman"/>
          <w:lang w:val="af-ZA"/>
        </w:rPr>
        <w:t>§ </w:t>
      </w:r>
      <w:r w:rsidR="00AA5746" w:rsidRPr="00EF7399">
        <w:rPr>
          <w:rFonts w:ascii="Times New Roman" w:hAnsi="Times New Roman" w:cs="Times New Roman"/>
          <w:lang w:val="af-ZA"/>
        </w:rPr>
        <w:t>35</w:t>
      </w:r>
      <w:r w:rsidR="007C73E0" w:rsidRPr="00EF7399">
        <w:rPr>
          <w:rFonts w:ascii="Times New Roman" w:hAnsi="Times New Roman" w:cs="Times New Roman"/>
          <w:lang w:val="af-ZA"/>
        </w:rPr>
        <w:t>)</w:t>
      </w:r>
      <w:r w:rsidR="00644F1E" w:rsidRPr="00EF7399">
        <w:rPr>
          <w:rFonts w:ascii="Times New Roman" w:hAnsi="Times New Roman" w:cs="Times New Roman"/>
          <w:lang w:val="af-ZA"/>
        </w:rPr>
        <w:t>:</w:t>
      </w:r>
      <w:r w:rsidR="007C73E0" w:rsidRPr="00EF7399">
        <w:rPr>
          <w:rFonts w:ascii="Times New Roman" w:hAnsi="Times New Roman" w:cs="Times New Roman"/>
          <w:lang w:val="af-ZA"/>
        </w:rPr>
        <w:t xml:space="preserve"> </w:t>
      </w:r>
      <w:r w:rsidR="00B27FC9" w:rsidRPr="00EF7399">
        <w:rPr>
          <w:rFonts w:ascii="Times New Roman" w:hAnsi="Times New Roman" w:cs="Times New Roman"/>
          <w:lang w:val="hy-AM"/>
        </w:rPr>
        <w:t>Կ</w:t>
      </w:r>
      <w:r w:rsidR="00644F1E" w:rsidRPr="00EF7399">
        <w:rPr>
          <w:rFonts w:ascii="Times New Roman" w:hAnsi="Times New Roman" w:cs="Times New Roman"/>
          <w:lang w:val="af-ZA"/>
        </w:rPr>
        <w:t>ազմակերպող միավորման անդամ չհանդիսացող և բռնի նպատակներ ունեցող անձանց</w:t>
      </w:r>
      <w:r w:rsidR="00B27FC9" w:rsidRPr="00EF7399">
        <w:rPr>
          <w:rFonts w:ascii="Times New Roman" w:hAnsi="Times New Roman" w:cs="Times New Roman"/>
          <w:lang w:val="hy-AM"/>
        </w:rPr>
        <w:t>՝ ցույցին</w:t>
      </w:r>
      <w:r w:rsidR="00644F1E" w:rsidRPr="00EF7399">
        <w:rPr>
          <w:rFonts w:ascii="Times New Roman" w:hAnsi="Times New Roman" w:cs="Times New Roman"/>
          <w:lang w:val="af-ZA"/>
        </w:rPr>
        <w:t xml:space="preserve"> միանալու հնարավորությունը չի կարող վերացնել այդ իրավունքը </w:t>
      </w:r>
      <w:r w:rsidR="007C73E0" w:rsidRPr="00EF7399">
        <w:rPr>
          <w:rFonts w:ascii="Times New Roman" w:hAnsi="Times New Roman" w:cs="Times New Roman"/>
          <w:lang w:val="af-ZA"/>
        </w:rPr>
        <w:t>(</w:t>
      </w:r>
      <w:hyperlink r:id="rId112" w:history="1">
        <w:r w:rsidR="007C73E0" w:rsidRPr="00EF7399">
          <w:rPr>
            <w:rStyle w:val="Hyperlink"/>
            <w:rFonts w:ascii="Times New Roman" w:hAnsi="Times New Roman" w:cs="Times New Roman"/>
            <w:lang w:val="af-ZA"/>
          </w:rPr>
          <w:t>Primov and Others</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Russia</w:t>
        </w:r>
      </w:hyperlink>
      <w:r w:rsidR="007C73E0" w:rsidRPr="00EF7399">
        <w:rPr>
          <w:rFonts w:ascii="Times New Roman" w:hAnsi="Times New Roman" w:cs="Times New Roman"/>
          <w:lang w:val="af-ZA"/>
        </w:rPr>
        <w:t xml:space="preserve">, </w:t>
      </w:r>
      <w:r w:rsidR="009B4331"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007C73E0" w:rsidRPr="00EF7399">
        <w:rPr>
          <w:rFonts w:ascii="Times New Roman" w:hAnsi="Times New Roman" w:cs="Times New Roman"/>
          <w:lang w:val="af-ZA"/>
        </w:rPr>
        <w:t>155)</w:t>
      </w:r>
      <w:r w:rsidR="00644F1E" w:rsidRPr="00EF7399">
        <w:rPr>
          <w:rFonts w:ascii="Times New Roman" w:hAnsi="Times New Roman" w:cs="Times New Roman"/>
          <w:lang w:val="af-ZA"/>
        </w:rPr>
        <w:t>:</w:t>
      </w:r>
    </w:p>
    <w:p w14:paraId="6FDCF23C" w14:textId="64322E03" w:rsidR="00663C2E" w:rsidRPr="00EF7399" w:rsidRDefault="00663C2E" w:rsidP="00663C2E">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30</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644F1E" w:rsidRPr="00EF7399">
        <w:rPr>
          <w:rFonts w:ascii="Times New Roman" w:hAnsi="Times New Roman" w:cs="Times New Roman"/>
          <w:lang w:val="af-ZA"/>
        </w:rPr>
        <w:t xml:space="preserve">Մի շարք դեպքերում, երբ ցուցարարները </w:t>
      </w:r>
      <w:r w:rsidR="00D76797" w:rsidRPr="00EF7399">
        <w:rPr>
          <w:rFonts w:ascii="Times New Roman" w:hAnsi="Times New Roman" w:cs="Times New Roman"/>
          <w:lang w:val="hy-AM"/>
        </w:rPr>
        <w:t>ներգրավվել</w:t>
      </w:r>
      <w:r w:rsidR="00D76797" w:rsidRPr="00EF7399">
        <w:rPr>
          <w:rFonts w:ascii="Times New Roman" w:hAnsi="Times New Roman" w:cs="Times New Roman"/>
          <w:lang w:val="af-ZA"/>
        </w:rPr>
        <w:t xml:space="preserve"> </w:t>
      </w:r>
      <w:r w:rsidR="00644F1E" w:rsidRPr="00EF7399">
        <w:rPr>
          <w:rFonts w:ascii="Times New Roman" w:hAnsi="Times New Roman" w:cs="Times New Roman"/>
          <w:lang w:val="af-ZA"/>
        </w:rPr>
        <w:t>են բռնարարքներ</w:t>
      </w:r>
      <w:r w:rsidR="00D76797" w:rsidRPr="00EF7399">
        <w:rPr>
          <w:rFonts w:ascii="Times New Roman" w:hAnsi="Times New Roman" w:cs="Times New Roman"/>
          <w:lang w:val="hy-AM"/>
        </w:rPr>
        <w:t>ի կատարմանը</w:t>
      </w:r>
      <w:r w:rsidR="00644F1E" w:rsidRPr="00EF7399">
        <w:rPr>
          <w:rFonts w:ascii="Times New Roman" w:hAnsi="Times New Roman" w:cs="Times New Roman"/>
          <w:lang w:val="af-ZA"/>
        </w:rPr>
        <w:t xml:space="preserve">, Դատարանը որոշել է, որ խնդրո առարկա ցույցերը </w:t>
      </w:r>
      <w:r w:rsidR="00D76797" w:rsidRPr="00EF7399">
        <w:rPr>
          <w:rFonts w:ascii="Times New Roman" w:hAnsi="Times New Roman" w:cs="Times New Roman"/>
          <w:lang w:val="hy-AM"/>
        </w:rPr>
        <w:t>եղել</w:t>
      </w:r>
      <w:r w:rsidR="00D76797" w:rsidRPr="00EF7399">
        <w:rPr>
          <w:rFonts w:ascii="Times New Roman" w:hAnsi="Times New Roman" w:cs="Times New Roman"/>
          <w:lang w:val="af-ZA"/>
        </w:rPr>
        <w:t xml:space="preserve"> </w:t>
      </w:r>
      <w:r w:rsidR="00644F1E" w:rsidRPr="00EF7399">
        <w:rPr>
          <w:rFonts w:ascii="Times New Roman" w:hAnsi="Times New Roman" w:cs="Times New Roman"/>
          <w:lang w:val="af-ZA"/>
        </w:rPr>
        <w:t xml:space="preserve">են 11-րդ հոդվածի </w:t>
      </w:r>
      <w:r w:rsidR="00D76797" w:rsidRPr="00EF7399">
        <w:rPr>
          <w:rFonts w:ascii="Times New Roman" w:hAnsi="Times New Roman" w:cs="Times New Roman"/>
          <w:lang w:val="hy-AM"/>
        </w:rPr>
        <w:t>կիրառության տիրույթում</w:t>
      </w:r>
      <w:r w:rsidR="00644F1E" w:rsidRPr="00EF7399">
        <w:rPr>
          <w:rFonts w:ascii="Times New Roman" w:hAnsi="Times New Roman" w:cs="Times New Roman"/>
          <w:lang w:val="af-ZA"/>
        </w:rPr>
        <w:t>, սակայն հասարակական կարգի խախտումը կամ հանցագործություն</w:t>
      </w:r>
      <w:r w:rsidR="00D76797" w:rsidRPr="00EF7399">
        <w:rPr>
          <w:rFonts w:ascii="Times New Roman" w:hAnsi="Times New Roman" w:cs="Times New Roman"/>
          <w:lang w:val="hy-AM"/>
        </w:rPr>
        <w:t>ներ</w:t>
      </w:r>
      <w:r w:rsidR="00644F1E" w:rsidRPr="00EF7399">
        <w:rPr>
          <w:rFonts w:ascii="Times New Roman" w:hAnsi="Times New Roman" w:cs="Times New Roman"/>
          <w:lang w:val="af-ZA"/>
        </w:rPr>
        <w:t xml:space="preserve">ը կանխելու, ինչպես նաև այլ անձանց </w:t>
      </w:r>
      <w:r w:rsidR="00D76797" w:rsidRPr="00EF7399">
        <w:rPr>
          <w:rFonts w:ascii="Times New Roman" w:hAnsi="Times New Roman" w:cs="Times New Roman"/>
          <w:lang w:val="af-ZA"/>
        </w:rPr>
        <w:t>իրավունք</w:t>
      </w:r>
      <w:r w:rsidR="00D76797" w:rsidRPr="00EF7399">
        <w:rPr>
          <w:rFonts w:ascii="Times New Roman" w:hAnsi="Times New Roman" w:cs="Times New Roman"/>
          <w:lang w:val="hy-AM"/>
        </w:rPr>
        <w:t>ն</w:t>
      </w:r>
      <w:r w:rsidR="00D76797" w:rsidRPr="00EF7399">
        <w:rPr>
          <w:rFonts w:ascii="Times New Roman" w:hAnsi="Times New Roman" w:cs="Times New Roman"/>
          <w:lang w:val="af-ZA"/>
        </w:rPr>
        <w:t>եր</w:t>
      </w:r>
      <w:r w:rsidR="00D76797" w:rsidRPr="00EF7399">
        <w:rPr>
          <w:rFonts w:ascii="Times New Roman" w:hAnsi="Times New Roman" w:cs="Times New Roman"/>
          <w:lang w:val="hy-AM"/>
        </w:rPr>
        <w:t>ն ու</w:t>
      </w:r>
      <w:r w:rsidR="00D76797" w:rsidRPr="00EF7399">
        <w:rPr>
          <w:rFonts w:ascii="Times New Roman" w:hAnsi="Times New Roman" w:cs="Times New Roman"/>
          <w:lang w:val="af-ZA"/>
        </w:rPr>
        <w:t xml:space="preserve"> </w:t>
      </w:r>
      <w:r w:rsidR="00644F1E" w:rsidRPr="00EF7399">
        <w:rPr>
          <w:rFonts w:ascii="Times New Roman" w:hAnsi="Times New Roman" w:cs="Times New Roman"/>
          <w:lang w:val="af-ZA"/>
        </w:rPr>
        <w:t xml:space="preserve">ազատությունները պաշտպանելու հիմքով միջամտությունը 11-րդ հոդվածով երաշխավորված իրավունքին </w:t>
      </w:r>
      <w:r w:rsidR="00D76797" w:rsidRPr="00EF7399">
        <w:rPr>
          <w:rFonts w:ascii="Times New Roman" w:hAnsi="Times New Roman" w:cs="Times New Roman"/>
          <w:lang w:val="af-ZA"/>
        </w:rPr>
        <w:t xml:space="preserve">արդարացված է եղել </w:t>
      </w:r>
      <w:r w:rsidR="007C73E0" w:rsidRPr="00EF7399">
        <w:rPr>
          <w:rFonts w:ascii="Times New Roman" w:hAnsi="Times New Roman" w:cs="Times New Roman"/>
          <w:lang w:val="af-ZA"/>
        </w:rPr>
        <w:t>(</w:t>
      </w:r>
      <w:hyperlink r:id="rId113" w:history="1">
        <w:r w:rsidR="007C73E0" w:rsidRPr="00EF7399">
          <w:rPr>
            <w:rStyle w:val="Hyperlink"/>
            <w:rFonts w:ascii="Times New Roman" w:hAnsi="Times New Roman" w:cs="Times New Roman"/>
            <w:lang w:val="af-ZA"/>
          </w:rPr>
          <w:t>Osmani and Others</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“the former Yugoslav Republic of Macedonia”</w:t>
        </w:r>
      </w:hyperlink>
      <w:r w:rsidR="007C73E0" w:rsidRPr="00EF7399">
        <w:rPr>
          <w:rFonts w:ascii="Times New Roman" w:hAnsi="Times New Roman" w:cs="Times New Roman"/>
          <w:i/>
          <w:lang w:val="af-ZA"/>
        </w:rPr>
        <w:t xml:space="preserve"> </w:t>
      </w:r>
      <w:r w:rsidR="007C73E0" w:rsidRPr="00EF7399">
        <w:rPr>
          <w:rFonts w:ascii="Times New Roman" w:hAnsi="Times New Roman" w:cs="Times New Roman"/>
          <w:lang w:val="af-ZA"/>
        </w:rPr>
        <w:t>(dec.)</w:t>
      </w:r>
      <w:r w:rsidR="009B4331" w:rsidRPr="00EF7399">
        <w:rPr>
          <w:rFonts w:ascii="Times New Roman" w:hAnsi="Times New Roman" w:cs="Times New Roman"/>
          <w:lang w:val="af-ZA"/>
        </w:rPr>
        <w:t>, 2001</w:t>
      </w:r>
      <w:r w:rsidR="007C73E0" w:rsidRPr="00EF7399">
        <w:rPr>
          <w:rFonts w:ascii="Times New Roman" w:hAnsi="Times New Roman" w:cs="Times New Roman"/>
          <w:lang w:val="af-ZA"/>
        </w:rPr>
        <w:t xml:space="preserve">; </w:t>
      </w:r>
      <w:hyperlink r:id="rId114" w:history="1">
        <w:r w:rsidR="007C73E0" w:rsidRPr="00EF7399">
          <w:rPr>
            <w:rStyle w:val="Hyperlink"/>
            <w:rFonts w:ascii="Times New Roman" w:hAnsi="Times New Roman" w:cs="Times New Roman"/>
            <w:lang w:val="af-ZA"/>
          </w:rPr>
          <w:t>Protopapa</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Turkey</w:t>
        </w:r>
      </w:hyperlink>
      <w:r w:rsidR="007C73E0" w:rsidRPr="00EF7399">
        <w:rPr>
          <w:rFonts w:ascii="Times New Roman" w:hAnsi="Times New Roman" w:cs="Times New Roman"/>
          <w:lang w:val="af-ZA"/>
        </w:rPr>
        <w:t xml:space="preserve">, </w:t>
      </w:r>
      <w:r w:rsidR="009B4331" w:rsidRPr="00EF7399">
        <w:rPr>
          <w:rFonts w:ascii="Times New Roman" w:hAnsi="Times New Roman" w:cs="Times New Roman"/>
          <w:lang w:val="af-ZA"/>
        </w:rPr>
        <w:t xml:space="preserve">2019, </w:t>
      </w:r>
      <w:r w:rsidR="007C73E0" w:rsidRPr="00EF7399">
        <w:rPr>
          <w:rFonts w:ascii="Times New Roman" w:hAnsi="Times New Roman" w:cs="Times New Roman"/>
          <w:lang w:val="af-ZA"/>
        </w:rPr>
        <w:t>§</w:t>
      </w:r>
      <w:r w:rsidR="00873234" w:rsidRPr="00EF7399">
        <w:rPr>
          <w:rFonts w:ascii="Times New Roman" w:hAnsi="Times New Roman" w:cs="Times New Roman"/>
          <w:lang w:val="af-ZA"/>
        </w:rPr>
        <w:t>§ </w:t>
      </w:r>
      <w:r w:rsidR="007C73E0" w:rsidRPr="00EF7399">
        <w:rPr>
          <w:rFonts w:ascii="Times New Roman" w:hAnsi="Times New Roman" w:cs="Times New Roman"/>
          <w:lang w:val="af-ZA"/>
        </w:rPr>
        <w:t xml:space="preserve">104-112, </w:t>
      </w:r>
      <w:r w:rsidR="00644F1E" w:rsidRPr="00EF7399">
        <w:rPr>
          <w:rFonts w:ascii="Times New Roman" w:hAnsi="Times New Roman" w:cs="Times New Roman"/>
          <w:lang w:val="af-ZA"/>
        </w:rPr>
        <w:t>և</w:t>
      </w:r>
      <w:r w:rsidR="007C73E0" w:rsidRPr="00EF7399">
        <w:rPr>
          <w:rFonts w:ascii="Times New Roman" w:hAnsi="Times New Roman" w:cs="Times New Roman"/>
          <w:lang w:val="af-ZA"/>
        </w:rPr>
        <w:t xml:space="preserve"> </w:t>
      </w:r>
      <w:r w:rsidR="00315F36" w:rsidRPr="00EF7399">
        <w:rPr>
          <w:rFonts w:ascii="Times New Roman" w:hAnsi="Times New Roman" w:cs="Times New Roman"/>
          <w:lang w:val="af-ZA"/>
        </w:rPr>
        <w:t xml:space="preserve">այլ գործեր, որոնք ամփոփված են </w:t>
      </w:r>
      <w:hyperlink r:id="rId115" w:history="1">
        <w:r w:rsidR="007C73E0" w:rsidRPr="00EF7399">
          <w:rPr>
            <w:rStyle w:val="Hyperlink"/>
            <w:rFonts w:ascii="Times New Roman" w:hAnsi="Times New Roman" w:cs="Times New Roman"/>
            <w:lang w:val="af-ZA"/>
          </w:rPr>
          <w:t>Gülcü</w:t>
        </w:r>
        <w:r w:rsidR="00873234" w:rsidRPr="00EF7399">
          <w:rPr>
            <w:rStyle w:val="Hyperlink"/>
            <w:rFonts w:ascii="Times New Roman" w:hAnsi="Times New Roman" w:cs="Times New Roman"/>
            <w:lang w:val="af-ZA"/>
          </w:rPr>
          <w:t xml:space="preserve"> v. </w:t>
        </w:r>
        <w:r w:rsidR="007C73E0" w:rsidRPr="00EF7399">
          <w:rPr>
            <w:rStyle w:val="Hyperlink"/>
            <w:rFonts w:ascii="Times New Roman" w:hAnsi="Times New Roman" w:cs="Times New Roman"/>
            <w:lang w:val="af-ZA"/>
          </w:rPr>
          <w:t>Turkey</w:t>
        </w:r>
      </w:hyperlink>
      <w:r w:rsidR="007C73E0" w:rsidRPr="00EF7399">
        <w:rPr>
          <w:rFonts w:ascii="Times New Roman" w:hAnsi="Times New Roman" w:cs="Times New Roman"/>
          <w:lang w:val="af-ZA"/>
        </w:rPr>
        <w:t xml:space="preserve">, </w:t>
      </w:r>
      <w:r w:rsidR="009B4331" w:rsidRPr="00EF7399">
        <w:rPr>
          <w:rFonts w:ascii="Times New Roman" w:hAnsi="Times New Roman" w:cs="Times New Roman"/>
          <w:lang w:val="af-ZA"/>
        </w:rPr>
        <w:t xml:space="preserve">2016, </w:t>
      </w:r>
      <w:r w:rsidR="007C73E0" w:rsidRPr="00EF7399">
        <w:rPr>
          <w:rFonts w:ascii="Times New Roman" w:hAnsi="Times New Roman" w:cs="Times New Roman"/>
          <w:lang w:val="af-ZA"/>
        </w:rPr>
        <w:t>§</w:t>
      </w:r>
      <w:r w:rsidR="00873234" w:rsidRPr="00EF7399">
        <w:rPr>
          <w:rFonts w:ascii="Times New Roman" w:hAnsi="Times New Roman" w:cs="Times New Roman"/>
          <w:lang w:val="af-ZA"/>
        </w:rPr>
        <w:t>§ </w:t>
      </w:r>
      <w:r w:rsidR="007C73E0" w:rsidRPr="00EF7399">
        <w:rPr>
          <w:rFonts w:ascii="Times New Roman" w:hAnsi="Times New Roman" w:cs="Times New Roman"/>
          <w:lang w:val="af-ZA"/>
        </w:rPr>
        <w:t>93-97</w:t>
      </w:r>
      <w:r w:rsidR="00315F36" w:rsidRPr="00EF7399">
        <w:rPr>
          <w:rFonts w:ascii="Times New Roman" w:hAnsi="Times New Roman" w:cs="Times New Roman"/>
          <w:lang w:val="af-ZA"/>
        </w:rPr>
        <w:t>-ում</w:t>
      </w:r>
      <w:r w:rsidR="007C73E0" w:rsidRPr="00EF7399">
        <w:rPr>
          <w:rFonts w:ascii="Times New Roman" w:hAnsi="Times New Roman" w:cs="Times New Roman"/>
          <w:lang w:val="af-ZA"/>
        </w:rPr>
        <w:t>)</w:t>
      </w:r>
      <w:r w:rsidR="00315F36" w:rsidRPr="00EF7399">
        <w:rPr>
          <w:rFonts w:ascii="Times New Roman" w:hAnsi="Times New Roman" w:cs="Times New Roman"/>
          <w:lang w:val="af-ZA"/>
        </w:rPr>
        <w:t>:</w:t>
      </w:r>
    </w:p>
    <w:p w14:paraId="0A45EA07" w14:textId="1E482EDF" w:rsidR="00653FF9" w:rsidRPr="00EF7399" w:rsidRDefault="00663C2E" w:rsidP="00663C2E">
      <w:pPr>
        <w:pStyle w:val="ECHRParaSpaced"/>
        <w:rPr>
          <w:rStyle w:val="sb8d990e2"/>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31</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315F36" w:rsidRPr="00EF7399">
        <w:rPr>
          <w:rFonts w:ascii="Times New Roman" w:hAnsi="Times New Roman" w:cs="Times New Roman"/>
          <w:lang w:val="af-ZA"/>
        </w:rPr>
        <w:t>Պարզելու համար</w:t>
      </w:r>
      <w:r w:rsidR="00D76797" w:rsidRPr="00EF7399">
        <w:rPr>
          <w:rFonts w:ascii="Times New Roman" w:hAnsi="Times New Roman" w:cs="Times New Roman"/>
          <w:lang w:val="hy-AM"/>
        </w:rPr>
        <w:t>, թե</w:t>
      </w:r>
      <w:r w:rsidR="00315F36" w:rsidRPr="00EF7399">
        <w:rPr>
          <w:rFonts w:ascii="Times New Roman" w:hAnsi="Times New Roman" w:cs="Times New Roman"/>
          <w:lang w:val="af-ZA"/>
        </w:rPr>
        <w:t xml:space="preserve"> արդյոք գանգատաբերը կարող է պահանջել 11-րդ հոդվածով պաշտպանություն, Դատարանը հաշվի է առնում </w:t>
      </w:r>
      <w:r w:rsidRPr="00EF7399">
        <w:rPr>
          <w:rFonts w:ascii="Times New Roman" w:hAnsi="Times New Roman" w:cs="Times New Roman"/>
          <w:lang w:val="af-ZA"/>
        </w:rPr>
        <w:t xml:space="preserve">(i) </w:t>
      </w:r>
      <w:r w:rsidR="00315F36" w:rsidRPr="00EF7399">
        <w:rPr>
          <w:rFonts w:ascii="Times New Roman" w:hAnsi="Times New Roman" w:cs="Times New Roman"/>
          <w:lang w:val="af-ZA"/>
        </w:rPr>
        <w:t>արդյո</w:t>
      </w:r>
      <w:r w:rsidR="00A72447" w:rsidRPr="00EF7399">
        <w:rPr>
          <w:rFonts w:ascii="Times New Roman" w:hAnsi="Times New Roman" w:cs="Times New Roman"/>
          <w:lang w:val="af-ZA"/>
        </w:rPr>
        <w:t>՞</w:t>
      </w:r>
      <w:r w:rsidR="00315F36" w:rsidRPr="00EF7399">
        <w:rPr>
          <w:rFonts w:ascii="Times New Roman" w:hAnsi="Times New Roman" w:cs="Times New Roman"/>
          <w:lang w:val="af-ZA"/>
        </w:rPr>
        <w:t>ք հավաքը նախատեսված էր</w:t>
      </w:r>
      <w:r w:rsidR="00D76797" w:rsidRPr="00EF7399">
        <w:rPr>
          <w:rFonts w:ascii="Times New Roman" w:hAnsi="Times New Roman" w:cs="Times New Roman"/>
          <w:lang w:val="hy-AM"/>
        </w:rPr>
        <w:t xml:space="preserve"> </w:t>
      </w:r>
      <w:r w:rsidR="00D76797" w:rsidRPr="00EF7399">
        <w:rPr>
          <w:rFonts w:ascii="Times New Roman" w:hAnsi="Times New Roman" w:cs="Times New Roman"/>
          <w:lang w:val="af-ZA"/>
        </w:rPr>
        <w:t>լինել</w:t>
      </w:r>
      <w:r w:rsidR="00315F36" w:rsidRPr="00EF7399">
        <w:rPr>
          <w:rFonts w:ascii="Times New Roman" w:hAnsi="Times New Roman" w:cs="Times New Roman"/>
          <w:lang w:val="af-ZA"/>
        </w:rPr>
        <w:t xml:space="preserve"> խաղաղ, թե՞ կազմակերպիչներն ունեցել են բռնի նպատակներ, </w:t>
      </w:r>
      <w:r w:rsidRPr="00EF7399">
        <w:rPr>
          <w:rFonts w:ascii="Times New Roman" w:hAnsi="Times New Roman" w:cs="Times New Roman"/>
          <w:lang w:val="af-ZA"/>
        </w:rPr>
        <w:t xml:space="preserve">(ii) </w:t>
      </w:r>
      <w:r w:rsidR="00315F36" w:rsidRPr="00EF7399">
        <w:rPr>
          <w:rFonts w:ascii="Times New Roman" w:hAnsi="Times New Roman" w:cs="Times New Roman"/>
          <w:lang w:val="af-ZA"/>
        </w:rPr>
        <w:t>արդյո՞ք հավաքին միանալ</w:t>
      </w:r>
      <w:r w:rsidR="00E94B5A" w:rsidRPr="00EF7399">
        <w:rPr>
          <w:rFonts w:ascii="Times New Roman" w:hAnsi="Times New Roman" w:cs="Times New Roman"/>
          <w:lang w:val="hy-AM"/>
        </w:rPr>
        <w:t>իս</w:t>
      </w:r>
      <w:r w:rsidR="00315F36" w:rsidRPr="00EF7399">
        <w:rPr>
          <w:rFonts w:ascii="Times New Roman" w:hAnsi="Times New Roman" w:cs="Times New Roman"/>
          <w:lang w:val="af-ZA"/>
        </w:rPr>
        <w:t xml:space="preserve"> գանգատաբերն արտահայտել է բռնի նպատակներ, </w:t>
      </w:r>
      <w:r w:rsidRPr="00EF7399">
        <w:rPr>
          <w:rFonts w:ascii="Times New Roman" w:hAnsi="Times New Roman" w:cs="Times New Roman"/>
          <w:lang w:val="af-ZA"/>
        </w:rPr>
        <w:t xml:space="preserve">(iii) </w:t>
      </w:r>
      <w:r w:rsidR="00315F36" w:rsidRPr="00EF7399">
        <w:rPr>
          <w:rFonts w:ascii="Times New Roman" w:hAnsi="Times New Roman" w:cs="Times New Roman"/>
          <w:lang w:val="af-ZA"/>
        </w:rPr>
        <w:t xml:space="preserve">արդյո՞ք գանգատաբերը մարմնական վնասվածք է հասցրել որևէ մեկին </w:t>
      </w:r>
      <w:r w:rsidR="006276F5" w:rsidRPr="00EF7399">
        <w:rPr>
          <w:rFonts w:ascii="Times New Roman" w:hAnsi="Times New Roman" w:cs="Times New Roman"/>
          <w:lang w:val="af-ZA"/>
        </w:rPr>
        <w:t>(</w:t>
      </w:r>
      <w:hyperlink r:id="rId116" w:history="1">
        <w:r w:rsidR="006276F5" w:rsidRPr="00EF7399">
          <w:rPr>
            <w:rStyle w:val="Hyperlink"/>
            <w:rFonts w:ascii="Times New Roman" w:hAnsi="Times New Roman" w:cs="Times New Roman"/>
            <w:lang w:val="af-ZA"/>
          </w:rPr>
          <w:t>Gülcü</w:t>
        </w:r>
        <w:r w:rsidR="00873234" w:rsidRPr="00EF7399">
          <w:rPr>
            <w:rStyle w:val="Hyperlink"/>
            <w:rFonts w:ascii="Times New Roman" w:hAnsi="Times New Roman" w:cs="Times New Roman"/>
            <w:lang w:val="af-ZA"/>
          </w:rPr>
          <w:t xml:space="preserve"> v. </w:t>
        </w:r>
        <w:r w:rsidR="006276F5" w:rsidRPr="00EF7399">
          <w:rPr>
            <w:rStyle w:val="Hyperlink"/>
            <w:rFonts w:ascii="Times New Roman" w:hAnsi="Times New Roman" w:cs="Times New Roman"/>
            <w:lang w:val="af-ZA"/>
          </w:rPr>
          <w:t>Turkey</w:t>
        </w:r>
      </w:hyperlink>
      <w:r w:rsidR="006276F5" w:rsidRPr="00EF7399">
        <w:rPr>
          <w:rFonts w:ascii="Times New Roman" w:hAnsi="Times New Roman" w:cs="Times New Roman"/>
          <w:lang w:val="af-ZA"/>
        </w:rPr>
        <w:t>,</w:t>
      </w:r>
      <w:r w:rsidR="009B4331" w:rsidRPr="00EF7399">
        <w:rPr>
          <w:rFonts w:ascii="Times New Roman" w:hAnsi="Times New Roman" w:cs="Times New Roman"/>
          <w:lang w:val="af-ZA"/>
        </w:rPr>
        <w:t xml:space="preserve"> 2016,</w:t>
      </w:r>
      <w:r w:rsidR="006276F5" w:rsidRPr="00EF7399">
        <w:rPr>
          <w:rFonts w:ascii="Times New Roman" w:hAnsi="Times New Roman" w:cs="Times New Roman"/>
          <w:lang w:val="af-ZA"/>
        </w:rPr>
        <w:t xml:space="preserve"> </w:t>
      </w:r>
      <w:r w:rsidR="00873234" w:rsidRPr="00EF7399">
        <w:rPr>
          <w:rFonts w:ascii="Times New Roman" w:hAnsi="Times New Roman" w:cs="Times New Roman"/>
          <w:lang w:val="af-ZA"/>
        </w:rPr>
        <w:t>§ </w:t>
      </w:r>
      <w:r w:rsidR="006276F5" w:rsidRPr="00EF7399">
        <w:rPr>
          <w:rFonts w:ascii="Times New Roman" w:hAnsi="Times New Roman" w:cs="Times New Roman"/>
          <w:lang w:val="af-ZA"/>
        </w:rPr>
        <w:t>97</w:t>
      </w:r>
      <w:r w:rsidR="009440B7" w:rsidRPr="00EF7399">
        <w:rPr>
          <w:rFonts w:ascii="Times New Roman" w:hAnsi="Times New Roman" w:cs="Times New Roman"/>
          <w:lang w:val="af-ZA"/>
        </w:rPr>
        <w:t xml:space="preserve">; </w:t>
      </w:r>
      <w:r w:rsidR="00A72447" w:rsidRPr="00EF7399">
        <w:rPr>
          <w:rFonts w:ascii="Times New Roman" w:hAnsi="Times New Roman" w:cs="Times New Roman"/>
          <w:lang w:val="af-ZA"/>
        </w:rPr>
        <w:t xml:space="preserve">և </w:t>
      </w:r>
      <w:hyperlink r:id="rId117" w:history="1">
        <w:r w:rsidR="009440B7" w:rsidRPr="00EF7399">
          <w:rPr>
            <w:rStyle w:val="Hyperlink"/>
            <w:rFonts w:ascii="Times New Roman" w:hAnsi="Times New Roman" w:cs="Times New Roman"/>
            <w:iCs/>
            <w:lang w:val="af-ZA"/>
          </w:rPr>
          <w:t>Shmorgunov and Others</w:t>
        </w:r>
        <w:r w:rsidR="00873234" w:rsidRPr="00EF7399">
          <w:rPr>
            <w:rStyle w:val="Hyperlink"/>
            <w:rFonts w:ascii="Times New Roman" w:hAnsi="Times New Roman" w:cs="Times New Roman"/>
            <w:iCs/>
            <w:lang w:val="af-ZA"/>
          </w:rPr>
          <w:t xml:space="preserve"> v. </w:t>
        </w:r>
        <w:r w:rsidR="009440B7" w:rsidRPr="00EF7399">
          <w:rPr>
            <w:rStyle w:val="Hyperlink"/>
            <w:rFonts w:ascii="Times New Roman" w:hAnsi="Times New Roman" w:cs="Times New Roman"/>
            <w:iCs/>
            <w:lang w:val="af-ZA"/>
          </w:rPr>
          <w:t>Ukraine</w:t>
        </w:r>
      </w:hyperlink>
      <w:r w:rsidR="009440B7" w:rsidRPr="00EF7399">
        <w:rPr>
          <w:rFonts w:ascii="Times New Roman" w:hAnsi="Times New Roman" w:cs="Times New Roman"/>
          <w:lang w:val="af-ZA"/>
        </w:rPr>
        <w:t xml:space="preserve">, </w:t>
      </w:r>
      <w:r w:rsidR="009B4331" w:rsidRPr="00EF7399">
        <w:rPr>
          <w:rFonts w:ascii="Times New Roman" w:hAnsi="Times New Roman" w:cs="Times New Roman"/>
          <w:lang w:val="af-ZA"/>
        </w:rPr>
        <w:t xml:space="preserve">2021, </w:t>
      </w:r>
      <w:r w:rsidR="00873234" w:rsidRPr="00EF7399">
        <w:rPr>
          <w:rFonts w:ascii="Times New Roman" w:hAnsi="Times New Roman" w:cs="Times New Roman"/>
          <w:lang w:val="af-ZA"/>
        </w:rPr>
        <w:t>§ </w:t>
      </w:r>
      <w:r w:rsidR="009440B7" w:rsidRPr="00EF7399">
        <w:rPr>
          <w:rFonts w:ascii="Times New Roman" w:hAnsi="Times New Roman" w:cs="Times New Roman"/>
          <w:lang w:val="af-ZA"/>
        </w:rPr>
        <w:t>491</w:t>
      </w:r>
      <w:r w:rsidR="006276F5" w:rsidRPr="00EF7399">
        <w:rPr>
          <w:rFonts w:ascii="Times New Roman" w:hAnsi="Times New Roman" w:cs="Times New Roman"/>
          <w:lang w:val="af-ZA"/>
        </w:rPr>
        <w:t>)</w:t>
      </w:r>
      <w:r w:rsidR="00315F36" w:rsidRPr="00EF7399">
        <w:rPr>
          <w:rFonts w:ascii="Times New Roman" w:hAnsi="Times New Roman" w:cs="Times New Roman"/>
          <w:lang w:val="af-ZA"/>
        </w:rPr>
        <w:t>: Եթե սկզբ</w:t>
      </w:r>
      <w:r w:rsidR="00E94B5A" w:rsidRPr="00EF7399">
        <w:rPr>
          <w:rFonts w:ascii="Times New Roman" w:hAnsi="Times New Roman" w:cs="Times New Roman"/>
          <w:lang w:val="hy-AM"/>
        </w:rPr>
        <w:t>նապես</w:t>
      </w:r>
      <w:r w:rsidR="00315F36" w:rsidRPr="00EF7399">
        <w:rPr>
          <w:rFonts w:ascii="Times New Roman" w:hAnsi="Times New Roman" w:cs="Times New Roman"/>
          <w:lang w:val="af-ZA"/>
        </w:rPr>
        <w:t xml:space="preserve"> խաղաղ հավաքը վերաճել է բռնության</w:t>
      </w:r>
      <w:r w:rsidR="00E94B5A" w:rsidRPr="00EF7399">
        <w:rPr>
          <w:rFonts w:ascii="Times New Roman" w:hAnsi="Times New Roman" w:cs="Times New Roman"/>
          <w:lang w:val="hy-AM"/>
        </w:rPr>
        <w:t>,</w:t>
      </w:r>
      <w:r w:rsidR="00315F36" w:rsidRPr="00EF7399">
        <w:rPr>
          <w:rFonts w:ascii="Times New Roman" w:hAnsi="Times New Roman" w:cs="Times New Roman"/>
          <w:lang w:val="af-ZA"/>
        </w:rPr>
        <w:t xml:space="preserve"> և երկու կողմերը` ցուցարարներն ու ոստիկանությունը, ներքաշվել են բռնարարքների մեջ, ապա երբեմն անհրաժեշտ է պարզել</w:t>
      </w:r>
      <w:r w:rsidR="00E94B5A" w:rsidRPr="00EF7399">
        <w:rPr>
          <w:rFonts w:ascii="Times New Roman" w:hAnsi="Times New Roman" w:cs="Times New Roman"/>
          <w:lang w:val="hy-AM"/>
        </w:rPr>
        <w:t>՝</w:t>
      </w:r>
      <w:r w:rsidR="00315F36" w:rsidRPr="00EF7399">
        <w:rPr>
          <w:rFonts w:ascii="Times New Roman" w:hAnsi="Times New Roman" w:cs="Times New Roman"/>
          <w:lang w:val="af-ZA"/>
        </w:rPr>
        <w:t xml:space="preserve"> ով է սկսել բռնությունը </w:t>
      </w:r>
      <w:r w:rsidR="006276F5" w:rsidRPr="00EF7399">
        <w:rPr>
          <w:rFonts w:ascii="Times New Roman" w:hAnsi="Times New Roman" w:cs="Times New Roman"/>
          <w:lang w:val="af-ZA"/>
        </w:rPr>
        <w:t>(</w:t>
      </w:r>
      <w:hyperlink r:id="rId118" w:history="1">
        <w:r w:rsidR="006276F5" w:rsidRPr="00EF7399">
          <w:rPr>
            <w:rStyle w:val="Hyperlink"/>
            <w:rFonts w:ascii="Times New Roman" w:hAnsi="Times New Roman" w:cs="Times New Roman"/>
            <w:lang w:val="af-ZA"/>
          </w:rPr>
          <w:t>Primov and Others</w:t>
        </w:r>
        <w:r w:rsidR="00873234" w:rsidRPr="00EF7399">
          <w:rPr>
            <w:rStyle w:val="Hyperlink"/>
            <w:rFonts w:ascii="Times New Roman" w:hAnsi="Times New Roman" w:cs="Times New Roman"/>
            <w:lang w:val="af-ZA"/>
          </w:rPr>
          <w:t xml:space="preserve"> v. </w:t>
        </w:r>
        <w:r w:rsidR="006276F5" w:rsidRPr="00EF7399">
          <w:rPr>
            <w:rStyle w:val="Hyperlink"/>
            <w:rFonts w:ascii="Times New Roman" w:hAnsi="Times New Roman" w:cs="Times New Roman"/>
            <w:lang w:val="af-ZA"/>
          </w:rPr>
          <w:t>Russia</w:t>
        </w:r>
      </w:hyperlink>
      <w:r w:rsidR="006276F5" w:rsidRPr="00EF7399">
        <w:rPr>
          <w:rFonts w:ascii="Times New Roman" w:hAnsi="Times New Roman" w:cs="Times New Roman"/>
          <w:lang w:val="af-ZA"/>
        </w:rPr>
        <w:t xml:space="preserve">, </w:t>
      </w:r>
      <w:r w:rsidR="009B4331"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006276F5" w:rsidRPr="00EF7399">
        <w:rPr>
          <w:rFonts w:ascii="Times New Roman" w:hAnsi="Times New Roman" w:cs="Times New Roman"/>
          <w:lang w:val="af-ZA"/>
        </w:rPr>
        <w:t>157</w:t>
      </w:r>
      <w:r w:rsidR="00ED4F33" w:rsidRPr="00EF7399">
        <w:rPr>
          <w:rFonts w:ascii="Times New Roman" w:hAnsi="Times New Roman" w:cs="Times New Roman"/>
          <w:lang w:val="af-ZA"/>
        </w:rPr>
        <w:t xml:space="preserve">; </w:t>
      </w:r>
      <w:hyperlink r:id="rId119" w:history="1">
        <w:r w:rsidR="00ED4F33" w:rsidRPr="00EF7399">
          <w:rPr>
            <w:rStyle w:val="Hyperlink"/>
            <w:rFonts w:ascii="Times New Roman" w:hAnsi="Times New Roman" w:cs="Times New Roman"/>
            <w:lang w:val="af-ZA"/>
          </w:rPr>
          <w:t>Çiçek and Others v. Türkiye</w:t>
        </w:r>
      </w:hyperlink>
      <w:r w:rsidR="00ED4F33" w:rsidRPr="00EF7399">
        <w:rPr>
          <w:rFonts w:ascii="Times New Roman" w:hAnsi="Times New Roman" w:cs="Times New Roman"/>
          <w:lang w:val="af-ZA"/>
        </w:rPr>
        <w:t>, 2022, §§ 137-141</w:t>
      </w:r>
      <w:r w:rsidR="006276F5" w:rsidRPr="00EF7399">
        <w:rPr>
          <w:rFonts w:ascii="Times New Roman" w:hAnsi="Times New Roman" w:cs="Times New Roman"/>
          <w:lang w:val="af-ZA"/>
        </w:rPr>
        <w:t>)</w:t>
      </w:r>
      <w:r w:rsidR="00315F36" w:rsidRPr="00EF7399">
        <w:rPr>
          <w:rFonts w:ascii="Times New Roman" w:hAnsi="Times New Roman" w:cs="Times New Roman"/>
          <w:lang w:val="af-ZA"/>
        </w:rPr>
        <w:t xml:space="preserve">: </w:t>
      </w:r>
      <w:r w:rsidR="00A72447" w:rsidRPr="00EF7399">
        <w:rPr>
          <w:rFonts w:ascii="Times New Roman" w:hAnsi="Times New Roman" w:cs="Times New Roman"/>
          <w:lang w:val="af-ZA"/>
        </w:rPr>
        <w:t xml:space="preserve">Այս չափորոշիչների հիման վրա </w:t>
      </w:r>
      <w:r w:rsidR="00447C10" w:rsidRPr="00EF7399">
        <w:rPr>
          <w:rFonts w:ascii="Times New Roman" w:hAnsi="Times New Roman" w:cs="Times New Roman"/>
          <w:lang w:val="af-ZA"/>
        </w:rPr>
        <w:t>Դատարանը</w:t>
      </w:r>
      <w:r w:rsidR="009A41C7" w:rsidRPr="00EF7399">
        <w:rPr>
          <w:rFonts w:ascii="Times New Roman" w:hAnsi="Times New Roman" w:cs="Times New Roman"/>
          <w:lang w:val="af-ZA"/>
        </w:rPr>
        <w:t xml:space="preserve"> որպես </w:t>
      </w:r>
      <w:r w:rsidR="009A41C7" w:rsidRPr="00EF7399">
        <w:rPr>
          <w:rStyle w:val="s6b621b36"/>
          <w:rFonts w:ascii="Times New Roman" w:hAnsi="Times New Roman" w:cs="Times New Roman"/>
          <w:i/>
          <w:color w:val="000000" w:themeColor="text1"/>
          <w:lang w:val="af-ZA"/>
        </w:rPr>
        <w:t>ratione materiae</w:t>
      </w:r>
      <w:r w:rsidR="009A41C7" w:rsidRPr="00EF7399">
        <w:rPr>
          <w:rFonts w:ascii="Times New Roman" w:hAnsi="Times New Roman" w:cs="Times New Roman"/>
          <w:color w:val="000000" w:themeColor="text1"/>
          <w:lang w:val="af-ZA"/>
        </w:rPr>
        <w:t xml:space="preserve"> </w:t>
      </w:r>
      <w:r w:rsidR="00E94B5A" w:rsidRPr="00EF7399">
        <w:rPr>
          <w:rFonts w:ascii="Times New Roman" w:hAnsi="Times New Roman" w:cs="Times New Roman"/>
          <w:color w:val="000000" w:themeColor="text1"/>
          <w:lang w:val="hy-AM"/>
        </w:rPr>
        <w:t>անհամատեղելի՝</w:t>
      </w:r>
      <w:r w:rsidR="00447C10" w:rsidRPr="00EF7399">
        <w:rPr>
          <w:rFonts w:ascii="Times New Roman" w:hAnsi="Times New Roman" w:cs="Times New Roman"/>
          <w:color w:val="000000" w:themeColor="text1"/>
          <w:lang w:val="af-ZA"/>
        </w:rPr>
        <w:t xml:space="preserve"> </w:t>
      </w:r>
      <w:r w:rsidR="009A41C7" w:rsidRPr="00EF7399">
        <w:rPr>
          <w:rFonts w:ascii="Times New Roman" w:hAnsi="Times New Roman" w:cs="Times New Roman"/>
          <w:lang w:val="af-ZA"/>
        </w:rPr>
        <w:t xml:space="preserve">մերժեց գանգատաբերի բողոքը, </w:t>
      </w:r>
      <w:r w:rsidR="00E94B5A" w:rsidRPr="00EF7399">
        <w:rPr>
          <w:rFonts w:ascii="Times New Roman" w:hAnsi="Times New Roman" w:cs="Times New Roman"/>
          <w:lang w:val="hy-AM"/>
        </w:rPr>
        <w:t>ում</w:t>
      </w:r>
      <w:r w:rsidR="00E94B5A" w:rsidRPr="00EF7399">
        <w:rPr>
          <w:rFonts w:ascii="Times New Roman" w:hAnsi="Times New Roman" w:cs="Times New Roman"/>
          <w:lang w:val="af-ZA"/>
        </w:rPr>
        <w:t xml:space="preserve"> </w:t>
      </w:r>
      <w:r w:rsidR="009A41C7" w:rsidRPr="00EF7399">
        <w:rPr>
          <w:rFonts w:ascii="Times New Roman" w:hAnsi="Times New Roman" w:cs="Times New Roman"/>
          <w:lang w:val="af-ZA"/>
        </w:rPr>
        <w:t xml:space="preserve">մեղավոր էին ճանաչել դիտավորությամբ կատարված արարքների համար, որոնք նպաստել էին </w:t>
      </w:r>
      <w:r w:rsidR="00E94B5A" w:rsidRPr="00EF7399">
        <w:rPr>
          <w:rFonts w:ascii="Times New Roman" w:hAnsi="Times New Roman" w:cs="Times New Roman"/>
          <w:lang w:val="hy-AM"/>
        </w:rPr>
        <w:t>սկզբնապես</w:t>
      </w:r>
      <w:r w:rsidR="00E94B5A" w:rsidRPr="00EF7399">
        <w:rPr>
          <w:rFonts w:ascii="Times New Roman" w:hAnsi="Times New Roman" w:cs="Times New Roman"/>
          <w:lang w:val="af-ZA"/>
        </w:rPr>
        <w:t xml:space="preserve"> </w:t>
      </w:r>
      <w:r w:rsidR="009A41C7" w:rsidRPr="00EF7399">
        <w:rPr>
          <w:rFonts w:ascii="Times New Roman" w:hAnsi="Times New Roman" w:cs="Times New Roman"/>
          <w:lang w:val="af-ZA"/>
        </w:rPr>
        <w:t xml:space="preserve">խաղաղ հավաքի ընթացքում բախումներ սկսվելուն </w:t>
      </w:r>
      <w:r w:rsidR="00653FF9" w:rsidRPr="00EF7399">
        <w:rPr>
          <w:rStyle w:val="sb8d990e2"/>
          <w:rFonts w:ascii="Times New Roman" w:hAnsi="Times New Roman" w:cs="Times New Roman"/>
          <w:lang w:val="af-ZA"/>
        </w:rPr>
        <w:t>(</w:t>
      </w:r>
      <w:r w:rsidR="009A41C7" w:rsidRPr="00EF7399">
        <w:rPr>
          <w:rStyle w:val="sb8d990e2"/>
          <w:rFonts w:ascii="Times New Roman" w:hAnsi="Times New Roman" w:cs="Times New Roman"/>
          <w:lang w:val="af-ZA"/>
        </w:rPr>
        <w:t>նա առաջնորդում էր մի խումբ անձանց` նպատակ ունենալով ճեղքել ոստիկան</w:t>
      </w:r>
      <w:r w:rsidR="002708FD" w:rsidRPr="00EF7399">
        <w:rPr>
          <w:rStyle w:val="sb8d990e2"/>
          <w:rFonts w:ascii="Times New Roman" w:hAnsi="Times New Roman" w:cs="Times New Roman"/>
          <w:lang w:val="hy-AM"/>
        </w:rPr>
        <w:t>ական</w:t>
      </w:r>
      <w:r w:rsidR="009A41C7" w:rsidRPr="00EF7399">
        <w:rPr>
          <w:rStyle w:val="sb8d990e2"/>
          <w:rFonts w:ascii="Times New Roman" w:hAnsi="Times New Roman" w:cs="Times New Roman"/>
          <w:lang w:val="af-ZA"/>
        </w:rPr>
        <w:t xml:space="preserve"> պատնեշը</w:t>
      </w:r>
      <w:r w:rsidR="00653FF9" w:rsidRPr="00EF7399">
        <w:rPr>
          <w:rStyle w:val="sb8d990e2"/>
          <w:rFonts w:ascii="Times New Roman" w:hAnsi="Times New Roman" w:cs="Times New Roman"/>
          <w:lang w:val="af-ZA"/>
        </w:rPr>
        <w:t>)</w:t>
      </w:r>
      <w:r w:rsidR="002708FD" w:rsidRPr="00EF7399">
        <w:rPr>
          <w:rStyle w:val="sb8d990e2"/>
          <w:rFonts w:ascii="Times New Roman" w:hAnsi="Times New Roman" w:cs="Times New Roman"/>
          <w:lang w:val="af-ZA"/>
        </w:rPr>
        <w:t xml:space="preserve">` </w:t>
      </w:r>
      <w:r w:rsidR="009A41C7" w:rsidRPr="00EF7399">
        <w:rPr>
          <w:rStyle w:val="sb8d990e2"/>
          <w:rFonts w:ascii="Times New Roman" w:hAnsi="Times New Roman" w:cs="Times New Roman"/>
          <w:lang w:val="af-ZA"/>
        </w:rPr>
        <w:t>նկատի առնելով</w:t>
      </w:r>
      <w:r w:rsidR="004841AF" w:rsidRPr="00EF7399">
        <w:rPr>
          <w:rStyle w:val="sb8d990e2"/>
          <w:rFonts w:ascii="Times New Roman" w:hAnsi="Times New Roman" w:cs="Times New Roman"/>
          <w:lang w:val="af-ZA"/>
        </w:rPr>
        <w:t xml:space="preserve"> </w:t>
      </w:r>
      <w:r w:rsidR="009A41C7" w:rsidRPr="00EF7399">
        <w:rPr>
          <w:rStyle w:val="sb8d990e2"/>
          <w:rFonts w:ascii="Times New Roman" w:hAnsi="Times New Roman" w:cs="Times New Roman"/>
          <w:lang w:val="af-ZA"/>
        </w:rPr>
        <w:t xml:space="preserve">տվյալ </w:t>
      </w:r>
      <w:r w:rsidR="004841AF" w:rsidRPr="00EF7399">
        <w:rPr>
          <w:rStyle w:val="sb8d990e2"/>
          <w:rFonts w:ascii="Times New Roman" w:hAnsi="Times New Roman" w:cs="Times New Roman"/>
          <w:lang w:val="af-ZA"/>
        </w:rPr>
        <w:t xml:space="preserve">միջադեպի նշանակությունն այլ գործոնների շարքում, որոնք հանդիսացել էին </w:t>
      </w:r>
      <w:r w:rsidR="009A41C7" w:rsidRPr="00EF7399">
        <w:rPr>
          <w:rStyle w:val="sb8d990e2"/>
          <w:rFonts w:ascii="Times New Roman" w:hAnsi="Times New Roman" w:cs="Times New Roman"/>
          <w:lang w:val="af-ZA"/>
        </w:rPr>
        <w:t xml:space="preserve">հավաքի վայրում բռնության </w:t>
      </w:r>
      <w:r w:rsidR="002708FD" w:rsidRPr="00EF7399">
        <w:rPr>
          <w:rStyle w:val="sb8d990e2"/>
          <w:rFonts w:ascii="Times New Roman" w:hAnsi="Times New Roman" w:cs="Times New Roman"/>
          <w:lang w:val="hy-AM"/>
        </w:rPr>
        <w:t>աճի</w:t>
      </w:r>
      <w:r w:rsidR="002708FD" w:rsidRPr="00EF7399">
        <w:rPr>
          <w:rStyle w:val="sb8d990e2"/>
          <w:rFonts w:ascii="Times New Roman" w:hAnsi="Times New Roman" w:cs="Times New Roman"/>
          <w:lang w:val="af-ZA"/>
        </w:rPr>
        <w:t xml:space="preserve"> </w:t>
      </w:r>
      <w:r w:rsidR="009A41C7" w:rsidRPr="00EF7399">
        <w:rPr>
          <w:rStyle w:val="sb8d990e2"/>
          <w:rFonts w:ascii="Times New Roman" w:hAnsi="Times New Roman" w:cs="Times New Roman"/>
          <w:lang w:val="af-ZA"/>
        </w:rPr>
        <w:t xml:space="preserve">պատճառ </w:t>
      </w:r>
      <w:r w:rsidR="00BB065B" w:rsidRPr="00EF7399">
        <w:rPr>
          <w:rStyle w:val="sb8d990e2"/>
          <w:rFonts w:ascii="Times New Roman" w:hAnsi="Times New Roman" w:cs="Times New Roman"/>
          <w:lang w:val="af-ZA"/>
        </w:rPr>
        <w:t>(</w:t>
      </w:r>
      <w:hyperlink r:id="rId120" w:history="1">
        <w:r w:rsidR="00BB065B" w:rsidRPr="00EF7399">
          <w:rPr>
            <w:rStyle w:val="Hyperlink"/>
            <w:rFonts w:ascii="Times New Roman" w:hAnsi="Times New Roman" w:cs="Times New Roman"/>
            <w:iCs/>
            <w:lang w:val="af-ZA"/>
          </w:rPr>
          <w:t>Razvozzhayev</w:t>
        </w:r>
        <w:r w:rsidR="00873234" w:rsidRPr="00EF7399">
          <w:rPr>
            <w:rStyle w:val="Hyperlink"/>
            <w:rFonts w:ascii="Times New Roman" w:hAnsi="Times New Roman" w:cs="Times New Roman"/>
            <w:iCs/>
            <w:lang w:val="af-ZA"/>
          </w:rPr>
          <w:t xml:space="preserve"> v. </w:t>
        </w:r>
        <w:r w:rsidR="00BB065B" w:rsidRPr="00EF7399">
          <w:rPr>
            <w:rStyle w:val="Hyperlink"/>
            <w:rFonts w:ascii="Times New Roman" w:hAnsi="Times New Roman" w:cs="Times New Roman"/>
            <w:iCs/>
            <w:lang w:val="af-ZA"/>
          </w:rPr>
          <w:t>Russia and Ukraine and Udaltsov</w:t>
        </w:r>
        <w:r w:rsidR="00873234" w:rsidRPr="00EF7399">
          <w:rPr>
            <w:rStyle w:val="Hyperlink"/>
            <w:rFonts w:ascii="Times New Roman" w:hAnsi="Times New Roman" w:cs="Times New Roman"/>
            <w:iCs/>
            <w:lang w:val="af-ZA"/>
          </w:rPr>
          <w:t xml:space="preserve"> v. </w:t>
        </w:r>
        <w:r w:rsidR="00BB065B" w:rsidRPr="00EF7399">
          <w:rPr>
            <w:rStyle w:val="Hyperlink"/>
            <w:rFonts w:ascii="Times New Roman" w:hAnsi="Times New Roman" w:cs="Times New Roman"/>
            <w:iCs/>
            <w:lang w:val="af-ZA"/>
          </w:rPr>
          <w:t>Russia</w:t>
        </w:r>
      </w:hyperlink>
      <w:r w:rsidR="00BB065B" w:rsidRPr="00EF7399">
        <w:rPr>
          <w:rStyle w:val="s7d2086b4"/>
          <w:rFonts w:ascii="Times New Roman" w:hAnsi="Times New Roman" w:cs="Times New Roman"/>
          <w:lang w:val="af-ZA"/>
        </w:rPr>
        <w:t xml:space="preserve">, </w:t>
      </w:r>
      <w:r w:rsidR="009B4331" w:rsidRPr="00EF7399">
        <w:rPr>
          <w:rStyle w:val="s7d2086b4"/>
          <w:rFonts w:ascii="Times New Roman" w:hAnsi="Times New Roman" w:cs="Times New Roman"/>
          <w:lang w:val="af-ZA"/>
        </w:rPr>
        <w:t xml:space="preserve">2019, </w:t>
      </w:r>
      <w:r w:rsidR="00BB065B" w:rsidRPr="00EF7399">
        <w:rPr>
          <w:rStyle w:val="s7d2086b4"/>
          <w:rFonts w:ascii="Times New Roman" w:hAnsi="Times New Roman" w:cs="Times New Roman"/>
          <w:lang w:val="af-ZA"/>
        </w:rPr>
        <w:t>§</w:t>
      </w:r>
      <w:r w:rsidR="00873234" w:rsidRPr="00EF7399">
        <w:rPr>
          <w:rStyle w:val="s7d2086b4"/>
          <w:rFonts w:ascii="Times New Roman" w:hAnsi="Times New Roman" w:cs="Times New Roman"/>
          <w:lang w:val="af-ZA"/>
        </w:rPr>
        <w:t>§ </w:t>
      </w:r>
      <w:r w:rsidR="00BB065B" w:rsidRPr="00EF7399">
        <w:rPr>
          <w:rStyle w:val="s7d2086b4"/>
          <w:rFonts w:ascii="Times New Roman" w:hAnsi="Times New Roman" w:cs="Times New Roman"/>
          <w:lang w:val="af-ZA"/>
        </w:rPr>
        <w:t>282-285</w:t>
      </w:r>
      <w:r w:rsidR="00BB065B" w:rsidRPr="00EF7399">
        <w:rPr>
          <w:rStyle w:val="sb8d990e2"/>
          <w:rFonts w:ascii="Times New Roman" w:hAnsi="Times New Roman" w:cs="Times New Roman"/>
          <w:lang w:val="af-ZA"/>
        </w:rPr>
        <w:t>)</w:t>
      </w:r>
      <w:r w:rsidR="004841AF" w:rsidRPr="00EF7399">
        <w:rPr>
          <w:rStyle w:val="sb8d990e2"/>
          <w:rFonts w:ascii="Times New Roman" w:hAnsi="Times New Roman" w:cs="Times New Roman"/>
          <w:lang w:val="af-ZA"/>
        </w:rPr>
        <w:t>:</w:t>
      </w:r>
    </w:p>
    <w:p w14:paraId="372FCD42" w14:textId="314E17B6" w:rsidR="000924FB" w:rsidRPr="00EF7399" w:rsidRDefault="00663C2E" w:rsidP="00663C2E">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32</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4841AF" w:rsidRPr="00EF7399">
        <w:rPr>
          <w:rFonts w:ascii="Times New Roman" w:hAnsi="Times New Roman" w:cs="Times New Roman"/>
          <w:lang w:val="af-ZA"/>
        </w:rPr>
        <w:t xml:space="preserve">Եթե վերոնշյալ չափորոշիչների հիման վրա Դատարանն ընդունում է, որ </w:t>
      </w:r>
      <w:r w:rsidR="004841AF" w:rsidRPr="00EF7399">
        <w:rPr>
          <w:rFonts w:ascii="Times New Roman" w:hAnsi="Times New Roman" w:cs="Times New Roman"/>
          <w:color w:val="000000" w:themeColor="text1"/>
          <w:lang w:val="af-ZA"/>
        </w:rPr>
        <w:t>գանգատաբերը գտնվում էր 11-րդ հոդվածի պաշտպանությ</w:t>
      </w:r>
      <w:r w:rsidR="005924F0" w:rsidRPr="00EF7399">
        <w:rPr>
          <w:rFonts w:ascii="Times New Roman" w:hAnsi="Times New Roman" w:cs="Times New Roman"/>
          <w:color w:val="000000" w:themeColor="text1"/>
          <w:lang w:val="af-ZA"/>
        </w:rPr>
        <w:t>ան ներքո</w:t>
      </w:r>
      <w:r w:rsidR="004841AF" w:rsidRPr="00EF7399">
        <w:rPr>
          <w:rFonts w:ascii="Times New Roman" w:hAnsi="Times New Roman" w:cs="Times New Roman"/>
          <w:lang w:val="af-ZA"/>
        </w:rPr>
        <w:t>, ապա միջամտության</w:t>
      </w:r>
      <w:r w:rsidR="004B745F" w:rsidRPr="00EF7399">
        <w:rPr>
          <w:rFonts w:ascii="Times New Roman" w:hAnsi="Times New Roman" w:cs="Times New Roman"/>
          <w:lang w:val="af-ZA"/>
        </w:rPr>
        <w:t xml:space="preserve"> </w:t>
      </w:r>
      <w:r w:rsidR="00E10BFC" w:rsidRPr="00EF7399">
        <w:rPr>
          <w:rFonts w:ascii="Times New Roman" w:hAnsi="Times New Roman" w:cs="Times New Roman"/>
          <w:lang w:val="hy-AM"/>
        </w:rPr>
        <w:t>վերաբերյալ</w:t>
      </w:r>
      <w:r w:rsidR="004841AF" w:rsidRPr="00EF7399">
        <w:rPr>
          <w:rFonts w:ascii="Times New Roman" w:hAnsi="Times New Roman" w:cs="Times New Roman"/>
          <w:lang w:val="af-ZA"/>
        </w:rPr>
        <w:t xml:space="preserve"> վերլուծությունը կենտրոնանում է վճռի համաչափության շուրջ: Դատարանն ընդունում է, որ երբ անհատները մասնակցում են բռնի գործողություններին, </w:t>
      </w:r>
      <w:r w:rsidR="000A1A77" w:rsidRPr="00EF7399">
        <w:rPr>
          <w:rFonts w:ascii="Times New Roman" w:hAnsi="Times New Roman" w:cs="Times New Roman"/>
          <w:lang w:val="af-ZA"/>
        </w:rPr>
        <w:t xml:space="preserve">պետության </w:t>
      </w:r>
      <w:r w:rsidR="004841AF" w:rsidRPr="00EF7399">
        <w:rPr>
          <w:rFonts w:ascii="Times New Roman" w:hAnsi="Times New Roman" w:cs="Times New Roman"/>
          <w:lang w:val="af-ZA"/>
        </w:rPr>
        <w:t>իշխանություններ</w:t>
      </w:r>
      <w:r w:rsidR="000A1A77" w:rsidRPr="00EF7399">
        <w:rPr>
          <w:rFonts w:ascii="Times New Roman" w:hAnsi="Times New Roman" w:cs="Times New Roman"/>
          <w:lang w:val="af-ZA"/>
        </w:rPr>
        <w:t>ը, երբ դիտարկում են հավաքների ազատությանը միջամտելու անհրաժեշտությունը, օգտվում են ավելի լայն հայեցողությ</w:t>
      </w:r>
      <w:r w:rsidR="00E10BFC" w:rsidRPr="00EF7399">
        <w:rPr>
          <w:rFonts w:ascii="Times New Roman" w:hAnsi="Times New Roman" w:cs="Times New Roman"/>
          <w:lang w:val="hy-AM"/>
        </w:rPr>
        <w:t>ան շրջանակից,</w:t>
      </w:r>
      <w:r w:rsidR="000A1A77" w:rsidRPr="00EF7399">
        <w:rPr>
          <w:rFonts w:ascii="Times New Roman" w:hAnsi="Times New Roman" w:cs="Times New Roman"/>
          <w:lang w:val="af-ZA"/>
        </w:rPr>
        <w:t xml:space="preserve"> և նմանօրինակ դատապարտելի արարքների համար պատժի կիրառումը կարող է </w:t>
      </w:r>
      <w:r w:rsidR="00E10BFC" w:rsidRPr="00EF7399">
        <w:rPr>
          <w:rFonts w:ascii="Times New Roman" w:hAnsi="Times New Roman" w:cs="Times New Roman"/>
          <w:lang w:val="hy-AM"/>
        </w:rPr>
        <w:t xml:space="preserve">համարվել </w:t>
      </w:r>
      <w:r w:rsidR="000A1A77" w:rsidRPr="00EF7399">
        <w:rPr>
          <w:rFonts w:ascii="Times New Roman" w:hAnsi="Times New Roman" w:cs="Times New Roman"/>
          <w:lang w:val="af-ZA"/>
        </w:rPr>
        <w:t xml:space="preserve">Կոնվենցիայի 11-րդ հոդվածի երաշխիքներին </w:t>
      </w:r>
      <w:r w:rsidR="00E10BFC" w:rsidRPr="00EF7399">
        <w:rPr>
          <w:rFonts w:ascii="Times New Roman" w:hAnsi="Times New Roman" w:cs="Times New Roman"/>
          <w:lang w:val="af-ZA"/>
        </w:rPr>
        <w:t>համապատասխան</w:t>
      </w:r>
      <w:r w:rsidR="00E10BFC" w:rsidRPr="00EF7399">
        <w:rPr>
          <w:rFonts w:ascii="Times New Roman" w:hAnsi="Times New Roman" w:cs="Times New Roman"/>
          <w:lang w:val="hy-AM"/>
        </w:rPr>
        <w:t>ող</w:t>
      </w:r>
      <w:r w:rsidR="00E10BFC" w:rsidRPr="00EF7399">
        <w:rPr>
          <w:rFonts w:ascii="Times New Roman" w:hAnsi="Times New Roman" w:cs="Times New Roman"/>
          <w:lang w:val="af-ZA"/>
        </w:rPr>
        <w:t xml:space="preserve"> </w:t>
      </w:r>
      <w:r w:rsidR="002866CC" w:rsidRPr="00EF7399">
        <w:rPr>
          <w:rFonts w:ascii="Times New Roman" w:hAnsi="Times New Roman" w:cs="Times New Roman"/>
          <w:lang w:val="af-ZA"/>
        </w:rPr>
        <w:t>(</w:t>
      </w:r>
      <w:hyperlink r:id="rId121" w:history="1">
        <w:r w:rsidR="002866CC" w:rsidRPr="00EF7399">
          <w:rPr>
            <w:rStyle w:val="Hyperlink"/>
            <w:rFonts w:ascii="Times New Roman" w:hAnsi="Times New Roman" w:cs="Times New Roman"/>
            <w:lang w:val="af-ZA"/>
          </w:rPr>
          <w:t>Gülcü</w:t>
        </w:r>
        <w:r w:rsidR="00873234" w:rsidRPr="00EF7399">
          <w:rPr>
            <w:rStyle w:val="Hyperlink"/>
            <w:rFonts w:ascii="Times New Roman" w:hAnsi="Times New Roman" w:cs="Times New Roman"/>
            <w:lang w:val="af-ZA"/>
          </w:rPr>
          <w:t xml:space="preserve"> v. </w:t>
        </w:r>
        <w:r w:rsidR="002866CC" w:rsidRPr="00EF7399">
          <w:rPr>
            <w:rStyle w:val="Hyperlink"/>
            <w:rFonts w:ascii="Times New Roman" w:hAnsi="Times New Roman" w:cs="Times New Roman"/>
            <w:lang w:val="af-ZA"/>
          </w:rPr>
          <w:t>Turkey</w:t>
        </w:r>
      </w:hyperlink>
      <w:r w:rsidR="002866CC" w:rsidRPr="00EF7399">
        <w:rPr>
          <w:rFonts w:ascii="Times New Roman" w:hAnsi="Times New Roman" w:cs="Times New Roman"/>
          <w:lang w:val="af-ZA"/>
        </w:rPr>
        <w:t xml:space="preserve">, </w:t>
      </w:r>
      <w:r w:rsidR="009B4331" w:rsidRPr="00EF7399">
        <w:rPr>
          <w:rFonts w:ascii="Times New Roman" w:hAnsi="Times New Roman" w:cs="Times New Roman"/>
          <w:lang w:val="af-ZA"/>
        </w:rPr>
        <w:t xml:space="preserve">2016, </w:t>
      </w:r>
      <w:r w:rsidR="00873234" w:rsidRPr="00EF7399">
        <w:rPr>
          <w:rFonts w:ascii="Times New Roman" w:hAnsi="Times New Roman" w:cs="Times New Roman"/>
          <w:lang w:val="af-ZA"/>
        </w:rPr>
        <w:t>§ </w:t>
      </w:r>
      <w:r w:rsidR="002866CC" w:rsidRPr="00EF7399">
        <w:rPr>
          <w:rFonts w:ascii="Times New Roman" w:hAnsi="Times New Roman" w:cs="Times New Roman"/>
          <w:lang w:val="af-ZA"/>
        </w:rPr>
        <w:t>116)</w:t>
      </w:r>
      <w:r w:rsidR="000A1A77" w:rsidRPr="00EF7399">
        <w:rPr>
          <w:rFonts w:ascii="Times New Roman" w:hAnsi="Times New Roman" w:cs="Times New Roman"/>
          <w:lang w:val="af-ZA"/>
        </w:rPr>
        <w:t xml:space="preserve">: </w:t>
      </w:r>
      <w:r w:rsidR="00E10BFC" w:rsidRPr="00EF7399">
        <w:rPr>
          <w:rFonts w:ascii="Times New Roman" w:hAnsi="Times New Roman" w:cs="Times New Roman"/>
          <w:lang w:val="hy-AM"/>
        </w:rPr>
        <w:t>Դրանով հանդերձ</w:t>
      </w:r>
      <w:r w:rsidR="000A1A77" w:rsidRPr="00EF7399">
        <w:rPr>
          <w:rFonts w:ascii="Times New Roman" w:hAnsi="Times New Roman" w:cs="Times New Roman"/>
          <w:lang w:val="af-ZA"/>
        </w:rPr>
        <w:t>, երկարատև ազատազրկումը ոստիկանության հետ անզեն ընդհար</w:t>
      </w:r>
      <w:r w:rsidR="00096925" w:rsidRPr="00EF7399">
        <w:rPr>
          <w:rFonts w:ascii="Times New Roman" w:hAnsi="Times New Roman" w:cs="Times New Roman"/>
          <w:lang w:val="af-ZA"/>
        </w:rPr>
        <w:t>վելու կամ ոստիկանների վրա քարեր կամ այլ առարկաներ նետելու համար, որ</w:t>
      </w:r>
      <w:r w:rsidR="00E10BFC" w:rsidRPr="00EF7399">
        <w:rPr>
          <w:rFonts w:ascii="Times New Roman" w:hAnsi="Times New Roman" w:cs="Times New Roman"/>
          <w:lang w:val="hy-AM"/>
        </w:rPr>
        <w:t xml:space="preserve">ոնք </w:t>
      </w:r>
      <w:r w:rsidR="00096925" w:rsidRPr="00EF7399">
        <w:rPr>
          <w:rFonts w:ascii="Times New Roman" w:hAnsi="Times New Roman" w:cs="Times New Roman"/>
          <w:lang w:val="af-ZA"/>
        </w:rPr>
        <w:t>չեն առաջաց</w:t>
      </w:r>
      <w:r w:rsidR="00E10BFC" w:rsidRPr="00EF7399">
        <w:rPr>
          <w:rFonts w:ascii="Times New Roman" w:hAnsi="Times New Roman" w:cs="Times New Roman"/>
          <w:lang w:val="hy-AM"/>
        </w:rPr>
        <w:t>ր</w:t>
      </w:r>
      <w:r w:rsidR="00096925" w:rsidRPr="00EF7399">
        <w:rPr>
          <w:rFonts w:ascii="Times New Roman" w:hAnsi="Times New Roman" w:cs="Times New Roman"/>
          <w:lang w:val="af-ZA"/>
        </w:rPr>
        <w:t>ել</w:t>
      </w:r>
      <w:r w:rsidR="002866CC" w:rsidRPr="00EF7399">
        <w:rPr>
          <w:rFonts w:ascii="Times New Roman" w:hAnsi="Times New Roman" w:cs="Times New Roman"/>
          <w:lang w:val="af-ZA"/>
        </w:rPr>
        <w:t xml:space="preserve"> </w:t>
      </w:r>
      <w:r w:rsidR="00096925" w:rsidRPr="00EF7399">
        <w:rPr>
          <w:rFonts w:ascii="Times New Roman" w:hAnsi="Times New Roman" w:cs="Times New Roman"/>
          <w:lang w:val="af-ZA"/>
        </w:rPr>
        <w:t>ծանր վնասվա</w:t>
      </w:r>
      <w:r w:rsidR="00E10BFC" w:rsidRPr="00EF7399">
        <w:rPr>
          <w:rFonts w:ascii="Times New Roman" w:hAnsi="Times New Roman" w:cs="Times New Roman"/>
          <w:lang w:val="hy-AM"/>
        </w:rPr>
        <w:t>ծ</w:t>
      </w:r>
      <w:r w:rsidR="00096925" w:rsidRPr="00EF7399">
        <w:rPr>
          <w:rFonts w:ascii="Times New Roman" w:hAnsi="Times New Roman" w:cs="Times New Roman"/>
          <w:lang w:val="af-ZA"/>
        </w:rPr>
        <w:t xml:space="preserve">քներ, մի շարք գործերով համարվել է անհամաչափ </w:t>
      </w:r>
      <w:r w:rsidR="002866CC" w:rsidRPr="00EF7399">
        <w:rPr>
          <w:rFonts w:ascii="Times New Roman" w:hAnsi="Times New Roman" w:cs="Times New Roman"/>
          <w:lang w:val="af-ZA"/>
        </w:rPr>
        <w:t>(</w:t>
      </w:r>
      <w:hyperlink r:id="rId122" w:history="1">
        <w:r w:rsidR="002866CC" w:rsidRPr="00EF7399">
          <w:rPr>
            <w:rStyle w:val="Hyperlink"/>
            <w:rFonts w:ascii="Times New Roman" w:hAnsi="Times New Roman" w:cs="Times New Roman"/>
            <w:lang w:val="af-ZA"/>
          </w:rPr>
          <w:t>Gülcü</w:t>
        </w:r>
        <w:r w:rsidR="00873234" w:rsidRPr="00EF7399">
          <w:rPr>
            <w:rStyle w:val="Hyperlink"/>
            <w:rFonts w:ascii="Times New Roman" w:hAnsi="Times New Roman" w:cs="Times New Roman"/>
            <w:lang w:val="af-ZA"/>
          </w:rPr>
          <w:t xml:space="preserve"> v. </w:t>
        </w:r>
        <w:r w:rsidR="002866CC" w:rsidRPr="00EF7399">
          <w:rPr>
            <w:rStyle w:val="Hyperlink"/>
            <w:rFonts w:ascii="Times New Roman" w:hAnsi="Times New Roman" w:cs="Times New Roman"/>
            <w:lang w:val="af-ZA"/>
          </w:rPr>
          <w:t>Turkey</w:t>
        </w:r>
      </w:hyperlink>
      <w:r w:rsidR="002866CC" w:rsidRPr="00EF7399">
        <w:rPr>
          <w:rFonts w:ascii="Times New Roman" w:hAnsi="Times New Roman" w:cs="Times New Roman"/>
          <w:lang w:val="af-ZA"/>
        </w:rPr>
        <w:t xml:space="preserve">, </w:t>
      </w:r>
      <w:r w:rsidR="009B4331" w:rsidRPr="00EF7399">
        <w:rPr>
          <w:rFonts w:ascii="Times New Roman" w:hAnsi="Times New Roman" w:cs="Times New Roman"/>
          <w:lang w:val="af-ZA"/>
        </w:rPr>
        <w:t xml:space="preserve">2016, </w:t>
      </w:r>
      <w:r w:rsidR="00873234" w:rsidRPr="00EF7399">
        <w:rPr>
          <w:rFonts w:ascii="Times New Roman" w:hAnsi="Times New Roman" w:cs="Times New Roman"/>
          <w:lang w:val="af-ZA"/>
        </w:rPr>
        <w:t>§ </w:t>
      </w:r>
      <w:r w:rsidR="002866CC" w:rsidRPr="00EF7399">
        <w:rPr>
          <w:rFonts w:ascii="Times New Roman" w:hAnsi="Times New Roman" w:cs="Times New Roman"/>
          <w:lang w:val="af-ZA"/>
        </w:rPr>
        <w:t xml:space="preserve">115; </w:t>
      </w:r>
      <w:hyperlink r:id="rId123" w:history="1">
        <w:r w:rsidR="002866CC" w:rsidRPr="00EF7399">
          <w:rPr>
            <w:rStyle w:val="Hyperlink"/>
            <w:rFonts w:ascii="Times New Roman" w:hAnsi="Times New Roman" w:cs="Times New Roman"/>
            <w:lang w:val="af-ZA"/>
          </w:rPr>
          <w:t>Yaroslav Belousov</w:t>
        </w:r>
        <w:r w:rsidR="00873234" w:rsidRPr="00EF7399">
          <w:rPr>
            <w:rStyle w:val="Hyperlink"/>
            <w:rFonts w:ascii="Times New Roman" w:hAnsi="Times New Roman" w:cs="Times New Roman"/>
            <w:lang w:val="af-ZA"/>
          </w:rPr>
          <w:t xml:space="preserve"> v. </w:t>
        </w:r>
        <w:r w:rsidR="002866CC" w:rsidRPr="00EF7399">
          <w:rPr>
            <w:rStyle w:val="Hyperlink"/>
            <w:rFonts w:ascii="Times New Roman" w:hAnsi="Times New Roman" w:cs="Times New Roman"/>
            <w:lang w:val="af-ZA"/>
          </w:rPr>
          <w:t>Russia</w:t>
        </w:r>
      </w:hyperlink>
      <w:r w:rsidR="002866CC" w:rsidRPr="00EF7399">
        <w:rPr>
          <w:rFonts w:ascii="Times New Roman" w:hAnsi="Times New Roman" w:cs="Times New Roman"/>
          <w:lang w:val="af-ZA"/>
        </w:rPr>
        <w:t xml:space="preserve">, </w:t>
      </w:r>
      <w:r w:rsidR="00833E3C" w:rsidRPr="00EF7399">
        <w:rPr>
          <w:rFonts w:ascii="Times New Roman" w:hAnsi="Times New Roman" w:cs="Times New Roman"/>
          <w:lang w:val="af-ZA"/>
        </w:rPr>
        <w:t xml:space="preserve">2016, </w:t>
      </w:r>
      <w:r w:rsidR="00873234" w:rsidRPr="00EF7399">
        <w:rPr>
          <w:rFonts w:ascii="Times New Roman" w:hAnsi="Times New Roman" w:cs="Times New Roman"/>
          <w:lang w:val="af-ZA"/>
        </w:rPr>
        <w:t>§ </w:t>
      </w:r>
      <w:r w:rsidR="002866CC" w:rsidRPr="00EF7399">
        <w:rPr>
          <w:rFonts w:ascii="Times New Roman" w:hAnsi="Times New Roman" w:cs="Times New Roman"/>
          <w:lang w:val="af-ZA"/>
        </w:rPr>
        <w:t xml:space="preserve">180; </w:t>
      </w:r>
      <w:r w:rsidR="00096925" w:rsidRPr="00EF7399">
        <w:rPr>
          <w:rFonts w:ascii="Times New Roman" w:hAnsi="Times New Roman" w:cs="Times New Roman"/>
          <w:lang w:val="af-ZA"/>
        </w:rPr>
        <w:t>և</w:t>
      </w:r>
      <w:r w:rsidR="002866CC" w:rsidRPr="00EF7399">
        <w:rPr>
          <w:rFonts w:ascii="Times New Roman" w:hAnsi="Times New Roman" w:cs="Times New Roman"/>
          <w:lang w:val="af-ZA"/>
        </w:rPr>
        <w:t xml:space="preserve"> </w:t>
      </w:r>
      <w:hyperlink r:id="rId124" w:history="1">
        <w:r w:rsidR="002866CC" w:rsidRPr="00EF7399">
          <w:rPr>
            <w:rStyle w:val="Hyperlink"/>
            <w:rFonts w:ascii="Times New Roman" w:hAnsi="Times New Roman" w:cs="Times New Roman"/>
            <w:iCs/>
            <w:lang w:val="af-ZA"/>
          </w:rPr>
          <w:t>Barabanov</w:t>
        </w:r>
        <w:r w:rsidR="00873234" w:rsidRPr="00EF7399">
          <w:rPr>
            <w:rStyle w:val="Hyperlink"/>
            <w:rFonts w:ascii="Times New Roman" w:hAnsi="Times New Roman" w:cs="Times New Roman"/>
            <w:iCs/>
            <w:lang w:val="af-ZA"/>
          </w:rPr>
          <w:t xml:space="preserve"> v. </w:t>
        </w:r>
        <w:r w:rsidR="002866CC" w:rsidRPr="00EF7399">
          <w:rPr>
            <w:rStyle w:val="Hyperlink"/>
            <w:rFonts w:ascii="Times New Roman" w:hAnsi="Times New Roman" w:cs="Times New Roman"/>
            <w:iCs/>
            <w:lang w:val="af-ZA"/>
          </w:rPr>
          <w:t>Russia</w:t>
        </w:r>
      </w:hyperlink>
      <w:r w:rsidR="002866CC" w:rsidRPr="00EF7399">
        <w:rPr>
          <w:rFonts w:ascii="Times New Roman" w:hAnsi="Times New Roman" w:cs="Times New Roman"/>
          <w:lang w:val="af-ZA"/>
        </w:rPr>
        <w:t xml:space="preserve">, </w:t>
      </w:r>
      <w:r w:rsidR="009B4331" w:rsidRPr="00EF7399">
        <w:rPr>
          <w:rFonts w:ascii="Times New Roman" w:hAnsi="Times New Roman" w:cs="Times New Roman"/>
          <w:lang w:val="af-ZA"/>
        </w:rPr>
        <w:t xml:space="preserve">2018, </w:t>
      </w:r>
      <w:r w:rsidR="002866CC" w:rsidRPr="00EF7399">
        <w:rPr>
          <w:rFonts w:ascii="Times New Roman" w:hAnsi="Times New Roman" w:cs="Times New Roman"/>
          <w:lang w:val="af-ZA"/>
        </w:rPr>
        <w:t>§</w:t>
      </w:r>
      <w:r w:rsidR="00873234" w:rsidRPr="00EF7399">
        <w:rPr>
          <w:rFonts w:ascii="Times New Roman" w:hAnsi="Times New Roman" w:cs="Times New Roman"/>
          <w:lang w:val="af-ZA"/>
        </w:rPr>
        <w:t>§ </w:t>
      </w:r>
      <w:r w:rsidR="002866CC" w:rsidRPr="00EF7399">
        <w:rPr>
          <w:rFonts w:ascii="Times New Roman" w:hAnsi="Times New Roman" w:cs="Times New Roman"/>
          <w:lang w:val="af-ZA"/>
        </w:rPr>
        <w:t>74-75)</w:t>
      </w:r>
      <w:r w:rsidR="00096925" w:rsidRPr="00EF7399">
        <w:rPr>
          <w:rFonts w:ascii="Times New Roman" w:hAnsi="Times New Roman" w:cs="Times New Roman"/>
          <w:lang w:val="af-ZA"/>
        </w:rPr>
        <w:t>:</w:t>
      </w:r>
    </w:p>
    <w:p w14:paraId="3FE23817" w14:textId="7C2D8F55" w:rsidR="00E842E2" w:rsidRPr="00EF7399" w:rsidRDefault="00A83DAB" w:rsidP="00A83DAB">
      <w:pPr>
        <w:pStyle w:val="ECHRHeading2"/>
        <w:numPr>
          <w:ilvl w:val="0"/>
          <w:numId w:val="0"/>
        </w:numPr>
        <w:rPr>
          <w:rFonts w:ascii="Times New Roman" w:hAnsi="Times New Roman" w:cs="Times New Roman"/>
          <w:lang w:val="af-ZA"/>
        </w:rPr>
      </w:pPr>
      <w:bookmarkStart w:id="38" w:name="_Toc159945211"/>
      <w:r>
        <w:rPr>
          <w:rFonts w:ascii="Times New Roman" w:hAnsi="Times New Roman" w:cs="Times New Roman"/>
          <w:lang w:val="hy-AM"/>
        </w:rPr>
        <w:t xml:space="preserve">Դ․ </w:t>
      </w:r>
      <w:r w:rsidR="003C3720" w:rsidRPr="00EF7399">
        <w:rPr>
          <w:rFonts w:ascii="Times New Roman" w:hAnsi="Times New Roman" w:cs="Times New Roman"/>
          <w:lang w:val="af-ZA"/>
        </w:rPr>
        <w:t>Պոզիտիվ</w:t>
      </w:r>
      <w:r w:rsidR="00096925" w:rsidRPr="00EF7399">
        <w:rPr>
          <w:rFonts w:ascii="Times New Roman" w:hAnsi="Times New Roman" w:cs="Times New Roman"/>
          <w:lang w:val="af-ZA"/>
        </w:rPr>
        <w:t xml:space="preserve"> պարտավորություններ</w:t>
      </w:r>
      <w:bookmarkEnd w:id="38"/>
    </w:p>
    <w:p w14:paraId="648E9F66" w14:textId="3F423E7C" w:rsidR="00535E5C" w:rsidRPr="00EF7399" w:rsidRDefault="00E842E2" w:rsidP="00E842E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33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3C3720" w:rsidRPr="00EF7399">
        <w:rPr>
          <w:rFonts w:ascii="Times New Roman" w:hAnsi="Times New Roman" w:cs="Times New Roman"/>
          <w:lang w:val="af-ZA"/>
        </w:rPr>
        <w:t xml:space="preserve">Խաղաղ հավաքների իրավունքը պայմանավորվող պետության համար առաջացնում է նեգատիվ և պոզիտիվ պարտավորություններ </w:t>
      </w:r>
      <w:r w:rsidRPr="00EF7399">
        <w:rPr>
          <w:rFonts w:ascii="Times New Roman" w:hAnsi="Times New Roman" w:cs="Times New Roman"/>
          <w:lang w:val="af-ZA"/>
        </w:rPr>
        <w:t>(</w:t>
      </w:r>
      <w:hyperlink r:id="rId125" w:history="1">
        <w:r w:rsidRPr="00EF7399">
          <w:rPr>
            <w:rStyle w:val="Hyperlink"/>
            <w:rFonts w:ascii="Times New Roman" w:hAnsi="Times New Roman" w:cs="Times New Roman"/>
            <w:lang w:val="af-ZA"/>
          </w:rPr>
          <w:t>Öllinger</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Austria</w:t>
        </w:r>
      </w:hyperlink>
      <w:r w:rsidRPr="00EF7399">
        <w:rPr>
          <w:rFonts w:ascii="Times New Roman" w:hAnsi="Times New Roman" w:cs="Times New Roman"/>
          <w:lang w:val="af-ZA"/>
        </w:rPr>
        <w:t xml:space="preserve">, </w:t>
      </w:r>
      <w:r w:rsidR="009074F3" w:rsidRPr="00EF7399">
        <w:rPr>
          <w:rFonts w:ascii="Times New Roman" w:hAnsi="Times New Roman" w:cs="Times New Roman"/>
          <w:lang w:val="af-ZA"/>
        </w:rPr>
        <w:t xml:space="preserve">2006, </w:t>
      </w:r>
      <w:r w:rsidR="00873234" w:rsidRPr="00EF7399">
        <w:rPr>
          <w:rFonts w:ascii="Times New Roman" w:hAnsi="Times New Roman" w:cs="Times New Roman"/>
          <w:lang w:val="af-ZA"/>
        </w:rPr>
        <w:t>§ </w:t>
      </w:r>
      <w:r w:rsidRPr="00EF7399">
        <w:rPr>
          <w:rFonts w:ascii="Times New Roman" w:hAnsi="Times New Roman" w:cs="Times New Roman"/>
          <w:lang w:val="af-ZA"/>
        </w:rPr>
        <w:t>35)</w:t>
      </w:r>
      <w:r w:rsidR="003C3720" w:rsidRPr="00EF7399">
        <w:rPr>
          <w:rFonts w:ascii="Times New Roman" w:hAnsi="Times New Roman" w:cs="Times New Roman"/>
          <w:lang w:val="af-ZA"/>
        </w:rPr>
        <w:t>:</w:t>
      </w:r>
    </w:p>
    <w:p w14:paraId="4E85EC1D" w14:textId="68829EB8" w:rsidR="00E842E2" w:rsidRPr="00EF7399" w:rsidRDefault="00E842E2" w:rsidP="00E842E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34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3C3720" w:rsidRPr="00EF7399">
        <w:rPr>
          <w:rFonts w:ascii="Times New Roman" w:hAnsi="Times New Roman" w:cs="Times New Roman"/>
          <w:lang w:val="af-ZA"/>
        </w:rPr>
        <w:t xml:space="preserve">Պետությունները ոչ միայն պարտավոր են զերծ մնալ խաղաղ հավաքվելու իրավունքի նկատմամբ </w:t>
      </w:r>
      <w:r w:rsidR="00432333" w:rsidRPr="00EF7399">
        <w:rPr>
          <w:rFonts w:ascii="Times New Roman" w:hAnsi="Times New Roman" w:cs="Times New Roman"/>
          <w:lang w:val="hy-AM"/>
        </w:rPr>
        <w:t>ոչ ողջամիտ</w:t>
      </w:r>
      <w:r w:rsidR="00432333" w:rsidRPr="00EF7399">
        <w:rPr>
          <w:rFonts w:ascii="Times New Roman" w:hAnsi="Times New Roman" w:cs="Times New Roman"/>
          <w:lang w:val="af-ZA"/>
        </w:rPr>
        <w:t xml:space="preserve"> </w:t>
      </w:r>
      <w:r w:rsidR="003C3720" w:rsidRPr="00EF7399">
        <w:rPr>
          <w:rFonts w:ascii="Times New Roman" w:hAnsi="Times New Roman" w:cs="Times New Roman"/>
          <w:lang w:val="af-ZA"/>
        </w:rPr>
        <w:t>անուղղակի սահմանափակումներ կիրառելուց, այլև պետք է երաշխավորեն այդ իրավունքը: Թեև 11-րդ հոդվածի</w:t>
      </w:r>
      <w:r w:rsidR="00432333" w:rsidRPr="00EF7399">
        <w:rPr>
          <w:rFonts w:ascii="Times New Roman" w:hAnsi="Times New Roman" w:cs="Times New Roman"/>
          <w:lang w:val="hy-AM"/>
        </w:rPr>
        <w:t xml:space="preserve"> հիմնական</w:t>
      </w:r>
      <w:r w:rsidR="003C3720" w:rsidRPr="00EF7399">
        <w:rPr>
          <w:rFonts w:ascii="Times New Roman" w:hAnsi="Times New Roman" w:cs="Times New Roman"/>
          <w:lang w:val="af-ZA"/>
        </w:rPr>
        <w:t xml:space="preserve"> առարկան պաշտպանված իրավունք</w:t>
      </w:r>
      <w:r w:rsidR="00432333" w:rsidRPr="00EF7399">
        <w:rPr>
          <w:rFonts w:ascii="Times New Roman" w:hAnsi="Times New Roman" w:cs="Times New Roman"/>
          <w:lang w:val="hy-AM"/>
        </w:rPr>
        <w:t>ներ</w:t>
      </w:r>
      <w:r w:rsidR="00AE3F80" w:rsidRPr="00EF7399">
        <w:rPr>
          <w:rFonts w:ascii="Times New Roman" w:hAnsi="Times New Roman" w:cs="Times New Roman"/>
          <w:lang w:val="af-ZA"/>
        </w:rPr>
        <w:t>ից</w:t>
      </w:r>
      <w:r w:rsidR="003C3720" w:rsidRPr="00EF7399">
        <w:rPr>
          <w:rFonts w:ascii="Times New Roman" w:hAnsi="Times New Roman" w:cs="Times New Roman"/>
          <w:lang w:val="af-ZA"/>
        </w:rPr>
        <w:t xml:space="preserve"> </w:t>
      </w:r>
      <w:r w:rsidR="00AE3F80" w:rsidRPr="00EF7399">
        <w:rPr>
          <w:rFonts w:ascii="Times New Roman" w:hAnsi="Times New Roman" w:cs="Times New Roman"/>
          <w:lang w:val="af-ZA"/>
        </w:rPr>
        <w:t>օգտվող</w:t>
      </w:r>
      <w:r w:rsidR="003C3720" w:rsidRPr="00EF7399">
        <w:rPr>
          <w:rFonts w:ascii="Times New Roman" w:hAnsi="Times New Roman" w:cs="Times New Roman"/>
          <w:lang w:val="af-ZA"/>
        </w:rPr>
        <w:t xml:space="preserve"> անհատի պաշտպանությունն է պետական իշխանությունների </w:t>
      </w:r>
      <w:r w:rsidR="003C3720" w:rsidRPr="00EF7399">
        <w:rPr>
          <w:rFonts w:ascii="Times New Roman" w:hAnsi="Times New Roman" w:cs="Times New Roman"/>
          <w:lang w:val="af-ZA"/>
        </w:rPr>
        <w:lastRenderedPageBreak/>
        <w:t xml:space="preserve">կամայական միջամտությունից, կարող են </w:t>
      </w:r>
      <w:r w:rsidR="00432333" w:rsidRPr="00EF7399">
        <w:rPr>
          <w:rFonts w:ascii="Times New Roman" w:hAnsi="Times New Roman" w:cs="Times New Roman"/>
          <w:lang w:val="hy-AM"/>
        </w:rPr>
        <w:t xml:space="preserve">հավելյալ առաջ գալ </w:t>
      </w:r>
      <w:r w:rsidR="003C3720" w:rsidRPr="00EF7399">
        <w:rPr>
          <w:rFonts w:ascii="Times New Roman" w:hAnsi="Times New Roman" w:cs="Times New Roman"/>
          <w:lang w:val="af-ZA"/>
        </w:rPr>
        <w:t>պոզիտիվ պարտավորություններ, որոնք կապահովեն այդ իրավունքների արդյու</w:t>
      </w:r>
      <w:r w:rsidR="00432333" w:rsidRPr="00EF7399">
        <w:rPr>
          <w:rFonts w:ascii="Times New Roman" w:hAnsi="Times New Roman" w:cs="Times New Roman"/>
          <w:lang w:val="hy-AM"/>
        </w:rPr>
        <w:t>նավ</w:t>
      </w:r>
      <w:r w:rsidR="003C3720" w:rsidRPr="00EF7399">
        <w:rPr>
          <w:rFonts w:ascii="Times New Roman" w:hAnsi="Times New Roman" w:cs="Times New Roman"/>
          <w:lang w:val="af-ZA"/>
        </w:rPr>
        <w:t xml:space="preserve">ետ իրագործումը   </w:t>
      </w:r>
      <w:r w:rsidR="002866CC" w:rsidRPr="00EF7399">
        <w:rPr>
          <w:rFonts w:ascii="Times New Roman" w:hAnsi="Times New Roman" w:cs="Times New Roman"/>
          <w:lang w:val="af-ZA"/>
        </w:rPr>
        <w:t>(</w:t>
      </w:r>
      <w:hyperlink r:id="rId126" w:history="1">
        <w:r w:rsidR="002866CC" w:rsidRPr="00EF7399">
          <w:rPr>
            <w:rStyle w:val="Hyperlink"/>
            <w:rFonts w:ascii="Times New Roman" w:hAnsi="Times New Roman" w:cs="Times New Roman"/>
            <w:lang w:val="af-ZA"/>
          </w:rPr>
          <w:t>Kudrevičius and Others</w:t>
        </w:r>
        <w:r w:rsidR="00873234" w:rsidRPr="00EF7399">
          <w:rPr>
            <w:rStyle w:val="Hyperlink"/>
            <w:rFonts w:ascii="Times New Roman" w:hAnsi="Times New Roman" w:cs="Times New Roman"/>
            <w:lang w:val="af-ZA"/>
          </w:rPr>
          <w:t xml:space="preserve"> v. </w:t>
        </w:r>
        <w:r w:rsidR="002866CC" w:rsidRPr="00EF7399">
          <w:rPr>
            <w:rStyle w:val="Hyperlink"/>
            <w:rFonts w:ascii="Times New Roman" w:hAnsi="Times New Roman" w:cs="Times New Roman"/>
            <w:lang w:val="af-ZA"/>
          </w:rPr>
          <w:t>Lithuania</w:t>
        </w:r>
      </w:hyperlink>
      <w:r w:rsidR="002866CC" w:rsidRPr="00EF7399">
        <w:rPr>
          <w:rFonts w:ascii="Times New Roman" w:hAnsi="Times New Roman" w:cs="Times New Roman"/>
          <w:i/>
          <w:lang w:val="af-ZA"/>
        </w:rPr>
        <w:t xml:space="preserve"> </w:t>
      </w:r>
      <w:r w:rsidR="002866CC" w:rsidRPr="00EF7399">
        <w:rPr>
          <w:rFonts w:ascii="Times New Roman" w:hAnsi="Times New Roman" w:cs="Times New Roman"/>
          <w:lang w:val="af-ZA"/>
        </w:rPr>
        <w:t xml:space="preserve">[GC], </w:t>
      </w:r>
      <w:r w:rsidR="009B4331"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002866CC" w:rsidRPr="00EF7399">
        <w:rPr>
          <w:rFonts w:ascii="Times New Roman" w:hAnsi="Times New Roman" w:cs="Times New Roman"/>
          <w:lang w:val="af-ZA"/>
        </w:rPr>
        <w:t xml:space="preserve">158; </w:t>
      </w:r>
      <w:hyperlink r:id="rId127" w:history="1">
        <w:r w:rsidR="002866CC" w:rsidRPr="00EF7399">
          <w:rPr>
            <w:rStyle w:val="Hyperlink"/>
            <w:rFonts w:ascii="Times New Roman" w:hAnsi="Times New Roman" w:cs="Times New Roman"/>
            <w:lang w:val="af-ZA"/>
          </w:rPr>
          <w:t>Djavit An</w:t>
        </w:r>
        <w:r w:rsidR="00873234" w:rsidRPr="00EF7399">
          <w:rPr>
            <w:rStyle w:val="Hyperlink"/>
            <w:rFonts w:ascii="Times New Roman" w:hAnsi="Times New Roman" w:cs="Times New Roman"/>
            <w:lang w:val="af-ZA"/>
          </w:rPr>
          <w:t xml:space="preserve"> v. </w:t>
        </w:r>
        <w:r w:rsidR="002866CC" w:rsidRPr="00EF7399">
          <w:rPr>
            <w:rStyle w:val="Hyperlink"/>
            <w:rFonts w:ascii="Times New Roman" w:hAnsi="Times New Roman" w:cs="Times New Roman"/>
            <w:lang w:val="af-ZA"/>
          </w:rPr>
          <w:t>Turkey</w:t>
        </w:r>
      </w:hyperlink>
      <w:r w:rsidR="002866CC" w:rsidRPr="00EF7399">
        <w:rPr>
          <w:rFonts w:ascii="Times New Roman" w:hAnsi="Times New Roman" w:cs="Times New Roman"/>
          <w:lang w:val="af-ZA"/>
        </w:rPr>
        <w:t xml:space="preserve">, </w:t>
      </w:r>
      <w:r w:rsidR="00833E3C" w:rsidRPr="00EF7399">
        <w:rPr>
          <w:rFonts w:ascii="Times New Roman" w:hAnsi="Times New Roman" w:cs="Times New Roman"/>
          <w:lang w:val="af-ZA"/>
        </w:rPr>
        <w:t xml:space="preserve">2003, </w:t>
      </w:r>
      <w:r w:rsidR="00873234" w:rsidRPr="00EF7399">
        <w:rPr>
          <w:rFonts w:ascii="Times New Roman" w:hAnsi="Times New Roman" w:cs="Times New Roman"/>
          <w:lang w:val="af-ZA"/>
        </w:rPr>
        <w:t>§ </w:t>
      </w:r>
      <w:r w:rsidR="002866CC" w:rsidRPr="00EF7399">
        <w:rPr>
          <w:rFonts w:ascii="Times New Roman" w:hAnsi="Times New Roman" w:cs="Times New Roman"/>
          <w:lang w:val="af-ZA"/>
        </w:rPr>
        <w:t>57).</w:t>
      </w:r>
    </w:p>
    <w:p w14:paraId="02BFE922" w14:textId="5876F0B8" w:rsidR="00663C2E" w:rsidRPr="00EF7399" w:rsidRDefault="00E842E2" w:rsidP="00E842E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35</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AE3F80" w:rsidRPr="00EF7399">
        <w:rPr>
          <w:rFonts w:ascii="Times New Roman" w:hAnsi="Times New Roman" w:cs="Times New Roman"/>
          <w:lang w:val="af-ZA"/>
        </w:rPr>
        <w:t>Հավաքների ազատության արդյունավետ իրագործումն ապահովելու պոզիտիվ պարտավորությունն առանձնակի կարևոր է ժողովրդականություն չվայելող տեսա</w:t>
      </w:r>
      <w:r w:rsidR="00432333" w:rsidRPr="00EF7399">
        <w:rPr>
          <w:rFonts w:ascii="Times New Roman" w:hAnsi="Times New Roman" w:cs="Times New Roman"/>
          <w:lang w:val="hy-AM"/>
        </w:rPr>
        <w:t>կետն</w:t>
      </w:r>
      <w:r w:rsidR="00AE3F80" w:rsidRPr="00EF7399">
        <w:rPr>
          <w:rFonts w:ascii="Times New Roman" w:hAnsi="Times New Roman" w:cs="Times New Roman"/>
          <w:lang w:val="af-ZA"/>
        </w:rPr>
        <w:t xml:space="preserve">եր ունեցող կամ փոքրամասնություններին պատկանող անձանց համար, քանի որ նրանք ավելի խոցելի են զոհականացման հարցում </w:t>
      </w:r>
      <w:r w:rsidRPr="00EF7399">
        <w:rPr>
          <w:rFonts w:ascii="Times New Roman" w:hAnsi="Times New Roman" w:cs="Times New Roman"/>
          <w:lang w:val="af-ZA"/>
        </w:rPr>
        <w:t>(</w:t>
      </w:r>
      <w:hyperlink r:id="rId128" w:history="1">
        <w:r w:rsidR="005D7CE8" w:rsidRPr="00EF7399">
          <w:rPr>
            <w:rStyle w:val="Hyperlink"/>
            <w:rFonts w:ascii="Times New Roman" w:hAnsi="Times New Roman" w:cs="Times New Roman"/>
            <w:lang w:val="af-ZA"/>
          </w:rPr>
          <w:t>Bączkowski and Others</w:t>
        </w:r>
        <w:r w:rsidR="00873234" w:rsidRPr="00EF7399">
          <w:rPr>
            <w:rStyle w:val="Hyperlink"/>
            <w:rFonts w:ascii="Times New Roman" w:hAnsi="Times New Roman" w:cs="Times New Roman"/>
            <w:lang w:val="af-ZA"/>
          </w:rPr>
          <w:t xml:space="preserve"> v. </w:t>
        </w:r>
        <w:r w:rsidR="005D7CE8" w:rsidRPr="00EF7399">
          <w:rPr>
            <w:rStyle w:val="Hyperlink"/>
            <w:rFonts w:ascii="Times New Roman" w:hAnsi="Times New Roman" w:cs="Times New Roman"/>
            <w:lang w:val="af-ZA"/>
          </w:rPr>
          <w:t>Poland</w:t>
        </w:r>
      </w:hyperlink>
      <w:r w:rsidRPr="00EF7399">
        <w:rPr>
          <w:rFonts w:ascii="Times New Roman" w:hAnsi="Times New Roman" w:cs="Times New Roman"/>
          <w:i/>
          <w:lang w:val="af-ZA"/>
        </w:rPr>
        <w:t xml:space="preserve">, </w:t>
      </w:r>
      <w:r w:rsidR="00833E3C" w:rsidRPr="00EF7399">
        <w:rPr>
          <w:rFonts w:ascii="Times New Roman" w:hAnsi="Times New Roman" w:cs="Times New Roman"/>
          <w:iCs/>
          <w:lang w:val="af-ZA"/>
        </w:rPr>
        <w:t xml:space="preserve">2007, </w:t>
      </w:r>
      <w:r w:rsidR="00873234" w:rsidRPr="00EF7399">
        <w:rPr>
          <w:rFonts w:ascii="Times New Roman" w:hAnsi="Times New Roman" w:cs="Times New Roman"/>
          <w:lang w:val="af-ZA"/>
        </w:rPr>
        <w:t>§ </w:t>
      </w:r>
      <w:r w:rsidRPr="00EF7399">
        <w:rPr>
          <w:rFonts w:ascii="Times New Roman" w:hAnsi="Times New Roman" w:cs="Times New Roman"/>
          <w:lang w:val="af-ZA"/>
        </w:rPr>
        <w:t>64)</w:t>
      </w:r>
      <w:r w:rsidR="00AE3F80" w:rsidRPr="00EF7399">
        <w:rPr>
          <w:rFonts w:ascii="Times New Roman" w:hAnsi="Times New Roman" w:cs="Times New Roman"/>
          <w:lang w:val="af-ZA"/>
        </w:rPr>
        <w:t xml:space="preserve">: Սեռական փոքրամասնություններին աջակցելու նպատակով կազմակերպված հանրային միջոցառումներին առնչվող գործերով Դատարանը գտել է, որ պոզիտիվ պարտավորությունը պահանջում էր իշխանություններից «կիրառել հնարավոր բոլոր միջոցները, օրինակ` ցույցին ընդառաջ հանդես գալ </w:t>
      </w:r>
      <w:r w:rsidR="00CA627F" w:rsidRPr="00EF7399">
        <w:rPr>
          <w:rFonts w:ascii="Times New Roman" w:hAnsi="Times New Roman" w:cs="Times New Roman"/>
          <w:lang w:val="af-ZA"/>
        </w:rPr>
        <w:t xml:space="preserve">հանրային </w:t>
      </w:r>
      <w:r w:rsidR="00AE3F80" w:rsidRPr="00EF7399">
        <w:rPr>
          <w:rFonts w:ascii="Times New Roman" w:hAnsi="Times New Roman" w:cs="Times New Roman"/>
          <w:lang w:val="af-ZA"/>
        </w:rPr>
        <w:t>հայտարարություններով</w:t>
      </w:r>
      <w:r w:rsidR="00CA627F" w:rsidRPr="00EF7399">
        <w:rPr>
          <w:rFonts w:ascii="Times New Roman" w:hAnsi="Times New Roman" w:cs="Times New Roman"/>
          <w:lang w:val="af-ZA"/>
        </w:rPr>
        <w:t>, որոնց նպատակն է</w:t>
      </w:r>
      <w:r w:rsidR="00AE3F80" w:rsidRPr="00EF7399">
        <w:rPr>
          <w:rFonts w:ascii="Times New Roman" w:hAnsi="Times New Roman" w:cs="Times New Roman"/>
          <w:lang w:val="af-ZA"/>
        </w:rPr>
        <w:t xml:space="preserve"> </w:t>
      </w:r>
      <w:r w:rsidR="00CA627F" w:rsidRPr="00EF7399">
        <w:rPr>
          <w:rFonts w:ascii="Times New Roman" w:hAnsi="Times New Roman" w:cs="Times New Roman"/>
          <w:lang w:val="af-ZA"/>
        </w:rPr>
        <w:t>աներկբա ջատագովել հանդուրժող, համերաշխ կեցվածքը և նախազգուշացնել օրինախախտներին հնարավոր պատժամիջոցների բնույթի մասին</w:t>
      </w:r>
      <w:r w:rsidR="00AE3F80" w:rsidRPr="00EF7399">
        <w:rPr>
          <w:rFonts w:ascii="Times New Roman" w:hAnsi="Times New Roman" w:cs="Times New Roman"/>
          <w:lang w:val="af-ZA"/>
        </w:rPr>
        <w:t>»</w:t>
      </w:r>
      <w:r w:rsidR="00CA627F" w:rsidRPr="00EF7399">
        <w:rPr>
          <w:rFonts w:ascii="Times New Roman" w:hAnsi="Times New Roman" w:cs="Times New Roman"/>
          <w:lang w:val="af-ZA"/>
        </w:rPr>
        <w:t xml:space="preserve"> </w:t>
      </w:r>
      <w:r w:rsidR="00AE19DE" w:rsidRPr="00EF7399">
        <w:rPr>
          <w:rFonts w:ascii="Times New Roman" w:hAnsi="Times New Roman" w:cs="Times New Roman"/>
          <w:lang w:val="af-ZA"/>
        </w:rPr>
        <w:t>(</w:t>
      </w:r>
      <w:hyperlink r:id="rId129" w:history="1">
        <w:r w:rsidR="00AE19DE" w:rsidRPr="00EF7399">
          <w:rPr>
            <w:rStyle w:val="Hyperlink"/>
            <w:rFonts w:ascii="Times New Roman" w:hAnsi="Times New Roman" w:cs="Times New Roman"/>
            <w:lang w:val="af-ZA"/>
          </w:rPr>
          <w:t>Identoba and Others</w:t>
        </w:r>
        <w:r w:rsidR="00873234" w:rsidRPr="00EF7399">
          <w:rPr>
            <w:rStyle w:val="Hyperlink"/>
            <w:rFonts w:ascii="Times New Roman" w:hAnsi="Times New Roman" w:cs="Times New Roman"/>
            <w:lang w:val="af-ZA"/>
          </w:rPr>
          <w:t xml:space="preserve"> v. </w:t>
        </w:r>
        <w:r w:rsidR="00AE19DE" w:rsidRPr="00EF7399">
          <w:rPr>
            <w:rStyle w:val="Hyperlink"/>
            <w:rFonts w:ascii="Times New Roman" w:hAnsi="Times New Roman" w:cs="Times New Roman"/>
            <w:lang w:val="af-ZA"/>
          </w:rPr>
          <w:t>Georgia</w:t>
        </w:r>
      </w:hyperlink>
      <w:r w:rsidR="00AE19DE" w:rsidRPr="00EF7399">
        <w:rPr>
          <w:rFonts w:ascii="Times New Roman" w:hAnsi="Times New Roman" w:cs="Times New Roman"/>
          <w:lang w:val="af-ZA"/>
        </w:rPr>
        <w:t xml:space="preserve">, </w:t>
      </w:r>
      <w:r w:rsidR="00D33965"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00AE19DE" w:rsidRPr="00EF7399">
        <w:rPr>
          <w:rFonts w:ascii="Times New Roman" w:hAnsi="Times New Roman" w:cs="Times New Roman"/>
          <w:lang w:val="af-ZA"/>
        </w:rPr>
        <w:t>99)</w:t>
      </w:r>
      <w:r w:rsidR="00CA627F" w:rsidRPr="00EF7399">
        <w:rPr>
          <w:rFonts w:ascii="Times New Roman" w:hAnsi="Times New Roman" w:cs="Times New Roman"/>
          <w:lang w:val="af-ZA"/>
        </w:rPr>
        <w:t>, ինչպես նաև «պատշաճ ապահովել ծրագրված միջոցառման անցկացումը</w:t>
      </w:r>
      <w:r w:rsidR="003A6774" w:rsidRPr="00EF7399">
        <w:rPr>
          <w:rFonts w:ascii="Times New Roman" w:hAnsi="Times New Roman" w:cs="Times New Roman"/>
          <w:lang w:val="af-ZA"/>
        </w:rPr>
        <w:t>`</w:t>
      </w:r>
      <w:r w:rsidR="00CA627F" w:rsidRPr="00EF7399">
        <w:rPr>
          <w:rFonts w:ascii="Times New Roman" w:hAnsi="Times New Roman" w:cs="Times New Roman"/>
          <w:lang w:val="af-ZA"/>
        </w:rPr>
        <w:t xml:space="preserve"> զսպելով </w:t>
      </w:r>
      <w:r w:rsidR="003A6774" w:rsidRPr="00EF7399">
        <w:rPr>
          <w:rFonts w:ascii="Times New Roman" w:hAnsi="Times New Roman" w:cs="Times New Roman"/>
          <w:lang w:val="af-ZA"/>
        </w:rPr>
        <w:t>հակընդդեմ ցու</w:t>
      </w:r>
      <w:r w:rsidR="00125A85" w:rsidRPr="00EF7399">
        <w:rPr>
          <w:rFonts w:ascii="Times New Roman" w:hAnsi="Times New Roman" w:cs="Times New Roman"/>
          <w:lang w:val="af-ZA"/>
        </w:rPr>
        <w:t>յց</w:t>
      </w:r>
      <w:r w:rsidR="003A6774" w:rsidRPr="00EF7399">
        <w:rPr>
          <w:rFonts w:ascii="Times New Roman" w:hAnsi="Times New Roman" w:cs="Times New Roman"/>
          <w:lang w:val="af-ZA"/>
        </w:rPr>
        <w:t xml:space="preserve">ի </w:t>
      </w:r>
      <w:r w:rsidR="00125A85" w:rsidRPr="00EF7399">
        <w:rPr>
          <w:rFonts w:ascii="Times New Roman" w:hAnsi="Times New Roman" w:cs="Times New Roman"/>
          <w:lang w:val="af-ZA"/>
        </w:rPr>
        <w:t xml:space="preserve">մասնակիցների </w:t>
      </w:r>
      <w:r w:rsidR="003A6774" w:rsidRPr="00EF7399">
        <w:rPr>
          <w:rFonts w:ascii="Times New Roman" w:hAnsi="Times New Roman" w:cs="Times New Roman"/>
          <w:lang w:val="af-ZA"/>
        </w:rPr>
        <w:t>հոմոֆոբ բանավոր հարձակումները և ֆիզիկական ճնշումը</w:t>
      </w:r>
      <w:r w:rsidR="00CA627F" w:rsidRPr="00EF7399">
        <w:rPr>
          <w:rFonts w:ascii="Times New Roman" w:hAnsi="Times New Roman" w:cs="Times New Roman"/>
          <w:lang w:val="af-ZA"/>
        </w:rPr>
        <w:t>»</w:t>
      </w:r>
      <w:r w:rsidR="00AE19DE" w:rsidRPr="00EF7399">
        <w:rPr>
          <w:rFonts w:ascii="Times New Roman" w:hAnsi="Times New Roman" w:cs="Times New Roman"/>
          <w:lang w:val="af-ZA"/>
        </w:rPr>
        <w:t xml:space="preserve"> </w:t>
      </w:r>
      <w:r w:rsidR="00AE19DE" w:rsidRPr="00EF7399">
        <w:rPr>
          <w:rStyle w:val="sb8d990e2"/>
          <w:rFonts w:ascii="Times New Roman" w:hAnsi="Times New Roman" w:cs="Times New Roman"/>
          <w:lang w:val="af-ZA"/>
        </w:rPr>
        <w:t>(</w:t>
      </w:r>
      <w:hyperlink r:id="rId130" w:history="1">
        <w:r w:rsidR="00AE19DE" w:rsidRPr="00EF7399">
          <w:rPr>
            <w:rStyle w:val="Hyperlink"/>
            <w:rFonts w:ascii="Times New Roman" w:hAnsi="Times New Roman" w:cs="Times New Roman"/>
            <w:lang w:val="af-ZA" w:eastAsia="fr-FR"/>
          </w:rPr>
          <w:t>Berkman</w:t>
        </w:r>
        <w:r w:rsidR="00873234" w:rsidRPr="00EF7399">
          <w:rPr>
            <w:rStyle w:val="Hyperlink"/>
            <w:rFonts w:ascii="Times New Roman" w:hAnsi="Times New Roman" w:cs="Times New Roman"/>
            <w:lang w:val="af-ZA" w:eastAsia="fr-FR"/>
          </w:rPr>
          <w:t xml:space="preserve"> v. </w:t>
        </w:r>
        <w:r w:rsidR="00AE19DE" w:rsidRPr="00EF7399">
          <w:rPr>
            <w:rStyle w:val="Hyperlink"/>
            <w:rFonts w:ascii="Times New Roman" w:hAnsi="Times New Roman" w:cs="Times New Roman"/>
            <w:lang w:val="af-ZA" w:eastAsia="fr-FR"/>
          </w:rPr>
          <w:t>Russia</w:t>
        </w:r>
      </w:hyperlink>
      <w:r w:rsidR="00AE19DE" w:rsidRPr="00EF7399">
        <w:rPr>
          <w:rFonts w:ascii="Times New Roman" w:hAnsi="Times New Roman" w:cs="Times New Roman"/>
          <w:color w:val="000000"/>
          <w:lang w:val="af-ZA" w:eastAsia="fr-FR"/>
        </w:rPr>
        <w:t xml:space="preserve">, </w:t>
      </w:r>
      <w:r w:rsidR="00833E3C" w:rsidRPr="00EF7399">
        <w:rPr>
          <w:rFonts w:ascii="Times New Roman" w:hAnsi="Times New Roman" w:cs="Times New Roman"/>
          <w:color w:val="000000"/>
          <w:lang w:val="af-ZA" w:eastAsia="fr-FR"/>
        </w:rPr>
        <w:t xml:space="preserve">2020, </w:t>
      </w:r>
      <w:r w:rsidR="00873234" w:rsidRPr="00EF7399">
        <w:rPr>
          <w:rFonts w:ascii="Times New Roman" w:hAnsi="Times New Roman" w:cs="Times New Roman"/>
          <w:color w:val="000000"/>
          <w:lang w:val="af-ZA" w:eastAsia="fr-FR"/>
        </w:rPr>
        <w:t>§ </w:t>
      </w:r>
      <w:r w:rsidR="00110A9E" w:rsidRPr="00EF7399">
        <w:rPr>
          <w:rFonts w:ascii="Times New Roman" w:hAnsi="Times New Roman" w:cs="Times New Roman"/>
          <w:color w:val="000000"/>
          <w:lang w:val="af-ZA" w:eastAsia="fr-FR"/>
        </w:rPr>
        <w:t>55-57</w:t>
      </w:r>
      <w:r w:rsidR="00AE19DE" w:rsidRPr="00EF7399">
        <w:rPr>
          <w:rStyle w:val="sb8d990e2"/>
          <w:rFonts w:ascii="Times New Roman" w:hAnsi="Times New Roman" w:cs="Times New Roman"/>
          <w:lang w:val="af-ZA"/>
        </w:rPr>
        <w:t>)</w:t>
      </w:r>
      <w:r w:rsidR="003A6774" w:rsidRPr="00EF7399">
        <w:rPr>
          <w:rFonts w:ascii="Times New Roman" w:hAnsi="Times New Roman" w:cs="Times New Roman"/>
          <w:lang w:val="af-ZA"/>
        </w:rPr>
        <w:t>:</w:t>
      </w:r>
    </w:p>
    <w:p w14:paraId="175F739A" w14:textId="6EC3DD51" w:rsidR="00A32622" w:rsidRPr="007B753F" w:rsidRDefault="003A6774" w:rsidP="007B753F">
      <w:pPr>
        <w:pStyle w:val="ECHRHeading3"/>
        <w:numPr>
          <w:ilvl w:val="2"/>
          <w:numId w:val="52"/>
        </w:numPr>
        <w:rPr>
          <w:rFonts w:ascii="Times New Roman" w:hAnsi="Times New Roman" w:cs="Times New Roman"/>
          <w:lang w:val="af-ZA"/>
        </w:rPr>
      </w:pPr>
      <w:bookmarkStart w:id="39" w:name="_Toc159945212"/>
      <w:r w:rsidRPr="007B753F">
        <w:rPr>
          <w:rFonts w:ascii="Times New Roman" w:hAnsi="Times New Roman" w:cs="Times New Roman"/>
          <w:lang w:val="af-ZA"/>
        </w:rPr>
        <w:t>Հավաքի խաղաղ անցկացումն ապահովելու պարտավորությունը</w:t>
      </w:r>
      <w:bookmarkEnd w:id="39"/>
      <w:r w:rsidRPr="007B753F">
        <w:rPr>
          <w:rFonts w:ascii="Times New Roman" w:hAnsi="Times New Roman" w:cs="Times New Roman"/>
          <w:lang w:val="af-ZA"/>
        </w:rPr>
        <w:t xml:space="preserve"> </w:t>
      </w:r>
    </w:p>
    <w:p w14:paraId="43E2A1E8" w14:textId="51EEE81C" w:rsidR="00A32622" w:rsidRPr="00EF7399" w:rsidRDefault="00A32622" w:rsidP="00A3262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36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25A85" w:rsidRPr="00EF7399">
        <w:rPr>
          <w:rFonts w:ascii="Times New Roman" w:hAnsi="Times New Roman" w:cs="Times New Roman"/>
          <w:lang w:val="af-ZA"/>
        </w:rPr>
        <w:t xml:space="preserve">Օրինական ցույցերի դեպքում իշխանությունները պարտավոր են ձեռնարկել բոլոր պատշաճ միջոցները դրանց խաղաղ ընթացքը և քաղաքացիների անվտանգությունը երաշխավորելու համար: </w:t>
      </w:r>
      <w:r w:rsidR="00CE04F3" w:rsidRPr="00EF7399">
        <w:rPr>
          <w:rFonts w:ascii="Times New Roman" w:hAnsi="Times New Roman" w:cs="Times New Roman"/>
          <w:lang w:val="hy-AM"/>
        </w:rPr>
        <w:t>Այդուհանդերձ,</w:t>
      </w:r>
      <w:r w:rsidR="00CE04F3" w:rsidRPr="00EF7399">
        <w:rPr>
          <w:rFonts w:ascii="Times New Roman" w:hAnsi="Times New Roman" w:cs="Times New Roman"/>
          <w:lang w:val="af-ZA"/>
        </w:rPr>
        <w:t xml:space="preserve"> </w:t>
      </w:r>
      <w:r w:rsidR="00125A85" w:rsidRPr="00EF7399">
        <w:rPr>
          <w:rFonts w:ascii="Times New Roman" w:hAnsi="Times New Roman" w:cs="Times New Roman"/>
          <w:lang w:val="af-ZA"/>
        </w:rPr>
        <w:t>նրանք չեն կարող դա բա</w:t>
      </w:r>
      <w:r w:rsidR="00CE04F3" w:rsidRPr="00EF7399">
        <w:rPr>
          <w:rFonts w:ascii="Times New Roman" w:hAnsi="Times New Roman" w:cs="Times New Roman"/>
          <w:lang w:val="hy-AM"/>
        </w:rPr>
        <w:t>ց</w:t>
      </w:r>
      <w:r w:rsidR="00125A85" w:rsidRPr="00EF7399">
        <w:rPr>
          <w:rFonts w:ascii="Times New Roman" w:hAnsi="Times New Roman" w:cs="Times New Roman"/>
          <w:lang w:val="af-ZA"/>
        </w:rPr>
        <w:t>արձակ</w:t>
      </w:r>
      <w:r w:rsidR="00CE04F3" w:rsidRPr="00EF7399">
        <w:rPr>
          <w:rFonts w:ascii="Times New Roman" w:hAnsi="Times New Roman" w:cs="Times New Roman"/>
          <w:lang w:val="hy-AM"/>
        </w:rPr>
        <w:t xml:space="preserve"> կերպով</w:t>
      </w:r>
      <w:r w:rsidR="00125A85" w:rsidRPr="00EF7399">
        <w:rPr>
          <w:rFonts w:ascii="Times New Roman" w:hAnsi="Times New Roman" w:cs="Times New Roman"/>
          <w:lang w:val="af-ZA"/>
        </w:rPr>
        <w:t xml:space="preserve"> երաշխավորել</w:t>
      </w:r>
      <w:r w:rsidRPr="00EF7399">
        <w:rPr>
          <w:rFonts w:ascii="Times New Roman" w:hAnsi="Times New Roman" w:cs="Times New Roman"/>
          <w:lang w:val="af-ZA"/>
        </w:rPr>
        <w:t xml:space="preserve"> </w:t>
      </w:r>
      <w:r w:rsidR="00125A85" w:rsidRPr="00EF7399">
        <w:rPr>
          <w:rFonts w:ascii="Times New Roman" w:hAnsi="Times New Roman" w:cs="Times New Roman"/>
          <w:lang w:val="af-ZA"/>
        </w:rPr>
        <w:t xml:space="preserve">և ունեն լայն հայեցողություն կիրառելի միջոցների ընտրության հարցում: </w:t>
      </w:r>
      <w:r w:rsidR="001E11EE" w:rsidRPr="00EF7399">
        <w:rPr>
          <w:rFonts w:ascii="Times New Roman" w:hAnsi="Times New Roman" w:cs="Times New Roman"/>
          <w:lang w:val="af-ZA"/>
        </w:rPr>
        <w:t>Այս հարցում Կոնվենցիայի 11-րդ հոդվածով նախատեսված պարտավորությունն առնչվում է ձեռնարկ</w:t>
      </w:r>
      <w:r w:rsidR="00CE04F3" w:rsidRPr="00EF7399">
        <w:rPr>
          <w:rFonts w:ascii="Times New Roman" w:hAnsi="Times New Roman" w:cs="Times New Roman"/>
          <w:lang w:val="hy-AM"/>
        </w:rPr>
        <w:t>վ</w:t>
      </w:r>
      <w:r w:rsidR="001E11EE" w:rsidRPr="00EF7399">
        <w:rPr>
          <w:rFonts w:ascii="Times New Roman" w:hAnsi="Times New Roman" w:cs="Times New Roman"/>
          <w:lang w:val="af-ZA"/>
        </w:rPr>
        <w:t xml:space="preserve">ելիք միջոցներին, այլ ոչ թե </w:t>
      </w:r>
      <w:r w:rsidR="00CE04F3" w:rsidRPr="00EF7399">
        <w:rPr>
          <w:rFonts w:ascii="Times New Roman" w:hAnsi="Times New Roman" w:cs="Times New Roman"/>
          <w:lang w:val="hy-AM"/>
        </w:rPr>
        <w:t>ակնկալվող</w:t>
      </w:r>
      <w:r w:rsidR="00CE04F3" w:rsidRPr="00EF7399">
        <w:rPr>
          <w:rFonts w:ascii="Times New Roman" w:hAnsi="Times New Roman" w:cs="Times New Roman"/>
          <w:lang w:val="af-ZA"/>
        </w:rPr>
        <w:t xml:space="preserve"> </w:t>
      </w:r>
      <w:r w:rsidR="001E11EE" w:rsidRPr="00EF7399">
        <w:rPr>
          <w:rFonts w:ascii="Times New Roman" w:hAnsi="Times New Roman" w:cs="Times New Roman"/>
          <w:lang w:val="af-ZA"/>
        </w:rPr>
        <w:t xml:space="preserve">արդյունքներին </w:t>
      </w:r>
      <w:r w:rsidR="00ED2544" w:rsidRPr="00EF7399">
        <w:rPr>
          <w:rFonts w:ascii="Times New Roman" w:hAnsi="Times New Roman" w:cs="Times New Roman"/>
          <w:lang w:val="af-ZA"/>
        </w:rPr>
        <w:t>(</w:t>
      </w:r>
      <w:hyperlink r:id="rId131" w:history="1">
        <w:r w:rsidR="00ED2544" w:rsidRPr="00EF7399">
          <w:rPr>
            <w:rStyle w:val="Hyperlink"/>
            <w:rFonts w:ascii="Times New Roman" w:hAnsi="Times New Roman" w:cs="Times New Roman"/>
            <w:lang w:val="af-ZA"/>
          </w:rPr>
          <w:t>Kudrevičius and Others</w:t>
        </w:r>
        <w:r w:rsidR="00873234" w:rsidRPr="00EF7399">
          <w:rPr>
            <w:rStyle w:val="Hyperlink"/>
            <w:rFonts w:ascii="Times New Roman" w:hAnsi="Times New Roman" w:cs="Times New Roman"/>
            <w:lang w:val="af-ZA"/>
          </w:rPr>
          <w:t xml:space="preserve"> v. </w:t>
        </w:r>
        <w:r w:rsidR="00ED2544" w:rsidRPr="00EF7399">
          <w:rPr>
            <w:rStyle w:val="Hyperlink"/>
            <w:rFonts w:ascii="Times New Roman" w:hAnsi="Times New Roman" w:cs="Times New Roman"/>
            <w:lang w:val="af-ZA"/>
          </w:rPr>
          <w:t>Lithuania</w:t>
        </w:r>
      </w:hyperlink>
      <w:r w:rsidR="00ED2544" w:rsidRPr="00EF7399">
        <w:rPr>
          <w:rFonts w:ascii="Times New Roman" w:hAnsi="Times New Roman" w:cs="Times New Roman"/>
          <w:i/>
          <w:lang w:val="af-ZA"/>
        </w:rPr>
        <w:t xml:space="preserve"> </w:t>
      </w:r>
      <w:r w:rsidR="00ED2544" w:rsidRPr="00EF7399">
        <w:rPr>
          <w:rFonts w:ascii="Times New Roman" w:hAnsi="Times New Roman" w:cs="Times New Roman"/>
          <w:lang w:val="af-ZA"/>
        </w:rPr>
        <w:t>[GC],</w:t>
      </w:r>
      <w:r w:rsidR="00833E3C" w:rsidRPr="00EF7399">
        <w:rPr>
          <w:rFonts w:ascii="Times New Roman" w:hAnsi="Times New Roman" w:cs="Times New Roman"/>
          <w:lang w:val="af-ZA"/>
        </w:rPr>
        <w:t xml:space="preserve"> 2015,</w:t>
      </w:r>
      <w:r w:rsidR="00ED2544" w:rsidRPr="00EF7399">
        <w:rPr>
          <w:rFonts w:ascii="Times New Roman" w:hAnsi="Times New Roman" w:cs="Times New Roman"/>
          <w:lang w:val="af-ZA"/>
        </w:rPr>
        <w:t xml:space="preserve">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159; </w:t>
      </w:r>
      <w:hyperlink r:id="rId132" w:history="1">
        <w:r w:rsidRPr="00EF7399">
          <w:rPr>
            <w:rStyle w:val="Hyperlink"/>
            <w:rFonts w:ascii="Times New Roman" w:hAnsi="Times New Roman" w:cs="Times New Roman"/>
            <w:lang w:val="af-ZA"/>
          </w:rPr>
          <w:t>Giuliani and Gaggio</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Italy</w:t>
        </w:r>
      </w:hyperlink>
      <w:r w:rsidRPr="00EF7399">
        <w:rPr>
          <w:rFonts w:ascii="Times New Roman" w:hAnsi="Times New Roman" w:cs="Times New Roman"/>
          <w:lang w:val="af-ZA"/>
        </w:rPr>
        <w:t xml:space="preserve"> [GC], </w:t>
      </w:r>
      <w:r w:rsidR="00833E3C" w:rsidRPr="00EF7399">
        <w:rPr>
          <w:rFonts w:ascii="Times New Roman" w:hAnsi="Times New Roman" w:cs="Times New Roman"/>
          <w:lang w:val="af-ZA"/>
        </w:rPr>
        <w:t xml:space="preserve">2011, </w:t>
      </w:r>
      <w:r w:rsidR="00873234" w:rsidRPr="00EF7399">
        <w:rPr>
          <w:rFonts w:ascii="Times New Roman" w:hAnsi="Times New Roman" w:cs="Times New Roman"/>
          <w:lang w:val="af-ZA"/>
        </w:rPr>
        <w:t>§ </w:t>
      </w:r>
      <w:r w:rsidRPr="00EF7399">
        <w:rPr>
          <w:rFonts w:ascii="Times New Roman" w:hAnsi="Times New Roman" w:cs="Times New Roman"/>
          <w:lang w:val="af-ZA"/>
        </w:rPr>
        <w:t>251)</w:t>
      </w:r>
      <w:r w:rsidR="001E11EE" w:rsidRPr="00EF7399">
        <w:rPr>
          <w:rFonts w:ascii="Times New Roman" w:hAnsi="Times New Roman" w:cs="Times New Roman"/>
          <w:lang w:val="af-ZA"/>
        </w:rPr>
        <w:t>:</w:t>
      </w:r>
    </w:p>
    <w:p w14:paraId="686A0C48" w14:textId="7366E2A0" w:rsidR="00A32622" w:rsidRPr="00EF7399" w:rsidRDefault="00A32622" w:rsidP="00A3262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37</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EC5063" w:rsidRPr="00EF7399">
        <w:rPr>
          <w:rFonts w:ascii="Times New Roman" w:hAnsi="Times New Roman" w:cs="Times New Roman"/>
          <w:lang w:val="af-ZA"/>
        </w:rPr>
        <w:t>Դատարանը, մասնավորապես, շեշտել է կանխարգելիչ անվտանգային միջոցներ ձեռնարկելու կարևորությունը,</w:t>
      </w:r>
      <w:r w:rsidR="00CE04F3" w:rsidRPr="00EF7399">
        <w:rPr>
          <w:rFonts w:ascii="Times New Roman" w:hAnsi="Times New Roman" w:cs="Times New Roman"/>
          <w:lang w:val="hy-AM"/>
        </w:rPr>
        <w:t xml:space="preserve"> ինչպիսին,</w:t>
      </w:r>
      <w:r w:rsidR="00EC5063" w:rsidRPr="00EF7399">
        <w:rPr>
          <w:rFonts w:ascii="Times New Roman" w:hAnsi="Times New Roman" w:cs="Times New Roman"/>
          <w:lang w:val="af-ZA"/>
        </w:rPr>
        <w:t xml:space="preserve"> օրինակ</w:t>
      </w:r>
      <w:r w:rsidR="00CE04F3" w:rsidRPr="00EF7399">
        <w:rPr>
          <w:rFonts w:ascii="Times New Roman" w:hAnsi="Times New Roman" w:cs="Times New Roman"/>
          <w:lang w:val="hy-AM"/>
        </w:rPr>
        <w:t>,</w:t>
      </w:r>
      <w:r w:rsidR="00EC5063" w:rsidRPr="00EF7399">
        <w:rPr>
          <w:rFonts w:ascii="Times New Roman" w:hAnsi="Times New Roman" w:cs="Times New Roman"/>
          <w:lang w:val="af-ZA"/>
        </w:rPr>
        <w:t xml:space="preserve"> ցույցերի վայրում առաջին բուժօգնության ծառայությունների ներկայության ապահովում</w:t>
      </w:r>
      <w:r w:rsidR="00CE04F3" w:rsidRPr="00EF7399">
        <w:rPr>
          <w:rFonts w:ascii="Times New Roman" w:hAnsi="Times New Roman" w:cs="Times New Roman"/>
          <w:lang w:val="hy-AM"/>
        </w:rPr>
        <w:t>ն է</w:t>
      </w:r>
      <w:r w:rsidR="00EC5063" w:rsidRPr="00EF7399">
        <w:rPr>
          <w:rFonts w:ascii="Times New Roman" w:hAnsi="Times New Roman" w:cs="Times New Roman"/>
          <w:lang w:val="af-ZA"/>
        </w:rPr>
        <w:t xml:space="preserve">, ինչը կերաշխավորի ցանկացած միջոցառման, </w:t>
      </w:r>
      <w:r w:rsidR="009F145D" w:rsidRPr="00EF7399">
        <w:rPr>
          <w:rFonts w:ascii="Times New Roman" w:hAnsi="Times New Roman" w:cs="Times New Roman"/>
          <w:lang w:val="af-ZA"/>
        </w:rPr>
        <w:t>հանրահավաքի կամ այլ</w:t>
      </w:r>
      <w:r w:rsidR="00EC5063" w:rsidRPr="00EF7399">
        <w:rPr>
          <w:rFonts w:ascii="Times New Roman" w:hAnsi="Times New Roman" w:cs="Times New Roman"/>
          <w:lang w:val="af-ZA"/>
        </w:rPr>
        <w:t xml:space="preserve"> հավաքույթի անցնցում անցկացումը</w:t>
      </w:r>
      <w:r w:rsidR="009F145D" w:rsidRPr="00EF7399">
        <w:rPr>
          <w:rFonts w:ascii="Times New Roman" w:hAnsi="Times New Roman" w:cs="Times New Roman"/>
          <w:lang w:val="af-ZA"/>
        </w:rPr>
        <w:t xml:space="preserve">` լինի </w:t>
      </w:r>
      <w:r w:rsidR="00CE04F3" w:rsidRPr="00EF7399">
        <w:rPr>
          <w:rFonts w:ascii="Times New Roman" w:hAnsi="Times New Roman" w:cs="Times New Roman"/>
          <w:lang w:val="hy-AM"/>
        </w:rPr>
        <w:t>դա</w:t>
      </w:r>
      <w:r w:rsidR="00CE04F3" w:rsidRPr="00EF7399">
        <w:rPr>
          <w:rFonts w:ascii="Times New Roman" w:hAnsi="Times New Roman" w:cs="Times New Roman"/>
          <w:lang w:val="af-ZA"/>
        </w:rPr>
        <w:t xml:space="preserve"> </w:t>
      </w:r>
      <w:r w:rsidR="009F145D" w:rsidRPr="00EF7399">
        <w:rPr>
          <w:rFonts w:ascii="Times New Roman" w:hAnsi="Times New Roman" w:cs="Times New Roman"/>
          <w:lang w:val="af-ZA"/>
        </w:rPr>
        <w:t xml:space="preserve">քաղաքական, մշակութային կամ այլ բնույթի </w:t>
      </w:r>
      <w:r w:rsidRPr="00EF7399">
        <w:rPr>
          <w:rFonts w:ascii="Times New Roman" w:hAnsi="Times New Roman" w:cs="Times New Roman"/>
          <w:lang w:val="af-ZA"/>
        </w:rPr>
        <w:t>(</w:t>
      </w:r>
      <w:hyperlink r:id="rId133" w:history="1">
        <w:r w:rsidRPr="00EF7399">
          <w:rPr>
            <w:rStyle w:val="Hyperlink"/>
            <w:rFonts w:ascii="Times New Roman" w:hAnsi="Times New Roman" w:cs="Times New Roman"/>
            <w:lang w:val="af-ZA"/>
          </w:rPr>
          <w:t>Oya Ataman</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w:t>
      </w:r>
      <w:r w:rsidR="00A92893" w:rsidRPr="00EF7399">
        <w:rPr>
          <w:rFonts w:ascii="Times New Roman" w:hAnsi="Times New Roman" w:cs="Times New Roman"/>
          <w:lang w:val="af-ZA"/>
        </w:rPr>
        <w:t xml:space="preserve">2006, </w:t>
      </w:r>
      <w:r w:rsidR="00873234" w:rsidRPr="00EF7399">
        <w:rPr>
          <w:rFonts w:ascii="Times New Roman" w:hAnsi="Times New Roman" w:cs="Times New Roman"/>
          <w:lang w:val="af-ZA"/>
        </w:rPr>
        <w:t>§ </w:t>
      </w:r>
      <w:r w:rsidRPr="00EF7399">
        <w:rPr>
          <w:rFonts w:ascii="Times New Roman" w:hAnsi="Times New Roman" w:cs="Times New Roman"/>
          <w:lang w:val="af-ZA"/>
        </w:rPr>
        <w:t>39)</w:t>
      </w:r>
      <w:r w:rsidR="009F145D" w:rsidRPr="00EF7399">
        <w:rPr>
          <w:rFonts w:ascii="Times New Roman" w:hAnsi="Times New Roman" w:cs="Times New Roman"/>
          <w:lang w:val="af-ZA"/>
        </w:rPr>
        <w:t>:</w:t>
      </w:r>
    </w:p>
    <w:p w14:paraId="47661F8A" w14:textId="1FF89249" w:rsidR="00663C2E" w:rsidRPr="00EF7399" w:rsidRDefault="00A32622" w:rsidP="00A3262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38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9F145D" w:rsidRPr="00EF7399">
        <w:rPr>
          <w:rFonts w:ascii="Times New Roman" w:hAnsi="Times New Roman" w:cs="Times New Roman"/>
          <w:lang w:val="af-ZA"/>
        </w:rPr>
        <w:t>Բողոքի ցույցի առաջնորդների հետ հաղորդակց</w:t>
      </w:r>
      <w:r w:rsidR="00CE04F3" w:rsidRPr="00EF7399">
        <w:rPr>
          <w:rFonts w:ascii="Times New Roman" w:hAnsi="Times New Roman" w:cs="Times New Roman"/>
          <w:lang w:val="hy-AM"/>
        </w:rPr>
        <w:t>վ</w:t>
      </w:r>
      <w:r w:rsidR="009F145D" w:rsidRPr="00EF7399">
        <w:rPr>
          <w:rFonts w:ascii="Times New Roman" w:hAnsi="Times New Roman" w:cs="Times New Roman"/>
          <w:lang w:val="af-ZA"/>
        </w:rPr>
        <w:t xml:space="preserve">ելու </w:t>
      </w:r>
      <w:r w:rsidR="00340B04" w:rsidRPr="00EF7399">
        <w:rPr>
          <w:rFonts w:ascii="Times New Roman" w:hAnsi="Times New Roman" w:cs="Times New Roman"/>
          <w:lang w:val="af-ZA"/>
        </w:rPr>
        <w:t xml:space="preserve">պարտականությունն իշխանությունների` հավաքի խաղաղ անցկացումն երաշխավորելու, անկարգությունները կանխելու և մասնակիցների անվտանգությունն ապահովելու պոզիտիվ պարտավորությունների կենսական մաս է </w:t>
      </w:r>
      <w:r w:rsidR="00ED2544" w:rsidRPr="00EF7399">
        <w:rPr>
          <w:rFonts w:ascii="Times New Roman" w:hAnsi="Times New Roman" w:cs="Times New Roman"/>
          <w:lang w:val="af-ZA"/>
        </w:rPr>
        <w:t>(</w:t>
      </w:r>
      <w:hyperlink r:id="rId134" w:history="1">
        <w:r w:rsidR="00ED2544" w:rsidRPr="00EF7399">
          <w:rPr>
            <w:rStyle w:val="Hyperlink"/>
            <w:rFonts w:ascii="Times New Roman" w:hAnsi="Times New Roman" w:cs="Times New Roman"/>
            <w:lang w:val="af-ZA"/>
          </w:rPr>
          <w:t>Frumkin</w:t>
        </w:r>
        <w:r w:rsidR="00873234" w:rsidRPr="00EF7399">
          <w:rPr>
            <w:rStyle w:val="Hyperlink"/>
            <w:rFonts w:ascii="Times New Roman" w:hAnsi="Times New Roman" w:cs="Times New Roman"/>
            <w:lang w:val="af-ZA"/>
          </w:rPr>
          <w:t xml:space="preserve"> v. </w:t>
        </w:r>
        <w:r w:rsidR="00ED2544" w:rsidRPr="00EF7399">
          <w:rPr>
            <w:rStyle w:val="Hyperlink"/>
            <w:rFonts w:ascii="Times New Roman" w:hAnsi="Times New Roman" w:cs="Times New Roman"/>
            <w:lang w:val="af-ZA"/>
          </w:rPr>
          <w:t>Russia</w:t>
        </w:r>
      </w:hyperlink>
      <w:r w:rsidRPr="00EF7399">
        <w:rPr>
          <w:rFonts w:ascii="Times New Roman" w:hAnsi="Times New Roman" w:cs="Times New Roman"/>
          <w:lang w:val="af-ZA"/>
        </w:rPr>
        <w:t xml:space="preserve">, </w:t>
      </w:r>
      <w:r w:rsidR="00833E3C" w:rsidRPr="00EF7399">
        <w:rPr>
          <w:rFonts w:ascii="Times New Roman" w:hAnsi="Times New Roman" w:cs="Times New Roman"/>
          <w:lang w:val="af-ZA"/>
        </w:rPr>
        <w:t xml:space="preserve">2016,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128-129)</w:t>
      </w:r>
      <w:r w:rsidR="00340B04" w:rsidRPr="00EF7399">
        <w:rPr>
          <w:rFonts w:ascii="Times New Roman" w:hAnsi="Times New Roman" w:cs="Times New Roman"/>
          <w:lang w:val="af-ZA"/>
        </w:rPr>
        <w:t>:</w:t>
      </w:r>
      <w:r w:rsidR="006E2416" w:rsidRPr="00EF7399">
        <w:rPr>
          <w:rFonts w:ascii="Times New Roman" w:hAnsi="Times New Roman" w:cs="Times New Roman"/>
          <w:lang w:val="af-ZA"/>
        </w:rPr>
        <w:t xml:space="preserve"> Դատարանը հղում է կատարել </w:t>
      </w:r>
      <w:r w:rsidR="0013388D" w:rsidRPr="00EF7399">
        <w:rPr>
          <w:rFonts w:ascii="Times New Roman" w:hAnsi="Times New Roman" w:cs="Times New Roman"/>
          <w:lang w:val="hy-AM"/>
        </w:rPr>
        <w:t>խ</w:t>
      </w:r>
      <w:r w:rsidR="006E2416" w:rsidRPr="00EF7399">
        <w:rPr>
          <w:rFonts w:ascii="Times New Roman" w:hAnsi="Times New Roman" w:cs="Times New Roman"/>
          <w:lang w:val="af-ZA"/>
        </w:rPr>
        <w:t>աղաղ հավաքների</w:t>
      </w:r>
      <w:r w:rsidR="0013388D" w:rsidRPr="00EF7399">
        <w:rPr>
          <w:rFonts w:ascii="Times New Roman" w:hAnsi="Times New Roman" w:cs="Times New Roman"/>
          <w:lang w:val="hy-AM"/>
        </w:rPr>
        <w:t xml:space="preserve"> ազատության</w:t>
      </w:r>
      <w:r w:rsidR="006E2416" w:rsidRPr="00EF7399">
        <w:rPr>
          <w:rFonts w:ascii="Times New Roman" w:hAnsi="Times New Roman" w:cs="Times New Roman"/>
          <w:lang w:val="af-ZA"/>
        </w:rPr>
        <w:t xml:space="preserve"> մասին Վենետիկի հանձնաժողովի ուղեցույց</w:t>
      </w:r>
      <w:r w:rsidR="0013388D" w:rsidRPr="00EF7399">
        <w:rPr>
          <w:rFonts w:ascii="Times New Roman" w:hAnsi="Times New Roman" w:cs="Times New Roman"/>
          <w:lang w:val="hy-AM"/>
        </w:rPr>
        <w:t>ն</w:t>
      </w:r>
      <w:r w:rsidR="006E2416" w:rsidRPr="00EF7399">
        <w:rPr>
          <w:rFonts w:ascii="Times New Roman" w:hAnsi="Times New Roman" w:cs="Times New Roman"/>
          <w:lang w:val="af-ZA"/>
        </w:rPr>
        <w:t xml:space="preserve">երին, որտեղ, որպես կոնֆլիկտի սրացումից խուսափելու ճանապարհ, առաջարկվում է դիմել բանակցությանը կամ միջնորդված երկխոսությանը, եթե հավաքի ընթացքում առաջանում է դիմակայություն կամ այլ վեճ </w:t>
      </w:r>
      <w:r w:rsidRPr="00EF7399">
        <w:rPr>
          <w:rFonts w:ascii="Times New Roman" w:hAnsi="Times New Roman" w:cs="Times New Roman"/>
          <w:lang w:val="af-ZA"/>
        </w:rPr>
        <w:t>(</w:t>
      </w:r>
      <w:hyperlink r:id="rId135" w:history="1">
        <w:r w:rsidRPr="00EF7399">
          <w:rPr>
            <w:rStyle w:val="Hyperlink"/>
            <w:rFonts w:ascii="Times New Roman" w:hAnsi="Times New Roman" w:cs="Times New Roman"/>
            <w:lang w:val="af-ZA"/>
          </w:rPr>
          <w:t>Frumkin</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Russia</w:t>
        </w:r>
      </w:hyperlink>
      <w:r w:rsidRPr="00EF7399">
        <w:rPr>
          <w:rFonts w:ascii="Times New Roman" w:hAnsi="Times New Roman" w:cs="Times New Roman"/>
          <w:lang w:val="af-ZA"/>
        </w:rPr>
        <w:t>,</w:t>
      </w:r>
      <w:r w:rsidR="00833E3C" w:rsidRPr="00EF7399">
        <w:rPr>
          <w:rFonts w:ascii="Times New Roman" w:hAnsi="Times New Roman" w:cs="Times New Roman"/>
          <w:lang w:val="af-ZA"/>
        </w:rPr>
        <w:t xml:space="preserve"> 2016,</w:t>
      </w:r>
      <w:r w:rsidRPr="00EF7399">
        <w:rPr>
          <w:rFonts w:ascii="Times New Roman" w:hAnsi="Times New Roman" w:cs="Times New Roman"/>
          <w:lang w:val="af-ZA"/>
        </w:rPr>
        <w:t xml:space="preserve">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129, </w:t>
      </w:r>
      <w:r w:rsidR="006E2416" w:rsidRPr="00EF7399">
        <w:rPr>
          <w:rFonts w:ascii="Times New Roman" w:hAnsi="Times New Roman" w:cs="Times New Roman"/>
          <w:lang w:val="af-ZA"/>
        </w:rPr>
        <w:t xml:space="preserve">հղում է կատարվում ուղեցույց </w:t>
      </w:r>
      <w:r w:rsidRPr="00EF7399">
        <w:rPr>
          <w:rFonts w:ascii="Times New Roman" w:hAnsi="Times New Roman" w:cs="Times New Roman"/>
          <w:lang w:val="af-ZA"/>
        </w:rPr>
        <w:t>5.4</w:t>
      </w:r>
      <w:r w:rsidR="006E2416" w:rsidRPr="00EF7399">
        <w:rPr>
          <w:rFonts w:ascii="Times New Roman" w:hAnsi="Times New Roman" w:cs="Times New Roman"/>
          <w:lang w:val="af-ZA"/>
        </w:rPr>
        <w:t>-ին</w:t>
      </w:r>
      <w:r w:rsidRPr="00EF7399">
        <w:rPr>
          <w:rFonts w:ascii="Times New Roman" w:hAnsi="Times New Roman" w:cs="Times New Roman"/>
          <w:lang w:val="af-ZA"/>
        </w:rPr>
        <w:t xml:space="preserve">, </w:t>
      </w:r>
      <w:r w:rsidR="006E2416" w:rsidRPr="00EF7399">
        <w:rPr>
          <w:rFonts w:ascii="Times New Roman" w:hAnsi="Times New Roman" w:cs="Times New Roman"/>
          <w:lang w:val="af-ZA"/>
        </w:rPr>
        <w:t xml:space="preserve">որը մեջբերված է նույն վճռի </w:t>
      </w:r>
      <w:r w:rsidR="00873234" w:rsidRPr="00EF7399">
        <w:rPr>
          <w:rFonts w:ascii="Times New Roman" w:hAnsi="Times New Roman" w:cs="Times New Roman"/>
          <w:lang w:val="af-ZA"/>
        </w:rPr>
        <w:t>§ </w:t>
      </w:r>
      <w:r w:rsidRPr="00EF7399">
        <w:rPr>
          <w:rFonts w:ascii="Times New Roman" w:hAnsi="Times New Roman" w:cs="Times New Roman"/>
          <w:lang w:val="af-ZA"/>
        </w:rPr>
        <w:t>80</w:t>
      </w:r>
      <w:r w:rsidR="006E2416" w:rsidRPr="00EF7399">
        <w:rPr>
          <w:rFonts w:ascii="Times New Roman" w:hAnsi="Times New Roman" w:cs="Times New Roman"/>
          <w:lang w:val="af-ZA"/>
        </w:rPr>
        <w:t>-ում</w:t>
      </w:r>
      <w:r w:rsidRPr="00EF7399">
        <w:rPr>
          <w:rFonts w:ascii="Times New Roman" w:hAnsi="Times New Roman" w:cs="Times New Roman"/>
          <w:lang w:val="af-ZA"/>
        </w:rPr>
        <w:t>)</w:t>
      </w:r>
      <w:r w:rsidR="006E2416" w:rsidRPr="00EF7399">
        <w:rPr>
          <w:rFonts w:ascii="Times New Roman" w:hAnsi="Times New Roman" w:cs="Times New Roman"/>
          <w:lang w:val="af-ZA"/>
        </w:rPr>
        <w:t>:</w:t>
      </w:r>
    </w:p>
    <w:p w14:paraId="33D4D4DD" w14:textId="1F73F88D" w:rsidR="00A32622" w:rsidRPr="00EF7399" w:rsidRDefault="006E2416" w:rsidP="00A32622">
      <w:pPr>
        <w:pStyle w:val="ECHRHeading3"/>
        <w:rPr>
          <w:rFonts w:ascii="Times New Roman" w:hAnsi="Times New Roman" w:cs="Times New Roman"/>
          <w:lang w:val="af-ZA"/>
        </w:rPr>
      </w:pPr>
      <w:bookmarkStart w:id="40" w:name="_Toc159945213"/>
      <w:r w:rsidRPr="00EF7399">
        <w:rPr>
          <w:rFonts w:ascii="Times New Roman" w:hAnsi="Times New Roman" w:cs="Times New Roman"/>
          <w:lang w:val="af-ZA"/>
        </w:rPr>
        <w:t>Հակընդդեմ ցույցեր</w:t>
      </w:r>
      <w:bookmarkEnd w:id="40"/>
      <w:r w:rsidRPr="00EF7399">
        <w:rPr>
          <w:rFonts w:ascii="Times New Roman" w:hAnsi="Times New Roman" w:cs="Times New Roman"/>
          <w:lang w:val="af-ZA"/>
        </w:rPr>
        <w:t xml:space="preserve"> </w:t>
      </w:r>
    </w:p>
    <w:p w14:paraId="06F6F310" w14:textId="1E10CAD8" w:rsidR="00A32622" w:rsidRPr="00EF7399" w:rsidRDefault="00A32622" w:rsidP="00A3262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39</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6E2416" w:rsidRPr="00EF7399">
        <w:rPr>
          <w:rFonts w:ascii="Times New Roman" w:hAnsi="Times New Roman" w:cs="Times New Roman"/>
          <w:lang w:val="af-ZA"/>
        </w:rPr>
        <w:t xml:space="preserve">Ցույցը կարող է վրդովեցնել կամ վիրավորել այն անձանց, ովքեր հակադրվում են դրա առաջ քաշած գաղափարներին կամ պնդումներին: Մասնակիցները, սակայն, պետք է կարողանան իրականացնել ցույցն առանց ընդդիմախոսների կողմից ֆիզիկական բռնության ենթարկվելու վախի, քանի որ նման վախը կարող է հետ պահել ընդհանուր գաղափարներ կամ շահեր պաշտպանող միավորումներին կամ այլ խմբերին իրենց համայնքի վրա ազդեցություն ունեցող խիստ հակասական հարցերի վերաբերյալ իրենց կարծիքներն ազատ արտահայտելուց: Ժողովրդավարության պայմաններում հակընդդեմ ցույցի իրավունքը չի կարող խոչընդոտել ցույց անելու իրավունքի իրագործմանը </w:t>
      </w:r>
      <w:r w:rsidRPr="00EF7399">
        <w:rPr>
          <w:rFonts w:ascii="Times New Roman" w:hAnsi="Times New Roman" w:cs="Times New Roman"/>
          <w:lang w:val="af-ZA"/>
        </w:rPr>
        <w:t>(</w:t>
      </w:r>
      <w:hyperlink r:id="rId136" w:history="1">
        <w:r w:rsidRPr="00EF7399">
          <w:rPr>
            <w:rStyle w:val="Hyperlink"/>
            <w:rFonts w:ascii="Times New Roman" w:hAnsi="Times New Roman" w:cs="Times New Roman"/>
            <w:lang w:val="af-ZA"/>
          </w:rPr>
          <w:t>Plattform “Ärzte für das Leben”</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Austria</w:t>
        </w:r>
      </w:hyperlink>
      <w:r w:rsidRPr="00EF7399">
        <w:rPr>
          <w:rFonts w:ascii="Times New Roman" w:hAnsi="Times New Roman" w:cs="Times New Roman"/>
          <w:lang w:val="af-ZA"/>
        </w:rPr>
        <w:t xml:space="preserve">, </w:t>
      </w:r>
      <w:r w:rsidR="00A92893" w:rsidRPr="00EF7399">
        <w:rPr>
          <w:rFonts w:ascii="Times New Roman" w:hAnsi="Times New Roman" w:cs="Times New Roman"/>
          <w:lang w:val="af-ZA"/>
        </w:rPr>
        <w:t xml:space="preserve">1988, </w:t>
      </w:r>
      <w:r w:rsidR="00873234" w:rsidRPr="00EF7399">
        <w:rPr>
          <w:rFonts w:ascii="Times New Roman" w:hAnsi="Times New Roman" w:cs="Times New Roman"/>
          <w:lang w:val="af-ZA"/>
        </w:rPr>
        <w:t>§ </w:t>
      </w:r>
      <w:r w:rsidRPr="00EF7399">
        <w:rPr>
          <w:rFonts w:ascii="Times New Roman" w:hAnsi="Times New Roman" w:cs="Times New Roman"/>
          <w:lang w:val="af-ZA"/>
        </w:rPr>
        <w:t>32)</w:t>
      </w:r>
      <w:r w:rsidR="006E2416" w:rsidRPr="00EF7399">
        <w:rPr>
          <w:rFonts w:ascii="Times New Roman" w:hAnsi="Times New Roman" w:cs="Times New Roman"/>
          <w:lang w:val="af-ZA"/>
        </w:rPr>
        <w:t>:</w:t>
      </w:r>
    </w:p>
    <w:p w14:paraId="4AD758F2" w14:textId="05428F86" w:rsidR="00A32622" w:rsidRPr="00EF7399" w:rsidRDefault="00A32622" w:rsidP="00A32622">
      <w:pPr>
        <w:pStyle w:val="ECHRParaSpaced"/>
        <w:rPr>
          <w:rFonts w:ascii="Times New Roman" w:hAnsi="Times New Roman" w:cs="Times New Roman"/>
          <w:lang w:val="af-ZA"/>
        </w:rPr>
      </w:pPr>
      <w:r w:rsidRPr="00EF7399">
        <w:rPr>
          <w:rFonts w:ascii="Times New Roman" w:hAnsi="Times New Roman" w:cs="Times New Roman"/>
          <w:lang w:val="af-ZA"/>
        </w:rPr>
        <w:lastRenderedPageBreak/>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40</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6E2416" w:rsidRPr="00EF7399">
        <w:rPr>
          <w:rFonts w:ascii="Times New Roman" w:hAnsi="Times New Roman" w:cs="Times New Roman"/>
          <w:lang w:val="af-ZA"/>
        </w:rPr>
        <w:t>Պայմանավորվող պետություններ</w:t>
      </w:r>
      <w:r w:rsidR="0013388D" w:rsidRPr="00EF7399">
        <w:rPr>
          <w:rFonts w:ascii="Times New Roman" w:hAnsi="Times New Roman" w:cs="Times New Roman"/>
          <w:lang w:val="hy-AM"/>
        </w:rPr>
        <w:t>ն այդպիսով</w:t>
      </w:r>
      <w:r w:rsidR="006E2416" w:rsidRPr="00EF7399">
        <w:rPr>
          <w:rFonts w:ascii="Times New Roman" w:hAnsi="Times New Roman" w:cs="Times New Roman"/>
          <w:lang w:val="af-ZA"/>
        </w:rPr>
        <w:t xml:space="preserve"> պարտավոր են ձեռնարկել ողջամիտ և պատշաճ միջոցներ, որոնք հնարավորություն կտան ապահովել օրինական ցույցերի խաղաղ ընթացքը  </w:t>
      </w:r>
      <w:r w:rsidRPr="00EF7399">
        <w:rPr>
          <w:rFonts w:ascii="Times New Roman" w:hAnsi="Times New Roman" w:cs="Times New Roman"/>
          <w:lang w:val="af-ZA"/>
        </w:rPr>
        <w:t>(</w:t>
      </w:r>
      <w:hyperlink r:id="rId137" w:history="1">
        <w:r w:rsidR="003F7A5C" w:rsidRPr="00EF7399">
          <w:rPr>
            <w:rStyle w:val="Hyperlink"/>
            <w:rFonts w:ascii="Times New Roman" w:hAnsi="Times New Roman" w:cs="Times New Roman"/>
            <w:lang w:val="af-ZA"/>
          </w:rPr>
          <w:t>The United Macedonian Organisation Ilinden and Ivanov</w:t>
        </w:r>
        <w:r w:rsidR="00873234" w:rsidRPr="00EF7399">
          <w:rPr>
            <w:rStyle w:val="Hyperlink"/>
            <w:rFonts w:ascii="Times New Roman" w:hAnsi="Times New Roman" w:cs="Times New Roman"/>
            <w:lang w:val="af-ZA"/>
          </w:rPr>
          <w:t xml:space="preserve"> v. </w:t>
        </w:r>
        <w:r w:rsidR="003F7A5C" w:rsidRPr="00EF7399">
          <w:rPr>
            <w:rStyle w:val="Hyperlink"/>
            <w:rFonts w:ascii="Times New Roman" w:hAnsi="Times New Roman" w:cs="Times New Roman"/>
            <w:lang w:val="af-ZA"/>
          </w:rPr>
          <w:t>Bulgaria</w:t>
        </w:r>
      </w:hyperlink>
      <w:r w:rsidRPr="00EF7399">
        <w:rPr>
          <w:rFonts w:ascii="Times New Roman" w:hAnsi="Times New Roman" w:cs="Times New Roman"/>
          <w:lang w:val="af-ZA"/>
        </w:rPr>
        <w:t xml:space="preserve">, </w:t>
      </w:r>
      <w:r w:rsidR="00A92893" w:rsidRPr="00EF7399">
        <w:rPr>
          <w:rFonts w:ascii="Times New Roman" w:hAnsi="Times New Roman" w:cs="Times New Roman"/>
          <w:lang w:val="af-ZA"/>
        </w:rPr>
        <w:t xml:space="preserve">2005, </w:t>
      </w:r>
      <w:r w:rsidR="00873234" w:rsidRPr="00EF7399">
        <w:rPr>
          <w:rFonts w:ascii="Times New Roman" w:hAnsi="Times New Roman" w:cs="Times New Roman"/>
          <w:lang w:val="af-ZA"/>
        </w:rPr>
        <w:t>§ </w:t>
      </w:r>
      <w:r w:rsidRPr="00EF7399">
        <w:rPr>
          <w:rFonts w:ascii="Times New Roman" w:hAnsi="Times New Roman" w:cs="Times New Roman"/>
          <w:lang w:val="af-ZA"/>
        </w:rPr>
        <w:t>115)</w:t>
      </w:r>
      <w:r w:rsidR="006E2416" w:rsidRPr="00EF7399">
        <w:rPr>
          <w:rFonts w:ascii="Times New Roman" w:hAnsi="Times New Roman" w:cs="Times New Roman"/>
          <w:lang w:val="af-ZA"/>
        </w:rPr>
        <w:t>:</w:t>
      </w:r>
    </w:p>
    <w:p w14:paraId="427C153B" w14:textId="6D6BBE2C" w:rsidR="00A32622" w:rsidRPr="00EF7399" w:rsidRDefault="00A32622" w:rsidP="00A3262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41</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6E2416" w:rsidRPr="00EF7399">
        <w:rPr>
          <w:rFonts w:ascii="Times New Roman" w:hAnsi="Times New Roman" w:cs="Times New Roman"/>
          <w:lang w:val="af-ZA"/>
        </w:rPr>
        <w:t xml:space="preserve">Պետությունը կրում է ցուցարար երկու խմբերի հավաքների ազատության իրավունքը պաշտպանելու պոզիտիվ պարտավորություն և պետք է գտնի </w:t>
      </w:r>
      <w:r w:rsidR="003A4449" w:rsidRPr="00EF7399">
        <w:rPr>
          <w:rFonts w:ascii="Times New Roman" w:hAnsi="Times New Roman" w:cs="Times New Roman"/>
          <w:lang w:val="hy-AM"/>
        </w:rPr>
        <w:t>ամենամեղմ միջամտող</w:t>
      </w:r>
      <w:r w:rsidR="006E2416" w:rsidRPr="00EF7399">
        <w:rPr>
          <w:rFonts w:ascii="Times New Roman" w:hAnsi="Times New Roman" w:cs="Times New Roman"/>
          <w:lang w:val="af-ZA"/>
        </w:rPr>
        <w:t xml:space="preserve"> միջոցներ</w:t>
      </w:r>
      <w:r w:rsidR="003A4449" w:rsidRPr="00EF7399">
        <w:rPr>
          <w:rFonts w:ascii="Times New Roman" w:hAnsi="Times New Roman" w:cs="Times New Roman"/>
          <w:lang w:val="hy-AM"/>
        </w:rPr>
        <w:t>ը</w:t>
      </w:r>
      <w:r w:rsidR="006E2416" w:rsidRPr="00EF7399">
        <w:rPr>
          <w:rFonts w:ascii="Times New Roman" w:hAnsi="Times New Roman" w:cs="Times New Roman"/>
          <w:lang w:val="af-ZA"/>
        </w:rPr>
        <w:t xml:space="preserve">, որոնք, սկզբունքորեն, հնարավորություն կտան անցկացնել երկու ցույցերն էլ </w:t>
      </w:r>
      <w:r w:rsidRPr="00EF7399">
        <w:rPr>
          <w:rFonts w:ascii="Times New Roman" w:hAnsi="Times New Roman" w:cs="Times New Roman"/>
          <w:lang w:val="af-ZA"/>
        </w:rPr>
        <w:t xml:space="preserve"> (</w:t>
      </w:r>
      <w:hyperlink r:id="rId138" w:history="1">
        <w:r w:rsidRPr="00EF7399">
          <w:rPr>
            <w:rStyle w:val="Hyperlink"/>
            <w:rFonts w:ascii="Times New Roman" w:hAnsi="Times New Roman" w:cs="Times New Roman"/>
            <w:lang w:val="af-ZA"/>
          </w:rPr>
          <w:t>Fáber</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Hungary</w:t>
        </w:r>
      </w:hyperlink>
      <w:r w:rsidRPr="00EF7399">
        <w:rPr>
          <w:rFonts w:ascii="Times New Roman" w:hAnsi="Times New Roman" w:cs="Times New Roman"/>
          <w:lang w:val="af-ZA"/>
        </w:rPr>
        <w:t>,</w:t>
      </w:r>
      <w:r w:rsidR="00833E3C" w:rsidRPr="00EF7399">
        <w:rPr>
          <w:rFonts w:ascii="Times New Roman" w:hAnsi="Times New Roman" w:cs="Times New Roman"/>
          <w:lang w:val="af-ZA"/>
        </w:rPr>
        <w:t xml:space="preserve"> 2012,</w:t>
      </w:r>
      <w:r w:rsidRPr="00EF7399">
        <w:rPr>
          <w:rFonts w:ascii="Times New Roman" w:hAnsi="Times New Roman" w:cs="Times New Roman"/>
          <w:lang w:val="af-ZA"/>
        </w:rPr>
        <w:t xml:space="preserve"> </w:t>
      </w:r>
      <w:r w:rsidR="00873234" w:rsidRPr="00EF7399">
        <w:rPr>
          <w:rFonts w:ascii="Times New Roman" w:hAnsi="Times New Roman" w:cs="Times New Roman"/>
          <w:lang w:val="af-ZA"/>
        </w:rPr>
        <w:t>§ </w:t>
      </w:r>
      <w:r w:rsidRPr="00EF7399">
        <w:rPr>
          <w:rFonts w:ascii="Times New Roman" w:hAnsi="Times New Roman" w:cs="Times New Roman"/>
          <w:lang w:val="af-ZA"/>
        </w:rPr>
        <w:t>43)</w:t>
      </w:r>
      <w:r w:rsidR="006E2416" w:rsidRPr="00EF7399">
        <w:rPr>
          <w:rFonts w:ascii="Times New Roman" w:hAnsi="Times New Roman" w:cs="Times New Roman"/>
          <w:lang w:val="af-ZA"/>
        </w:rPr>
        <w:t>:</w:t>
      </w:r>
    </w:p>
    <w:p w14:paraId="2D473FB1" w14:textId="3E9438D0" w:rsidR="00A32622" w:rsidRPr="00EF7399" w:rsidRDefault="00A32622" w:rsidP="00A3262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42</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8C78B3" w:rsidRPr="00EF7399">
        <w:rPr>
          <w:rFonts w:ascii="Times New Roman" w:hAnsi="Times New Roman" w:cs="Times New Roman"/>
          <w:lang w:val="af-ZA"/>
        </w:rPr>
        <w:t>Դատարանը թույլատրել է ներպետական իշխանություններին կիրառել միջոցների ընտրության հարցում լայն հայեցողություն հավաքների անցնցում անցկացումն ապահովելու համար, ե</w:t>
      </w:r>
      <w:r w:rsidR="001C74C8" w:rsidRPr="00EF7399">
        <w:rPr>
          <w:rFonts w:ascii="Times New Roman" w:hAnsi="Times New Roman" w:cs="Times New Roman"/>
          <w:lang w:val="hy-AM"/>
        </w:rPr>
        <w:t>րբ</w:t>
      </w:r>
      <w:r w:rsidR="008C78B3" w:rsidRPr="00EF7399">
        <w:rPr>
          <w:rFonts w:ascii="Times New Roman" w:hAnsi="Times New Roman" w:cs="Times New Roman"/>
          <w:lang w:val="af-ZA"/>
        </w:rPr>
        <w:t xml:space="preserve"> առկա է բռնի հակընդդեմ ցույցի լուրջ սպառնալիք </w:t>
      </w:r>
      <w:r w:rsidRPr="00EF7399">
        <w:rPr>
          <w:rFonts w:ascii="Times New Roman" w:hAnsi="Times New Roman" w:cs="Times New Roman"/>
          <w:lang w:val="af-ZA"/>
        </w:rPr>
        <w:t>(</w:t>
      </w:r>
      <w:hyperlink r:id="rId139" w:history="1">
        <w:r w:rsidRPr="00EF7399">
          <w:rPr>
            <w:rStyle w:val="Hyperlink"/>
            <w:rFonts w:ascii="Times New Roman" w:hAnsi="Times New Roman" w:cs="Times New Roman"/>
            <w:lang w:val="af-ZA"/>
          </w:rPr>
          <w:t>Alekseyev</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Russia</w:t>
        </w:r>
      </w:hyperlink>
      <w:r w:rsidRPr="00EF7399">
        <w:rPr>
          <w:rFonts w:ascii="Times New Roman" w:hAnsi="Times New Roman" w:cs="Times New Roman"/>
          <w:lang w:val="af-ZA"/>
        </w:rPr>
        <w:t xml:space="preserve">, </w:t>
      </w:r>
      <w:r w:rsidR="00A92893" w:rsidRPr="00EF7399">
        <w:rPr>
          <w:rFonts w:ascii="Times New Roman" w:hAnsi="Times New Roman" w:cs="Times New Roman"/>
          <w:lang w:val="af-ZA"/>
        </w:rPr>
        <w:t xml:space="preserve">2010, </w:t>
      </w:r>
      <w:r w:rsidR="00873234" w:rsidRPr="00EF7399">
        <w:rPr>
          <w:rFonts w:ascii="Times New Roman" w:hAnsi="Times New Roman" w:cs="Times New Roman"/>
          <w:lang w:val="af-ZA"/>
        </w:rPr>
        <w:t>§ </w:t>
      </w:r>
      <w:r w:rsidRPr="00EF7399">
        <w:rPr>
          <w:rFonts w:ascii="Times New Roman" w:hAnsi="Times New Roman" w:cs="Times New Roman"/>
          <w:lang w:val="af-ZA"/>
        </w:rPr>
        <w:t>75)</w:t>
      </w:r>
      <w:r w:rsidR="008C78B3" w:rsidRPr="00EF7399">
        <w:rPr>
          <w:rFonts w:ascii="Times New Roman" w:hAnsi="Times New Roman" w:cs="Times New Roman"/>
          <w:lang w:val="af-ZA"/>
        </w:rPr>
        <w:t>: Իշխանությունները պետք է «պատշաճ հասցեագրեն» ատելության ցանկացած խոսք, ինչպիսիք են</w:t>
      </w:r>
      <w:r w:rsidR="001C74C8" w:rsidRPr="00EF7399">
        <w:rPr>
          <w:rFonts w:ascii="Times New Roman" w:hAnsi="Times New Roman" w:cs="Times New Roman"/>
          <w:lang w:val="hy-AM"/>
        </w:rPr>
        <w:t>՝</w:t>
      </w:r>
      <w:r w:rsidR="008C78B3" w:rsidRPr="00EF7399">
        <w:rPr>
          <w:rFonts w:ascii="Times New Roman" w:hAnsi="Times New Roman" w:cs="Times New Roman"/>
          <w:lang w:val="af-ZA"/>
        </w:rPr>
        <w:t xml:space="preserve"> հակընդդեմ ցույցի մասնակիցների </w:t>
      </w:r>
      <w:r w:rsidR="001C74C8" w:rsidRPr="00EF7399">
        <w:rPr>
          <w:rFonts w:ascii="Times New Roman" w:hAnsi="Times New Roman" w:cs="Times New Roman"/>
          <w:lang w:val="hy-AM"/>
        </w:rPr>
        <w:t>հնչեցրած՝</w:t>
      </w:r>
      <w:r w:rsidR="001C74C8" w:rsidRPr="00EF7399">
        <w:rPr>
          <w:rFonts w:ascii="Times New Roman" w:hAnsi="Times New Roman" w:cs="Times New Roman"/>
          <w:lang w:val="af-ZA"/>
        </w:rPr>
        <w:t xml:space="preserve"> </w:t>
      </w:r>
      <w:r w:rsidR="008C78B3" w:rsidRPr="00EF7399">
        <w:rPr>
          <w:rFonts w:ascii="Times New Roman" w:hAnsi="Times New Roman" w:cs="Times New Roman"/>
          <w:lang w:val="af-ZA"/>
        </w:rPr>
        <w:t>հոմոֆոբ</w:t>
      </w:r>
      <w:r w:rsidR="001C74C8" w:rsidRPr="00EF7399">
        <w:rPr>
          <w:rFonts w:ascii="Times New Roman" w:hAnsi="Times New Roman" w:cs="Times New Roman"/>
          <w:lang w:val="hy-AM"/>
        </w:rPr>
        <w:t xml:space="preserve"> ենթատեքստով</w:t>
      </w:r>
      <w:r w:rsidR="008C78B3" w:rsidRPr="00EF7399">
        <w:rPr>
          <w:rFonts w:ascii="Times New Roman" w:hAnsi="Times New Roman" w:cs="Times New Roman"/>
          <w:lang w:val="af-ZA"/>
        </w:rPr>
        <w:t xml:space="preserve"> արտահայտությունները </w:t>
      </w:r>
      <w:r w:rsidR="002608D9" w:rsidRPr="00EF7399">
        <w:rPr>
          <w:rFonts w:ascii="Times New Roman" w:hAnsi="Times New Roman" w:cs="Times New Roman"/>
          <w:lang w:val="af-ZA"/>
        </w:rPr>
        <w:t>(</w:t>
      </w:r>
      <w:hyperlink r:id="rId140" w:history="1">
        <w:r w:rsidR="001D02B7" w:rsidRPr="00EF7399">
          <w:rPr>
            <w:rStyle w:val="Hyperlink"/>
            <w:rFonts w:ascii="Times New Roman" w:hAnsi="Times New Roman" w:cs="Times New Roman"/>
            <w:lang w:val="af-ZA" w:eastAsia="fr-FR"/>
          </w:rPr>
          <w:t>Berkman</w:t>
        </w:r>
        <w:r w:rsidR="00873234" w:rsidRPr="00EF7399">
          <w:rPr>
            <w:rStyle w:val="Hyperlink"/>
            <w:rFonts w:ascii="Times New Roman" w:hAnsi="Times New Roman" w:cs="Times New Roman"/>
            <w:lang w:val="af-ZA" w:eastAsia="fr-FR"/>
          </w:rPr>
          <w:t xml:space="preserve"> v. </w:t>
        </w:r>
        <w:r w:rsidR="001D02B7" w:rsidRPr="00EF7399">
          <w:rPr>
            <w:rStyle w:val="Hyperlink"/>
            <w:rFonts w:ascii="Times New Roman" w:hAnsi="Times New Roman" w:cs="Times New Roman"/>
            <w:lang w:val="af-ZA" w:eastAsia="fr-FR"/>
          </w:rPr>
          <w:t>Russia</w:t>
        </w:r>
      </w:hyperlink>
      <w:r w:rsidR="002608D9" w:rsidRPr="00EF7399">
        <w:rPr>
          <w:rFonts w:ascii="Times New Roman" w:hAnsi="Times New Roman" w:cs="Times New Roman"/>
          <w:color w:val="000000"/>
          <w:lang w:val="af-ZA" w:eastAsia="fr-FR"/>
        </w:rPr>
        <w:t xml:space="preserve">, </w:t>
      </w:r>
      <w:r w:rsidR="00833E3C" w:rsidRPr="00EF7399">
        <w:rPr>
          <w:rFonts w:ascii="Times New Roman" w:hAnsi="Times New Roman" w:cs="Times New Roman"/>
          <w:color w:val="000000"/>
          <w:lang w:val="af-ZA" w:eastAsia="fr-FR"/>
        </w:rPr>
        <w:t xml:space="preserve">2020, </w:t>
      </w:r>
      <w:r w:rsidR="00873234" w:rsidRPr="00EF7399">
        <w:rPr>
          <w:rFonts w:ascii="Times New Roman" w:hAnsi="Times New Roman" w:cs="Times New Roman"/>
          <w:color w:val="000000"/>
          <w:lang w:val="af-ZA" w:eastAsia="fr-FR"/>
        </w:rPr>
        <w:t>§ </w:t>
      </w:r>
      <w:r w:rsidR="002608D9" w:rsidRPr="00EF7399">
        <w:rPr>
          <w:rFonts w:ascii="Times New Roman" w:hAnsi="Times New Roman" w:cs="Times New Roman"/>
          <w:color w:val="000000"/>
          <w:lang w:val="af-ZA" w:eastAsia="fr-FR"/>
        </w:rPr>
        <w:t>56</w:t>
      </w:r>
      <w:r w:rsidR="002608D9" w:rsidRPr="00EF7399">
        <w:rPr>
          <w:rFonts w:ascii="Times New Roman" w:hAnsi="Times New Roman" w:cs="Times New Roman"/>
          <w:lang w:val="af-ZA"/>
        </w:rPr>
        <w:t>)</w:t>
      </w:r>
      <w:r w:rsidR="008C78B3" w:rsidRPr="00EF7399">
        <w:rPr>
          <w:rFonts w:ascii="Times New Roman" w:hAnsi="Times New Roman" w:cs="Times New Roman"/>
          <w:lang w:val="af-ZA"/>
        </w:rPr>
        <w:t>:</w:t>
      </w:r>
    </w:p>
    <w:p w14:paraId="2163392D" w14:textId="26AE3CDF" w:rsidR="00A32622" w:rsidRPr="00EF7399" w:rsidRDefault="00A32622" w:rsidP="00A3262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43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8C78B3" w:rsidRPr="00EF7399">
        <w:rPr>
          <w:rFonts w:ascii="Times New Roman" w:hAnsi="Times New Roman" w:cs="Times New Roman"/>
          <w:lang w:val="af-ZA"/>
        </w:rPr>
        <w:t xml:space="preserve">Ազգային իշխանություններին տրվում է լայն հայեցողություն ոչ միայն այն պատճառով, որ երկու մրցակցող իրավունքները սկզբունքորեն օգտվում են հավասար պաշտպանությունից, որը </w:t>
      </w:r>
      <w:r w:rsidR="001C74C8" w:rsidRPr="00EF7399">
        <w:rPr>
          <w:rFonts w:ascii="Times New Roman" w:hAnsi="Times New Roman" w:cs="Times New Roman"/>
          <w:lang w:val="hy-AM"/>
        </w:rPr>
        <w:t>համապատասխանում</w:t>
      </w:r>
      <w:r w:rsidR="001C74C8" w:rsidRPr="00EF7399">
        <w:rPr>
          <w:rFonts w:ascii="Times New Roman" w:hAnsi="Times New Roman" w:cs="Times New Roman"/>
          <w:lang w:val="af-ZA"/>
        </w:rPr>
        <w:t xml:space="preserve"> </w:t>
      </w:r>
      <w:r w:rsidR="008C78B3" w:rsidRPr="00EF7399">
        <w:rPr>
          <w:rFonts w:ascii="Times New Roman" w:hAnsi="Times New Roman" w:cs="Times New Roman"/>
          <w:lang w:val="af-ZA"/>
        </w:rPr>
        <w:t>է հակառակ տեսանկյունների բախման պարագայում պետության չեզոքության պարտավորությ</w:t>
      </w:r>
      <w:r w:rsidR="001C74C8" w:rsidRPr="00EF7399">
        <w:rPr>
          <w:rFonts w:ascii="Times New Roman" w:hAnsi="Times New Roman" w:cs="Times New Roman"/>
          <w:lang w:val="hy-AM"/>
        </w:rPr>
        <w:t>ա</w:t>
      </w:r>
      <w:r w:rsidR="008F5BFD" w:rsidRPr="00EF7399">
        <w:rPr>
          <w:rFonts w:ascii="Times New Roman" w:hAnsi="Times New Roman" w:cs="Times New Roman"/>
          <w:lang w:val="hy-AM"/>
        </w:rPr>
        <w:t xml:space="preserve"> </w:t>
      </w:r>
      <w:r w:rsidR="008C78B3" w:rsidRPr="00EF7399">
        <w:rPr>
          <w:rFonts w:ascii="Times New Roman" w:hAnsi="Times New Roman" w:cs="Times New Roman"/>
          <w:lang w:val="af-ZA"/>
        </w:rPr>
        <w:t>նը, այլև այն պատճառով, որ իշխանությունները լավագույնս կարող են գնահատել անվտանգային և անկար</w:t>
      </w:r>
      <w:r w:rsidR="00AE02D0" w:rsidRPr="00EF7399">
        <w:rPr>
          <w:rFonts w:ascii="Times New Roman" w:hAnsi="Times New Roman" w:cs="Times New Roman"/>
          <w:lang w:val="af-ZA"/>
        </w:rPr>
        <w:t>գ</w:t>
      </w:r>
      <w:r w:rsidR="008C78B3" w:rsidRPr="00EF7399">
        <w:rPr>
          <w:rFonts w:ascii="Times New Roman" w:hAnsi="Times New Roman" w:cs="Times New Roman"/>
          <w:lang w:val="af-ZA"/>
        </w:rPr>
        <w:t>ության ռիսկերը</w:t>
      </w:r>
      <w:r w:rsidR="00AE02D0" w:rsidRPr="00EF7399">
        <w:rPr>
          <w:rFonts w:ascii="Times New Roman" w:hAnsi="Times New Roman" w:cs="Times New Roman"/>
          <w:lang w:val="af-ZA"/>
        </w:rPr>
        <w:t xml:space="preserve">, ինչպես նաև ենթադրյալ ռիսկերով թելադրված պատշաճ միջոցառումները </w:t>
      </w:r>
      <w:r w:rsidRPr="00EF7399">
        <w:rPr>
          <w:rFonts w:ascii="Times New Roman" w:hAnsi="Times New Roman" w:cs="Times New Roman"/>
          <w:lang w:val="af-ZA"/>
        </w:rPr>
        <w:t>(</w:t>
      </w:r>
      <w:hyperlink r:id="rId141" w:history="1">
        <w:r w:rsidRPr="00EF7399">
          <w:rPr>
            <w:rStyle w:val="Hyperlink"/>
            <w:rFonts w:ascii="Times New Roman" w:hAnsi="Times New Roman" w:cs="Times New Roman"/>
            <w:lang w:val="af-ZA"/>
          </w:rPr>
          <w:t>Fáber</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Hungary</w:t>
        </w:r>
      </w:hyperlink>
      <w:r w:rsidRPr="00EF7399">
        <w:rPr>
          <w:rFonts w:ascii="Times New Roman" w:hAnsi="Times New Roman" w:cs="Times New Roman"/>
          <w:lang w:val="af-ZA"/>
        </w:rPr>
        <w:t xml:space="preserve">, </w:t>
      </w:r>
      <w:r w:rsidR="00833E3C" w:rsidRPr="00EF7399">
        <w:rPr>
          <w:rFonts w:ascii="Times New Roman" w:hAnsi="Times New Roman" w:cs="Times New Roman"/>
          <w:lang w:val="af-ZA"/>
        </w:rPr>
        <w:t xml:space="preserve">2012, </w:t>
      </w:r>
      <w:r w:rsidR="00873234" w:rsidRPr="00EF7399">
        <w:rPr>
          <w:rFonts w:ascii="Times New Roman" w:hAnsi="Times New Roman" w:cs="Times New Roman"/>
          <w:lang w:val="af-ZA"/>
        </w:rPr>
        <w:t>§ </w:t>
      </w:r>
      <w:r w:rsidRPr="00EF7399">
        <w:rPr>
          <w:rFonts w:ascii="Times New Roman" w:hAnsi="Times New Roman" w:cs="Times New Roman"/>
          <w:lang w:val="af-ZA"/>
        </w:rPr>
        <w:t>42)</w:t>
      </w:r>
      <w:r w:rsidR="00AE02D0" w:rsidRPr="00EF7399">
        <w:rPr>
          <w:rFonts w:ascii="Times New Roman" w:hAnsi="Times New Roman" w:cs="Times New Roman"/>
          <w:lang w:val="af-ZA"/>
        </w:rPr>
        <w:t>:</w:t>
      </w:r>
    </w:p>
    <w:p w14:paraId="76953EF3" w14:textId="50D6C66D" w:rsidR="00A32622" w:rsidRPr="00EF7399" w:rsidRDefault="0036651F" w:rsidP="00A3262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44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AE02D0" w:rsidRPr="00EF7399">
        <w:rPr>
          <w:rFonts w:ascii="Times New Roman" w:hAnsi="Times New Roman" w:cs="Times New Roman"/>
          <w:lang w:val="af-ZA"/>
        </w:rPr>
        <w:t xml:space="preserve">Պետության հայեցողության </w:t>
      </w:r>
      <w:r w:rsidR="008F5BFD" w:rsidRPr="00EF7399">
        <w:rPr>
          <w:rFonts w:ascii="Times New Roman" w:hAnsi="Times New Roman" w:cs="Times New Roman"/>
          <w:lang w:val="hy-AM"/>
        </w:rPr>
        <w:t>շրջանակը կիրառելիս</w:t>
      </w:r>
      <w:r w:rsidR="00AE02D0" w:rsidRPr="00EF7399">
        <w:rPr>
          <w:rFonts w:ascii="Times New Roman" w:hAnsi="Times New Roman" w:cs="Times New Roman"/>
          <w:lang w:val="af-ZA"/>
        </w:rPr>
        <w:t xml:space="preserve">, երբ դիտարկվում է երկու խմբերի միջև բռնի հակամարտության վտանգը, իշխանությունների համար կարևոր նկատառումներ են նախկինում նմանօրինակ միջոցառումների ընթացքում տեղ գտած բռնությունը և հակընդդեմ ցույցի ազդեցությունը թիրախ հանդիսացած ցույցի վրա </w:t>
      </w:r>
      <w:r w:rsidR="00A32622" w:rsidRPr="00EF7399">
        <w:rPr>
          <w:rFonts w:ascii="Times New Roman" w:hAnsi="Times New Roman" w:cs="Times New Roman"/>
          <w:lang w:val="af-ZA"/>
        </w:rPr>
        <w:t>(</w:t>
      </w:r>
      <w:hyperlink r:id="rId142" w:history="1">
        <w:r w:rsidR="00E907D9" w:rsidRPr="00EF7399">
          <w:rPr>
            <w:rStyle w:val="Hyperlink"/>
            <w:rFonts w:ascii="Times New Roman" w:hAnsi="Times New Roman" w:cs="Times New Roman"/>
            <w:lang w:val="af-ZA"/>
          </w:rPr>
          <w:t>Fáber</w:t>
        </w:r>
        <w:r w:rsidR="00873234" w:rsidRPr="00EF7399">
          <w:rPr>
            <w:rStyle w:val="Hyperlink"/>
            <w:rFonts w:ascii="Times New Roman" w:hAnsi="Times New Roman" w:cs="Times New Roman"/>
            <w:lang w:val="af-ZA"/>
          </w:rPr>
          <w:t xml:space="preserve"> v. </w:t>
        </w:r>
        <w:r w:rsidR="00E907D9" w:rsidRPr="00EF7399">
          <w:rPr>
            <w:rStyle w:val="Hyperlink"/>
            <w:rFonts w:ascii="Times New Roman" w:hAnsi="Times New Roman" w:cs="Times New Roman"/>
            <w:lang w:val="af-ZA"/>
          </w:rPr>
          <w:t>Hungary</w:t>
        </w:r>
      </w:hyperlink>
      <w:r w:rsidR="00E907D9" w:rsidRPr="00EF7399">
        <w:rPr>
          <w:rFonts w:ascii="Times New Roman" w:hAnsi="Times New Roman" w:cs="Times New Roman"/>
          <w:lang w:val="af-ZA"/>
        </w:rPr>
        <w:t xml:space="preserve">, </w:t>
      </w:r>
      <w:r w:rsidR="00833E3C" w:rsidRPr="00EF7399">
        <w:rPr>
          <w:rFonts w:ascii="Times New Roman" w:hAnsi="Times New Roman" w:cs="Times New Roman"/>
          <w:lang w:val="af-ZA"/>
        </w:rPr>
        <w:t xml:space="preserve">2012, </w:t>
      </w:r>
      <w:r w:rsidR="00873234" w:rsidRPr="00EF7399">
        <w:rPr>
          <w:rFonts w:ascii="Times New Roman" w:hAnsi="Times New Roman" w:cs="Times New Roman"/>
          <w:lang w:val="af-ZA"/>
        </w:rPr>
        <w:t>§ </w:t>
      </w:r>
      <w:r w:rsidR="00A32622" w:rsidRPr="00EF7399">
        <w:rPr>
          <w:rFonts w:ascii="Times New Roman" w:hAnsi="Times New Roman" w:cs="Times New Roman"/>
          <w:lang w:val="af-ZA"/>
        </w:rPr>
        <w:t>44)</w:t>
      </w:r>
      <w:r w:rsidR="00AE02D0" w:rsidRPr="00EF7399">
        <w:rPr>
          <w:rFonts w:ascii="Times New Roman" w:hAnsi="Times New Roman" w:cs="Times New Roman"/>
          <w:lang w:val="af-ZA"/>
        </w:rPr>
        <w:t>:</w:t>
      </w:r>
    </w:p>
    <w:p w14:paraId="569CD4AE" w14:textId="1CC8AD2C" w:rsidR="00A32622" w:rsidRPr="00EF7399" w:rsidRDefault="00A32622" w:rsidP="00A32622">
      <w:pPr>
        <w:pStyle w:val="ECHRParaSpaced"/>
        <w:rPr>
          <w:rFonts w:ascii="Times New Roman" w:hAnsi="Times New Roman" w:cs="Times New Roman"/>
          <w:iCs/>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45</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AE02D0" w:rsidRPr="00EF7399">
        <w:rPr>
          <w:rFonts w:ascii="Times New Roman" w:hAnsi="Times New Roman" w:cs="Times New Roman"/>
          <w:lang w:val="af-ZA"/>
        </w:rPr>
        <w:t xml:space="preserve"> </w:t>
      </w:r>
      <w:r w:rsidR="008F5BFD" w:rsidRPr="00EF7399">
        <w:rPr>
          <w:rFonts w:ascii="Times New Roman" w:hAnsi="Times New Roman" w:cs="Times New Roman"/>
          <w:lang w:val="hy-AM"/>
        </w:rPr>
        <w:t>Այդուհանդերձ,</w:t>
      </w:r>
      <w:r w:rsidR="008F5BFD" w:rsidRPr="00EF7399">
        <w:rPr>
          <w:rFonts w:ascii="Times New Roman" w:hAnsi="Times New Roman" w:cs="Times New Roman"/>
          <w:lang w:val="af-ZA"/>
        </w:rPr>
        <w:t xml:space="preserve"> </w:t>
      </w:r>
      <w:r w:rsidR="00AE02D0" w:rsidRPr="00EF7399">
        <w:rPr>
          <w:rFonts w:ascii="Times New Roman" w:hAnsi="Times New Roman" w:cs="Times New Roman"/>
          <w:lang w:val="af-ZA"/>
        </w:rPr>
        <w:t>ռիսկի առկայություն</w:t>
      </w:r>
      <w:r w:rsidR="008F5BFD" w:rsidRPr="00EF7399">
        <w:rPr>
          <w:rFonts w:ascii="Times New Roman" w:hAnsi="Times New Roman" w:cs="Times New Roman"/>
          <w:lang w:val="hy-AM"/>
        </w:rPr>
        <w:t>ն ինքնին</w:t>
      </w:r>
      <w:r w:rsidR="00B335C1" w:rsidRPr="00EF7399">
        <w:rPr>
          <w:rFonts w:ascii="Times New Roman" w:hAnsi="Times New Roman" w:cs="Times New Roman"/>
          <w:lang w:val="af-ZA"/>
        </w:rPr>
        <w:t xml:space="preserve"> բավարար չէ միջոցառումն արգելելու համար. գնահատման ընթացքում իշխանությունները պետք է հստակ հաշվարկեն անկարգությունների հնարավոր ծավալները, որ գնահատե</w:t>
      </w:r>
      <w:r w:rsidR="0025225B" w:rsidRPr="00EF7399">
        <w:rPr>
          <w:rFonts w:ascii="Times New Roman" w:hAnsi="Times New Roman" w:cs="Times New Roman"/>
          <w:lang w:val="af-ZA"/>
        </w:rPr>
        <w:t>ն</w:t>
      </w:r>
      <w:r w:rsidR="00B335C1" w:rsidRPr="00EF7399">
        <w:rPr>
          <w:rFonts w:ascii="Times New Roman" w:hAnsi="Times New Roman" w:cs="Times New Roman"/>
          <w:lang w:val="af-ZA"/>
        </w:rPr>
        <w:t xml:space="preserve"> բռնի ընդհարումների վտանգը չեզոքացնելու համար անհրաժեշտ ռեսուրսները </w:t>
      </w:r>
      <w:r w:rsidRPr="00EF7399">
        <w:rPr>
          <w:rFonts w:ascii="Times New Roman" w:hAnsi="Times New Roman" w:cs="Times New Roman"/>
          <w:lang w:val="af-ZA"/>
        </w:rPr>
        <w:t>(</w:t>
      </w:r>
      <w:hyperlink r:id="rId143" w:history="1">
        <w:r w:rsidRPr="00EF7399">
          <w:rPr>
            <w:rStyle w:val="Hyperlink"/>
            <w:rFonts w:ascii="Times New Roman" w:hAnsi="Times New Roman" w:cs="Times New Roman"/>
            <w:lang w:val="af-ZA"/>
          </w:rPr>
          <w:t>Fáber</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Hungary</w:t>
        </w:r>
      </w:hyperlink>
      <w:r w:rsidRPr="00EF7399">
        <w:rPr>
          <w:rFonts w:ascii="Times New Roman" w:hAnsi="Times New Roman" w:cs="Times New Roman"/>
          <w:lang w:val="af-ZA"/>
        </w:rPr>
        <w:t xml:space="preserve">, </w:t>
      </w:r>
      <w:r w:rsidR="00A92893" w:rsidRPr="00EF7399">
        <w:rPr>
          <w:rFonts w:ascii="Times New Roman" w:hAnsi="Times New Roman" w:cs="Times New Roman"/>
          <w:lang w:val="af-ZA"/>
        </w:rPr>
        <w:t xml:space="preserve">2012,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40; </w:t>
      </w:r>
      <w:hyperlink r:id="rId144" w:history="1">
        <w:r w:rsidR="00ED2544" w:rsidRPr="00EF7399">
          <w:rPr>
            <w:rStyle w:val="Hyperlink"/>
            <w:rFonts w:ascii="Times New Roman" w:hAnsi="Times New Roman" w:cs="Times New Roman"/>
            <w:lang w:val="af-ZA"/>
          </w:rPr>
          <w:t>Barankevich</w:t>
        </w:r>
        <w:r w:rsidR="00873234" w:rsidRPr="00EF7399">
          <w:rPr>
            <w:rStyle w:val="Hyperlink"/>
            <w:rFonts w:ascii="Times New Roman" w:hAnsi="Times New Roman" w:cs="Times New Roman"/>
            <w:lang w:val="af-ZA"/>
          </w:rPr>
          <w:t xml:space="preserve"> v. </w:t>
        </w:r>
        <w:r w:rsidR="00ED2544" w:rsidRPr="00EF7399">
          <w:rPr>
            <w:rStyle w:val="Hyperlink"/>
            <w:rFonts w:ascii="Times New Roman" w:hAnsi="Times New Roman" w:cs="Times New Roman"/>
            <w:lang w:val="af-ZA"/>
          </w:rPr>
          <w:t>Russia</w:t>
        </w:r>
      </w:hyperlink>
      <w:r w:rsidR="00ED2544" w:rsidRPr="00EF7399">
        <w:rPr>
          <w:rFonts w:ascii="Times New Roman" w:hAnsi="Times New Roman" w:cs="Times New Roman"/>
          <w:lang w:val="af-ZA"/>
        </w:rPr>
        <w:t xml:space="preserve">, </w:t>
      </w:r>
      <w:r w:rsidR="00A92893" w:rsidRPr="00EF7399">
        <w:rPr>
          <w:rFonts w:ascii="Times New Roman" w:hAnsi="Times New Roman" w:cs="Times New Roman"/>
          <w:lang w:val="af-ZA"/>
        </w:rPr>
        <w:t xml:space="preserve">2007, </w:t>
      </w:r>
      <w:r w:rsidR="00873234" w:rsidRPr="00EF7399">
        <w:rPr>
          <w:rFonts w:ascii="Times New Roman" w:hAnsi="Times New Roman" w:cs="Times New Roman"/>
          <w:lang w:val="af-ZA"/>
        </w:rPr>
        <w:t>§ </w:t>
      </w:r>
      <w:r w:rsidR="00ED2544" w:rsidRPr="00EF7399">
        <w:rPr>
          <w:rFonts w:ascii="Times New Roman" w:hAnsi="Times New Roman" w:cs="Times New Roman"/>
          <w:lang w:val="af-ZA"/>
        </w:rPr>
        <w:t>33)</w:t>
      </w:r>
      <w:r w:rsidR="00B335C1" w:rsidRPr="00EF7399">
        <w:rPr>
          <w:rFonts w:ascii="Times New Roman" w:hAnsi="Times New Roman" w:cs="Times New Roman"/>
          <w:iCs/>
          <w:lang w:val="af-ZA"/>
        </w:rPr>
        <w:t>:</w:t>
      </w:r>
    </w:p>
    <w:p w14:paraId="59980056" w14:textId="2C0BF8D5" w:rsidR="00A32622" w:rsidRPr="00EF7399" w:rsidRDefault="00A32622" w:rsidP="00A32622">
      <w:pPr>
        <w:pStyle w:val="ECHRParaSpaced"/>
        <w:rPr>
          <w:rFonts w:ascii="Times New Roman" w:hAnsi="Times New Roman" w:cs="Times New Roman"/>
          <w:iCs/>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46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B335C1" w:rsidRPr="00EF7399">
        <w:rPr>
          <w:rFonts w:ascii="Times New Roman" w:hAnsi="Times New Roman" w:cs="Times New Roman"/>
          <w:lang w:val="af-ZA"/>
        </w:rPr>
        <w:t xml:space="preserve">Եթե ցույցի ընթացքում հակադրվող խմբերի միջև լարվածության և թեժ բանավեճի ցանկացած հավանականություն այն արգելելու հիմք հանդիսանա, ապա հասարակությունը կզրկվի </w:t>
      </w:r>
      <w:r w:rsidR="00700ECC" w:rsidRPr="00EF7399">
        <w:rPr>
          <w:rFonts w:ascii="Times New Roman" w:hAnsi="Times New Roman" w:cs="Times New Roman"/>
          <w:lang w:val="af-ZA"/>
        </w:rPr>
        <w:t xml:space="preserve">մեծամասնության կարծիքին </w:t>
      </w:r>
      <w:r w:rsidR="00136F5B" w:rsidRPr="00EF7399">
        <w:rPr>
          <w:rFonts w:ascii="Times New Roman" w:hAnsi="Times New Roman" w:cs="Times New Roman"/>
          <w:lang w:val="hy-AM"/>
        </w:rPr>
        <w:t>հակադրվող</w:t>
      </w:r>
      <w:r w:rsidR="00136F5B" w:rsidRPr="00EF7399">
        <w:rPr>
          <w:rFonts w:ascii="Times New Roman" w:hAnsi="Times New Roman" w:cs="Times New Roman"/>
          <w:lang w:val="af-ZA"/>
        </w:rPr>
        <w:t xml:space="preserve"> </w:t>
      </w:r>
      <w:r w:rsidR="00B335C1" w:rsidRPr="00EF7399">
        <w:rPr>
          <w:rFonts w:ascii="Times New Roman" w:hAnsi="Times New Roman" w:cs="Times New Roman"/>
          <w:lang w:val="af-ZA"/>
        </w:rPr>
        <w:t>որևէ հարցի վերաբերյալ տարբեր տեսա</w:t>
      </w:r>
      <w:r w:rsidR="00136F5B" w:rsidRPr="00EF7399">
        <w:rPr>
          <w:rFonts w:ascii="Times New Roman" w:hAnsi="Times New Roman" w:cs="Times New Roman"/>
          <w:lang w:val="hy-AM"/>
        </w:rPr>
        <w:t>կետ</w:t>
      </w:r>
      <w:r w:rsidR="00B335C1" w:rsidRPr="00EF7399">
        <w:rPr>
          <w:rFonts w:ascii="Times New Roman" w:hAnsi="Times New Roman" w:cs="Times New Roman"/>
          <w:lang w:val="af-ZA"/>
        </w:rPr>
        <w:t xml:space="preserve">ներ լսելու հնարավորությունից </w:t>
      </w:r>
      <w:r w:rsidRPr="00EF7399">
        <w:rPr>
          <w:rFonts w:ascii="Times New Roman" w:hAnsi="Times New Roman" w:cs="Times New Roman"/>
          <w:lang w:val="af-ZA"/>
        </w:rPr>
        <w:t>(</w:t>
      </w:r>
      <w:hyperlink r:id="rId145" w:history="1">
        <w:r w:rsidR="00ED2544" w:rsidRPr="00EF7399">
          <w:rPr>
            <w:rStyle w:val="Hyperlink"/>
            <w:rFonts w:ascii="Times New Roman" w:hAnsi="Times New Roman" w:cs="Times New Roman"/>
            <w:lang w:val="af-ZA"/>
          </w:rPr>
          <w:t>Stankov and the United Macedonian Organisation Ilinden</w:t>
        </w:r>
        <w:r w:rsidR="00873234" w:rsidRPr="00EF7399">
          <w:rPr>
            <w:rStyle w:val="Hyperlink"/>
            <w:rFonts w:ascii="Times New Roman" w:hAnsi="Times New Roman" w:cs="Times New Roman"/>
            <w:lang w:val="af-ZA"/>
          </w:rPr>
          <w:t xml:space="preserve"> v. </w:t>
        </w:r>
        <w:r w:rsidR="00ED2544" w:rsidRPr="00EF7399">
          <w:rPr>
            <w:rStyle w:val="Hyperlink"/>
            <w:rFonts w:ascii="Times New Roman" w:hAnsi="Times New Roman" w:cs="Times New Roman"/>
            <w:lang w:val="af-ZA"/>
          </w:rPr>
          <w:t>Bulgaria</w:t>
        </w:r>
      </w:hyperlink>
      <w:r w:rsidR="00ED2544" w:rsidRPr="00EF7399">
        <w:rPr>
          <w:rFonts w:ascii="Times New Roman" w:hAnsi="Times New Roman" w:cs="Times New Roman"/>
          <w:lang w:val="af-ZA"/>
        </w:rPr>
        <w:t xml:space="preserve">, </w:t>
      </w:r>
      <w:r w:rsidR="00A92893" w:rsidRPr="00EF7399">
        <w:rPr>
          <w:rFonts w:ascii="Times New Roman" w:hAnsi="Times New Roman" w:cs="Times New Roman"/>
          <w:lang w:val="af-ZA"/>
        </w:rPr>
        <w:t xml:space="preserve">2001, </w:t>
      </w:r>
      <w:r w:rsidR="00873234" w:rsidRPr="00EF7399">
        <w:rPr>
          <w:rFonts w:ascii="Times New Roman" w:hAnsi="Times New Roman" w:cs="Times New Roman"/>
          <w:lang w:val="af-ZA"/>
        </w:rPr>
        <w:t>§ </w:t>
      </w:r>
      <w:r w:rsidR="00ED2544" w:rsidRPr="00EF7399">
        <w:rPr>
          <w:rFonts w:ascii="Times New Roman" w:hAnsi="Times New Roman" w:cs="Times New Roman"/>
          <w:lang w:val="af-ZA"/>
        </w:rPr>
        <w:t>107)</w:t>
      </w:r>
      <w:r w:rsidR="00700ECC" w:rsidRPr="00EF7399">
        <w:rPr>
          <w:rFonts w:ascii="Times New Roman" w:hAnsi="Times New Roman" w:cs="Times New Roman"/>
          <w:iCs/>
          <w:lang w:val="af-ZA"/>
        </w:rPr>
        <w:t>:</w:t>
      </w:r>
    </w:p>
    <w:p w14:paraId="3751B703" w14:textId="0B0D6A6E" w:rsidR="00A32622" w:rsidRPr="00EF7399" w:rsidRDefault="00A32622" w:rsidP="00A3262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47</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700ECC" w:rsidRPr="00EF7399">
        <w:rPr>
          <w:rFonts w:ascii="Times New Roman" w:hAnsi="Times New Roman" w:cs="Times New Roman"/>
          <w:lang w:val="af-ZA"/>
        </w:rPr>
        <w:t>Հակընդդեմ ցույցի անվերապահ արգելքը չափազանց հեռու գնացող միջոց է, որը կպահանջի հստակ հիմնավորում, հատկապես</w:t>
      </w:r>
      <w:r w:rsidR="00CC1E58" w:rsidRPr="00EF7399">
        <w:rPr>
          <w:rFonts w:ascii="Times New Roman" w:hAnsi="Times New Roman" w:cs="Times New Roman"/>
          <w:lang w:val="af-ZA"/>
        </w:rPr>
        <w:t>,</w:t>
      </w:r>
      <w:r w:rsidR="00700ECC" w:rsidRPr="00EF7399">
        <w:rPr>
          <w:rFonts w:ascii="Times New Roman" w:hAnsi="Times New Roman" w:cs="Times New Roman"/>
          <w:lang w:val="af-ZA"/>
        </w:rPr>
        <w:t xml:space="preserve"> երբ տվյալ ցույցն առնչվում է հանրային հետաքրքրություն ներկայացնող որևէ խնդրի </w:t>
      </w:r>
      <w:r w:rsidRPr="00EF7399">
        <w:rPr>
          <w:rFonts w:ascii="Times New Roman" w:hAnsi="Times New Roman" w:cs="Times New Roman"/>
          <w:lang w:val="af-ZA"/>
        </w:rPr>
        <w:t>(</w:t>
      </w:r>
      <w:hyperlink r:id="rId146" w:history="1">
        <w:r w:rsidRPr="00EF7399">
          <w:rPr>
            <w:rStyle w:val="Hyperlink"/>
            <w:rFonts w:ascii="Times New Roman" w:hAnsi="Times New Roman" w:cs="Times New Roman"/>
            <w:lang w:val="af-ZA"/>
          </w:rPr>
          <w:t>Öllinger</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Austria</w:t>
        </w:r>
      </w:hyperlink>
      <w:r w:rsidRPr="00EF7399">
        <w:rPr>
          <w:rFonts w:ascii="Times New Roman" w:hAnsi="Times New Roman" w:cs="Times New Roman"/>
          <w:lang w:val="af-ZA"/>
        </w:rPr>
        <w:t xml:space="preserve">, </w:t>
      </w:r>
      <w:r w:rsidR="00A92893" w:rsidRPr="00EF7399">
        <w:rPr>
          <w:rFonts w:ascii="Times New Roman" w:hAnsi="Times New Roman" w:cs="Times New Roman"/>
          <w:lang w:val="af-ZA"/>
        </w:rPr>
        <w:t xml:space="preserve">2006, </w:t>
      </w:r>
      <w:r w:rsidR="00873234" w:rsidRPr="00EF7399">
        <w:rPr>
          <w:rFonts w:ascii="Times New Roman" w:hAnsi="Times New Roman" w:cs="Times New Roman"/>
          <w:lang w:val="af-ZA"/>
        </w:rPr>
        <w:t>§ </w:t>
      </w:r>
      <w:r w:rsidRPr="00EF7399">
        <w:rPr>
          <w:rFonts w:ascii="Times New Roman" w:hAnsi="Times New Roman" w:cs="Times New Roman"/>
          <w:lang w:val="af-ZA"/>
        </w:rPr>
        <w:t>44)</w:t>
      </w:r>
      <w:r w:rsidR="00700ECC" w:rsidRPr="00EF7399">
        <w:rPr>
          <w:rFonts w:ascii="Times New Roman" w:hAnsi="Times New Roman" w:cs="Times New Roman"/>
          <w:lang w:val="af-ZA"/>
        </w:rPr>
        <w:t>:</w:t>
      </w:r>
    </w:p>
    <w:p w14:paraId="54E6CAC6" w14:textId="021D21CA" w:rsidR="00A32622" w:rsidRPr="00EF7399" w:rsidRDefault="00A83DAB" w:rsidP="00A83DAB">
      <w:pPr>
        <w:pStyle w:val="ECHRHeading2"/>
        <w:numPr>
          <w:ilvl w:val="0"/>
          <w:numId w:val="0"/>
        </w:numPr>
        <w:rPr>
          <w:rFonts w:ascii="Times New Roman" w:hAnsi="Times New Roman" w:cs="Times New Roman"/>
          <w:lang w:val="af-ZA"/>
        </w:rPr>
      </w:pPr>
      <w:bookmarkStart w:id="41" w:name="_Toc159945214"/>
      <w:r>
        <w:rPr>
          <w:rFonts w:ascii="Times New Roman" w:hAnsi="Times New Roman" w:cs="Times New Roman"/>
          <w:lang w:val="hy-AM"/>
        </w:rPr>
        <w:t xml:space="preserve">Ե․ </w:t>
      </w:r>
      <w:r w:rsidR="00700ECC" w:rsidRPr="00EF7399">
        <w:rPr>
          <w:rFonts w:ascii="Times New Roman" w:hAnsi="Times New Roman" w:cs="Times New Roman"/>
          <w:lang w:val="af-ZA"/>
        </w:rPr>
        <w:t>Հավաքների ազատության իրավունքի սահմանափակումները</w:t>
      </w:r>
      <w:bookmarkEnd w:id="41"/>
    </w:p>
    <w:p w14:paraId="34FE0238" w14:textId="6255CE88" w:rsidR="00A32622" w:rsidRPr="007B753F" w:rsidRDefault="00EC6D89" w:rsidP="007B753F">
      <w:pPr>
        <w:pStyle w:val="ECHRHeading3"/>
        <w:numPr>
          <w:ilvl w:val="2"/>
          <w:numId w:val="53"/>
        </w:numPr>
        <w:rPr>
          <w:rFonts w:ascii="Times New Roman" w:hAnsi="Times New Roman" w:cs="Times New Roman"/>
          <w:lang w:val="af-ZA"/>
        </w:rPr>
      </w:pPr>
      <w:bookmarkStart w:id="42" w:name="_Toc159945215"/>
      <w:r w:rsidRPr="007B753F">
        <w:rPr>
          <w:rFonts w:ascii="Times New Roman" w:hAnsi="Times New Roman" w:cs="Times New Roman"/>
          <w:lang w:val="af-ZA"/>
        </w:rPr>
        <w:t>Միջամտություն հավաքների ազատության իրավունքի իրա</w:t>
      </w:r>
      <w:r w:rsidR="00136F5B" w:rsidRPr="007B753F">
        <w:rPr>
          <w:rFonts w:ascii="Times New Roman" w:hAnsi="Times New Roman" w:cs="Times New Roman"/>
          <w:lang w:val="hy-AM"/>
        </w:rPr>
        <w:t>ց</w:t>
      </w:r>
      <w:r w:rsidRPr="007B753F">
        <w:rPr>
          <w:rFonts w:ascii="Times New Roman" w:hAnsi="Times New Roman" w:cs="Times New Roman"/>
          <w:lang w:val="af-ZA"/>
        </w:rPr>
        <w:t>մանը</w:t>
      </w:r>
      <w:bookmarkEnd w:id="42"/>
      <w:r w:rsidRPr="007B753F">
        <w:rPr>
          <w:rFonts w:ascii="Times New Roman" w:hAnsi="Times New Roman" w:cs="Times New Roman"/>
          <w:lang w:val="af-ZA"/>
        </w:rPr>
        <w:t xml:space="preserve"> </w:t>
      </w:r>
    </w:p>
    <w:p w14:paraId="0FA7F497" w14:textId="61B935C3" w:rsidR="00A32622" w:rsidRPr="00EF7399" w:rsidRDefault="0036651F" w:rsidP="00A3262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48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9D2B62" w:rsidRPr="00EF7399">
        <w:rPr>
          <w:rFonts w:ascii="Times New Roman" w:hAnsi="Times New Roman" w:cs="Times New Roman"/>
          <w:lang w:val="af-ZA"/>
        </w:rPr>
        <w:t>Հավաքների ազատության իրավունքը բացարձակ չէ և կարող է սահմանափակվել 11-րդ հոդվածի 2-րդ մասի համաձայն: Պարտադիր չէ, որ միջամտությունն այդ իրավունքի իրա</w:t>
      </w:r>
      <w:r w:rsidR="008E1378" w:rsidRPr="00EF7399">
        <w:rPr>
          <w:rFonts w:ascii="Times New Roman" w:hAnsi="Times New Roman" w:cs="Times New Roman"/>
          <w:lang w:val="hy-AM"/>
        </w:rPr>
        <w:t>ցմ</w:t>
      </w:r>
      <w:r w:rsidR="009D2B62" w:rsidRPr="00EF7399">
        <w:rPr>
          <w:rFonts w:ascii="Times New Roman" w:hAnsi="Times New Roman" w:cs="Times New Roman"/>
          <w:lang w:val="af-ZA"/>
        </w:rPr>
        <w:t>անը լինի բացարձակ արգելքի տեսքով` իրավական կա</w:t>
      </w:r>
      <w:r w:rsidR="008E1378" w:rsidRPr="00EF7399">
        <w:rPr>
          <w:rFonts w:ascii="Times New Roman" w:hAnsi="Times New Roman" w:cs="Times New Roman"/>
          <w:lang w:val="hy-AM"/>
        </w:rPr>
        <w:t>մ</w:t>
      </w:r>
      <w:r w:rsidR="009D2B62" w:rsidRPr="00EF7399">
        <w:rPr>
          <w:rFonts w:ascii="Times New Roman" w:hAnsi="Times New Roman" w:cs="Times New Roman"/>
          <w:lang w:val="af-ZA"/>
        </w:rPr>
        <w:t xml:space="preserve"> </w:t>
      </w:r>
      <w:r w:rsidR="009D2B62" w:rsidRPr="00EF7399">
        <w:rPr>
          <w:rFonts w:ascii="Times New Roman" w:hAnsi="Times New Roman" w:cs="Times New Roman"/>
          <w:i/>
          <w:iCs/>
          <w:lang w:val="af-ZA"/>
        </w:rPr>
        <w:t>դե ֆակտո</w:t>
      </w:r>
      <w:r w:rsidR="009D2B62" w:rsidRPr="00EF7399">
        <w:rPr>
          <w:rFonts w:ascii="Times New Roman" w:hAnsi="Times New Roman" w:cs="Times New Roman"/>
          <w:lang w:val="af-ZA"/>
        </w:rPr>
        <w:t xml:space="preserve">, այլ կարող է ենթադրել իշխանությունների ձեռնարկած զանազան այլ միջոցներ  </w:t>
      </w:r>
      <w:r w:rsidR="00ED2544" w:rsidRPr="00EF7399">
        <w:rPr>
          <w:rFonts w:ascii="Times New Roman" w:hAnsi="Times New Roman" w:cs="Times New Roman"/>
          <w:lang w:val="af-ZA"/>
        </w:rPr>
        <w:t>(</w:t>
      </w:r>
      <w:hyperlink r:id="rId147" w:history="1">
        <w:r w:rsidR="00ED2544" w:rsidRPr="00EF7399">
          <w:rPr>
            <w:rStyle w:val="Hyperlink"/>
            <w:rFonts w:ascii="Times New Roman" w:hAnsi="Times New Roman" w:cs="Times New Roman"/>
            <w:lang w:val="af-ZA"/>
          </w:rPr>
          <w:t>Kudrevičius and Others</w:t>
        </w:r>
        <w:r w:rsidR="00873234" w:rsidRPr="00EF7399">
          <w:rPr>
            <w:rStyle w:val="Hyperlink"/>
            <w:rFonts w:ascii="Times New Roman" w:hAnsi="Times New Roman" w:cs="Times New Roman"/>
            <w:lang w:val="af-ZA"/>
          </w:rPr>
          <w:t xml:space="preserve"> v. </w:t>
        </w:r>
        <w:r w:rsidR="00ED2544" w:rsidRPr="00EF7399">
          <w:rPr>
            <w:rStyle w:val="Hyperlink"/>
            <w:rFonts w:ascii="Times New Roman" w:hAnsi="Times New Roman" w:cs="Times New Roman"/>
            <w:lang w:val="af-ZA"/>
          </w:rPr>
          <w:t>Lithuania</w:t>
        </w:r>
      </w:hyperlink>
      <w:r w:rsidR="00ED2544" w:rsidRPr="00EF7399">
        <w:rPr>
          <w:rFonts w:ascii="Times New Roman" w:hAnsi="Times New Roman" w:cs="Times New Roman"/>
          <w:i/>
          <w:lang w:val="af-ZA"/>
        </w:rPr>
        <w:t xml:space="preserve"> </w:t>
      </w:r>
      <w:r w:rsidR="00ED2544" w:rsidRPr="00EF7399">
        <w:rPr>
          <w:rFonts w:ascii="Times New Roman" w:hAnsi="Times New Roman" w:cs="Times New Roman"/>
          <w:lang w:val="af-ZA"/>
        </w:rPr>
        <w:t xml:space="preserve">[GC], </w:t>
      </w:r>
      <w:r w:rsidR="00A92893"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00ED2544" w:rsidRPr="00EF7399">
        <w:rPr>
          <w:rFonts w:ascii="Times New Roman" w:hAnsi="Times New Roman" w:cs="Times New Roman"/>
          <w:lang w:val="af-ZA"/>
        </w:rPr>
        <w:t>100)</w:t>
      </w:r>
      <w:r w:rsidR="009D2B62" w:rsidRPr="00EF7399">
        <w:rPr>
          <w:rFonts w:ascii="Times New Roman" w:hAnsi="Times New Roman" w:cs="Times New Roman"/>
          <w:lang w:val="af-ZA"/>
        </w:rPr>
        <w:t>:</w:t>
      </w:r>
      <w:r w:rsidR="00E24704" w:rsidRPr="00EF7399">
        <w:rPr>
          <w:lang w:val="af-ZA"/>
        </w:rPr>
        <w:t xml:space="preserve"> </w:t>
      </w:r>
      <w:r w:rsidR="00BB12BC" w:rsidRPr="00E24704">
        <w:rPr>
          <w:rFonts w:ascii="Times New Roman" w:hAnsi="Times New Roman" w:cs="Times New Roman"/>
          <w:lang w:val="af-ZA"/>
        </w:rPr>
        <w:t xml:space="preserve">Միջամտություն </w:t>
      </w:r>
      <w:r w:rsidR="00BB12BC">
        <w:rPr>
          <w:rFonts w:ascii="Times New Roman" w:hAnsi="Times New Roman" w:cs="Times New Roman"/>
          <w:lang w:val="hy-AM"/>
        </w:rPr>
        <w:t xml:space="preserve">մաս </w:t>
      </w:r>
      <w:r w:rsidR="00BB12BC" w:rsidRPr="00E24704">
        <w:rPr>
          <w:rFonts w:ascii="Times New Roman" w:hAnsi="Times New Roman" w:cs="Times New Roman"/>
          <w:lang w:val="af-ZA"/>
        </w:rPr>
        <w:t>կազմող գործողությունները պետք է ներառեն ցանկացած սահմանափակող միջոց, որը ձեռնարկվում է դիմողի նկատմամբ՝ կապված նրա արտահայտիչ վարք</w:t>
      </w:r>
      <w:r w:rsidR="00BB12BC">
        <w:rPr>
          <w:rFonts w:ascii="Times New Roman" w:hAnsi="Times New Roman" w:cs="Times New Roman"/>
          <w:lang w:val="hy-AM"/>
        </w:rPr>
        <w:t>ագծ</w:t>
      </w:r>
      <w:r w:rsidR="00BB12BC" w:rsidRPr="00E24704">
        <w:rPr>
          <w:rFonts w:ascii="Times New Roman" w:hAnsi="Times New Roman" w:cs="Times New Roman"/>
          <w:lang w:val="af-ZA"/>
        </w:rPr>
        <w:t>ի հետ</w:t>
      </w:r>
      <w:r w:rsidR="00BB12BC">
        <w:rPr>
          <w:rFonts w:ascii="Times New Roman" w:hAnsi="Times New Roman" w:cs="Times New Roman"/>
          <w:lang w:val="hy-AM"/>
        </w:rPr>
        <w:t xml:space="preserve"> </w:t>
      </w:r>
      <w:r w:rsidR="00BB12BC" w:rsidRPr="00E24704">
        <w:rPr>
          <w:rFonts w:ascii="Times New Roman" w:hAnsi="Times New Roman" w:cs="Times New Roman"/>
          <w:lang w:val="af-ZA"/>
        </w:rPr>
        <w:t>(</w:t>
      </w:r>
      <w:hyperlink r:id="rId148" w:history="1">
        <w:r w:rsidR="00BB12BC" w:rsidRPr="00E24704">
          <w:rPr>
            <w:rStyle w:val="Hyperlink"/>
            <w:rFonts w:ascii="Times New Roman" w:hAnsi="Times New Roman" w:cs="Times New Roman"/>
            <w:lang w:val="af-ZA"/>
          </w:rPr>
          <w:t>Pivkina and Others v. Russia</w:t>
        </w:r>
      </w:hyperlink>
      <w:r w:rsidR="00BB12BC" w:rsidRPr="00E24704">
        <w:rPr>
          <w:rFonts w:ascii="Times New Roman" w:hAnsi="Times New Roman" w:cs="Times New Roman"/>
          <w:lang w:val="af-ZA"/>
        </w:rPr>
        <w:t xml:space="preserve"> (dec.), 2023, § 76):</w:t>
      </w:r>
    </w:p>
    <w:bookmarkStart w:id="43" w:name="Para48_thequestion_whether"/>
    <w:p w14:paraId="395EFAF4" w14:textId="75A2A4FB" w:rsidR="00A32622" w:rsidRPr="00EF7399" w:rsidRDefault="00A32622" w:rsidP="00A3262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49</w:t>
      </w:r>
      <w:r w:rsidRPr="00EF7399">
        <w:rPr>
          <w:rFonts w:ascii="Times New Roman" w:hAnsi="Times New Roman" w:cs="Times New Roman"/>
          <w:lang w:val="af-ZA"/>
        </w:rPr>
        <w:fldChar w:fldCharType="end"/>
      </w:r>
      <w:bookmarkEnd w:id="43"/>
      <w:r w:rsidRPr="00EF7399">
        <w:rPr>
          <w:rFonts w:ascii="Times New Roman" w:hAnsi="Times New Roman" w:cs="Times New Roman"/>
          <w:lang w:val="af-ZA"/>
        </w:rPr>
        <w:t>.  </w:t>
      </w:r>
      <w:r w:rsidR="009D2B62" w:rsidRPr="00EF7399">
        <w:rPr>
          <w:rFonts w:ascii="Times New Roman" w:hAnsi="Times New Roman" w:cs="Times New Roman"/>
          <w:lang w:val="af-ZA"/>
        </w:rPr>
        <w:t>Հարցը, թե եղել է արդյոք միջամտություն կամ, 11-րդ հոդվածի 2-րդ մասի ձևակերպմամբ, արդյոք սահմանափակվել է այդ իրավունքի իրա</w:t>
      </w:r>
      <w:r w:rsidR="008E1378" w:rsidRPr="00EF7399">
        <w:rPr>
          <w:rFonts w:ascii="Times New Roman" w:hAnsi="Times New Roman" w:cs="Times New Roman"/>
          <w:lang w:val="hy-AM"/>
        </w:rPr>
        <w:t>ց</w:t>
      </w:r>
      <w:r w:rsidR="009D2B62" w:rsidRPr="00EF7399">
        <w:rPr>
          <w:rFonts w:ascii="Times New Roman" w:hAnsi="Times New Roman" w:cs="Times New Roman"/>
          <w:lang w:val="af-ZA"/>
        </w:rPr>
        <w:t xml:space="preserve">ումը, սերտորեն </w:t>
      </w:r>
      <w:r w:rsidR="00875B63" w:rsidRPr="00EF7399">
        <w:rPr>
          <w:rFonts w:ascii="Times New Roman" w:hAnsi="Times New Roman" w:cs="Times New Roman"/>
          <w:lang w:val="af-ZA"/>
        </w:rPr>
        <w:t xml:space="preserve">փոխկապակցված է 11-րդ </w:t>
      </w:r>
      <w:r w:rsidR="00875B63" w:rsidRPr="00EF7399">
        <w:rPr>
          <w:rFonts w:ascii="Times New Roman" w:hAnsi="Times New Roman" w:cs="Times New Roman"/>
          <w:lang w:val="af-ZA"/>
        </w:rPr>
        <w:lastRenderedPageBreak/>
        <w:t xml:space="preserve">հոդվածի կիրառելիության հարցի հետ </w:t>
      </w:r>
      <w:r w:rsidRPr="00EF7399">
        <w:rPr>
          <w:rFonts w:ascii="Times New Roman" w:hAnsi="Times New Roman" w:cs="Times New Roman"/>
          <w:lang w:val="af-ZA"/>
        </w:rPr>
        <w:t>(</w:t>
      </w:r>
      <w:r w:rsidR="00875B63" w:rsidRPr="00EF7399">
        <w:rPr>
          <w:rFonts w:ascii="Times New Roman" w:hAnsi="Times New Roman" w:cs="Times New Roman"/>
          <w:lang w:val="af-ZA"/>
        </w:rPr>
        <w:t>տե՛ս</w:t>
      </w:r>
      <w:r w:rsidRPr="00EF7399">
        <w:rPr>
          <w:rFonts w:ascii="Times New Roman" w:hAnsi="Times New Roman" w:cs="Times New Roman"/>
          <w:lang w:val="af-ZA"/>
        </w:rPr>
        <w:t xml:space="preserve"> </w:t>
      </w:r>
      <w:r w:rsidR="00875B63" w:rsidRPr="00EF7399">
        <w:rPr>
          <w:rFonts w:ascii="Times New Roman" w:hAnsi="Times New Roman" w:cs="Times New Roman"/>
          <w:lang w:val="af-ZA"/>
        </w:rPr>
        <w:t>«</w:t>
      </w:r>
      <w:r w:rsidR="002903DE" w:rsidRPr="00EF7399">
        <w:rPr>
          <w:rFonts w:ascii="Times New Roman" w:hAnsi="Times New Roman" w:cs="Times New Roman"/>
          <w:lang w:val="af-ZA"/>
        </w:rPr>
        <w:fldChar w:fldCharType="begin"/>
      </w:r>
      <w:r w:rsidR="002903DE" w:rsidRPr="00EF7399">
        <w:rPr>
          <w:rFonts w:ascii="Times New Roman" w:hAnsi="Times New Roman" w:cs="Times New Roman"/>
          <w:lang w:val="af-ZA"/>
        </w:rPr>
        <w:instrText xml:space="preserve"> REF Scope_right_freedom_assembly \h </w:instrText>
      </w:r>
      <w:r w:rsidR="00B40BA9" w:rsidRPr="00EF7399">
        <w:rPr>
          <w:rFonts w:ascii="Times New Roman" w:hAnsi="Times New Roman" w:cs="Times New Roman"/>
          <w:lang w:val="af-ZA"/>
        </w:rPr>
        <w:instrText xml:space="preserve"> \* MERGEFORMAT </w:instrText>
      </w:r>
      <w:r w:rsidR="002903DE" w:rsidRPr="00EF7399">
        <w:rPr>
          <w:rFonts w:ascii="Times New Roman" w:hAnsi="Times New Roman" w:cs="Times New Roman"/>
          <w:lang w:val="af-ZA"/>
        </w:rPr>
      </w:r>
      <w:r w:rsidR="002903DE" w:rsidRPr="00EF7399">
        <w:rPr>
          <w:rFonts w:ascii="Times New Roman" w:hAnsi="Times New Roman" w:cs="Times New Roman"/>
          <w:lang w:val="af-ZA"/>
        </w:rPr>
        <w:fldChar w:fldCharType="separate"/>
      </w:r>
      <w:r w:rsidR="00875B63" w:rsidRPr="00EF7399">
        <w:rPr>
          <w:rFonts w:ascii="Times New Roman" w:hAnsi="Times New Roman" w:cs="Times New Roman"/>
          <w:lang w:val="af-ZA"/>
        </w:rPr>
        <w:t>Հավաքների ազատության իրավունքի շրջանակը</w:t>
      </w:r>
      <w:r w:rsidR="002903DE" w:rsidRPr="00EF7399">
        <w:rPr>
          <w:rFonts w:ascii="Times New Roman" w:hAnsi="Times New Roman" w:cs="Times New Roman"/>
          <w:lang w:val="af-ZA"/>
        </w:rPr>
        <w:fldChar w:fldCharType="end"/>
      </w:r>
      <w:r w:rsidR="00875B63" w:rsidRPr="00EF7399">
        <w:rPr>
          <w:rFonts w:ascii="Times New Roman" w:hAnsi="Times New Roman" w:cs="Times New Roman"/>
          <w:lang w:val="af-ZA"/>
        </w:rPr>
        <w:t>» բաժինը</w:t>
      </w:r>
      <w:r w:rsidRPr="00EF7399">
        <w:rPr>
          <w:rFonts w:ascii="Times New Roman" w:hAnsi="Times New Roman" w:cs="Times New Roman"/>
          <w:lang w:val="af-ZA"/>
        </w:rPr>
        <w:t>)</w:t>
      </w:r>
      <w:r w:rsidR="00875B63" w:rsidRPr="00EF7399">
        <w:rPr>
          <w:rFonts w:ascii="Times New Roman" w:hAnsi="Times New Roman" w:cs="Times New Roman"/>
          <w:lang w:val="af-ZA"/>
        </w:rPr>
        <w:t>:</w:t>
      </w:r>
    </w:p>
    <w:p w14:paraId="0BCE4207" w14:textId="2E27149B" w:rsidR="00A32622" w:rsidRPr="00EF7399" w:rsidRDefault="00A32622" w:rsidP="00A3262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50</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875B63" w:rsidRPr="00EF7399">
        <w:rPr>
          <w:rFonts w:ascii="Times New Roman" w:hAnsi="Times New Roman" w:cs="Times New Roman"/>
          <w:lang w:val="af-ZA"/>
        </w:rPr>
        <w:t>11-րդ հոդվածի 2-րդ մասում օգտագործված «սահմանափակումներ</w:t>
      </w:r>
      <w:r w:rsidR="008E1378" w:rsidRPr="00EF7399">
        <w:rPr>
          <w:rFonts w:ascii="Times New Roman" w:hAnsi="Times New Roman" w:cs="Times New Roman"/>
          <w:lang w:val="hy-AM"/>
        </w:rPr>
        <w:t>ը</w:t>
      </w:r>
      <w:r w:rsidR="00875B63" w:rsidRPr="00EF7399">
        <w:rPr>
          <w:rFonts w:ascii="Times New Roman" w:hAnsi="Times New Roman" w:cs="Times New Roman"/>
          <w:lang w:val="af-ZA"/>
        </w:rPr>
        <w:t>»</w:t>
      </w:r>
      <w:r w:rsidR="008E1378" w:rsidRPr="00EF7399">
        <w:rPr>
          <w:rFonts w:ascii="Times New Roman" w:hAnsi="Times New Roman" w:cs="Times New Roman"/>
          <w:lang w:val="hy-AM"/>
        </w:rPr>
        <w:t xml:space="preserve"> </w:t>
      </w:r>
      <w:r w:rsidR="00875B63" w:rsidRPr="00EF7399">
        <w:rPr>
          <w:rFonts w:ascii="Times New Roman" w:hAnsi="Times New Roman" w:cs="Times New Roman"/>
          <w:lang w:val="af-ZA"/>
        </w:rPr>
        <w:t>պետք է մեկնաբանել</w:t>
      </w:r>
      <w:r w:rsidR="008E1378" w:rsidRPr="00EF7399">
        <w:rPr>
          <w:rFonts w:ascii="Times New Roman" w:hAnsi="Times New Roman" w:cs="Times New Roman"/>
          <w:lang w:val="hy-AM"/>
        </w:rPr>
        <w:t>՝</w:t>
      </w:r>
      <w:r w:rsidR="00875B63" w:rsidRPr="00EF7399">
        <w:rPr>
          <w:rFonts w:ascii="Times New Roman" w:hAnsi="Times New Roman" w:cs="Times New Roman"/>
          <w:lang w:val="af-ZA"/>
        </w:rPr>
        <w:t xml:space="preserve"> որպես եզրույթ, որն ընդգրկում է թե՛ հավաքից առաջ կամ ընթացքում ձե</w:t>
      </w:r>
      <w:r w:rsidR="008E1378" w:rsidRPr="00EF7399">
        <w:rPr>
          <w:rFonts w:ascii="Times New Roman" w:hAnsi="Times New Roman" w:cs="Times New Roman"/>
          <w:lang w:val="hy-AM"/>
        </w:rPr>
        <w:t>ռ</w:t>
      </w:r>
      <w:r w:rsidR="00875B63" w:rsidRPr="00EF7399">
        <w:rPr>
          <w:rFonts w:ascii="Times New Roman" w:hAnsi="Times New Roman" w:cs="Times New Roman"/>
          <w:lang w:val="af-ZA"/>
        </w:rPr>
        <w:t>նա</w:t>
      </w:r>
      <w:r w:rsidR="008E1378" w:rsidRPr="00EF7399">
        <w:rPr>
          <w:rFonts w:ascii="Times New Roman" w:hAnsi="Times New Roman" w:cs="Times New Roman"/>
          <w:lang w:val="hy-AM"/>
        </w:rPr>
        <w:t>ր</w:t>
      </w:r>
      <w:r w:rsidR="00875B63" w:rsidRPr="00EF7399">
        <w:rPr>
          <w:rFonts w:ascii="Times New Roman" w:hAnsi="Times New Roman" w:cs="Times New Roman"/>
          <w:lang w:val="af-ZA"/>
        </w:rPr>
        <w:t>կ</w:t>
      </w:r>
      <w:r w:rsidR="008E1378" w:rsidRPr="00EF7399">
        <w:rPr>
          <w:rFonts w:ascii="Times New Roman" w:hAnsi="Times New Roman" w:cs="Times New Roman"/>
          <w:lang w:val="hy-AM"/>
        </w:rPr>
        <w:t>վ</w:t>
      </w:r>
      <w:r w:rsidR="00875B63" w:rsidRPr="00EF7399">
        <w:rPr>
          <w:rFonts w:ascii="Times New Roman" w:hAnsi="Times New Roman" w:cs="Times New Roman"/>
          <w:lang w:val="af-ZA"/>
        </w:rPr>
        <w:t xml:space="preserve">ած միջոցները, թե՛ հավաքից հետո կիրառվող պատժիչ միջոցները </w:t>
      </w:r>
      <w:r w:rsidR="00ED2544" w:rsidRPr="00EF7399">
        <w:rPr>
          <w:rFonts w:ascii="Times New Roman" w:hAnsi="Times New Roman" w:cs="Times New Roman"/>
          <w:lang w:val="af-ZA"/>
        </w:rPr>
        <w:t>(</w:t>
      </w:r>
      <w:hyperlink r:id="rId149" w:history="1">
        <w:r w:rsidR="00ED2544" w:rsidRPr="00EF7399">
          <w:rPr>
            <w:rStyle w:val="Hyperlink"/>
            <w:rFonts w:ascii="Times New Roman" w:hAnsi="Times New Roman" w:cs="Times New Roman"/>
            <w:lang w:val="af-ZA"/>
          </w:rPr>
          <w:t>Ezelin</w:t>
        </w:r>
        <w:r w:rsidR="00873234" w:rsidRPr="00EF7399">
          <w:rPr>
            <w:rStyle w:val="Hyperlink"/>
            <w:rFonts w:ascii="Times New Roman" w:hAnsi="Times New Roman" w:cs="Times New Roman"/>
            <w:lang w:val="af-ZA"/>
          </w:rPr>
          <w:t xml:space="preserve"> v. </w:t>
        </w:r>
        <w:r w:rsidR="00ED2544" w:rsidRPr="00EF7399">
          <w:rPr>
            <w:rStyle w:val="Hyperlink"/>
            <w:rFonts w:ascii="Times New Roman" w:hAnsi="Times New Roman" w:cs="Times New Roman"/>
            <w:lang w:val="af-ZA"/>
          </w:rPr>
          <w:t>France</w:t>
        </w:r>
      </w:hyperlink>
      <w:r w:rsidR="00ED2544" w:rsidRPr="00EF7399">
        <w:rPr>
          <w:rFonts w:ascii="Times New Roman" w:hAnsi="Times New Roman" w:cs="Times New Roman"/>
          <w:lang w:val="af-ZA"/>
        </w:rPr>
        <w:t xml:space="preserve">, </w:t>
      </w:r>
      <w:r w:rsidR="00A92893" w:rsidRPr="00EF7399">
        <w:rPr>
          <w:rFonts w:ascii="Times New Roman" w:hAnsi="Times New Roman" w:cs="Times New Roman"/>
          <w:lang w:val="af-ZA"/>
        </w:rPr>
        <w:t xml:space="preserve">1991, </w:t>
      </w:r>
      <w:r w:rsidR="00873234" w:rsidRPr="00EF7399">
        <w:rPr>
          <w:rFonts w:ascii="Times New Roman" w:hAnsi="Times New Roman" w:cs="Times New Roman"/>
          <w:lang w:val="af-ZA"/>
        </w:rPr>
        <w:t>§ </w:t>
      </w:r>
      <w:r w:rsidR="00ED2544" w:rsidRPr="00EF7399">
        <w:rPr>
          <w:rFonts w:ascii="Times New Roman" w:hAnsi="Times New Roman" w:cs="Times New Roman"/>
          <w:lang w:val="af-ZA"/>
        </w:rPr>
        <w:t>39)</w:t>
      </w:r>
      <w:r w:rsidR="00875B63" w:rsidRPr="00EF7399">
        <w:rPr>
          <w:rFonts w:ascii="Times New Roman" w:hAnsi="Times New Roman" w:cs="Times New Roman"/>
          <w:lang w:val="af-ZA"/>
        </w:rPr>
        <w:t xml:space="preserve">: Օրինակ, նախապես կիրառվող արգելքը կարող է ունենալ </w:t>
      </w:r>
      <w:r w:rsidR="003B2A49" w:rsidRPr="00EF7399">
        <w:rPr>
          <w:rFonts w:ascii="Times New Roman" w:hAnsi="Times New Roman" w:cs="Times New Roman"/>
          <w:lang w:val="hy-AM"/>
        </w:rPr>
        <w:t>զսպող</w:t>
      </w:r>
      <w:r w:rsidR="003B2A49" w:rsidRPr="00EF7399">
        <w:rPr>
          <w:rFonts w:ascii="Times New Roman" w:hAnsi="Times New Roman" w:cs="Times New Roman"/>
          <w:lang w:val="af-ZA"/>
        </w:rPr>
        <w:t xml:space="preserve"> </w:t>
      </w:r>
      <w:r w:rsidR="00875B63" w:rsidRPr="00EF7399">
        <w:rPr>
          <w:rFonts w:ascii="Times New Roman" w:hAnsi="Times New Roman" w:cs="Times New Roman"/>
          <w:lang w:val="af-ZA"/>
        </w:rPr>
        <w:t xml:space="preserve">ազդեցություն այն անձանց </w:t>
      </w:r>
      <w:r w:rsidR="003B2A49" w:rsidRPr="00EF7399">
        <w:rPr>
          <w:rFonts w:ascii="Times New Roman" w:hAnsi="Times New Roman" w:cs="Times New Roman"/>
          <w:lang w:val="hy-AM"/>
        </w:rPr>
        <w:t>համար</w:t>
      </w:r>
      <w:r w:rsidR="00875B63" w:rsidRPr="00EF7399">
        <w:rPr>
          <w:rFonts w:ascii="Times New Roman" w:hAnsi="Times New Roman" w:cs="Times New Roman"/>
          <w:lang w:val="af-ZA"/>
        </w:rPr>
        <w:t xml:space="preserve">, ովքեր նպատակ ունեն մասնակցել </w:t>
      </w:r>
      <w:r w:rsidR="00CE6ADE" w:rsidRPr="00EF7399">
        <w:rPr>
          <w:rFonts w:ascii="Times New Roman" w:hAnsi="Times New Roman" w:cs="Times New Roman"/>
          <w:lang w:val="af-ZA"/>
        </w:rPr>
        <w:t>հանրահավաքին, և հետևաբար, կարող է համարվել միջամտություն, եթե նույնիսկ հանրահավաք</w:t>
      </w:r>
      <w:r w:rsidR="003B2A49" w:rsidRPr="00EF7399">
        <w:rPr>
          <w:rFonts w:ascii="Times New Roman" w:hAnsi="Times New Roman" w:cs="Times New Roman"/>
          <w:lang w:val="hy-AM"/>
        </w:rPr>
        <w:t xml:space="preserve">ը հաջորդիվ անցկացվի առանց </w:t>
      </w:r>
      <w:r w:rsidR="003B2A49" w:rsidRPr="00EF7399">
        <w:rPr>
          <w:rFonts w:ascii="Times New Roman" w:hAnsi="Times New Roman" w:cs="Times New Roman"/>
          <w:lang w:val="af-ZA"/>
        </w:rPr>
        <w:t>իշխանություններ</w:t>
      </w:r>
      <w:r w:rsidR="003B2A49" w:rsidRPr="00EF7399">
        <w:rPr>
          <w:rFonts w:ascii="Times New Roman" w:hAnsi="Times New Roman" w:cs="Times New Roman"/>
          <w:lang w:val="hy-AM"/>
        </w:rPr>
        <w:t>ի կողմից</w:t>
      </w:r>
      <w:r w:rsidR="003B2A49" w:rsidRPr="00EF7399">
        <w:rPr>
          <w:rFonts w:ascii="Times New Roman" w:hAnsi="Times New Roman" w:cs="Times New Roman"/>
          <w:lang w:val="af-ZA"/>
        </w:rPr>
        <w:t xml:space="preserve"> խոչընդոտներ</w:t>
      </w:r>
      <w:r w:rsidR="003B2A49" w:rsidRPr="00EF7399">
        <w:rPr>
          <w:rFonts w:ascii="Times New Roman" w:hAnsi="Times New Roman" w:cs="Times New Roman"/>
          <w:lang w:val="hy-AM"/>
        </w:rPr>
        <w:t xml:space="preserve">ի </w:t>
      </w:r>
      <w:r w:rsidRPr="00EF7399">
        <w:rPr>
          <w:rFonts w:ascii="Times New Roman" w:hAnsi="Times New Roman" w:cs="Times New Roman"/>
          <w:lang w:val="af-ZA"/>
        </w:rPr>
        <w:t>(</w:t>
      </w:r>
      <w:hyperlink r:id="rId150" w:history="1">
        <w:r w:rsidRPr="00EF7399">
          <w:rPr>
            <w:rStyle w:val="Hyperlink"/>
            <w:rFonts w:ascii="Times New Roman" w:hAnsi="Times New Roman" w:cs="Times New Roman"/>
            <w:lang w:val="af-ZA"/>
          </w:rPr>
          <w:t>Bączkowski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Poland</w:t>
        </w:r>
      </w:hyperlink>
      <w:r w:rsidRPr="00EF7399">
        <w:rPr>
          <w:rFonts w:ascii="Times New Roman" w:hAnsi="Times New Roman" w:cs="Times New Roman"/>
          <w:lang w:val="af-ZA"/>
        </w:rPr>
        <w:t xml:space="preserve">, </w:t>
      </w:r>
      <w:r w:rsidR="00A92893" w:rsidRPr="00EF7399">
        <w:rPr>
          <w:rFonts w:ascii="Times New Roman" w:hAnsi="Times New Roman" w:cs="Times New Roman"/>
          <w:lang w:val="af-ZA"/>
        </w:rPr>
        <w:t xml:space="preserve">2007, </w:t>
      </w:r>
      <w:r w:rsidR="00873234" w:rsidRPr="00EF7399">
        <w:rPr>
          <w:rFonts w:ascii="Times New Roman" w:hAnsi="Times New Roman" w:cs="Times New Roman"/>
          <w:lang w:val="af-ZA"/>
        </w:rPr>
        <w:t>§ </w:t>
      </w:r>
      <w:r w:rsidRPr="00EF7399">
        <w:rPr>
          <w:rFonts w:ascii="Times New Roman" w:hAnsi="Times New Roman" w:cs="Times New Roman"/>
          <w:lang w:val="af-ZA"/>
        </w:rPr>
        <w:t>66-68)</w:t>
      </w:r>
      <w:r w:rsidR="00CE6ADE" w:rsidRPr="00EF7399">
        <w:rPr>
          <w:rFonts w:ascii="Times New Roman" w:hAnsi="Times New Roman" w:cs="Times New Roman"/>
          <w:lang w:val="af-ZA"/>
        </w:rPr>
        <w:t>: Այն դեպքերում, երբ հավաքի ժամն ու վայրը չափազանց կարևոր են մասնակիցների համար, ժամը կամ վայրը փոխելու հրահանգը, ինչպես նաև ելույթների, կարգախոսների կամ պաստառների արգելքը</w:t>
      </w:r>
      <w:r w:rsidR="00CC1E58" w:rsidRPr="00EF7399">
        <w:rPr>
          <w:rFonts w:ascii="Times New Roman" w:hAnsi="Times New Roman" w:cs="Times New Roman"/>
          <w:lang w:val="af-ZA"/>
        </w:rPr>
        <w:t>,</w:t>
      </w:r>
      <w:r w:rsidR="00CE6ADE" w:rsidRPr="00EF7399">
        <w:rPr>
          <w:rFonts w:ascii="Times New Roman" w:hAnsi="Times New Roman" w:cs="Times New Roman"/>
          <w:lang w:val="af-ZA"/>
        </w:rPr>
        <w:t xml:space="preserve">  կարող է համարվել միջամտություն հավաքների ազատությանը </w:t>
      </w:r>
      <w:r w:rsidR="004F5608" w:rsidRPr="00EF7399">
        <w:rPr>
          <w:rFonts w:ascii="Times New Roman" w:hAnsi="Times New Roman" w:cs="Times New Roman"/>
          <w:lang w:val="af-ZA"/>
        </w:rPr>
        <w:t>(</w:t>
      </w:r>
      <w:hyperlink r:id="rId151" w:history="1">
        <w:r w:rsidR="004F5608" w:rsidRPr="00EF7399">
          <w:rPr>
            <w:rStyle w:val="Hyperlink"/>
            <w:rFonts w:ascii="Times New Roman" w:hAnsi="Times New Roman" w:cs="Times New Roman"/>
            <w:lang w:val="af-ZA"/>
          </w:rPr>
          <w:t>Stankov and the United Macedonian Organisation Ilinden</w:t>
        </w:r>
        <w:r w:rsidR="00873234" w:rsidRPr="00EF7399">
          <w:rPr>
            <w:rStyle w:val="Hyperlink"/>
            <w:rFonts w:ascii="Times New Roman" w:hAnsi="Times New Roman" w:cs="Times New Roman"/>
            <w:lang w:val="af-ZA"/>
          </w:rPr>
          <w:t xml:space="preserve"> v. </w:t>
        </w:r>
        <w:r w:rsidR="004F5608" w:rsidRPr="00EF7399">
          <w:rPr>
            <w:rStyle w:val="Hyperlink"/>
            <w:rFonts w:ascii="Times New Roman" w:hAnsi="Times New Roman" w:cs="Times New Roman"/>
            <w:lang w:val="af-ZA"/>
          </w:rPr>
          <w:t>Bulgaria</w:t>
        </w:r>
      </w:hyperlink>
      <w:r w:rsidR="004F5608" w:rsidRPr="00EF7399">
        <w:rPr>
          <w:rFonts w:ascii="Times New Roman" w:hAnsi="Times New Roman" w:cs="Times New Roman"/>
          <w:lang w:val="af-ZA"/>
        </w:rPr>
        <w:t xml:space="preserve">, </w:t>
      </w:r>
      <w:r w:rsidR="00A92893" w:rsidRPr="00EF7399">
        <w:rPr>
          <w:rFonts w:ascii="Times New Roman" w:hAnsi="Times New Roman" w:cs="Times New Roman"/>
          <w:lang w:val="af-ZA"/>
        </w:rPr>
        <w:t xml:space="preserve">2001, </w:t>
      </w:r>
      <w:r w:rsidR="004F5608" w:rsidRPr="00EF7399">
        <w:rPr>
          <w:rFonts w:ascii="Times New Roman" w:hAnsi="Times New Roman" w:cs="Times New Roman"/>
          <w:lang w:val="af-ZA"/>
        </w:rPr>
        <w:t>§</w:t>
      </w:r>
      <w:r w:rsidR="00873234" w:rsidRPr="00EF7399">
        <w:rPr>
          <w:rFonts w:ascii="Times New Roman" w:hAnsi="Times New Roman" w:cs="Times New Roman"/>
          <w:lang w:val="af-ZA"/>
        </w:rPr>
        <w:t>§ </w:t>
      </w:r>
      <w:r w:rsidR="004F5608" w:rsidRPr="00EF7399">
        <w:rPr>
          <w:rFonts w:ascii="Times New Roman" w:hAnsi="Times New Roman" w:cs="Times New Roman"/>
          <w:lang w:val="af-ZA"/>
        </w:rPr>
        <w:t xml:space="preserve">79-80 </w:t>
      </w:r>
      <w:r w:rsidR="00CE6ADE" w:rsidRPr="00EF7399">
        <w:rPr>
          <w:rFonts w:ascii="Times New Roman" w:hAnsi="Times New Roman" w:cs="Times New Roman"/>
          <w:lang w:val="af-ZA"/>
        </w:rPr>
        <w:t>և</w:t>
      </w:r>
      <w:r w:rsidR="004F5608" w:rsidRPr="00EF7399">
        <w:rPr>
          <w:rFonts w:ascii="Times New Roman" w:hAnsi="Times New Roman" w:cs="Times New Roman"/>
          <w:lang w:val="af-ZA"/>
        </w:rPr>
        <w:t xml:space="preserve"> 108-109)</w:t>
      </w:r>
      <w:r w:rsidR="00CE6ADE" w:rsidRPr="00EF7399">
        <w:rPr>
          <w:rFonts w:ascii="Times New Roman" w:hAnsi="Times New Roman" w:cs="Times New Roman"/>
          <w:lang w:val="af-ZA"/>
        </w:rPr>
        <w:t>:</w:t>
      </w:r>
    </w:p>
    <w:p w14:paraId="02C7C2CA" w14:textId="305BEB4D" w:rsidR="00A32622" w:rsidRPr="00EF7399" w:rsidRDefault="00A32622" w:rsidP="00A3262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51</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CE6ADE" w:rsidRPr="00EF7399">
        <w:rPr>
          <w:rFonts w:ascii="Times New Roman" w:hAnsi="Times New Roman" w:cs="Times New Roman"/>
          <w:lang w:val="af-ZA"/>
        </w:rPr>
        <w:t>Միջամտություն է համարվում նաև հանրահավաքի մասնակցելու նպատակով անհատի</w:t>
      </w:r>
      <w:r w:rsidR="00812D55" w:rsidRPr="00EF7399">
        <w:rPr>
          <w:rFonts w:ascii="Times New Roman" w:hAnsi="Times New Roman" w:cs="Times New Roman"/>
          <w:lang w:val="hy-AM"/>
        </w:rPr>
        <w:t>ն</w:t>
      </w:r>
      <w:r w:rsidR="00CE6ADE" w:rsidRPr="00EF7399">
        <w:rPr>
          <w:rFonts w:ascii="Times New Roman" w:hAnsi="Times New Roman" w:cs="Times New Roman"/>
          <w:lang w:val="af-ZA"/>
        </w:rPr>
        <w:t xml:space="preserve"> ճամփորդ</w:t>
      </w:r>
      <w:r w:rsidR="00812D55" w:rsidRPr="00EF7399">
        <w:rPr>
          <w:rFonts w:ascii="Times New Roman" w:hAnsi="Times New Roman" w:cs="Times New Roman"/>
          <w:lang w:val="hy-AM"/>
        </w:rPr>
        <w:t xml:space="preserve">ելու թույլտվության մերժումը </w:t>
      </w:r>
      <w:r w:rsidR="004F5608" w:rsidRPr="00EF7399">
        <w:rPr>
          <w:rFonts w:ascii="Times New Roman" w:hAnsi="Times New Roman" w:cs="Times New Roman"/>
          <w:lang w:val="af-ZA"/>
        </w:rPr>
        <w:t>(</w:t>
      </w:r>
      <w:hyperlink r:id="rId152" w:history="1">
        <w:r w:rsidR="004F5608" w:rsidRPr="00EF7399">
          <w:rPr>
            <w:rStyle w:val="Hyperlink"/>
            <w:rFonts w:ascii="Times New Roman" w:hAnsi="Times New Roman" w:cs="Times New Roman"/>
            <w:lang w:val="af-ZA"/>
          </w:rPr>
          <w:t>Djavit An</w:t>
        </w:r>
        <w:r w:rsidR="00873234" w:rsidRPr="00EF7399">
          <w:rPr>
            <w:rStyle w:val="Hyperlink"/>
            <w:rFonts w:ascii="Times New Roman" w:hAnsi="Times New Roman" w:cs="Times New Roman"/>
            <w:lang w:val="af-ZA"/>
          </w:rPr>
          <w:t xml:space="preserve"> v. </w:t>
        </w:r>
        <w:r w:rsidR="004F5608" w:rsidRPr="00EF7399">
          <w:rPr>
            <w:rStyle w:val="Hyperlink"/>
            <w:rFonts w:ascii="Times New Roman" w:hAnsi="Times New Roman" w:cs="Times New Roman"/>
            <w:lang w:val="af-ZA"/>
          </w:rPr>
          <w:t>Turkey</w:t>
        </w:r>
      </w:hyperlink>
      <w:r w:rsidR="004F5608" w:rsidRPr="00EF7399">
        <w:rPr>
          <w:rFonts w:ascii="Times New Roman" w:hAnsi="Times New Roman" w:cs="Times New Roman"/>
          <w:lang w:val="af-ZA"/>
        </w:rPr>
        <w:t xml:space="preserve">, </w:t>
      </w:r>
      <w:r w:rsidR="00A92893" w:rsidRPr="00EF7399">
        <w:rPr>
          <w:rFonts w:ascii="Times New Roman" w:hAnsi="Times New Roman" w:cs="Times New Roman"/>
          <w:lang w:val="af-ZA"/>
        </w:rPr>
        <w:t xml:space="preserve">2003, </w:t>
      </w:r>
      <w:r w:rsidR="004F5608" w:rsidRPr="00EF7399">
        <w:rPr>
          <w:rFonts w:ascii="Times New Roman" w:hAnsi="Times New Roman" w:cs="Times New Roman"/>
          <w:lang w:val="af-ZA"/>
        </w:rPr>
        <w:t>§</w:t>
      </w:r>
      <w:r w:rsidR="00873234" w:rsidRPr="00EF7399">
        <w:rPr>
          <w:rFonts w:ascii="Times New Roman" w:hAnsi="Times New Roman" w:cs="Times New Roman"/>
          <w:lang w:val="af-ZA"/>
        </w:rPr>
        <w:t>§ </w:t>
      </w:r>
      <w:r w:rsidR="004F5608" w:rsidRPr="00EF7399">
        <w:rPr>
          <w:rFonts w:ascii="Times New Roman" w:hAnsi="Times New Roman" w:cs="Times New Roman"/>
          <w:lang w:val="af-ZA"/>
        </w:rPr>
        <w:t>61-62</w:t>
      </w:r>
      <w:r w:rsidR="000D0AB1" w:rsidRPr="00EF7399">
        <w:rPr>
          <w:rFonts w:ascii="Times New Roman" w:hAnsi="Times New Roman" w:cs="Times New Roman"/>
          <w:lang w:val="af-ZA"/>
        </w:rPr>
        <w:t xml:space="preserve">; </w:t>
      </w:r>
      <w:r w:rsidR="00401439" w:rsidRPr="00EF7399">
        <w:rPr>
          <w:rFonts w:ascii="Times New Roman" w:hAnsi="Times New Roman" w:cs="Times New Roman"/>
          <w:lang w:val="af-ZA"/>
        </w:rPr>
        <w:t>տե՛ս նաև</w:t>
      </w:r>
      <w:r w:rsidR="000D0AB1" w:rsidRPr="00EF7399">
        <w:rPr>
          <w:rFonts w:ascii="Times New Roman" w:hAnsi="Times New Roman" w:cs="Times New Roman"/>
          <w:lang w:val="af-ZA"/>
        </w:rPr>
        <w:t xml:space="preserve"> </w:t>
      </w:r>
      <w:hyperlink r:id="rId153" w:history="1">
        <w:r w:rsidR="000D0AB1" w:rsidRPr="00EF7399">
          <w:rPr>
            <w:rStyle w:val="Hyperlink"/>
            <w:rFonts w:ascii="Times New Roman" w:hAnsi="Times New Roman" w:cs="Times New Roman"/>
            <w:lang w:val="af-ZA"/>
          </w:rPr>
          <w:t>Kasparov</w:t>
        </w:r>
        <w:r w:rsidR="00873234" w:rsidRPr="00EF7399">
          <w:rPr>
            <w:rStyle w:val="Hyperlink"/>
            <w:rFonts w:ascii="Times New Roman" w:hAnsi="Times New Roman" w:cs="Times New Roman"/>
            <w:lang w:val="af-ZA"/>
          </w:rPr>
          <w:t xml:space="preserve"> v. </w:t>
        </w:r>
        <w:r w:rsidR="000D0AB1" w:rsidRPr="00EF7399">
          <w:rPr>
            <w:rStyle w:val="Hyperlink"/>
            <w:rFonts w:ascii="Times New Roman" w:hAnsi="Times New Roman" w:cs="Times New Roman"/>
            <w:lang w:val="af-ZA"/>
          </w:rPr>
          <w:t>Russia</w:t>
        </w:r>
      </w:hyperlink>
      <w:r w:rsidR="000D0AB1" w:rsidRPr="00EF7399">
        <w:rPr>
          <w:rFonts w:ascii="Times New Roman" w:hAnsi="Times New Roman" w:cs="Times New Roman"/>
          <w:lang w:val="af-ZA"/>
        </w:rPr>
        <w:t xml:space="preserve">, 2016, </w:t>
      </w:r>
      <w:r w:rsidR="00873234" w:rsidRPr="00EF7399">
        <w:rPr>
          <w:rFonts w:ascii="Times New Roman" w:hAnsi="Times New Roman" w:cs="Times New Roman"/>
          <w:lang w:val="af-ZA"/>
        </w:rPr>
        <w:t>§ </w:t>
      </w:r>
      <w:r w:rsidR="000D0AB1" w:rsidRPr="00EF7399">
        <w:rPr>
          <w:rFonts w:ascii="Times New Roman" w:hAnsi="Times New Roman" w:cs="Times New Roman"/>
          <w:lang w:val="af-ZA"/>
        </w:rPr>
        <w:t xml:space="preserve">67, </w:t>
      </w:r>
      <w:r w:rsidR="00401439" w:rsidRPr="00EF7399">
        <w:rPr>
          <w:rFonts w:ascii="Times New Roman" w:hAnsi="Times New Roman" w:cs="Times New Roman"/>
          <w:lang w:val="af-ZA"/>
        </w:rPr>
        <w:t>և</w:t>
      </w:r>
      <w:r w:rsidR="000D0AB1" w:rsidRPr="00EF7399">
        <w:rPr>
          <w:rFonts w:ascii="Times New Roman" w:hAnsi="Times New Roman" w:cs="Times New Roman"/>
          <w:lang w:val="af-ZA"/>
        </w:rPr>
        <w:t xml:space="preserve"> </w:t>
      </w:r>
      <w:hyperlink r:id="rId154" w:history="1">
        <w:r w:rsidR="000D0AB1" w:rsidRPr="00EF7399">
          <w:rPr>
            <w:rStyle w:val="Hyperlink"/>
            <w:rFonts w:ascii="Times New Roman" w:hAnsi="Times New Roman" w:cs="Times New Roman"/>
            <w:iCs/>
            <w:lang w:val="af-ZA"/>
          </w:rPr>
          <w:t>Alıcı and Others</w:t>
        </w:r>
        <w:r w:rsidR="00873234" w:rsidRPr="00EF7399">
          <w:rPr>
            <w:rStyle w:val="Hyperlink"/>
            <w:rFonts w:ascii="Times New Roman" w:hAnsi="Times New Roman" w:cs="Times New Roman"/>
            <w:iCs/>
            <w:lang w:val="af-ZA"/>
          </w:rPr>
          <w:t xml:space="preserve"> v. </w:t>
        </w:r>
        <w:r w:rsidR="000D0AB1" w:rsidRPr="00EF7399">
          <w:rPr>
            <w:rStyle w:val="Hyperlink"/>
            <w:rFonts w:ascii="Times New Roman" w:hAnsi="Times New Roman" w:cs="Times New Roman"/>
            <w:iCs/>
            <w:lang w:val="af-ZA"/>
          </w:rPr>
          <w:t>Türkiye</w:t>
        </w:r>
      </w:hyperlink>
      <w:r w:rsidR="000D0AB1" w:rsidRPr="00EF7399">
        <w:rPr>
          <w:rFonts w:ascii="Times New Roman" w:hAnsi="Times New Roman" w:cs="Times New Roman"/>
          <w:lang w:val="af-ZA"/>
        </w:rPr>
        <w:t xml:space="preserve">, 2022, </w:t>
      </w:r>
      <w:r w:rsidR="00873234" w:rsidRPr="00EF7399">
        <w:rPr>
          <w:rFonts w:ascii="Times New Roman" w:hAnsi="Times New Roman" w:cs="Times New Roman"/>
          <w:lang w:val="af-ZA"/>
        </w:rPr>
        <w:t>§ </w:t>
      </w:r>
      <w:r w:rsidR="000D0AB1" w:rsidRPr="00EF7399">
        <w:rPr>
          <w:rFonts w:ascii="Times New Roman" w:hAnsi="Times New Roman" w:cs="Times New Roman"/>
          <w:lang w:val="af-ZA"/>
        </w:rPr>
        <w:t xml:space="preserve">48, </w:t>
      </w:r>
      <w:r w:rsidR="00401439" w:rsidRPr="00EF7399">
        <w:rPr>
          <w:rFonts w:ascii="Times New Roman" w:hAnsi="Times New Roman" w:cs="Times New Roman"/>
          <w:lang w:val="af-ZA"/>
        </w:rPr>
        <w:t>երկու դեպքերն էլ առնչվում են ցույցերի գնալու ճանապարհին</w:t>
      </w:r>
      <w:r w:rsidR="00812D55" w:rsidRPr="00EF7399">
        <w:rPr>
          <w:rFonts w:ascii="Times New Roman" w:hAnsi="Times New Roman" w:cs="Times New Roman"/>
          <w:lang w:val="hy-AM"/>
        </w:rPr>
        <w:t xml:space="preserve"> </w:t>
      </w:r>
      <w:r w:rsidR="00812D55" w:rsidRPr="00EF7399">
        <w:rPr>
          <w:rFonts w:ascii="Times New Roman" w:hAnsi="Times New Roman" w:cs="Times New Roman"/>
          <w:lang w:val="af-ZA"/>
        </w:rPr>
        <w:t>գանգատաբերներին</w:t>
      </w:r>
      <w:r w:rsidR="00401439" w:rsidRPr="00EF7399">
        <w:rPr>
          <w:rFonts w:ascii="Times New Roman" w:hAnsi="Times New Roman" w:cs="Times New Roman"/>
          <w:lang w:val="af-ZA"/>
        </w:rPr>
        <w:t xml:space="preserve"> ազատությունից </w:t>
      </w:r>
      <w:r w:rsidR="00812D55" w:rsidRPr="00EF7399">
        <w:rPr>
          <w:rFonts w:ascii="Times New Roman" w:hAnsi="Times New Roman" w:cs="Times New Roman"/>
          <w:lang w:val="af-ZA"/>
        </w:rPr>
        <w:t>անհիմն զրկելուն</w:t>
      </w:r>
      <w:r w:rsidR="00812D55" w:rsidRPr="00EF7399">
        <w:rPr>
          <w:rFonts w:ascii="Times New Roman" w:hAnsi="Times New Roman" w:cs="Times New Roman"/>
          <w:lang w:val="hy-AM"/>
        </w:rPr>
        <w:t xml:space="preserve">, ինչը կանխել է </w:t>
      </w:r>
      <w:r w:rsidR="00401439" w:rsidRPr="00EF7399">
        <w:rPr>
          <w:rFonts w:ascii="Times New Roman" w:hAnsi="Times New Roman" w:cs="Times New Roman"/>
          <w:lang w:val="af-ZA"/>
        </w:rPr>
        <w:t xml:space="preserve">այդ միջոցառումներին </w:t>
      </w:r>
      <w:r w:rsidR="00812D55" w:rsidRPr="00EF7399">
        <w:rPr>
          <w:rFonts w:ascii="Times New Roman" w:hAnsi="Times New Roman" w:cs="Times New Roman"/>
          <w:lang w:val="hy-AM"/>
        </w:rPr>
        <w:t xml:space="preserve">վերջիններիս </w:t>
      </w:r>
      <w:r w:rsidR="00401439" w:rsidRPr="00EF7399">
        <w:rPr>
          <w:rFonts w:ascii="Times New Roman" w:hAnsi="Times New Roman" w:cs="Times New Roman"/>
          <w:lang w:val="af-ZA"/>
        </w:rPr>
        <w:t>մասնակց</w:t>
      </w:r>
      <w:r w:rsidR="00812D55" w:rsidRPr="00EF7399">
        <w:rPr>
          <w:rFonts w:ascii="Times New Roman" w:hAnsi="Times New Roman" w:cs="Times New Roman"/>
          <w:lang w:val="hy-AM"/>
        </w:rPr>
        <w:t>ությունը</w:t>
      </w:r>
      <w:r w:rsidR="004F5608" w:rsidRPr="00EF7399">
        <w:rPr>
          <w:rFonts w:ascii="Times New Roman" w:hAnsi="Times New Roman" w:cs="Times New Roman"/>
          <w:lang w:val="af-ZA"/>
        </w:rPr>
        <w:t>)</w:t>
      </w:r>
      <w:r w:rsidR="00401439" w:rsidRPr="00EF7399">
        <w:rPr>
          <w:rFonts w:ascii="Times New Roman" w:hAnsi="Times New Roman" w:cs="Times New Roman"/>
          <w:lang w:val="af-ZA"/>
        </w:rPr>
        <w:t xml:space="preserve">: Նույնը վերաբերում է հանրահավաքի ընթացքում մասնակիցներին ցրելու կամ ձերբակալելու նպատակով իշխանությունների ձեռնարկած միջոցառումներին և դրան մասնակցելու համար կիրառվող պատիժներին </w:t>
      </w:r>
      <w:r w:rsidR="004F5608" w:rsidRPr="00EF7399">
        <w:rPr>
          <w:rFonts w:ascii="Times New Roman" w:hAnsi="Times New Roman" w:cs="Times New Roman"/>
          <w:lang w:val="af-ZA"/>
        </w:rPr>
        <w:t>(</w:t>
      </w:r>
      <w:hyperlink r:id="rId155" w:history="1">
        <w:r w:rsidR="004F5608" w:rsidRPr="00EF7399">
          <w:rPr>
            <w:rStyle w:val="Hyperlink"/>
            <w:rFonts w:ascii="Times New Roman" w:hAnsi="Times New Roman" w:cs="Times New Roman"/>
            <w:lang w:val="af-ZA"/>
          </w:rPr>
          <w:t>Kasparov and Others</w:t>
        </w:r>
        <w:r w:rsidR="00873234" w:rsidRPr="00EF7399">
          <w:rPr>
            <w:rStyle w:val="Hyperlink"/>
            <w:rFonts w:ascii="Times New Roman" w:hAnsi="Times New Roman" w:cs="Times New Roman"/>
            <w:lang w:val="af-ZA"/>
          </w:rPr>
          <w:t xml:space="preserve"> v. </w:t>
        </w:r>
        <w:r w:rsidR="004F5608" w:rsidRPr="00EF7399">
          <w:rPr>
            <w:rStyle w:val="Hyperlink"/>
            <w:rFonts w:ascii="Times New Roman" w:hAnsi="Times New Roman" w:cs="Times New Roman"/>
            <w:lang w:val="af-ZA"/>
          </w:rPr>
          <w:t>Russia</w:t>
        </w:r>
      </w:hyperlink>
      <w:r w:rsidR="004F5608" w:rsidRPr="00EF7399">
        <w:rPr>
          <w:rFonts w:ascii="Times New Roman" w:hAnsi="Times New Roman" w:cs="Times New Roman"/>
          <w:lang w:val="af-ZA"/>
        </w:rPr>
        <w:t xml:space="preserve">, </w:t>
      </w:r>
      <w:r w:rsidR="001E21F4" w:rsidRPr="00EF7399">
        <w:rPr>
          <w:rFonts w:ascii="Times New Roman" w:hAnsi="Times New Roman" w:cs="Times New Roman"/>
          <w:lang w:val="af-ZA"/>
        </w:rPr>
        <w:t xml:space="preserve">2013, </w:t>
      </w:r>
      <w:r w:rsidR="00873234" w:rsidRPr="00EF7399">
        <w:rPr>
          <w:rFonts w:ascii="Times New Roman" w:hAnsi="Times New Roman" w:cs="Times New Roman"/>
          <w:lang w:val="af-ZA"/>
        </w:rPr>
        <w:t>§ </w:t>
      </w:r>
      <w:r w:rsidR="004F5608" w:rsidRPr="00EF7399">
        <w:rPr>
          <w:rFonts w:ascii="Times New Roman" w:hAnsi="Times New Roman" w:cs="Times New Roman"/>
          <w:lang w:val="af-ZA"/>
        </w:rPr>
        <w:t xml:space="preserve">84; </w:t>
      </w:r>
      <w:hyperlink r:id="rId156" w:history="1">
        <w:r w:rsidR="004F5608" w:rsidRPr="00EF7399">
          <w:rPr>
            <w:rStyle w:val="Hyperlink"/>
            <w:rFonts w:ascii="Times New Roman" w:hAnsi="Times New Roman" w:cs="Times New Roman"/>
            <w:lang w:val="af-ZA"/>
          </w:rPr>
          <w:t>Gafgaz Mammadov</w:t>
        </w:r>
        <w:r w:rsidR="00873234" w:rsidRPr="00EF7399">
          <w:rPr>
            <w:rStyle w:val="Hyperlink"/>
            <w:rFonts w:ascii="Times New Roman" w:hAnsi="Times New Roman" w:cs="Times New Roman"/>
            <w:lang w:val="af-ZA"/>
          </w:rPr>
          <w:t xml:space="preserve"> v. </w:t>
        </w:r>
        <w:r w:rsidR="004F5608" w:rsidRPr="00EF7399">
          <w:rPr>
            <w:rStyle w:val="Hyperlink"/>
            <w:rFonts w:ascii="Times New Roman" w:hAnsi="Times New Roman" w:cs="Times New Roman"/>
            <w:lang w:val="af-ZA"/>
          </w:rPr>
          <w:t>Azerbaijan</w:t>
        </w:r>
      </w:hyperlink>
      <w:r w:rsidR="004F5608" w:rsidRPr="00EF7399">
        <w:rPr>
          <w:rFonts w:ascii="Times New Roman" w:hAnsi="Times New Roman" w:cs="Times New Roman"/>
          <w:lang w:val="af-ZA"/>
        </w:rPr>
        <w:t xml:space="preserve">, </w:t>
      </w:r>
      <w:r w:rsidR="00A92893"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004F5608" w:rsidRPr="00EF7399">
        <w:rPr>
          <w:rFonts w:ascii="Times New Roman" w:hAnsi="Times New Roman" w:cs="Times New Roman"/>
          <w:lang w:val="af-ZA"/>
        </w:rPr>
        <w:t>50)</w:t>
      </w:r>
      <w:r w:rsidR="00401439" w:rsidRPr="00EF7399">
        <w:rPr>
          <w:rFonts w:ascii="Times New Roman" w:hAnsi="Times New Roman" w:cs="Times New Roman"/>
          <w:lang w:val="af-ZA"/>
        </w:rPr>
        <w:t>: Հավաքը ցրելու ընթացքում խաղաղ ցուցարարների դեմ կամ հասարակական կարգը պահպանելու նպատակով ոստիկանության կողմից ուժի կիրառումը</w:t>
      </w:r>
      <w:r w:rsidR="0010719E" w:rsidRPr="00EF7399">
        <w:rPr>
          <w:rFonts w:ascii="Times New Roman" w:hAnsi="Times New Roman" w:cs="Times New Roman"/>
          <w:lang w:val="af-ZA"/>
        </w:rPr>
        <w:t xml:space="preserve"> միջամտություն</w:t>
      </w:r>
      <w:r w:rsidR="00812D55" w:rsidRPr="00EF7399">
        <w:rPr>
          <w:rFonts w:ascii="Times New Roman" w:hAnsi="Times New Roman" w:cs="Times New Roman"/>
          <w:lang w:val="hy-AM"/>
        </w:rPr>
        <w:t xml:space="preserve"> է</w:t>
      </w:r>
      <w:r w:rsidR="0010719E" w:rsidRPr="00EF7399">
        <w:rPr>
          <w:rFonts w:ascii="Times New Roman" w:hAnsi="Times New Roman" w:cs="Times New Roman"/>
          <w:lang w:val="af-ZA"/>
        </w:rPr>
        <w:t xml:space="preserve"> խ</w:t>
      </w:r>
      <w:r w:rsidR="00401439" w:rsidRPr="00EF7399">
        <w:rPr>
          <w:rFonts w:ascii="Times New Roman" w:hAnsi="Times New Roman" w:cs="Times New Roman"/>
          <w:lang w:val="af-ZA"/>
        </w:rPr>
        <w:t>աղաղ հավաքների ազատությանը</w:t>
      </w:r>
      <w:r w:rsidR="0010719E" w:rsidRPr="00EF7399">
        <w:rPr>
          <w:rFonts w:ascii="Times New Roman" w:hAnsi="Times New Roman" w:cs="Times New Roman"/>
          <w:lang w:val="af-ZA"/>
        </w:rPr>
        <w:t xml:space="preserve"> </w:t>
      </w:r>
      <w:r w:rsidR="00FF78B0" w:rsidRPr="00EF7399">
        <w:rPr>
          <w:rFonts w:ascii="Times New Roman" w:hAnsi="Times New Roman" w:cs="Times New Roman"/>
          <w:lang w:val="af-ZA"/>
        </w:rPr>
        <w:t>(</w:t>
      </w:r>
      <w:hyperlink r:id="rId157" w:history="1">
        <w:r w:rsidR="00481003" w:rsidRPr="00EF7399">
          <w:rPr>
            <w:rStyle w:val="Hyperlink"/>
            <w:rFonts w:ascii="Times New Roman" w:hAnsi="Times New Roman" w:cs="Times New Roman"/>
            <w:lang w:val="af-ZA"/>
          </w:rPr>
          <w:t>Laguna Guzman</w:t>
        </w:r>
        <w:r w:rsidR="00873234" w:rsidRPr="00EF7399">
          <w:rPr>
            <w:rStyle w:val="Hyperlink"/>
            <w:rFonts w:ascii="Times New Roman" w:hAnsi="Times New Roman" w:cs="Times New Roman"/>
            <w:lang w:val="af-ZA"/>
          </w:rPr>
          <w:t xml:space="preserve"> v. </w:t>
        </w:r>
        <w:r w:rsidR="00481003" w:rsidRPr="00EF7399">
          <w:rPr>
            <w:rStyle w:val="Hyperlink"/>
            <w:rFonts w:ascii="Times New Roman" w:hAnsi="Times New Roman" w:cs="Times New Roman"/>
            <w:lang w:val="af-ZA"/>
          </w:rPr>
          <w:t>Spain</w:t>
        </w:r>
      </w:hyperlink>
      <w:r w:rsidR="00CB48C1" w:rsidRPr="00EF7399">
        <w:rPr>
          <w:rFonts w:ascii="Times New Roman" w:hAnsi="Times New Roman" w:cs="Times New Roman"/>
          <w:iCs/>
          <w:lang w:val="af-ZA"/>
        </w:rPr>
        <w:t xml:space="preserve">, </w:t>
      </w:r>
      <w:r w:rsidR="001E21F4" w:rsidRPr="00EF7399">
        <w:rPr>
          <w:rFonts w:ascii="Times New Roman" w:hAnsi="Times New Roman" w:cs="Times New Roman"/>
          <w:iCs/>
          <w:lang w:val="af-ZA"/>
        </w:rPr>
        <w:t xml:space="preserve">2020, </w:t>
      </w:r>
      <w:r w:rsidR="00873234" w:rsidRPr="00EF7399">
        <w:rPr>
          <w:rFonts w:ascii="Times New Roman" w:hAnsi="Times New Roman" w:cs="Times New Roman"/>
          <w:iCs/>
          <w:lang w:val="af-ZA"/>
        </w:rPr>
        <w:t>§ </w:t>
      </w:r>
      <w:r w:rsidR="00CB48C1" w:rsidRPr="00EF7399">
        <w:rPr>
          <w:rFonts w:ascii="Times New Roman" w:hAnsi="Times New Roman" w:cs="Times New Roman"/>
          <w:iCs/>
          <w:lang w:val="af-ZA"/>
        </w:rPr>
        <w:t>42;</w:t>
      </w:r>
      <w:r w:rsidR="00CB48C1" w:rsidRPr="00EF7399">
        <w:rPr>
          <w:rFonts w:ascii="Times New Roman" w:hAnsi="Times New Roman" w:cs="Times New Roman"/>
          <w:i/>
          <w:lang w:val="af-ZA"/>
        </w:rPr>
        <w:t xml:space="preserve"> </w:t>
      </w:r>
      <w:hyperlink r:id="rId158" w:history="1">
        <w:r w:rsidR="00481003" w:rsidRPr="00EF7399">
          <w:rPr>
            <w:rStyle w:val="Hyperlink"/>
            <w:rFonts w:ascii="Times New Roman" w:hAnsi="Times New Roman" w:cs="Times New Roman"/>
            <w:lang w:val="af-ZA"/>
          </w:rPr>
          <w:t>Zakharov and Varzhabetyan</w:t>
        </w:r>
        <w:r w:rsidR="00873234" w:rsidRPr="00EF7399">
          <w:rPr>
            <w:rStyle w:val="Hyperlink"/>
            <w:rFonts w:ascii="Times New Roman" w:hAnsi="Times New Roman" w:cs="Times New Roman"/>
            <w:lang w:val="af-ZA"/>
          </w:rPr>
          <w:t xml:space="preserve"> v. </w:t>
        </w:r>
        <w:r w:rsidR="00481003" w:rsidRPr="00EF7399">
          <w:rPr>
            <w:rStyle w:val="Hyperlink"/>
            <w:rFonts w:ascii="Times New Roman" w:hAnsi="Times New Roman" w:cs="Times New Roman"/>
            <w:lang w:val="af-ZA"/>
          </w:rPr>
          <w:t>Russia</w:t>
        </w:r>
      </w:hyperlink>
      <w:r w:rsidR="00CB48C1" w:rsidRPr="00EF7399">
        <w:rPr>
          <w:rFonts w:ascii="Times New Roman" w:hAnsi="Times New Roman" w:cs="Times New Roman"/>
          <w:iCs/>
          <w:lang w:val="af-ZA"/>
        </w:rPr>
        <w:t>,</w:t>
      </w:r>
      <w:r w:rsidR="001E21F4" w:rsidRPr="00EF7399">
        <w:rPr>
          <w:rFonts w:ascii="Times New Roman" w:hAnsi="Times New Roman" w:cs="Times New Roman"/>
          <w:iCs/>
          <w:lang w:val="af-ZA"/>
        </w:rPr>
        <w:t xml:space="preserve"> 2020,</w:t>
      </w:r>
      <w:r w:rsidR="00CB48C1" w:rsidRPr="00EF7399">
        <w:rPr>
          <w:rFonts w:ascii="Times New Roman" w:hAnsi="Times New Roman" w:cs="Times New Roman"/>
          <w:iCs/>
          <w:lang w:val="af-ZA"/>
        </w:rPr>
        <w:t xml:space="preserve"> </w:t>
      </w:r>
      <w:r w:rsidR="00873234" w:rsidRPr="00EF7399">
        <w:rPr>
          <w:rFonts w:ascii="Times New Roman" w:hAnsi="Times New Roman" w:cs="Times New Roman"/>
          <w:iCs/>
          <w:lang w:val="af-ZA"/>
        </w:rPr>
        <w:t>§ </w:t>
      </w:r>
      <w:r w:rsidR="00CB48C1" w:rsidRPr="00EF7399">
        <w:rPr>
          <w:rFonts w:ascii="Times New Roman" w:hAnsi="Times New Roman" w:cs="Times New Roman"/>
          <w:iCs/>
          <w:lang w:val="af-ZA"/>
        </w:rPr>
        <w:t>88</w:t>
      </w:r>
      <w:r w:rsidR="00FF78B0" w:rsidRPr="00EF7399">
        <w:rPr>
          <w:rFonts w:ascii="Times New Roman" w:hAnsi="Times New Roman" w:cs="Times New Roman"/>
          <w:lang w:val="af-ZA"/>
        </w:rPr>
        <w:t>)</w:t>
      </w:r>
      <w:r w:rsidR="0010719E" w:rsidRPr="00EF7399">
        <w:rPr>
          <w:rFonts w:ascii="Times New Roman" w:hAnsi="Times New Roman" w:cs="Times New Roman"/>
          <w:lang w:val="af-ZA"/>
        </w:rPr>
        <w:t>:</w:t>
      </w:r>
    </w:p>
    <w:bookmarkStart w:id="44" w:name="Para51_thereare_two_types"/>
    <w:p w14:paraId="4488745B" w14:textId="7B025A17" w:rsidR="00A32622" w:rsidRPr="00EF7399" w:rsidRDefault="00A32622" w:rsidP="00A3262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52</w:t>
      </w:r>
      <w:r w:rsidRPr="00EF7399">
        <w:rPr>
          <w:rFonts w:ascii="Times New Roman" w:hAnsi="Times New Roman" w:cs="Times New Roman"/>
          <w:lang w:val="af-ZA"/>
        </w:rPr>
        <w:fldChar w:fldCharType="end"/>
      </w:r>
      <w:bookmarkEnd w:id="44"/>
      <w:r w:rsidRPr="00EF7399">
        <w:rPr>
          <w:rFonts w:ascii="Times New Roman" w:hAnsi="Times New Roman" w:cs="Times New Roman"/>
          <w:lang w:val="af-ZA"/>
        </w:rPr>
        <w:t>. </w:t>
      </w:r>
      <w:r w:rsidR="00812D55" w:rsidRPr="00EF7399">
        <w:rPr>
          <w:rFonts w:ascii="Times New Roman" w:hAnsi="Times New Roman" w:cs="Times New Roman"/>
          <w:lang w:val="hy-AM"/>
        </w:rPr>
        <w:t>Ե</w:t>
      </w:r>
      <w:r w:rsidR="0010719E" w:rsidRPr="00EF7399">
        <w:rPr>
          <w:rFonts w:ascii="Times New Roman" w:hAnsi="Times New Roman" w:cs="Times New Roman"/>
          <w:lang w:val="af-ZA"/>
        </w:rPr>
        <w:t>րկու տեսակի սահմանափակումներ</w:t>
      </w:r>
      <w:r w:rsidR="00812D55" w:rsidRPr="00EF7399">
        <w:rPr>
          <w:rFonts w:ascii="Times New Roman" w:hAnsi="Times New Roman" w:cs="Times New Roman"/>
          <w:lang w:val="hy-AM"/>
        </w:rPr>
        <w:t xml:space="preserve"> են առկա</w:t>
      </w:r>
      <w:r w:rsidR="0010719E" w:rsidRPr="00EF7399">
        <w:rPr>
          <w:rFonts w:ascii="Times New Roman" w:hAnsi="Times New Roman" w:cs="Times New Roman"/>
          <w:lang w:val="af-ZA"/>
        </w:rPr>
        <w:t>, որոնցից յուրաքանչյուրն առաջացնում է մի շարք իրավական հարցեր</w:t>
      </w:r>
      <w:r w:rsidR="001533D4" w:rsidRPr="00EF7399">
        <w:rPr>
          <w:rFonts w:ascii="Times New Roman" w:hAnsi="Times New Roman" w:cs="Times New Roman"/>
          <w:lang w:val="af-ZA"/>
        </w:rPr>
        <w:t xml:space="preserve">: Առաջին տեսակը </w:t>
      </w:r>
      <w:r w:rsidR="0065456C" w:rsidRPr="00EF7399">
        <w:rPr>
          <w:rFonts w:ascii="Times New Roman" w:hAnsi="Times New Roman" w:cs="Times New Roman"/>
          <w:lang w:val="hy-AM"/>
        </w:rPr>
        <w:t>ներառում</w:t>
      </w:r>
      <w:r w:rsidR="0065456C" w:rsidRPr="00EF7399">
        <w:rPr>
          <w:rFonts w:ascii="Times New Roman" w:hAnsi="Times New Roman" w:cs="Times New Roman"/>
          <w:lang w:val="af-ZA"/>
        </w:rPr>
        <w:t xml:space="preserve"> </w:t>
      </w:r>
      <w:r w:rsidR="001533D4" w:rsidRPr="00EF7399">
        <w:rPr>
          <w:rFonts w:ascii="Times New Roman" w:hAnsi="Times New Roman" w:cs="Times New Roman"/>
          <w:lang w:val="af-ZA"/>
        </w:rPr>
        <w:t>է հավաքների ազատության իրավունքի իրա</w:t>
      </w:r>
      <w:r w:rsidR="0065456C" w:rsidRPr="00EF7399">
        <w:rPr>
          <w:rFonts w:ascii="Times New Roman" w:hAnsi="Times New Roman" w:cs="Times New Roman"/>
          <w:lang w:val="hy-AM"/>
        </w:rPr>
        <w:t>ցմ</w:t>
      </w:r>
      <w:r w:rsidR="001533D4" w:rsidRPr="00EF7399">
        <w:rPr>
          <w:rFonts w:ascii="Times New Roman" w:hAnsi="Times New Roman" w:cs="Times New Roman"/>
          <w:lang w:val="af-ZA"/>
        </w:rPr>
        <w:t>ան պայմաններ</w:t>
      </w:r>
      <w:r w:rsidR="0065456C" w:rsidRPr="00EF7399">
        <w:rPr>
          <w:rFonts w:ascii="Times New Roman" w:hAnsi="Times New Roman" w:cs="Times New Roman"/>
          <w:lang w:val="hy-AM"/>
        </w:rPr>
        <w:t>ը</w:t>
      </w:r>
      <w:r w:rsidR="001533D4" w:rsidRPr="00EF7399">
        <w:rPr>
          <w:rFonts w:ascii="Times New Roman" w:hAnsi="Times New Roman" w:cs="Times New Roman"/>
          <w:lang w:val="af-ZA"/>
        </w:rPr>
        <w:t>, մասնավորապես` հավաքի պլանավորման և անցկացման կանոններ</w:t>
      </w:r>
      <w:r w:rsidR="0065456C" w:rsidRPr="00EF7399">
        <w:rPr>
          <w:rFonts w:ascii="Times New Roman" w:hAnsi="Times New Roman" w:cs="Times New Roman"/>
          <w:lang w:val="hy-AM"/>
        </w:rPr>
        <w:t>ը՝ սահմանված</w:t>
      </w:r>
      <w:r w:rsidR="001533D4" w:rsidRPr="00EF7399">
        <w:rPr>
          <w:rFonts w:ascii="Times New Roman" w:hAnsi="Times New Roman" w:cs="Times New Roman"/>
          <w:lang w:val="af-ZA"/>
        </w:rPr>
        <w:t xml:space="preserve"> պարտադիր </w:t>
      </w:r>
      <w:r w:rsidR="001E59F8" w:rsidRPr="00EF7399">
        <w:rPr>
          <w:rFonts w:ascii="Times New Roman" w:hAnsi="Times New Roman" w:cs="Times New Roman"/>
          <w:lang w:val="af-ZA"/>
        </w:rPr>
        <w:t>իրազեկման</w:t>
      </w:r>
      <w:r w:rsidR="001533D4" w:rsidRPr="00EF7399">
        <w:rPr>
          <w:rFonts w:ascii="Times New Roman" w:hAnsi="Times New Roman" w:cs="Times New Roman"/>
          <w:lang w:val="af-ZA"/>
        </w:rPr>
        <w:t xml:space="preserve"> և </w:t>
      </w:r>
      <w:r w:rsidR="00E038C3" w:rsidRPr="00EF7399">
        <w:rPr>
          <w:rFonts w:ascii="Times New Roman" w:hAnsi="Times New Roman" w:cs="Times New Roman"/>
          <w:lang w:val="af-ZA"/>
        </w:rPr>
        <w:t>արտոնման</w:t>
      </w:r>
      <w:r w:rsidR="00B23572" w:rsidRPr="00EF7399">
        <w:rPr>
          <w:rFonts w:ascii="Times New Roman" w:hAnsi="Times New Roman" w:cs="Times New Roman"/>
          <w:lang w:val="af-ZA"/>
        </w:rPr>
        <w:t xml:space="preserve"> </w:t>
      </w:r>
      <w:r w:rsidR="0065456C" w:rsidRPr="00EF7399">
        <w:rPr>
          <w:rFonts w:ascii="Times New Roman" w:hAnsi="Times New Roman" w:cs="Times New Roman"/>
          <w:lang w:val="hy-AM"/>
        </w:rPr>
        <w:t>ընթացա</w:t>
      </w:r>
      <w:r w:rsidR="00B23572" w:rsidRPr="00EF7399">
        <w:rPr>
          <w:rFonts w:ascii="Times New Roman" w:hAnsi="Times New Roman" w:cs="Times New Roman"/>
          <w:lang w:val="af-ZA"/>
        </w:rPr>
        <w:t>կարգերի միջոցով: Այստեսակ սահմանափակումներ</w:t>
      </w:r>
      <w:r w:rsidR="0065456C" w:rsidRPr="00EF7399">
        <w:rPr>
          <w:rFonts w:ascii="Times New Roman" w:hAnsi="Times New Roman" w:cs="Times New Roman"/>
          <w:lang w:val="hy-AM"/>
        </w:rPr>
        <w:t>ը</w:t>
      </w:r>
      <w:r w:rsidR="00B23572" w:rsidRPr="00EF7399">
        <w:rPr>
          <w:rFonts w:ascii="Times New Roman" w:hAnsi="Times New Roman" w:cs="Times New Roman"/>
          <w:lang w:val="af-ZA"/>
        </w:rPr>
        <w:t xml:space="preserve"> հիմնական</w:t>
      </w:r>
      <w:r w:rsidR="0065456C" w:rsidRPr="00EF7399">
        <w:rPr>
          <w:rFonts w:ascii="Times New Roman" w:hAnsi="Times New Roman" w:cs="Times New Roman"/>
          <w:lang w:val="hy-AM"/>
        </w:rPr>
        <w:t>ում</w:t>
      </w:r>
      <w:r w:rsidR="00B23572" w:rsidRPr="00EF7399">
        <w:rPr>
          <w:rFonts w:ascii="Times New Roman" w:hAnsi="Times New Roman" w:cs="Times New Roman"/>
          <w:lang w:val="af-ZA"/>
        </w:rPr>
        <w:t xml:space="preserve"> </w:t>
      </w:r>
      <w:r w:rsidR="0065456C" w:rsidRPr="00EF7399">
        <w:rPr>
          <w:rFonts w:ascii="Times New Roman" w:hAnsi="Times New Roman" w:cs="Times New Roman"/>
          <w:lang w:val="hy-AM"/>
        </w:rPr>
        <w:t>ուղղված</w:t>
      </w:r>
      <w:r w:rsidR="0065456C" w:rsidRPr="00EF7399">
        <w:rPr>
          <w:rFonts w:ascii="Times New Roman" w:hAnsi="Times New Roman" w:cs="Times New Roman"/>
          <w:lang w:val="af-ZA"/>
        </w:rPr>
        <w:t xml:space="preserve"> </w:t>
      </w:r>
      <w:r w:rsidR="00B23572" w:rsidRPr="00EF7399">
        <w:rPr>
          <w:rFonts w:ascii="Times New Roman" w:hAnsi="Times New Roman" w:cs="Times New Roman"/>
          <w:lang w:val="af-ZA"/>
        </w:rPr>
        <w:t>են հավաքի կազմակերպիչներ</w:t>
      </w:r>
      <w:r w:rsidR="0065456C" w:rsidRPr="00EF7399">
        <w:rPr>
          <w:rFonts w:ascii="Times New Roman" w:hAnsi="Times New Roman" w:cs="Times New Roman"/>
          <w:lang w:val="hy-AM"/>
        </w:rPr>
        <w:t>ին</w:t>
      </w:r>
      <w:r w:rsidR="00B23572" w:rsidRPr="00EF7399">
        <w:rPr>
          <w:rFonts w:ascii="Times New Roman" w:hAnsi="Times New Roman" w:cs="Times New Roman"/>
          <w:lang w:val="af-ZA"/>
        </w:rPr>
        <w:t xml:space="preserve"> </w:t>
      </w:r>
      <w:r w:rsidR="00565500" w:rsidRPr="00EF7399">
        <w:rPr>
          <w:rFonts w:ascii="Times New Roman" w:hAnsi="Times New Roman" w:cs="Times New Roman"/>
          <w:lang w:val="af-ZA"/>
        </w:rPr>
        <w:t>(</w:t>
      </w:r>
      <w:r w:rsidR="00B23572" w:rsidRPr="00EF7399">
        <w:rPr>
          <w:rFonts w:ascii="Times New Roman" w:hAnsi="Times New Roman" w:cs="Times New Roman"/>
          <w:lang w:val="af-ZA"/>
        </w:rPr>
        <w:t>տե՛ս</w:t>
      </w:r>
      <w:r w:rsidR="00565500" w:rsidRPr="00EF7399">
        <w:rPr>
          <w:rFonts w:ascii="Times New Roman" w:hAnsi="Times New Roman" w:cs="Times New Roman"/>
          <w:lang w:val="af-ZA"/>
        </w:rPr>
        <w:t xml:space="preserve"> </w:t>
      </w:r>
      <w:r w:rsidR="00B23572" w:rsidRPr="00EF7399">
        <w:rPr>
          <w:rFonts w:ascii="Times New Roman" w:hAnsi="Times New Roman" w:cs="Times New Roman"/>
          <w:lang w:val="af-ZA"/>
        </w:rPr>
        <w:t>«</w:t>
      </w:r>
      <w:r w:rsidR="002903DE" w:rsidRPr="00EF7399">
        <w:rPr>
          <w:rFonts w:ascii="Times New Roman" w:hAnsi="Times New Roman" w:cs="Times New Roman"/>
          <w:lang w:val="af-ZA"/>
        </w:rPr>
        <w:fldChar w:fldCharType="begin"/>
      </w:r>
      <w:r w:rsidR="002903DE" w:rsidRPr="00EF7399">
        <w:rPr>
          <w:rFonts w:ascii="Times New Roman" w:hAnsi="Times New Roman" w:cs="Times New Roman"/>
          <w:lang w:val="af-ZA"/>
        </w:rPr>
        <w:instrText xml:space="preserve"> REF Prior_notification_authorisation_procedu \h </w:instrText>
      </w:r>
      <w:r w:rsidR="00B40BA9" w:rsidRPr="00EF7399">
        <w:rPr>
          <w:rFonts w:ascii="Times New Roman" w:hAnsi="Times New Roman" w:cs="Times New Roman"/>
          <w:lang w:val="af-ZA"/>
        </w:rPr>
        <w:instrText xml:space="preserve"> \* MERGEFORMAT </w:instrText>
      </w:r>
      <w:r w:rsidR="002903DE" w:rsidRPr="00EF7399">
        <w:rPr>
          <w:rFonts w:ascii="Times New Roman" w:hAnsi="Times New Roman" w:cs="Times New Roman"/>
          <w:lang w:val="af-ZA"/>
        </w:rPr>
      </w:r>
      <w:r w:rsidR="002903DE" w:rsidRPr="00EF7399">
        <w:rPr>
          <w:rFonts w:ascii="Times New Roman" w:hAnsi="Times New Roman" w:cs="Times New Roman"/>
          <w:lang w:val="af-ZA"/>
        </w:rPr>
        <w:fldChar w:fldCharType="separate"/>
      </w:r>
      <w:r w:rsidR="00B23572" w:rsidRPr="00EF7399">
        <w:rPr>
          <w:rFonts w:ascii="Times New Roman" w:hAnsi="Times New Roman" w:cs="Times New Roman"/>
          <w:lang w:val="af-ZA"/>
        </w:rPr>
        <w:t xml:space="preserve">Նախնական </w:t>
      </w:r>
      <w:r w:rsidR="001E59F8" w:rsidRPr="00EF7399">
        <w:rPr>
          <w:rFonts w:ascii="Times New Roman" w:hAnsi="Times New Roman" w:cs="Times New Roman"/>
          <w:lang w:val="af-ZA"/>
        </w:rPr>
        <w:t>իրազեկման</w:t>
      </w:r>
      <w:r w:rsidR="00B23572" w:rsidRPr="00EF7399">
        <w:rPr>
          <w:rFonts w:ascii="Times New Roman" w:hAnsi="Times New Roman" w:cs="Times New Roman"/>
          <w:lang w:val="af-ZA"/>
        </w:rPr>
        <w:t xml:space="preserve"> և </w:t>
      </w:r>
      <w:r w:rsidR="00E038C3" w:rsidRPr="00EF7399">
        <w:rPr>
          <w:rFonts w:ascii="Times New Roman" w:hAnsi="Times New Roman" w:cs="Times New Roman"/>
          <w:lang w:val="af-ZA"/>
        </w:rPr>
        <w:t>արտոնման</w:t>
      </w:r>
      <w:r w:rsidR="0083037C" w:rsidRPr="00EF7399">
        <w:rPr>
          <w:rFonts w:ascii="Times New Roman" w:hAnsi="Times New Roman" w:cs="Times New Roman"/>
          <w:lang w:val="af-ZA"/>
        </w:rPr>
        <w:t xml:space="preserve"> </w:t>
      </w:r>
      <w:r w:rsidR="009A66BC">
        <w:rPr>
          <w:rFonts w:ascii="Times New Roman" w:hAnsi="Times New Roman" w:cs="Times New Roman"/>
          <w:lang w:val="hy-AM"/>
        </w:rPr>
        <w:t>ընթացա</w:t>
      </w:r>
      <w:r w:rsidR="00B23572" w:rsidRPr="00EF7399">
        <w:rPr>
          <w:rFonts w:ascii="Times New Roman" w:hAnsi="Times New Roman" w:cs="Times New Roman"/>
          <w:lang w:val="af-ZA"/>
        </w:rPr>
        <w:t>կարգեր</w:t>
      </w:r>
      <w:r w:rsidR="002903DE" w:rsidRPr="00EF7399">
        <w:rPr>
          <w:rFonts w:ascii="Times New Roman" w:hAnsi="Times New Roman" w:cs="Times New Roman"/>
          <w:lang w:val="af-ZA"/>
        </w:rPr>
        <w:fldChar w:fldCharType="end"/>
      </w:r>
      <w:r w:rsidR="009A66BC">
        <w:rPr>
          <w:rFonts w:ascii="Times New Roman" w:hAnsi="Times New Roman" w:cs="Times New Roman"/>
          <w:lang w:val="hy-AM"/>
        </w:rPr>
        <w:t>ը</w:t>
      </w:r>
      <w:r w:rsidR="00B23572" w:rsidRPr="00EF7399">
        <w:rPr>
          <w:rFonts w:ascii="Times New Roman" w:hAnsi="Times New Roman" w:cs="Times New Roman"/>
          <w:lang w:val="af-ZA"/>
        </w:rPr>
        <w:t>» բաժինը</w:t>
      </w:r>
      <w:r w:rsidRPr="00EF7399">
        <w:rPr>
          <w:rFonts w:ascii="Times New Roman" w:hAnsi="Times New Roman" w:cs="Times New Roman"/>
          <w:lang w:val="af-ZA"/>
        </w:rPr>
        <w:t>)</w:t>
      </w:r>
      <w:r w:rsidR="00B23572" w:rsidRPr="00EF7399">
        <w:rPr>
          <w:rFonts w:ascii="Times New Roman" w:hAnsi="Times New Roman" w:cs="Times New Roman"/>
          <w:lang w:val="af-ZA"/>
        </w:rPr>
        <w:t>:</w:t>
      </w:r>
    </w:p>
    <w:p w14:paraId="41E4B102" w14:textId="595C788D" w:rsidR="00A32622" w:rsidRPr="00EF7399" w:rsidRDefault="001E59F8" w:rsidP="00A32622">
      <w:pPr>
        <w:pStyle w:val="ECHRParaSpaced"/>
        <w:rPr>
          <w:rFonts w:ascii="Times New Roman" w:hAnsi="Times New Roman" w:cs="Times New Roman"/>
          <w:lang w:val="af-ZA"/>
        </w:rPr>
      </w:pPr>
      <w:r w:rsidRPr="00EF7399">
        <w:rPr>
          <w:rFonts w:ascii="Times New Roman" w:hAnsi="Times New Roman" w:cs="Times New Roman"/>
          <w:lang w:val="af-ZA"/>
        </w:rPr>
        <w:t>Սահմանափակումների երկրորդ տեսակն ընդգրկում է հարկադր</w:t>
      </w:r>
      <w:r w:rsidR="0065456C" w:rsidRPr="00EF7399">
        <w:rPr>
          <w:rFonts w:ascii="Times New Roman" w:hAnsi="Times New Roman" w:cs="Times New Roman"/>
          <w:lang w:val="hy-AM"/>
        </w:rPr>
        <w:t>ական</w:t>
      </w:r>
      <w:r w:rsidRPr="00EF7399">
        <w:rPr>
          <w:rFonts w:ascii="Times New Roman" w:hAnsi="Times New Roman" w:cs="Times New Roman"/>
          <w:lang w:val="af-ZA"/>
        </w:rPr>
        <w:t xml:space="preserve"> միջոցներ</w:t>
      </w:r>
      <w:r w:rsidR="0065456C" w:rsidRPr="00EF7399">
        <w:rPr>
          <w:rFonts w:ascii="Times New Roman" w:hAnsi="Times New Roman" w:cs="Times New Roman"/>
          <w:lang w:val="hy-AM"/>
        </w:rPr>
        <w:t>, ինչպիսիք են՝</w:t>
      </w:r>
      <w:r w:rsidRPr="00EF7399">
        <w:rPr>
          <w:rFonts w:ascii="Times New Roman" w:hAnsi="Times New Roman" w:cs="Times New Roman"/>
          <w:lang w:val="af-ZA"/>
        </w:rPr>
        <w:t xml:space="preserve"> ամբոխի կառավարում</w:t>
      </w:r>
      <w:r w:rsidR="0065456C" w:rsidRPr="00EF7399">
        <w:rPr>
          <w:rFonts w:ascii="Times New Roman" w:hAnsi="Times New Roman" w:cs="Times New Roman"/>
          <w:lang w:val="hy-AM"/>
        </w:rPr>
        <w:t>ը</w:t>
      </w:r>
      <w:r w:rsidRPr="00EF7399">
        <w:rPr>
          <w:rFonts w:ascii="Times New Roman" w:hAnsi="Times New Roman" w:cs="Times New Roman"/>
          <w:lang w:val="af-ZA"/>
        </w:rPr>
        <w:t xml:space="preserve">, </w:t>
      </w:r>
      <w:r w:rsidR="004D6CC3" w:rsidRPr="00EF7399">
        <w:rPr>
          <w:rFonts w:ascii="Times New Roman" w:hAnsi="Times New Roman" w:cs="Times New Roman"/>
          <w:lang w:val="af-ZA"/>
        </w:rPr>
        <w:t>հավաքի ցրում</w:t>
      </w:r>
      <w:r w:rsidR="0065456C" w:rsidRPr="00EF7399">
        <w:rPr>
          <w:rFonts w:ascii="Times New Roman" w:hAnsi="Times New Roman" w:cs="Times New Roman"/>
          <w:lang w:val="hy-AM"/>
        </w:rPr>
        <w:t>ը</w:t>
      </w:r>
      <w:r w:rsidR="004D6CC3" w:rsidRPr="00EF7399">
        <w:rPr>
          <w:rFonts w:ascii="Times New Roman" w:hAnsi="Times New Roman" w:cs="Times New Roman"/>
          <w:lang w:val="af-ZA"/>
        </w:rPr>
        <w:t>, մասնակիցների ձերբակալում</w:t>
      </w:r>
      <w:r w:rsidR="0065456C" w:rsidRPr="00EF7399">
        <w:rPr>
          <w:rFonts w:ascii="Times New Roman" w:hAnsi="Times New Roman" w:cs="Times New Roman"/>
          <w:lang w:val="hy-AM"/>
        </w:rPr>
        <w:t>ը</w:t>
      </w:r>
      <w:r w:rsidR="004D6CC3" w:rsidRPr="00EF7399">
        <w:rPr>
          <w:rFonts w:ascii="Times New Roman" w:hAnsi="Times New Roman" w:cs="Times New Roman"/>
          <w:lang w:val="af-ZA"/>
        </w:rPr>
        <w:t xml:space="preserve"> և</w:t>
      </w:r>
      <w:r w:rsidR="00E54BB7">
        <w:rPr>
          <w:rFonts w:ascii="Times New Roman" w:hAnsi="Times New Roman" w:cs="Times New Roman"/>
          <w:lang w:val="hy-AM"/>
        </w:rPr>
        <w:t xml:space="preserve"> </w:t>
      </w:r>
      <w:r w:rsidR="0065456C" w:rsidRPr="001B2612">
        <w:rPr>
          <w:rFonts w:ascii="Times New Roman" w:hAnsi="Times New Roman" w:cs="Times New Roman"/>
          <w:lang w:val="af-ZA"/>
        </w:rPr>
        <w:t>(</w:t>
      </w:r>
      <w:r w:rsidR="004D6CC3" w:rsidRPr="00EF7399">
        <w:rPr>
          <w:rFonts w:ascii="Times New Roman" w:hAnsi="Times New Roman" w:cs="Times New Roman"/>
          <w:lang w:val="af-ZA"/>
        </w:rPr>
        <w:t>կամ</w:t>
      </w:r>
      <w:r w:rsidR="0065456C" w:rsidRPr="00EF7399">
        <w:rPr>
          <w:rFonts w:ascii="Times New Roman" w:hAnsi="Times New Roman" w:cs="Times New Roman"/>
          <w:lang w:val="af-ZA"/>
        </w:rPr>
        <w:t>)</w:t>
      </w:r>
      <w:r w:rsidR="004D6CC3" w:rsidRPr="00EF7399">
        <w:rPr>
          <w:rFonts w:ascii="Times New Roman" w:hAnsi="Times New Roman" w:cs="Times New Roman"/>
          <w:lang w:val="af-ZA"/>
        </w:rPr>
        <w:t xml:space="preserve"> հաջորդող </w:t>
      </w:r>
      <w:r w:rsidR="008F5A71" w:rsidRPr="00EF7399">
        <w:rPr>
          <w:rFonts w:ascii="Times New Roman" w:hAnsi="Times New Roman" w:cs="Times New Roman"/>
          <w:lang w:val="hy-AM"/>
        </w:rPr>
        <w:t>պատիժները</w:t>
      </w:r>
      <w:r w:rsidR="004D6CC3" w:rsidRPr="00EF7399">
        <w:rPr>
          <w:rFonts w:ascii="Times New Roman" w:hAnsi="Times New Roman" w:cs="Times New Roman"/>
          <w:lang w:val="af-ZA"/>
        </w:rPr>
        <w:t>: Նման սահմանափակումներ</w:t>
      </w:r>
      <w:r w:rsidR="0065456C" w:rsidRPr="00EF7399">
        <w:rPr>
          <w:rFonts w:ascii="Times New Roman" w:hAnsi="Times New Roman" w:cs="Times New Roman"/>
          <w:lang w:val="hy-AM"/>
        </w:rPr>
        <w:t>ը</w:t>
      </w:r>
      <w:r w:rsidR="004D6CC3" w:rsidRPr="00EF7399">
        <w:rPr>
          <w:rFonts w:ascii="Times New Roman" w:hAnsi="Times New Roman" w:cs="Times New Roman"/>
          <w:lang w:val="af-ZA"/>
        </w:rPr>
        <w:t xml:space="preserve"> հիմնական</w:t>
      </w:r>
      <w:r w:rsidR="0065456C" w:rsidRPr="00EF7399">
        <w:rPr>
          <w:rFonts w:ascii="Times New Roman" w:hAnsi="Times New Roman" w:cs="Times New Roman"/>
          <w:lang w:val="hy-AM"/>
        </w:rPr>
        <w:t>ում ուղղված են</w:t>
      </w:r>
      <w:r w:rsidR="004D6CC3" w:rsidRPr="00EF7399">
        <w:rPr>
          <w:rFonts w:ascii="Times New Roman" w:hAnsi="Times New Roman" w:cs="Times New Roman"/>
          <w:lang w:val="af-ZA"/>
        </w:rPr>
        <w:t xml:space="preserve"> հավաքի </w:t>
      </w:r>
      <w:r w:rsidR="00516984" w:rsidRPr="00EF7399">
        <w:rPr>
          <w:rFonts w:ascii="Times New Roman" w:hAnsi="Times New Roman" w:cs="Times New Roman"/>
          <w:lang w:val="af-ZA"/>
        </w:rPr>
        <w:t xml:space="preserve">փաստացի, մասնակցելու ցանկություն ունեցող կամ նախկին </w:t>
      </w:r>
      <w:r w:rsidR="004D6CC3" w:rsidRPr="00EF7399">
        <w:rPr>
          <w:rFonts w:ascii="Times New Roman" w:hAnsi="Times New Roman" w:cs="Times New Roman"/>
          <w:lang w:val="af-ZA"/>
        </w:rPr>
        <w:t>մասնակիցներ</w:t>
      </w:r>
      <w:r w:rsidR="008F5A71" w:rsidRPr="00EF7399">
        <w:rPr>
          <w:rFonts w:ascii="Times New Roman" w:hAnsi="Times New Roman" w:cs="Times New Roman"/>
          <w:lang w:val="hy-AM"/>
        </w:rPr>
        <w:t>ին</w:t>
      </w:r>
      <w:r w:rsidR="00516984" w:rsidRPr="00EF7399">
        <w:rPr>
          <w:rFonts w:ascii="Times New Roman" w:hAnsi="Times New Roman" w:cs="Times New Roman"/>
          <w:lang w:val="af-ZA"/>
        </w:rPr>
        <w:t>: Հարկադր</w:t>
      </w:r>
      <w:r w:rsidR="008F5A71" w:rsidRPr="00EF7399">
        <w:rPr>
          <w:rFonts w:ascii="Times New Roman" w:hAnsi="Times New Roman" w:cs="Times New Roman"/>
          <w:lang w:val="hy-AM"/>
        </w:rPr>
        <w:t>ական</w:t>
      </w:r>
      <w:r w:rsidR="00516984" w:rsidRPr="00EF7399">
        <w:rPr>
          <w:rFonts w:ascii="Times New Roman" w:hAnsi="Times New Roman" w:cs="Times New Roman"/>
          <w:lang w:val="af-ZA"/>
        </w:rPr>
        <w:t xml:space="preserve"> միջոցները և պատիժները կարող են առնչվել հավաքների անցկացման կանոնների խախտմանը կամ դրանց ընթացքում կատարված կոնկրետ իրավախախտումներին </w:t>
      </w:r>
      <w:r w:rsidR="006238D9" w:rsidRPr="00EF7399">
        <w:rPr>
          <w:rFonts w:ascii="Times New Roman" w:hAnsi="Times New Roman" w:cs="Times New Roman"/>
          <w:lang w:val="af-ZA"/>
        </w:rPr>
        <w:t>(</w:t>
      </w:r>
      <w:r w:rsidR="00516984" w:rsidRPr="00EF7399">
        <w:rPr>
          <w:rFonts w:ascii="Times New Roman" w:hAnsi="Times New Roman" w:cs="Times New Roman"/>
          <w:lang w:val="af-ZA"/>
        </w:rPr>
        <w:t>տե</w:t>
      </w:r>
      <w:r w:rsidR="008F5A71" w:rsidRPr="00EF7399">
        <w:rPr>
          <w:rFonts w:ascii="Times New Roman" w:hAnsi="Times New Roman" w:cs="Times New Roman"/>
          <w:lang w:val="hy-AM"/>
        </w:rPr>
        <w:t>՛</w:t>
      </w:r>
      <w:r w:rsidR="00516984" w:rsidRPr="00EF7399">
        <w:rPr>
          <w:rFonts w:ascii="Times New Roman" w:hAnsi="Times New Roman" w:cs="Times New Roman"/>
          <w:lang w:val="af-ZA"/>
        </w:rPr>
        <w:t>ս</w:t>
      </w:r>
      <w:r w:rsidR="006238D9" w:rsidRPr="00EF7399">
        <w:rPr>
          <w:rFonts w:ascii="Times New Roman" w:hAnsi="Times New Roman" w:cs="Times New Roman"/>
          <w:lang w:val="af-ZA"/>
        </w:rPr>
        <w:t xml:space="preserve"> </w:t>
      </w:r>
      <w:r w:rsidR="00516984" w:rsidRPr="00EF7399">
        <w:rPr>
          <w:rFonts w:ascii="Times New Roman" w:hAnsi="Times New Roman" w:cs="Times New Roman"/>
          <w:lang w:val="af-ZA"/>
        </w:rPr>
        <w:t>«</w:t>
      </w:r>
      <w:r w:rsidR="002903DE" w:rsidRPr="00EF7399">
        <w:rPr>
          <w:rFonts w:ascii="Times New Roman" w:hAnsi="Times New Roman" w:cs="Times New Roman"/>
          <w:lang w:val="af-ZA"/>
        </w:rPr>
        <w:fldChar w:fldCharType="begin"/>
      </w:r>
      <w:r w:rsidR="002903DE" w:rsidRPr="00EF7399">
        <w:rPr>
          <w:rFonts w:ascii="Times New Roman" w:hAnsi="Times New Roman" w:cs="Times New Roman"/>
          <w:lang w:val="af-ZA"/>
        </w:rPr>
        <w:instrText xml:space="preserve"> REF Reprehensible_conduct \h </w:instrText>
      </w:r>
      <w:r w:rsidR="00B40BA9" w:rsidRPr="00EF7399">
        <w:rPr>
          <w:rFonts w:ascii="Times New Roman" w:hAnsi="Times New Roman" w:cs="Times New Roman"/>
          <w:lang w:val="af-ZA"/>
        </w:rPr>
        <w:instrText xml:space="preserve"> \* MERGEFORMAT </w:instrText>
      </w:r>
      <w:r w:rsidR="002903DE" w:rsidRPr="00EF7399">
        <w:rPr>
          <w:rFonts w:ascii="Times New Roman" w:hAnsi="Times New Roman" w:cs="Times New Roman"/>
          <w:lang w:val="af-ZA"/>
        </w:rPr>
      </w:r>
      <w:r w:rsidR="002903DE" w:rsidRPr="00EF7399">
        <w:rPr>
          <w:rFonts w:ascii="Times New Roman" w:hAnsi="Times New Roman" w:cs="Times New Roman"/>
          <w:lang w:val="af-ZA"/>
        </w:rPr>
        <w:fldChar w:fldCharType="separate"/>
      </w:r>
      <w:r w:rsidR="00516984" w:rsidRPr="00EF7399">
        <w:rPr>
          <w:rFonts w:ascii="Times New Roman" w:hAnsi="Times New Roman" w:cs="Times New Roman"/>
          <w:lang w:val="af-ZA"/>
        </w:rPr>
        <w:t>Դատապ</w:t>
      </w:r>
      <w:r w:rsidR="0065456C" w:rsidRPr="00EF7399">
        <w:rPr>
          <w:rFonts w:ascii="Times New Roman" w:hAnsi="Times New Roman" w:cs="Times New Roman"/>
          <w:lang w:val="hy-AM"/>
        </w:rPr>
        <w:t>ա</w:t>
      </w:r>
      <w:r w:rsidR="00516984" w:rsidRPr="00EF7399">
        <w:rPr>
          <w:rFonts w:ascii="Times New Roman" w:hAnsi="Times New Roman" w:cs="Times New Roman"/>
          <w:lang w:val="af-ZA"/>
        </w:rPr>
        <w:t>րտելի վարքագիծ</w:t>
      </w:r>
      <w:r w:rsidR="002903DE" w:rsidRPr="00EF7399">
        <w:rPr>
          <w:rFonts w:ascii="Times New Roman" w:hAnsi="Times New Roman" w:cs="Times New Roman"/>
          <w:lang w:val="af-ZA"/>
        </w:rPr>
        <w:fldChar w:fldCharType="end"/>
      </w:r>
      <w:r w:rsidR="00516984" w:rsidRPr="00EF7399">
        <w:rPr>
          <w:rFonts w:ascii="Times New Roman" w:hAnsi="Times New Roman" w:cs="Times New Roman"/>
          <w:lang w:val="af-ZA"/>
        </w:rPr>
        <w:t>» բաժինը</w:t>
      </w:r>
      <w:r w:rsidR="00A32622" w:rsidRPr="00EF7399">
        <w:rPr>
          <w:rFonts w:ascii="Times New Roman" w:hAnsi="Times New Roman" w:cs="Times New Roman"/>
          <w:lang w:val="af-ZA"/>
        </w:rPr>
        <w:t>)</w:t>
      </w:r>
      <w:r w:rsidR="008F5A71" w:rsidRPr="00EF7399">
        <w:rPr>
          <w:rFonts w:ascii="Times New Roman" w:hAnsi="Times New Roman" w:cs="Times New Roman"/>
          <w:lang w:val="hy-AM"/>
        </w:rPr>
        <w:t>։</w:t>
      </w:r>
    </w:p>
    <w:p w14:paraId="7D67846C" w14:textId="7785625C" w:rsidR="00A32622" w:rsidRPr="00EF7399" w:rsidRDefault="00411DBB" w:rsidP="00A3262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53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516984" w:rsidRPr="00EF7399">
        <w:rPr>
          <w:rFonts w:ascii="Times New Roman" w:hAnsi="Times New Roman" w:cs="Times New Roman"/>
          <w:lang w:val="af-ZA"/>
        </w:rPr>
        <w:t xml:space="preserve">Խաղաղ հավաքների ազատության իրավունքի </w:t>
      </w:r>
      <w:r w:rsidR="004170AF" w:rsidRPr="00EF7399">
        <w:rPr>
          <w:rFonts w:ascii="Times New Roman" w:hAnsi="Times New Roman" w:cs="Times New Roman"/>
          <w:lang w:val="hy-AM"/>
        </w:rPr>
        <w:t xml:space="preserve">իրացման </w:t>
      </w:r>
      <w:r w:rsidR="00516984" w:rsidRPr="00EF7399">
        <w:rPr>
          <w:rFonts w:ascii="Times New Roman" w:hAnsi="Times New Roman" w:cs="Times New Roman"/>
          <w:lang w:val="af-ZA"/>
        </w:rPr>
        <w:t>նկատմամբ սահմանափակումների երկու տեսակները կարող են ի հայտ գալ</w:t>
      </w:r>
      <w:r w:rsidR="004170AF" w:rsidRPr="00EF7399">
        <w:rPr>
          <w:rFonts w:ascii="Times New Roman" w:hAnsi="Times New Roman" w:cs="Times New Roman"/>
          <w:lang w:val="hy-AM"/>
        </w:rPr>
        <w:t>՝ կապված</w:t>
      </w:r>
      <w:r w:rsidR="00516984" w:rsidRPr="00EF7399">
        <w:rPr>
          <w:rFonts w:ascii="Times New Roman" w:hAnsi="Times New Roman" w:cs="Times New Roman"/>
          <w:lang w:val="af-ZA"/>
        </w:rPr>
        <w:t xml:space="preserve"> նույն միջոցառման</w:t>
      </w:r>
      <w:r w:rsidR="004170AF" w:rsidRPr="00EF7399">
        <w:rPr>
          <w:rFonts w:ascii="Times New Roman" w:hAnsi="Times New Roman" w:cs="Times New Roman"/>
          <w:lang w:val="hy-AM"/>
        </w:rPr>
        <w:t xml:space="preserve"> հետ</w:t>
      </w:r>
      <w:r w:rsidR="00516984" w:rsidRPr="00EF7399">
        <w:rPr>
          <w:rFonts w:ascii="Times New Roman" w:hAnsi="Times New Roman" w:cs="Times New Roman"/>
          <w:lang w:val="af-ZA"/>
        </w:rPr>
        <w:t xml:space="preserve"> </w:t>
      </w:r>
      <w:r w:rsidR="004F5608" w:rsidRPr="00EF7399">
        <w:rPr>
          <w:rFonts w:ascii="Times New Roman" w:hAnsi="Times New Roman" w:cs="Times New Roman"/>
          <w:lang w:val="af-ZA"/>
        </w:rPr>
        <w:t>(</w:t>
      </w:r>
      <w:hyperlink r:id="rId159" w:history="1">
        <w:r w:rsidR="004F5608" w:rsidRPr="00EF7399">
          <w:rPr>
            <w:rStyle w:val="Hyperlink"/>
            <w:rFonts w:ascii="Times New Roman" w:hAnsi="Times New Roman" w:cs="Times New Roman"/>
            <w:lang w:val="af-ZA"/>
          </w:rPr>
          <w:t>Lashmankin and Others</w:t>
        </w:r>
        <w:r w:rsidR="00873234" w:rsidRPr="00EF7399">
          <w:rPr>
            <w:rStyle w:val="Hyperlink"/>
            <w:rFonts w:ascii="Times New Roman" w:hAnsi="Times New Roman" w:cs="Times New Roman"/>
            <w:lang w:val="af-ZA"/>
          </w:rPr>
          <w:t xml:space="preserve"> v. </w:t>
        </w:r>
        <w:r w:rsidR="004F5608" w:rsidRPr="00EF7399">
          <w:rPr>
            <w:rStyle w:val="Hyperlink"/>
            <w:rFonts w:ascii="Times New Roman" w:hAnsi="Times New Roman" w:cs="Times New Roman"/>
            <w:lang w:val="af-ZA"/>
          </w:rPr>
          <w:t>Russia</w:t>
        </w:r>
      </w:hyperlink>
      <w:r w:rsidR="004F5608" w:rsidRPr="00EF7399">
        <w:rPr>
          <w:rFonts w:ascii="Times New Roman" w:hAnsi="Times New Roman" w:cs="Times New Roman"/>
          <w:lang w:val="af-ZA"/>
        </w:rPr>
        <w:t xml:space="preserve">, </w:t>
      </w:r>
      <w:r w:rsidR="001E21F4" w:rsidRPr="00EF7399">
        <w:rPr>
          <w:rFonts w:ascii="Times New Roman" w:hAnsi="Times New Roman" w:cs="Times New Roman"/>
          <w:lang w:val="af-ZA"/>
        </w:rPr>
        <w:t xml:space="preserve">2017, </w:t>
      </w:r>
      <w:r w:rsidR="00873234" w:rsidRPr="00EF7399">
        <w:rPr>
          <w:rFonts w:ascii="Times New Roman" w:hAnsi="Times New Roman" w:cs="Times New Roman"/>
          <w:lang w:val="af-ZA"/>
        </w:rPr>
        <w:t>§ </w:t>
      </w:r>
      <w:r w:rsidR="004F5608" w:rsidRPr="00EF7399">
        <w:rPr>
          <w:rFonts w:ascii="Times New Roman" w:hAnsi="Times New Roman" w:cs="Times New Roman"/>
          <w:lang w:val="af-ZA"/>
        </w:rPr>
        <w:t>407)</w:t>
      </w:r>
      <w:r w:rsidR="00516984" w:rsidRPr="00EF7399">
        <w:rPr>
          <w:rFonts w:ascii="Times New Roman" w:hAnsi="Times New Roman" w:cs="Times New Roman"/>
          <w:lang w:val="af-ZA"/>
        </w:rPr>
        <w:t>:</w:t>
      </w:r>
    </w:p>
    <w:p w14:paraId="07501641" w14:textId="3D92977F" w:rsidR="009053AB" w:rsidRPr="00EF7399" w:rsidRDefault="00516984" w:rsidP="009053AB">
      <w:pPr>
        <w:pStyle w:val="ECHRHeading3"/>
        <w:rPr>
          <w:rFonts w:ascii="Times New Roman" w:eastAsiaTheme="minorHAnsi" w:hAnsi="Times New Roman" w:cs="Times New Roman"/>
          <w:color w:val="auto"/>
          <w:sz w:val="22"/>
          <w:lang w:val="af-ZA"/>
        </w:rPr>
      </w:pPr>
      <w:bookmarkStart w:id="45" w:name="_Toc159945216"/>
      <w:r w:rsidRPr="00EF7399">
        <w:rPr>
          <w:rFonts w:ascii="Times New Roman" w:hAnsi="Times New Roman" w:cs="Times New Roman"/>
          <w:lang w:val="af-ZA"/>
        </w:rPr>
        <w:t>Սահմանափակումների հիմնավորումը</w:t>
      </w:r>
      <w:bookmarkEnd w:id="45"/>
    </w:p>
    <w:p w14:paraId="26726833" w14:textId="165FD213" w:rsidR="00A32622" w:rsidRPr="00EF7399" w:rsidRDefault="00D67F8B" w:rsidP="00A3262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54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923DE1" w:rsidRPr="00EF7399">
        <w:rPr>
          <w:rFonts w:ascii="Times New Roman" w:hAnsi="Times New Roman" w:cs="Times New Roman"/>
          <w:lang w:val="af-ZA"/>
        </w:rPr>
        <w:t>Խաղաղ հավաքների ազատության իրավունքին միջամտ</w:t>
      </w:r>
      <w:r w:rsidR="007034F2" w:rsidRPr="00EF7399">
        <w:rPr>
          <w:rFonts w:ascii="Times New Roman" w:hAnsi="Times New Roman" w:cs="Times New Roman"/>
          <w:lang w:val="hy-AM"/>
        </w:rPr>
        <w:t xml:space="preserve">ությունը </w:t>
      </w:r>
      <w:r w:rsidR="00923DE1" w:rsidRPr="00EF7399">
        <w:rPr>
          <w:rFonts w:ascii="Times New Roman" w:hAnsi="Times New Roman" w:cs="Times New Roman"/>
          <w:lang w:val="af-ZA"/>
        </w:rPr>
        <w:t>11-րդ հոդվածի խախտում</w:t>
      </w:r>
      <w:r w:rsidR="007034F2" w:rsidRPr="00EF7399">
        <w:rPr>
          <w:rFonts w:ascii="Times New Roman" w:hAnsi="Times New Roman" w:cs="Times New Roman"/>
          <w:lang w:val="hy-AM"/>
        </w:rPr>
        <w:t xml:space="preserve"> է</w:t>
      </w:r>
      <w:r w:rsidR="00923DE1" w:rsidRPr="00EF7399">
        <w:rPr>
          <w:rFonts w:ascii="Times New Roman" w:hAnsi="Times New Roman" w:cs="Times New Roman"/>
          <w:lang w:val="af-ZA"/>
        </w:rPr>
        <w:t>, բացառությամբ</w:t>
      </w:r>
      <w:r w:rsidR="002B583F" w:rsidRPr="00EF7399">
        <w:rPr>
          <w:rFonts w:ascii="Times New Roman" w:hAnsi="Times New Roman" w:cs="Times New Roman"/>
          <w:lang w:val="af-ZA"/>
        </w:rPr>
        <w:t>,</w:t>
      </w:r>
      <w:r w:rsidR="00923DE1" w:rsidRPr="00EF7399">
        <w:rPr>
          <w:rFonts w:ascii="Times New Roman" w:hAnsi="Times New Roman" w:cs="Times New Roman"/>
          <w:lang w:val="af-ZA"/>
        </w:rPr>
        <w:t xml:space="preserve"> երբ այն «նախատեսված է օրենքով», հետապնդում է 2-րդ մասում նշված</w:t>
      </w:r>
      <w:r w:rsidR="007034F2" w:rsidRPr="00EF7399">
        <w:rPr>
          <w:rFonts w:ascii="Times New Roman" w:hAnsi="Times New Roman" w:cs="Times New Roman"/>
          <w:lang w:val="hy-AM"/>
        </w:rPr>
        <w:t>՝</w:t>
      </w:r>
      <w:r w:rsidR="00923DE1" w:rsidRPr="00EF7399">
        <w:rPr>
          <w:rFonts w:ascii="Times New Roman" w:hAnsi="Times New Roman" w:cs="Times New Roman"/>
          <w:lang w:val="af-ZA"/>
        </w:rPr>
        <w:t xml:space="preserve"> </w:t>
      </w:r>
      <w:r w:rsidR="007034F2" w:rsidRPr="00EF7399">
        <w:rPr>
          <w:rFonts w:ascii="Times New Roman" w:hAnsi="Times New Roman" w:cs="Times New Roman"/>
          <w:lang w:val="af-ZA"/>
        </w:rPr>
        <w:t xml:space="preserve">մեկ կամ </w:t>
      </w:r>
      <w:r w:rsidR="007034F2" w:rsidRPr="00EF7399">
        <w:rPr>
          <w:rFonts w:ascii="Times New Roman" w:hAnsi="Times New Roman" w:cs="Times New Roman"/>
          <w:lang w:val="hy-AM"/>
        </w:rPr>
        <w:t xml:space="preserve">մեկից </w:t>
      </w:r>
      <w:r w:rsidR="007034F2" w:rsidRPr="00EF7399">
        <w:rPr>
          <w:rFonts w:ascii="Times New Roman" w:hAnsi="Times New Roman" w:cs="Times New Roman"/>
          <w:lang w:val="af-ZA"/>
        </w:rPr>
        <w:t xml:space="preserve">ավելի </w:t>
      </w:r>
      <w:r w:rsidR="007034F2" w:rsidRPr="00EF7399">
        <w:rPr>
          <w:rFonts w:ascii="Times New Roman" w:hAnsi="Times New Roman" w:cs="Times New Roman"/>
          <w:lang w:val="hy-AM"/>
        </w:rPr>
        <w:t>իրավաչափ</w:t>
      </w:r>
      <w:r w:rsidR="007034F2" w:rsidRPr="00EF7399">
        <w:rPr>
          <w:rFonts w:ascii="Times New Roman" w:hAnsi="Times New Roman" w:cs="Times New Roman"/>
          <w:lang w:val="af-ZA"/>
        </w:rPr>
        <w:t xml:space="preserve"> </w:t>
      </w:r>
      <w:r w:rsidR="00923DE1" w:rsidRPr="00EF7399">
        <w:rPr>
          <w:rFonts w:ascii="Times New Roman" w:hAnsi="Times New Roman" w:cs="Times New Roman"/>
          <w:lang w:val="af-ZA"/>
        </w:rPr>
        <w:t xml:space="preserve">նպատակներ, «անհրաժեշտ է ժողովրդավարական հասարակությունում» տվյալ նպատակին կամ նպատակներին հասնելու համար </w:t>
      </w:r>
      <w:r w:rsidR="009053AB" w:rsidRPr="00EF7399">
        <w:rPr>
          <w:rFonts w:ascii="Times New Roman" w:hAnsi="Times New Roman" w:cs="Times New Roman"/>
          <w:lang w:val="af-ZA"/>
        </w:rPr>
        <w:t>(</w:t>
      </w:r>
      <w:hyperlink r:id="rId160" w:history="1">
        <w:r w:rsidR="009053AB" w:rsidRPr="00EF7399">
          <w:rPr>
            <w:rStyle w:val="Hyperlink"/>
            <w:rFonts w:ascii="Times New Roman" w:hAnsi="Times New Roman" w:cs="Times New Roman"/>
            <w:lang w:val="af-ZA"/>
          </w:rPr>
          <w:t>Vyerentsov</w:t>
        </w:r>
        <w:r w:rsidR="00873234" w:rsidRPr="00EF7399">
          <w:rPr>
            <w:rStyle w:val="Hyperlink"/>
            <w:rFonts w:ascii="Times New Roman" w:hAnsi="Times New Roman" w:cs="Times New Roman"/>
            <w:lang w:val="af-ZA"/>
          </w:rPr>
          <w:t xml:space="preserve"> v. </w:t>
        </w:r>
        <w:r w:rsidR="009053AB" w:rsidRPr="00EF7399">
          <w:rPr>
            <w:rStyle w:val="Hyperlink"/>
            <w:rFonts w:ascii="Times New Roman" w:hAnsi="Times New Roman" w:cs="Times New Roman"/>
            <w:lang w:val="af-ZA"/>
          </w:rPr>
          <w:t>Ukraine</w:t>
        </w:r>
      </w:hyperlink>
      <w:r w:rsidR="009053AB" w:rsidRPr="00EF7399">
        <w:rPr>
          <w:rFonts w:ascii="Times New Roman" w:hAnsi="Times New Roman" w:cs="Times New Roman"/>
          <w:lang w:val="af-ZA"/>
        </w:rPr>
        <w:t xml:space="preserve">, </w:t>
      </w:r>
      <w:r w:rsidR="001E21F4" w:rsidRPr="00EF7399">
        <w:rPr>
          <w:rFonts w:ascii="Times New Roman" w:hAnsi="Times New Roman" w:cs="Times New Roman"/>
          <w:lang w:val="af-ZA"/>
        </w:rPr>
        <w:t xml:space="preserve">2013, </w:t>
      </w:r>
      <w:r w:rsidR="00873234" w:rsidRPr="00EF7399">
        <w:rPr>
          <w:rFonts w:ascii="Times New Roman" w:hAnsi="Times New Roman" w:cs="Times New Roman"/>
          <w:lang w:val="af-ZA"/>
        </w:rPr>
        <w:t>§ </w:t>
      </w:r>
      <w:r w:rsidR="009053AB" w:rsidRPr="00EF7399">
        <w:rPr>
          <w:rFonts w:ascii="Times New Roman" w:hAnsi="Times New Roman" w:cs="Times New Roman"/>
          <w:lang w:val="af-ZA"/>
        </w:rPr>
        <w:t>51)</w:t>
      </w:r>
      <w:r w:rsidR="00923DE1" w:rsidRPr="00EF7399">
        <w:rPr>
          <w:rFonts w:ascii="Times New Roman" w:hAnsi="Times New Roman" w:cs="Times New Roman"/>
          <w:lang w:val="af-ZA"/>
        </w:rPr>
        <w:t>:</w:t>
      </w:r>
    </w:p>
    <w:p w14:paraId="0E1422EE" w14:textId="4C869F55" w:rsidR="009053AB" w:rsidRPr="00EF7399" w:rsidRDefault="00A83DAB" w:rsidP="00A83DAB">
      <w:pPr>
        <w:pStyle w:val="ECHRHeading4"/>
        <w:numPr>
          <w:ilvl w:val="0"/>
          <w:numId w:val="0"/>
        </w:numPr>
        <w:rPr>
          <w:rFonts w:ascii="Times New Roman" w:eastAsiaTheme="minorHAnsi" w:hAnsi="Times New Roman" w:cs="Times New Roman"/>
          <w:color w:val="auto"/>
          <w:sz w:val="22"/>
          <w:lang w:val="af-ZA"/>
        </w:rPr>
      </w:pPr>
      <w:bookmarkStart w:id="46" w:name="_Toc159945217"/>
      <w:r>
        <w:rPr>
          <w:rFonts w:ascii="Times New Roman" w:hAnsi="Times New Roman" w:cs="Times New Roman"/>
          <w:lang w:val="hy-AM"/>
        </w:rPr>
        <w:lastRenderedPageBreak/>
        <w:t xml:space="preserve">ա․ </w:t>
      </w:r>
      <w:r w:rsidR="00687C92" w:rsidRPr="00EF7399">
        <w:rPr>
          <w:rFonts w:ascii="Times New Roman" w:hAnsi="Times New Roman" w:cs="Times New Roman"/>
          <w:lang w:val="af-ZA"/>
        </w:rPr>
        <w:t xml:space="preserve">Նախատեսված </w:t>
      </w:r>
      <w:r w:rsidR="007034F2" w:rsidRPr="00EF7399">
        <w:rPr>
          <w:rFonts w:ascii="Times New Roman" w:hAnsi="Times New Roman" w:cs="Times New Roman"/>
          <w:lang w:val="hy-AM"/>
        </w:rPr>
        <w:t>է</w:t>
      </w:r>
      <w:r w:rsidR="00687C92" w:rsidRPr="00EF7399">
        <w:rPr>
          <w:rFonts w:ascii="Times New Roman" w:hAnsi="Times New Roman" w:cs="Times New Roman"/>
          <w:lang w:val="af-ZA"/>
        </w:rPr>
        <w:t xml:space="preserve"> օրենքով</w:t>
      </w:r>
      <w:bookmarkEnd w:id="46"/>
    </w:p>
    <w:p w14:paraId="358CB2FE" w14:textId="74F0DB7E" w:rsidR="009053AB" w:rsidRPr="001B2612" w:rsidRDefault="00340B04" w:rsidP="009053AB">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 MERGEFORMAT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55</w:t>
      </w:r>
      <w:r w:rsidRPr="00EF7399">
        <w:rPr>
          <w:rFonts w:ascii="Times New Roman" w:hAnsi="Times New Roman" w:cs="Times New Roman"/>
          <w:lang w:val="af-ZA"/>
        </w:rPr>
        <w:fldChar w:fldCharType="end"/>
      </w:r>
      <w:r w:rsidR="00017CF1" w:rsidRPr="00EF7399">
        <w:rPr>
          <w:rFonts w:ascii="Times New Roman" w:hAnsi="Times New Roman" w:cs="Times New Roman"/>
          <w:lang w:val="af-ZA"/>
        </w:rPr>
        <w:t>.  </w:t>
      </w:r>
      <w:r w:rsidR="00687C92" w:rsidRPr="00EF7399">
        <w:rPr>
          <w:rFonts w:ascii="Times New Roman" w:hAnsi="Times New Roman" w:cs="Times New Roman"/>
          <w:lang w:val="af-ZA"/>
        </w:rPr>
        <w:t xml:space="preserve">«Նախատեսված </w:t>
      </w:r>
      <w:r w:rsidR="00C91975" w:rsidRPr="00EF7399">
        <w:rPr>
          <w:rFonts w:ascii="Times New Roman" w:hAnsi="Times New Roman" w:cs="Times New Roman"/>
          <w:lang w:val="hy-AM"/>
        </w:rPr>
        <w:t>է</w:t>
      </w:r>
      <w:r w:rsidR="00687C92" w:rsidRPr="00EF7399">
        <w:rPr>
          <w:rFonts w:ascii="Times New Roman" w:hAnsi="Times New Roman" w:cs="Times New Roman"/>
          <w:lang w:val="af-ZA"/>
        </w:rPr>
        <w:t xml:space="preserve"> օրենքով» արտահայտությունը ոչ միայն պահանջում է, որ վիճարկվող միջոցը պետք է </w:t>
      </w:r>
      <w:r w:rsidR="004D4671" w:rsidRPr="00EF7399">
        <w:rPr>
          <w:rFonts w:ascii="Times New Roman" w:hAnsi="Times New Roman" w:cs="Times New Roman"/>
          <w:lang w:val="af-ZA"/>
        </w:rPr>
        <w:t xml:space="preserve">ունենա </w:t>
      </w:r>
      <w:r w:rsidR="00687C92" w:rsidRPr="00EF7399">
        <w:rPr>
          <w:rFonts w:ascii="Times New Roman" w:hAnsi="Times New Roman" w:cs="Times New Roman"/>
          <w:lang w:val="af-ZA"/>
        </w:rPr>
        <w:t xml:space="preserve">ներպետական օրենսդրությամբ սահմանված իրավական հիմք, այլև </w:t>
      </w:r>
      <w:r w:rsidR="00C91975" w:rsidRPr="00EF7399">
        <w:rPr>
          <w:rFonts w:ascii="Times New Roman" w:hAnsi="Times New Roman" w:cs="Times New Roman"/>
          <w:lang w:val="hy-AM"/>
        </w:rPr>
        <w:t>վերաբերում</w:t>
      </w:r>
      <w:r w:rsidR="00C91975" w:rsidRPr="00EF7399">
        <w:rPr>
          <w:rFonts w:ascii="Times New Roman" w:hAnsi="Times New Roman" w:cs="Times New Roman"/>
          <w:lang w:val="af-ZA"/>
        </w:rPr>
        <w:t xml:space="preserve"> </w:t>
      </w:r>
      <w:r w:rsidR="00687C92" w:rsidRPr="00EF7399">
        <w:rPr>
          <w:rFonts w:ascii="Times New Roman" w:hAnsi="Times New Roman" w:cs="Times New Roman"/>
          <w:lang w:val="af-ZA"/>
        </w:rPr>
        <w:t xml:space="preserve">է </w:t>
      </w:r>
      <w:r w:rsidR="003527B5" w:rsidRPr="00EF7399">
        <w:rPr>
          <w:rFonts w:ascii="Times New Roman" w:hAnsi="Times New Roman" w:cs="Times New Roman"/>
          <w:lang w:val="af-ZA"/>
        </w:rPr>
        <w:t>տվյալ</w:t>
      </w:r>
      <w:r w:rsidR="00687C92" w:rsidRPr="00EF7399">
        <w:rPr>
          <w:rFonts w:ascii="Times New Roman" w:hAnsi="Times New Roman" w:cs="Times New Roman"/>
          <w:lang w:val="af-ZA"/>
        </w:rPr>
        <w:t xml:space="preserve"> օրենքի որակին</w:t>
      </w:r>
      <w:r w:rsidR="003527B5" w:rsidRPr="00EF7399">
        <w:rPr>
          <w:rFonts w:ascii="Times New Roman" w:hAnsi="Times New Roman" w:cs="Times New Roman"/>
          <w:lang w:val="af-ZA"/>
        </w:rPr>
        <w:t xml:space="preserve">, որը պետք է </w:t>
      </w:r>
      <w:r w:rsidR="00C91975" w:rsidRPr="00EF7399">
        <w:rPr>
          <w:rFonts w:ascii="Times New Roman" w:hAnsi="Times New Roman" w:cs="Times New Roman"/>
          <w:lang w:val="af-ZA"/>
        </w:rPr>
        <w:t xml:space="preserve">լինի </w:t>
      </w:r>
      <w:r w:rsidR="003527B5" w:rsidRPr="00EF7399">
        <w:rPr>
          <w:rFonts w:ascii="Times New Roman" w:hAnsi="Times New Roman" w:cs="Times New Roman"/>
          <w:lang w:val="af-ZA"/>
        </w:rPr>
        <w:t xml:space="preserve">մատչելի շահագրգիռ անձին և </w:t>
      </w:r>
      <w:r w:rsidR="00C91975" w:rsidRPr="00EF7399">
        <w:rPr>
          <w:rFonts w:ascii="Times New Roman" w:hAnsi="Times New Roman" w:cs="Times New Roman"/>
          <w:lang w:val="af-ZA"/>
        </w:rPr>
        <w:t>կանխատեսելի</w:t>
      </w:r>
      <w:r w:rsidR="00C91975" w:rsidRPr="00EF7399">
        <w:rPr>
          <w:rFonts w:ascii="Times New Roman" w:hAnsi="Times New Roman" w:cs="Times New Roman"/>
          <w:lang w:val="hy-AM"/>
        </w:rPr>
        <w:t>՝</w:t>
      </w:r>
      <w:r w:rsidR="00C91975" w:rsidRPr="00EF7399">
        <w:rPr>
          <w:rFonts w:ascii="Times New Roman" w:hAnsi="Times New Roman" w:cs="Times New Roman"/>
          <w:lang w:val="af-ZA"/>
        </w:rPr>
        <w:t xml:space="preserve"> </w:t>
      </w:r>
      <w:r w:rsidR="003527B5" w:rsidRPr="00EF7399">
        <w:rPr>
          <w:rFonts w:ascii="Times New Roman" w:hAnsi="Times New Roman" w:cs="Times New Roman"/>
          <w:lang w:val="af-ZA"/>
        </w:rPr>
        <w:t>դրա հետևանքներ</w:t>
      </w:r>
      <w:r w:rsidR="00C91975" w:rsidRPr="00EF7399">
        <w:rPr>
          <w:rFonts w:ascii="Times New Roman" w:hAnsi="Times New Roman" w:cs="Times New Roman"/>
          <w:lang w:val="hy-AM"/>
        </w:rPr>
        <w:t>ի առումով</w:t>
      </w:r>
      <w:r w:rsidR="003527B5" w:rsidRPr="00EF7399">
        <w:rPr>
          <w:rFonts w:ascii="Times New Roman" w:hAnsi="Times New Roman" w:cs="Times New Roman"/>
          <w:lang w:val="af-ZA"/>
        </w:rPr>
        <w:t xml:space="preserve"> </w:t>
      </w:r>
      <w:r w:rsidR="004F5608" w:rsidRPr="00EF7399">
        <w:rPr>
          <w:rFonts w:ascii="Times New Roman" w:hAnsi="Times New Roman" w:cs="Times New Roman"/>
          <w:lang w:val="af-ZA"/>
        </w:rPr>
        <w:t>(</w:t>
      </w:r>
      <w:hyperlink r:id="rId161" w:history="1">
        <w:r w:rsidR="004F5608" w:rsidRPr="00EF7399">
          <w:rPr>
            <w:rStyle w:val="Hyperlink"/>
            <w:rFonts w:ascii="Times New Roman" w:hAnsi="Times New Roman" w:cs="Times New Roman"/>
            <w:lang w:val="af-ZA"/>
          </w:rPr>
          <w:t>Kudrevičius and Others</w:t>
        </w:r>
        <w:r w:rsidR="00873234" w:rsidRPr="00EF7399">
          <w:rPr>
            <w:rStyle w:val="Hyperlink"/>
            <w:rFonts w:ascii="Times New Roman" w:hAnsi="Times New Roman" w:cs="Times New Roman"/>
            <w:lang w:val="af-ZA"/>
          </w:rPr>
          <w:t xml:space="preserve"> v. </w:t>
        </w:r>
        <w:r w:rsidR="004F5608" w:rsidRPr="00EF7399">
          <w:rPr>
            <w:rStyle w:val="Hyperlink"/>
            <w:rFonts w:ascii="Times New Roman" w:hAnsi="Times New Roman" w:cs="Times New Roman"/>
            <w:lang w:val="af-ZA"/>
          </w:rPr>
          <w:t>Lithuania</w:t>
        </w:r>
      </w:hyperlink>
      <w:r w:rsidR="004F5608" w:rsidRPr="00EF7399">
        <w:rPr>
          <w:rFonts w:ascii="Times New Roman" w:hAnsi="Times New Roman" w:cs="Times New Roman"/>
          <w:i/>
          <w:lang w:val="af-ZA"/>
        </w:rPr>
        <w:t xml:space="preserve"> </w:t>
      </w:r>
      <w:r w:rsidR="004F5608" w:rsidRPr="00EF7399">
        <w:rPr>
          <w:rFonts w:ascii="Times New Roman" w:hAnsi="Times New Roman" w:cs="Times New Roman"/>
          <w:lang w:val="af-ZA"/>
        </w:rPr>
        <w:t xml:space="preserve">[GC], </w:t>
      </w:r>
      <w:r w:rsidR="00A92893"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004F5608" w:rsidRPr="00EF7399">
        <w:rPr>
          <w:rFonts w:ascii="Times New Roman" w:hAnsi="Times New Roman" w:cs="Times New Roman"/>
          <w:lang w:val="af-ZA"/>
        </w:rPr>
        <w:t>108-110)</w:t>
      </w:r>
      <w:r w:rsidR="003527B5" w:rsidRPr="00EF7399">
        <w:rPr>
          <w:rFonts w:ascii="Times New Roman" w:hAnsi="Times New Roman" w:cs="Times New Roman"/>
          <w:lang w:val="af-ZA"/>
        </w:rPr>
        <w:t>: Մասնավորապես, որևէ նորմ չի կարող համարվել «օրենք», եթե այն ձևակերպված չէ բավարար ճշգրտությամբ, որը հնարավորություն կտա քաղաքացուն, անհրաժեշտությա</w:t>
      </w:r>
      <w:r w:rsidR="00845DFC" w:rsidRPr="00EF7399">
        <w:rPr>
          <w:rFonts w:ascii="Times New Roman" w:hAnsi="Times New Roman" w:cs="Times New Roman"/>
          <w:lang w:val="hy-AM"/>
        </w:rPr>
        <w:t>ն</w:t>
      </w:r>
      <w:r w:rsidR="003527B5" w:rsidRPr="00EF7399">
        <w:rPr>
          <w:rFonts w:ascii="Times New Roman" w:hAnsi="Times New Roman" w:cs="Times New Roman"/>
          <w:lang w:val="af-ZA"/>
        </w:rPr>
        <w:t xml:space="preserve"> դեպքում պատշաճ խորհրդատվությամբ, տվյալ հանգամանքներում ողջամիտ սահմաններում կանխատեսել այն հետևանքները, որոնց կարող է հանգեցնել կոնկրետ արարքը </w:t>
      </w:r>
      <w:r w:rsidR="004F5608" w:rsidRPr="00EF7399">
        <w:rPr>
          <w:rFonts w:ascii="Times New Roman" w:hAnsi="Times New Roman" w:cs="Times New Roman"/>
          <w:lang w:val="af-ZA"/>
        </w:rPr>
        <w:t>(</w:t>
      </w:r>
      <w:hyperlink r:id="rId162" w:history="1">
        <w:r w:rsidR="004F5608" w:rsidRPr="00EF7399">
          <w:rPr>
            <w:rStyle w:val="Hyperlink"/>
            <w:rFonts w:ascii="Times New Roman" w:hAnsi="Times New Roman" w:cs="Times New Roman"/>
            <w:lang w:val="af-ZA"/>
          </w:rPr>
          <w:t>Djavit An</w:t>
        </w:r>
        <w:r w:rsidR="00873234" w:rsidRPr="00EF7399">
          <w:rPr>
            <w:rStyle w:val="Hyperlink"/>
            <w:rFonts w:ascii="Times New Roman" w:hAnsi="Times New Roman" w:cs="Times New Roman"/>
            <w:lang w:val="af-ZA"/>
          </w:rPr>
          <w:t xml:space="preserve"> v. </w:t>
        </w:r>
        <w:r w:rsidR="004F5608" w:rsidRPr="00EF7399">
          <w:rPr>
            <w:rStyle w:val="Hyperlink"/>
            <w:rFonts w:ascii="Times New Roman" w:hAnsi="Times New Roman" w:cs="Times New Roman"/>
            <w:lang w:val="af-ZA"/>
          </w:rPr>
          <w:t>Turkey</w:t>
        </w:r>
      </w:hyperlink>
      <w:r w:rsidR="004F5608" w:rsidRPr="00EF7399">
        <w:rPr>
          <w:rFonts w:ascii="Times New Roman" w:hAnsi="Times New Roman" w:cs="Times New Roman"/>
          <w:lang w:val="af-ZA"/>
        </w:rPr>
        <w:t xml:space="preserve">, </w:t>
      </w:r>
      <w:r w:rsidR="00A92893" w:rsidRPr="00EF7399">
        <w:rPr>
          <w:rFonts w:ascii="Times New Roman" w:hAnsi="Times New Roman" w:cs="Times New Roman"/>
          <w:lang w:val="af-ZA"/>
        </w:rPr>
        <w:t xml:space="preserve">2003, </w:t>
      </w:r>
      <w:r w:rsidR="00873234" w:rsidRPr="00EF7399">
        <w:rPr>
          <w:rFonts w:ascii="Times New Roman" w:hAnsi="Times New Roman" w:cs="Times New Roman"/>
          <w:lang w:val="af-ZA"/>
        </w:rPr>
        <w:t>§ </w:t>
      </w:r>
      <w:r w:rsidR="004F5608" w:rsidRPr="00EF7399">
        <w:rPr>
          <w:rFonts w:ascii="Times New Roman" w:hAnsi="Times New Roman" w:cs="Times New Roman"/>
          <w:lang w:val="af-ZA"/>
        </w:rPr>
        <w:t>65)</w:t>
      </w:r>
      <w:r w:rsidR="003527B5" w:rsidRPr="00EF7399">
        <w:rPr>
          <w:rFonts w:ascii="Times New Roman" w:hAnsi="Times New Roman" w:cs="Times New Roman"/>
          <w:lang w:val="af-ZA"/>
        </w:rPr>
        <w:t>: Փորձը, սակայն, ցույց է տալիս, որ օրենքների ձևակերպման հարցում հնարավոր չէ հասնել բացա</w:t>
      </w:r>
      <w:r w:rsidR="00845DFC" w:rsidRPr="00EF7399">
        <w:rPr>
          <w:rFonts w:ascii="Times New Roman" w:hAnsi="Times New Roman" w:cs="Times New Roman"/>
          <w:lang w:val="hy-AM"/>
        </w:rPr>
        <w:t>ր</w:t>
      </w:r>
      <w:r w:rsidR="003527B5" w:rsidRPr="00EF7399">
        <w:rPr>
          <w:rFonts w:ascii="Times New Roman" w:hAnsi="Times New Roman" w:cs="Times New Roman"/>
          <w:lang w:val="af-ZA"/>
        </w:rPr>
        <w:t>ձակ ճշգրտության, հատկապես այն ոլորտներում, ուր իրավիճակը փո</w:t>
      </w:r>
      <w:r w:rsidR="00845DFC" w:rsidRPr="00EF7399">
        <w:rPr>
          <w:rFonts w:ascii="Times New Roman" w:hAnsi="Times New Roman" w:cs="Times New Roman"/>
          <w:lang w:val="hy-AM"/>
        </w:rPr>
        <w:t>փո</w:t>
      </w:r>
      <w:r w:rsidR="003527B5" w:rsidRPr="00EF7399">
        <w:rPr>
          <w:rFonts w:ascii="Times New Roman" w:hAnsi="Times New Roman" w:cs="Times New Roman"/>
          <w:lang w:val="af-ZA"/>
        </w:rPr>
        <w:t xml:space="preserve">խվում է հասարակության մեջ գերիշխող տեսակետներին համապատասխան </w:t>
      </w:r>
      <w:r w:rsidR="004F5608" w:rsidRPr="00EF7399">
        <w:rPr>
          <w:rFonts w:ascii="Times New Roman" w:hAnsi="Times New Roman" w:cs="Times New Roman"/>
          <w:lang w:val="af-ZA"/>
        </w:rPr>
        <w:t>(</w:t>
      </w:r>
      <w:hyperlink r:id="rId163" w:history="1">
        <w:r w:rsidR="004F5608" w:rsidRPr="001B2612">
          <w:rPr>
            <w:rStyle w:val="Hyperlink"/>
            <w:rFonts w:ascii="Times New Roman" w:hAnsi="Times New Roman" w:cs="Times New Roman"/>
            <w:lang w:val="af-ZA"/>
          </w:rPr>
          <w:t>Ezelin</w:t>
        </w:r>
        <w:r w:rsidR="00873234" w:rsidRPr="001B2612">
          <w:rPr>
            <w:rStyle w:val="Hyperlink"/>
            <w:rFonts w:ascii="Times New Roman" w:hAnsi="Times New Roman" w:cs="Times New Roman"/>
            <w:lang w:val="af-ZA"/>
          </w:rPr>
          <w:t xml:space="preserve"> v. </w:t>
        </w:r>
        <w:r w:rsidR="004F5608" w:rsidRPr="001B2612">
          <w:rPr>
            <w:rStyle w:val="Hyperlink"/>
            <w:rFonts w:ascii="Times New Roman" w:hAnsi="Times New Roman" w:cs="Times New Roman"/>
            <w:lang w:val="af-ZA"/>
          </w:rPr>
          <w:t>France</w:t>
        </w:r>
      </w:hyperlink>
      <w:r w:rsidR="004F5608" w:rsidRPr="00EF7399">
        <w:rPr>
          <w:rFonts w:ascii="Times New Roman" w:hAnsi="Times New Roman" w:cs="Times New Roman"/>
          <w:lang w:val="af-ZA"/>
        </w:rPr>
        <w:t xml:space="preserve">, </w:t>
      </w:r>
      <w:r w:rsidR="00A92893" w:rsidRPr="00EF7399">
        <w:rPr>
          <w:rFonts w:ascii="Times New Roman" w:hAnsi="Times New Roman" w:cs="Times New Roman"/>
          <w:lang w:val="af-ZA"/>
        </w:rPr>
        <w:t xml:space="preserve">1991, </w:t>
      </w:r>
      <w:r w:rsidR="00873234" w:rsidRPr="00EF7399">
        <w:rPr>
          <w:rFonts w:ascii="Times New Roman" w:hAnsi="Times New Roman" w:cs="Times New Roman"/>
          <w:lang w:val="af-ZA"/>
        </w:rPr>
        <w:t>§ </w:t>
      </w:r>
      <w:r w:rsidR="004F5608" w:rsidRPr="00EF7399">
        <w:rPr>
          <w:rFonts w:ascii="Times New Roman" w:hAnsi="Times New Roman" w:cs="Times New Roman"/>
          <w:lang w:val="af-ZA"/>
        </w:rPr>
        <w:t>45)</w:t>
      </w:r>
      <w:r w:rsidR="003527B5" w:rsidRPr="00EF7399">
        <w:rPr>
          <w:rFonts w:ascii="Times New Roman" w:hAnsi="Times New Roman" w:cs="Times New Roman"/>
          <w:lang w:val="af-ZA"/>
        </w:rPr>
        <w:t xml:space="preserve">: Մասնավորապես, կարիք չկա, որ որոշակի արարքի հետևանքները կանխատեսելի </w:t>
      </w:r>
      <w:r w:rsidR="0090025B" w:rsidRPr="00EF7399">
        <w:rPr>
          <w:rFonts w:ascii="Times New Roman" w:hAnsi="Times New Roman" w:cs="Times New Roman"/>
          <w:lang w:val="af-ZA"/>
        </w:rPr>
        <w:t>լ</w:t>
      </w:r>
      <w:r w:rsidR="003527B5" w:rsidRPr="00EF7399">
        <w:rPr>
          <w:rFonts w:ascii="Times New Roman" w:hAnsi="Times New Roman" w:cs="Times New Roman"/>
          <w:lang w:val="af-ZA"/>
        </w:rPr>
        <w:t>ինեն բացարձակ որոշակիությամբ</w:t>
      </w:r>
      <w:r w:rsidR="0090025B" w:rsidRPr="00EF7399">
        <w:rPr>
          <w:rFonts w:ascii="Times New Roman" w:hAnsi="Times New Roman" w:cs="Times New Roman"/>
          <w:lang w:val="af-ZA"/>
        </w:rPr>
        <w:t>, քանի որ փորձը ցույց է տալիս, որ դա անիրագործելի է: Թեև որոշակիությունը շատ ցանկալի է, այն կարող է իր հետ բերել չափից ավելի կարծրություն, իսկ օրենքը պետք է ունակ լինի</w:t>
      </w:r>
      <w:r w:rsidR="00F841BA" w:rsidRPr="00EF7399">
        <w:rPr>
          <w:rFonts w:ascii="Times New Roman" w:hAnsi="Times New Roman" w:cs="Times New Roman"/>
          <w:lang w:val="hy-AM"/>
        </w:rPr>
        <w:t xml:space="preserve"> համընթաց</w:t>
      </w:r>
      <w:r w:rsidR="0090025B" w:rsidRPr="00EF7399">
        <w:rPr>
          <w:rFonts w:ascii="Times New Roman" w:hAnsi="Times New Roman" w:cs="Times New Roman"/>
          <w:lang w:val="af-ZA"/>
        </w:rPr>
        <w:t xml:space="preserve"> քայլել փոփոխվող հանգամանքներին: </w:t>
      </w:r>
      <w:r w:rsidR="00F841BA" w:rsidRPr="00EF7399">
        <w:rPr>
          <w:rFonts w:ascii="Times New Roman" w:hAnsi="Times New Roman" w:cs="Times New Roman"/>
          <w:lang w:val="hy-AM"/>
        </w:rPr>
        <w:t>Ը</w:t>
      </w:r>
      <w:r w:rsidR="00F841BA" w:rsidRPr="00EF7399">
        <w:rPr>
          <w:rFonts w:ascii="Times New Roman" w:hAnsi="Times New Roman" w:cs="Times New Roman"/>
          <w:lang w:val="af-ZA"/>
        </w:rPr>
        <w:t xml:space="preserve">ստ այդմ, </w:t>
      </w:r>
      <w:r w:rsidR="00F841BA" w:rsidRPr="00EF7399">
        <w:rPr>
          <w:rFonts w:ascii="Times New Roman" w:hAnsi="Times New Roman" w:cs="Times New Roman"/>
          <w:lang w:val="hy-AM"/>
        </w:rPr>
        <w:t>բ</w:t>
      </w:r>
      <w:r w:rsidR="0090025B" w:rsidRPr="00EF7399">
        <w:rPr>
          <w:rFonts w:ascii="Times New Roman" w:hAnsi="Times New Roman" w:cs="Times New Roman"/>
          <w:lang w:val="af-ZA"/>
        </w:rPr>
        <w:t xml:space="preserve">ազմաթիվ օրենքներ անխուսափելիորեն </w:t>
      </w:r>
      <w:r w:rsidR="00F841BA" w:rsidRPr="00EF7399">
        <w:rPr>
          <w:rFonts w:ascii="Times New Roman" w:hAnsi="Times New Roman" w:cs="Times New Roman"/>
          <w:lang w:val="hy-AM"/>
        </w:rPr>
        <w:t>ձևակեպվում</w:t>
      </w:r>
      <w:r w:rsidR="00F841BA" w:rsidRPr="00EF7399">
        <w:rPr>
          <w:rFonts w:ascii="Times New Roman" w:hAnsi="Times New Roman" w:cs="Times New Roman"/>
          <w:lang w:val="af-ZA"/>
        </w:rPr>
        <w:t xml:space="preserve"> </w:t>
      </w:r>
      <w:r w:rsidR="0090025B" w:rsidRPr="00EF7399">
        <w:rPr>
          <w:rFonts w:ascii="Times New Roman" w:hAnsi="Times New Roman" w:cs="Times New Roman"/>
          <w:lang w:val="af-ZA"/>
        </w:rPr>
        <w:t>են այնպիսի եզրույթներ</w:t>
      </w:r>
      <w:r w:rsidR="00F841BA" w:rsidRPr="00EF7399">
        <w:rPr>
          <w:rFonts w:ascii="Times New Roman" w:hAnsi="Times New Roman" w:cs="Times New Roman"/>
          <w:lang w:val="hy-AM"/>
        </w:rPr>
        <w:t>ով</w:t>
      </w:r>
      <w:r w:rsidR="0090025B" w:rsidRPr="00EF7399">
        <w:rPr>
          <w:rFonts w:ascii="Times New Roman" w:hAnsi="Times New Roman" w:cs="Times New Roman"/>
          <w:lang w:val="af-ZA"/>
        </w:rPr>
        <w:t>, որոնք քիչ թե շատ</w:t>
      </w:r>
      <w:r w:rsidR="00F841BA" w:rsidRPr="00EF7399">
        <w:rPr>
          <w:rFonts w:ascii="Times New Roman" w:hAnsi="Times New Roman" w:cs="Times New Roman"/>
          <w:lang w:val="hy-AM"/>
        </w:rPr>
        <w:t xml:space="preserve"> </w:t>
      </w:r>
      <w:r w:rsidR="0090025B" w:rsidRPr="00EF7399">
        <w:rPr>
          <w:rFonts w:ascii="Times New Roman" w:hAnsi="Times New Roman" w:cs="Times New Roman"/>
          <w:lang w:val="af-ZA"/>
        </w:rPr>
        <w:t>անորոշ են</w:t>
      </w:r>
      <w:r w:rsidR="00F841BA" w:rsidRPr="00EF7399">
        <w:rPr>
          <w:rFonts w:ascii="Times New Roman" w:hAnsi="Times New Roman" w:cs="Times New Roman"/>
          <w:lang w:val="hy-AM"/>
        </w:rPr>
        <w:t>,</w:t>
      </w:r>
      <w:r w:rsidR="0090025B" w:rsidRPr="00EF7399">
        <w:rPr>
          <w:rFonts w:ascii="Times New Roman" w:hAnsi="Times New Roman" w:cs="Times New Roman"/>
          <w:lang w:val="af-ZA"/>
        </w:rPr>
        <w:t xml:space="preserve"> և որոնց մեկնաբանություն</w:t>
      </w:r>
      <w:r w:rsidR="00F841BA" w:rsidRPr="00EF7399">
        <w:rPr>
          <w:rFonts w:ascii="Times New Roman" w:hAnsi="Times New Roman" w:cs="Times New Roman"/>
          <w:lang w:val="hy-AM"/>
        </w:rPr>
        <w:t>ն ու</w:t>
      </w:r>
      <w:r w:rsidR="0090025B" w:rsidRPr="00EF7399">
        <w:rPr>
          <w:rFonts w:ascii="Times New Roman" w:hAnsi="Times New Roman" w:cs="Times New Roman"/>
          <w:lang w:val="af-ZA"/>
        </w:rPr>
        <w:t xml:space="preserve"> կիրառու</w:t>
      </w:r>
      <w:r w:rsidR="00F841BA" w:rsidRPr="00EF7399">
        <w:rPr>
          <w:rFonts w:ascii="Times New Roman" w:hAnsi="Times New Roman" w:cs="Times New Roman"/>
          <w:lang w:val="hy-AM"/>
        </w:rPr>
        <w:t>թյուն</w:t>
      </w:r>
      <w:r w:rsidR="0090025B" w:rsidRPr="00EF7399">
        <w:rPr>
          <w:rFonts w:ascii="Times New Roman" w:hAnsi="Times New Roman" w:cs="Times New Roman"/>
          <w:lang w:val="af-ZA"/>
        </w:rPr>
        <w:t xml:space="preserve">ը պրակտիկայի հարց են </w:t>
      </w:r>
      <w:r w:rsidR="004F5608" w:rsidRPr="00EF7399">
        <w:rPr>
          <w:rFonts w:ascii="Times New Roman" w:hAnsi="Times New Roman" w:cs="Times New Roman"/>
          <w:lang w:val="af-ZA"/>
        </w:rPr>
        <w:t>(</w:t>
      </w:r>
      <w:hyperlink r:id="rId164" w:history="1">
        <w:r w:rsidR="004F5608" w:rsidRPr="00EF7399">
          <w:rPr>
            <w:rStyle w:val="Hyperlink"/>
            <w:rFonts w:ascii="Times New Roman" w:hAnsi="Times New Roman" w:cs="Times New Roman"/>
            <w:lang w:val="af-ZA"/>
          </w:rPr>
          <w:t>Galstyan</w:t>
        </w:r>
        <w:r w:rsidR="00873234" w:rsidRPr="00EF7399">
          <w:rPr>
            <w:rStyle w:val="Hyperlink"/>
            <w:rFonts w:ascii="Times New Roman" w:hAnsi="Times New Roman" w:cs="Times New Roman"/>
            <w:lang w:val="af-ZA"/>
          </w:rPr>
          <w:t xml:space="preserve"> v. </w:t>
        </w:r>
        <w:r w:rsidR="004F5608" w:rsidRPr="00EF7399">
          <w:rPr>
            <w:rStyle w:val="Hyperlink"/>
            <w:rFonts w:ascii="Times New Roman" w:hAnsi="Times New Roman" w:cs="Times New Roman"/>
            <w:lang w:val="af-ZA"/>
          </w:rPr>
          <w:t>Armenia</w:t>
        </w:r>
      </w:hyperlink>
      <w:r w:rsidR="004F5608" w:rsidRPr="00EF7399">
        <w:rPr>
          <w:rFonts w:ascii="Times New Roman" w:hAnsi="Times New Roman" w:cs="Times New Roman"/>
          <w:lang w:val="af-ZA"/>
        </w:rPr>
        <w:t xml:space="preserve">, </w:t>
      </w:r>
      <w:r w:rsidR="00A92893" w:rsidRPr="00EF7399">
        <w:rPr>
          <w:rFonts w:ascii="Times New Roman" w:hAnsi="Times New Roman" w:cs="Times New Roman"/>
          <w:lang w:val="af-ZA"/>
        </w:rPr>
        <w:t xml:space="preserve">2007, </w:t>
      </w:r>
      <w:r w:rsidR="00873234" w:rsidRPr="00EF7399">
        <w:rPr>
          <w:rFonts w:ascii="Times New Roman" w:hAnsi="Times New Roman" w:cs="Times New Roman"/>
          <w:lang w:val="af-ZA"/>
        </w:rPr>
        <w:t>§ </w:t>
      </w:r>
      <w:r w:rsidR="004F5608" w:rsidRPr="00EF7399">
        <w:rPr>
          <w:rFonts w:ascii="Times New Roman" w:hAnsi="Times New Roman" w:cs="Times New Roman"/>
          <w:lang w:val="af-ZA"/>
        </w:rPr>
        <w:t xml:space="preserve">106; </w:t>
      </w:r>
      <w:hyperlink r:id="rId165" w:history="1">
        <w:r w:rsidR="004F5608" w:rsidRPr="00EF7399">
          <w:rPr>
            <w:rStyle w:val="Hyperlink"/>
            <w:rFonts w:ascii="Times New Roman" w:hAnsi="Times New Roman" w:cs="Times New Roman"/>
            <w:lang w:val="af-ZA"/>
          </w:rPr>
          <w:t>Primov and Others</w:t>
        </w:r>
        <w:r w:rsidR="00873234" w:rsidRPr="00EF7399">
          <w:rPr>
            <w:rStyle w:val="Hyperlink"/>
            <w:rFonts w:ascii="Times New Roman" w:hAnsi="Times New Roman" w:cs="Times New Roman"/>
            <w:lang w:val="af-ZA"/>
          </w:rPr>
          <w:t xml:space="preserve"> v. </w:t>
        </w:r>
        <w:r w:rsidR="004F5608" w:rsidRPr="00EF7399">
          <w:rPr>
            <w:rStyle w:val="Hyperlink"/>
            <w:rFonts w:ascii="Times New Roman" w:hAnsi="Times New Roman" w:cs="Times New Roman"/>
            <w:lang w:val="af-ZA"/>
          </w:rPr>
          <w:t>Russia</w:t>
        </w:r>
      </w:hyperlink>
      <w:r w:rsidR="00883BD7" w:rsidRPr="00EF7399">
        <w:rPr>
          <w:rFonts w:ascii="Times New Roman" w:hAnsi="Times New Roman" w:cs="Times New Roman"/>
          <w:lang w:val="af-ZA"/>
        </w:rPr>
        <w:t xml:space="preserve">, </w:t>
      </w:r>
      <w:r w:rsidR="00A92893"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004F5608" w:rsidRPr="00EF7399">
        <w:rPr>
          <w:rFonts w:ascii="Times New Roman" w:hAnsi="Times New Roman" w:cs="Times New Roman"/>
          <w:lang w:val="af-ZA"/>
        </w:rPr>
        <w:t>125)</w:t>
      </w:r>
      <w:r w:rsidR="0090025B" w:rsidRPr="00EF7399">
        <w:rPr>
          <w:rFonts w:ascii="Times New Roman" w:hAnsi="Times New Roman" w:cs="Times New Roman"/>
          <w:lang w:val="af-ZA"/>
        </w:rPr>
        <w:t>:</w:t>
      </w:r>
    </w:p>
    <w:p w14:paraId="71BB8C64" w14:textId="1152F87E" w:rsidR="009053AB" w:rsidRPr="00EF7399" w:rsidRDefault="009053AB" w:rsidP="009053AB">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56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90025B" w:rsidRPr="00EF7399">
        <w:rPr>
          <w:rFonts w:ascii="Times New Roman" w:hAnsi="Times New Roman" w:cs="Times New Roman"/>
          <w:lang w:val="af-ZA"/>
        </w:rPr>
        <w:t>Ազգային դատարանների</w:t>
      </w:r>
      <w:r w:rsidR="000C6C2D" w:rsidRPr="00EF7399">
        <w:rPr>
          <w:rFonts w:ascii="Times New Roman" w:hAnsi="Times New Roman" w:cs="Times New Roman"/>
          <w:lang w:val="af-ZA"/>
        </w:rPr>
        <w:t xml:space="preserve">ն </w:t>
      </w:r>
      <w:r w:rsidR="00C70621" w:rsidRPr="00EF7399">
        <w:rPr>
          <w:rFonts w:ascii="Times New Roman" w:hAnsi="Times New Roman" w:cs="Times New Roman"/>
          <w:lang w:val="hy-AM"/>
        </w:rPr>
        <w:t>վերապահված</w:t>
      </w:r>
      <w:r w:rsidR="00C70621" w:rsidRPr="00EF7399">
        <w:rPr>
          <w:rFonts w:ascii="Times New Roman" w:hAnsi="Times New Roman" w:cs="Times New Roman"/>
          <w:lang w:val="af-ZA"/>
        </w:rPr>
        <w:t xml:space="preserve"> </w:t>
      </w:r>
      <w:r w:rsidR="000C6C2D" w:rsidRPr="00EF7399">
        <w:rPr>
          <w:rFonts w:ascii="Times New Roman" w:hAnsi="Times New Roman" w:cs="Times New Roman"/>
          <w:lang w:val="af-ZA"/>
        </w:rPr>
        <w:t>դատաքննութան դերն է փարատել առկա մեկնաբան</w:t>
      </w:r>
      <w:r w:rsidR="009F4C3D" w:rsidRPr="00EF7399">
        <w:rPr>
          <w:rFonts w:ascii="Times New Roman" w:hAnsi="Times New Roman" w:cs="Times New Roman"/>
          <w:lang w:val="hy-AM"/>
        </w:rPr>
        <w:t>ողական</w:t>
      </w:r>
      <w:r w:rsidR="000C6C2D" w:rsidRPr="00EF7399">
        <w:rPr>
          <w:rFonts w:ascii="Times New Roman" w:hAnsi="Times New Roman" w:cs="Times New Roman"/>
          <w:lang w:val="af-ZA"/>
        </w:rPr>
        <w:t xml:space="preserve"> կասկածները, հետևաբար</w:t>
      </w:r>
      <w:r w:rsidR="004B275E" w:rsidRPr="00EF7399">
        <w:rPr>
          <w:rFonts w:ascii="Times New Roman" w:hAnsi="Times New Roman" w:cs="Times New Roman"/>
          <w:lang w:val="af-ZA"/>
        </w:rPr>
        <w:t>,</w:t>
      </w:r>
      <w:r w:rsidR="000C6C2D" w:rsidRPr="00EF7399">
        <w:rPr>
          <w:rFonts w:ascii="Times New Roman" w:hAnsi="Times New Roman" w:cs="Times New Roman"/>
          <w:lang w:val="af-ZA"/>
        </w:rPr>
        <w:t xml:space="preserve"> </w:t>
      </w:r>
      <w:r w:rsidR="009F4C3D" w:rsidRPr="00EF7399">
        <w:rPr>
          <w:rFonts w:ascii="Times New Roman" w:hAnsi="Times New Roman" w:cs="Times New Roman"/>
          <w:lang w:val="af-ZA"/>
        </w:rPr>
        <w:t>Դատարանն ունի սահմանափակ լիազորություն</w:t>
      </w:r>
      <w:r w:rsidR="009F4C3D" w:rsidRPr="00EF7399">
        <w:rPr>
          <w:rFonts w:ascii="Times New Roman" w:hAnsi="Times New Roman" w:cs="Times New Roman"/>
          <w:lang w:val="hy-AM"/>
        </w:rPr>
        <w:t>՝ վերանայելու</w:t>
      </w:r>
      <w:r w:rsidR="009F4C3D" w:rsidRPr="00EF7399">
        <w:rPr>
          <w:rFonts w:ascii="Times New Roman" w:hAnsi="Times New Roman" w:cs="Times New Roman"/>
          <w:lang w:val="af-ZA"/>
        </w:rPr>
        <w:t xml:space="preserve"> </w:t>
      </w:r>
      <w:r w:rsidR="00F7709B" w:rsidRPr="00EF7399">
        <w:rPr>
          <w:rFonts w:ascii="Times New Roman" w:hAnsi="Times New Roman" w:cs="Times New Roman"/>
          <w:lang w:val="af-ZA"/>
        </w:rPr>
        <w:t>ներպետական օրենսդրությանը համապատասխան</w:t>
      </w:r>
      <w:r w:rsidR="009F4C3D" w:rsidRPr="00EF7399">
        <w:rPr>
          <w:rFonts w:ascii="Times New Roman" w:hAnsi="Times New Roman" w:cs="Times New Roman"/>
          <w:lang w:val="hy-AM"/>
        </w:rPr>
        <w:t>ությունը</w:t>
      </w:r>
      <w:r w:rsidR="00F7709B" w:rsidRPr="00EF7399">
        <w:rPr>
          <w:rFonts w:ascii="Times New Roman" w:hAnsi="Times New Roman" w:cs="Times New Roman"/>
          <w:lang w:val="af-ZA"/>
        </w:rPr>
        <w:t xml:space="preserve">, քանի որ ներպետական օրենսդրության մեկնաբանման և կիրառման հարցը հիմնականում ազգային իշխանությունների, </w:t>
      </w:r>
      <w:r w:rsidR="009F4C3D" w:rsidRPr="00EF7399">
        <w:rPr>
          <w:rFonts w:ascii="Times New Roman" w:hAnsi="Times New Roman" w:cs="Times New Roman"/>
          <w:lang w:val="hy-AM"/>
        </w:rPr>
        <w:t>հատկապես</w:t>
      </w:r>
      <w:r w:rsidR="00F7709B" w:rsidRPr="00EF7399">
        <w:rPr>
          <w:rFonts w:ascii="Times New Roman" w:hAnsi="Times New Roman" w:cs="Times New Roman"/>
          <w:lang w:val="af-ZA"/>
        </w:rPr>
        <w:t xml:space="preserve">` դատարանների գործառույթն է: Ավելին, ներպետական օրենսդրությունից պահանջվող որոշակիության աստիճանը, որը, </w:t>
      </w:r>
      <w:r w:rsidR="00F614D8" w:rsidRPr="00EF7399">
        <w:rPr>
          <w:rFonts w:ascii="Times New Roman" w:hAnsi="Times New Roman" w:cs="Times New Roman"/>
          <w:lang w:val="af-ZA"/>
        </w:rPr>
        <w:t>ամեն պարագայում,</w:t>
      </w:r>
      <w:r w:rsidR="00F7709B" w:rsidRPr="00EF7399">
        <w:rPr>
          <w:rFonts w:ascii="Times New Roman" w:hAnsi="Times New Roman" w:cs="Times New Roman"/>
          <w:lang w:val="af-ZA"/>
        </w:rPr>
        <w:t xml:space="preserve"> </w:t>
      </w:r>
      <w:r w:rsidR="00F614D8" w:rsidRPr="00EF7399">
        <w:rPr>
          <w:rFonts w:ascii="Times New Roman" w:hAnsi="Times New Roman" w:cs="Times New Roman"/>
          <w:lang w:val="af-ZA"/>
        </w:rPr>
        <w:t xml:space="preserve">չի կարող </w:t>
      </w:r>
      <w:r w:rsidR="00F7709B" w:rsidRPr="00EF7399">
        <w:rPr>
          <w:rFonts w:ascii="Times New Roman" w:hAnsi="Times New Roman" w:cs="Times New Roman"/>
          <w:lang w:val="af-ZA"/>
        </w:rPr>
        <w:t>նախատեսել բոլոր</w:t>
      </w:r>
      <w:r w:rsidR="00F614D8" w:rsidRPr="00EF7399">
        <w:rPr>
          <w:rFonts w:ascii="Times New Roman" w:hAnsi="Times New Roman" w:cs="Times New Roman"/>
          <w:lang w:val="af-ZA"/>
        </w:rPr>
        <w:t xml:space="preserve"> հնարավոր տարբերակները</w:t>
      </w:r>
      <w:r w:rsidR="00F7709B" w:rsidRPr="00EF7399">
        <w:rPr>
          <w:rFonts w:ascii="Times New Roman" w:hAnsi="Times New Roman" w:cs="Times New Roman"/>
          <w:lang w:val="af-ZA"/>
        </w:rPr>
        <w:t>, մեծապես կախված է</w:t>
      </w:r>
      <w:r w:rsidR="00F614D8" w:rsidRPr="00EF7399">
        <w:rPr>
          <w:rFonts w:ascii="Times New Roman" w:hAnsi="Times New Roman" w:cs="Times New Roman"/>
          <w:lang w:val="af-ZA"/>
        </w:rPr>
        <w:t xml:space="preserve"> տվյալ իրավական ակտի բովանդակությունից,</w:t>
      </w:r>
      <w:r w:rsidR="00F7709B" w:rsidRPr="00EF7399">
        <w:rPr>
          <w:rFonts w:ascii="Times New Roman" w:hAnsi="Times New Roman" w:cs="Times New Roman"/>
          <w:lang w:val="af-ZA"/>
        </w:rPr>
        <w:t xml:space="preserve"> </w:t>
      </w:r>
      <w:r w:rsidR="004B275E" w:rsidRPr="00EF7399">
        <w:rPr>
          <w:rFonts w:ascii="Times New Roman" w:hAnsi="Times New Roman" w:cs="Times New Roman"/>
          <w:lang w:val="af-ZA"/>
        </w:rPr>
        <w:t>կիրառել</w:t>
      </w:r>
      <w:r w:rsidR="009F4C3D" w:rsidRPr="00EF7399">
        <w:rPr>
          <w:rFonts w:ascii="Times New Roman" w:hAnsi="Times New Roman" w:cs="Times New Roman"/>
          <w:lang w:val="hy-AM"/>
        </w:rPr>
        <w:t>ի</w:t>
      </w:r>
      <w:r w:rsidR="004B275E" w:rsidRPr="00EF7399">
        <w:rPr>
          <w:rFonts w:ascii="Times New Roman" w:hAnsi="Times New Roman" w:cs="Times New Roman"/>
          <w:lang w:val="af-ZA"/>
        </w:rPr>
        <w:t xml:space="preserve">ության </w:t>
      </w:r>
      <w:r w:rsidR="00F614D8" w:rsidRPr="00EF7399">
        <w:rPr>
          <w:rFonts w:ascii="Times New Roman" w:hAnsi="Times New Roman" w:cs="Times New Roman"/>
          <w:lang w:val="af-ZA"/>
        </w:rPr>
        <w:t>ոլորտից</w:t>
      </w:r>
      <w:r w:rsidR="009F4C3D" w:rsidRPr="00EF7399">
        <w:rPr>
          <w:rFonts w:ascii="Times New Roman" w:hAnsi="Times New Roman" w:cs="Times New Roman"/>
          <w:lang w:val="hy-AM"/>
        </w:rPr>
        <w:t xml:space="preserve"> և </w:t>
      </w:r>
      <w:r w:rsidR="004B275E" w:rsidRPr="00EF7399">
        <w:rPr>
          <w:rFonts w:ascii="Times New Roman" w:hAnsi="Times New Roman" w:cs="Times New Roman"/>
          <w:lang w:val="af-ZA"/>
        </w:rPr>
        <w:t xml:space="preserve">անձանց քանակից </w:t>
      </w:r>
      <w:r w:rsidR="009F4C3D" w:rsidRPr="00EF7399">
        <w:rPr>
          <w:rFonts w:ascii="Times New Roman" w:hAnsi="Times New Roman" w:cs="Times New Roman"/>
          <w:lang w:val="hy-AM"/>
        </w:rPr>
        <w:t>ու</w:t>
      </w:r>
      <w:r w:rsidR="004B275E" w:rsidRPr="00EF7399">
        <w:rPr>
          <w:rFonts w:ascii="Times New Roman" w:hAnsi="Times New Roman" w:cs="Times New Roman"/>
          <w:lang w:val="af-ZA"/>
        </w:rPr>
        <w:t xml:space="preserve"> կարգավիճակից, ում այն հասցեագրված է</w:t>
      </w:r>
      <w:r w:rsidR="00F614D8" w:rsidRPr="00EF7399">
        <w:rPr>
          <w:rFonts w:ascii="Times New Roman" w:hAnsi="Times New Roman" w:cs="Times New Roman"/>
          <w:lang w:val="af-ZA"/>
        </w:rPr>
        <w:t xml:space="preserve"> </w:t>
      </w:r>
      <w:r w:rsidR="004F5608" w:rsidRPr="00EF7399">
        <w:rPr>
          <w:rFonts w:ascii="Times New Roman" w:hAnsi="Times New Roman" w:cs="Times New Roman"/>
          <w:lang w:val="af-ZA"/>
        </w:rPr>
        <w:t>(</w:t>
      </w:r>
      <w:hyperlink r:id="rId166" w:history="1">
        <w:r w:rsidR="004F5608" w:rsidRPr="00EF7399">
          <w:rPr>
            <w:rStyle w:val="Hyperlink"/>
            <w:rFonts w:ascii="Times New Roman" w:hAnsi="Times New Roman" w:cs="Times New Roman"/>
            <w:lang w:val="af-ZA"/>
          </w:rPr>
          <w:t>Kudrevičius and Others</w:t>
        </w:r>
        <w:r w:rsidR="00873234" w:rsidRPr="00EF7399">
          <w:rPr>
            <w:rStyle w:val="Hyperlink"/>
            <w:rFonts w:ascii="Times New Roman" w:hAnsi="Times New Roman" w:cs="Times New Roman"/>
            <w:lang w:val="af-ZA"/>
          </w:rPr>
          <w:t xml:space="preserve"> v. </w:t>
        </w:r>
        <w:r w:rsidR="004F5608" w:rsidRPr="00EF7399">
          <w:rPr>
            <w:rStyle w:val="Hyperlink"/>
            <w:rFonts w:ascii="Times New Roman" w:hAnsi="Times New Roman" w:cs="Times New Roman"/>
            <w:lang w:val="af-ZA"/>
          </w:rPr>
          <w:t>Lithuania</w:t>
        </w:r>
      </w:hyperlink>
      <w:r w:rsidR="004F5608" w:rsidRPr="00EF7399">
        <w:rPr>
          <w:rFonts w:ascii="Times New Roman" w:hAnsi="Times New Roman" w:cs="Times New Roman"/>
          <w:i/>
          <w:lang w:val="af-ZA"/>
        </w:rPr>
        <w:t xml:space="preserve"> </w:t>
      </w:r>
      <w:r w:rsidR="004F5608" w:rsidRPr="00EF7399">
        <w:rPr>
          <w:rFonts w:ascii="Times New Roman" w:hAnsi="Times New Roman" w:cs="Times New Roman"/>
          <w:lang w:val="af-ZA"/>
        </w:rPr>
        <w:t xml:space="preserve">[GC], </w:t>
      </w:r>
      <w:r w:rsidR="001E21F4"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004F5608" w:rsidRPr="00EF7399">
        <w:rPr>
          <w:rFonts w:ascii="Times New Roman" w:hAnsi="Times New Roman" w:cs="Times New Roman"/>
          <w:lang w:val="af-ZA"/>
        </w:rPr>
        <w:t>110)</w:t>
      </w:r>
      <w:r w:rsidR="004B275E" w:rsidRPr="00EF7399">
        <w:rPr>
          <w:rFonts w:ascii="Times New Roman" w:hAnsi="Times New Roman" w:cs="Times New Roman"/>
          <w:lang w:val="af-ZA"/>
        </w:rPr>
        <w:t>:</w:t>
      </w:r>
    </w:p>
    <w:p w14:paraId="4305DB87" w14:textId="09407E0C" w:rsidR="009053AB" w:rsidRPr="00EF7399" w:rsidRDefault="009053AB" w:rsidP="009053AB">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57</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4B275E" w:rsidRPr="00EF7399">
        <w:rPr>
          <w:rFonts w:ascii="Times New Roman" w:hAnsi="Times New Roman" w:cs="Times New Roman"/>
          <w:lang w:val="af-ZA"/>
        </w:rPr>
        <w:t xml:space="preserve">Որակական պահանջները բավարարելու համար ներպետական օրենսդրությունը պետք է </w:t>
      </w:r>
      <w:r w:rsidR="009F4C3D" w:rsidRPr="00EF7399">
        <w:rPr>
          <w:rFonts w:ascii="Times New Roman" w:hAnsi="Times New Roman" w:cs="Times New Roman"/>
          <w:lang w:val="hy-AM"/>
        </w:rPr>
        <w:t>նախատեսի</w:t>
      </w:r>
      <w:r w:rsidR="009F4C3D" w:rsidRPr="00EF7399">
        <w:rPr>
          <w:rFonts w:ascii="Times New Roman" w:hAnsi="Times New Roman" w:cs="Times New Roman"/>
          <w:lang w:val="af-ZA"/>
        </w:rPr>
        <w:t xml:space="preserve"> </w:t>
      </w:r>
      <w:r w:rsidR="004B275E" w:rsidRPr="00EF7399">
        <w:rPr>
          <w:rFonts w:ascii="Times New Roman" w:hAnsi="Times New Roman" w:cs="Times New Roman"/>
          <w:lang w:val="af-ZA"/>
        </w:rPr>
        <w:t xml:space="preserve">իշխանությունների կամայական միջամտություններից Կոնվենցիայով երաշխավորված իրավունքները պաշտպանելու իրավական միջոց: </w:t>
      </w:r>
      <w:r w:rsidR="00601B19" w:rsidRPr="00EF7399">
        <w:rPr>
          <w:rFonts w:ascii="Times New Roman" w:hAnsi="Times New Roman" w:cs="Times New Roman"/>
          <w:lang w:val="af-ZA"/>
        </w:rPr>
        <w:t xml:space="preserve">Հիմնարար իրավունքների վրա ազդեցություն ունեցող հարցերում գործադիրին </w:t>
      </w:r>
      <w:r w:rsidR="00EF32A6" w:rsidRPr="00EF7399">
        <w:rPr>
          <w:rFonts w:ascii="Times New Roman" w:hAnsi="Times New Roman" w:cs="Times New Roman"/>
          <w:lang w:val="af-ZA"/>
        </w:rPr>
        <w:t xml:space="preserve">անսահմանափակ իշխանության հասնող </w:t>
      </w:r>
      <w:r w:rsidR="00601B19" w:rsidRPr="00EF7399">
        <w:rPr>
          <w:rFonts w:ascii="Times New Roman" w:hAnsi="Times New Roman" w:cs="Times New Roman"/>
          <w:lang w:val="af-ZA"/>
        </w:rPr>
        <w:t>իրավական հայեցողություն շնորհելը</w:t>
      </w:r>
      <w:r w:rsidR="00EF32A6" w:rsidRPr="00EF7399">
        <w:rPr>
          <w:rFonts w:ascii="Times New Roman" w:hAnsi="Times New Roman" w:cs="Times New Roman"/>
          <w:lang w:val="af-ZA"/>
        </w:rPr>
        <w:t xml:space="preserve"> </w:t>
      </w:r>
      <w:r w:rsidR="00601B19" w:rsidRPr="00EF7399">
        <w:rPr>
          <w:rFonts w:ascii="Times New Roman" w:hAnsi="Times New Roman" w:cs="Times New Roman"/>
          <w:lang w:val="af-ZA"/>
        </w:rPr>
        <w:t xml:space="preserve">հակասում է </w:t>
      </w:r>
      <w:r w:rsidR="004B275E" w:rsidRPr="00EF7399">
        <w:rPr>
          <w:rFonts w:ascii="Times New Roman" w:hAnsi="Times New Roman" w:cs="Times New Roman"/>
          <w:lang w:val="af-ZA"/>
        </w:rPr>
        <w:t>իրավունքի գերակայությանը</w:t>
      </w:r>
      <w:r w:rsidR="00EF32A6" w:rsidRPr="00EF7399">
        <w:rPr>
          <w:rFonts w:ascii="Times New Roman" w:hAnsi="Times New Roman" w:cs="Times New Roman"/>
          <w:lang w:val="af-ZA"/>
        </w:rPr>
        <w:t>, որը</w:t>
      </w:r>
      <w:r w:rsidR="00601B19" w:rsidRPr="00EF7399">
        <w:rPr>
          <w:rFonts w:ascii="Times New Roman" w:hAnsi="Times New Roman" w:cs="Times New Roman"/>
          <w:lang w:val="af-ZA"/>
        </w:rPr>
        <w:t xml:space="preserve"> </w:t>
      </w:r>
      <w:r w:rsidR="00EF32A6" w:rsidRPr="00EF7399">
        <w:rPr>
          <w:rFonts w:ascii="Times New Roman" w:hAnsi="Times New Roman" w:cs="Times New Roman"/>
          <w:lang w:val="af-ZA"/>
        </w:rPr>
        <w:t xml:space="preserve">Կոնվենցիայում ամրագրված ժողովրդավարական հասարակության հիմնարար սկզբունքներից մեկն է </w:t>
      </w:r>
      <w:r w:rsidR="0081194B" w:rsidRPr="00EF7399">
        <w:rPr>
          <w:rFonts w:ascii="Times New Roman" w:hAnsi="Times New Roman" w:cs="Times New Roman"/>
          <w:lang w:val="af-ZA"/>
        </w:rPr>
        <w:t>(</w:t>
      </w:r>
      <w:hyperlink r:id="rId167" w:history="1">
        <w:r w:rsidR="0081194B" w:rsidRPr="00EF7399">
          <w:rPr>
            <w:rStyle w:val="Hyperlink"/>
            <w:rFonts w:ascii="Times New Roman" w:hAnsi="Times New Roman" w:cs="Times New Roman"/>
            <w:lang w:val="af-ZA"/>
          </w:rPr>
          <w:t>Navalnyy</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Russia</w:t>
        </w:r>
      </w:hyperlink>
      <w:r w:rsidR="0081194B" w:rsidRPr="00EF7399">
        <w:rPr>
          <w:rFonts w:ascii="Times New Roman" w:hAnsi="Times New Roman" w:cs="Times New Roman"/>
          <w:lang w:val="af-ZA"/>
        </w:rPr>
        <w:t xml:space="preserve"> [GC], </w:t>
      </w:r>
      <w:r w:rsidR="001E21F4" w:rsidRPr="00EF7399">
        <w:rPr>
          <w:rFonts w:ascii="Times New Roman" w:hAnsi="Times New Roman" w:cs="Times New Roman"/>
          <w:lang w:val="af-ZA"/>
        </w:rPr>
        <w:t xml:space="preserve">2018,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11</w:t>
      </w:r>
      <w:r w:rsidR="00D36F39" w:rsidRPr="00EF7399">
        <w:rPr>
          <w:rFonts w:ascii="Times New Roman" w:hAnsi="Times New Roman" w:cs="Times New Roman"/>
          <w:lang w:val="af-ZA"/>
        </w:rPr>
        <w:t>5</w:t>
      </w:r>
      <w:r w:rsidR="0081194B" w:rsidRPr="00EF7399">
        <w:rPr>
          <w:rFonts w:ascii="Times New Roman" w:hAnsi="Times New Roman" w:cs="Times New Roman"/>
          <w:lang w:val="af-ZA"/>
        </w:rPr>
        <w:t>)</w:t>
      </w:r>
      <w:r w:rsidR="00EF32A6" w:rsidRPr="00EF7399">
        <w:rPr>
          <w:rFonts w:ascii="Times New Roman" w:hAnsi="Times New Roman" w:cs="Times New Roman"/>
          <w:lang w:val="af-ZA"/>
        </w:rPr>
        <w:t>:</w:t>
      </w:r>
    </w:p>
    <w:p w14:paraId="52C3A5FB" w14:textId="2FCCE6F2" w:rsidR="009053AB" w:rsidRPr="001B2612" w:rsidRDefault="009053AB" w:rsidP="009053AB">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58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915887" w:rsidRPr="00EF7399">
        <w:rPr>
          <w:rFonts w:ascii="Times New Roman" w:hAnsi="Times New Roman" w:cs="Times New Roman"/>
          <w:lang w:val="hy-AM"/>
        </w:rPr>
        <w:t xml:space="preserve">Հետևաբար, </w:t>
      </w:r>
      <w:hyperlink r:id="rId168" w:history="1">
        <w:r w:rsidR="008E72EF" w:rsidRPr="00EF7399">
          <w:rPr>
            <w:rStyle w:val="Hyperlink"/>
            <w:rFonts w:ascii="Times New Roman" w:hAnsi="Times New Roman" w:cs="Times New Roman"/>
            <w:lang w:val="af-ZA"/>
          </w:rPr>
          <w:t>Lashmankin and Others v. Russia</w:t>
        </w:r>
      </w:hyperlink>
      <w:r w:rsidR="008E72EF" w:rsidRPr="00EF7399">
        <w:rPr>
          <w:rFonts w:ascii="Times New Roman" w:hAnsi="Times New Roman" w:cs="Times New Roman"/>
          <w:lang w:val="af-ZA"/>
        </w:rPr>
        <w:t xml:space="preserve"> (2017, § 430) գործ</w:t>
      </w:r>
      <w:r w:rsidR="00915887" w:rsidRPr="00EF7399">
        <w:rPr>
          <w:rFonts w:ascii="Times New Roman" w:hAnsi="Times New Roman" w:cs="Times New Roman"/>
          <w:lang w:val="hy-AM"/>
        </w:rPr>
        <w:t xml:space="preserve">ով </w:t>
      </w:r>
      <w:r w:rsidR="008E72EF" w:rsidRPr="00EF7399">
        <w:rPr>
          <w:rFonts w:ascii="Times New Roman" w:hAnsi="Times New Roman" w:cs="Times New Roman"/>
          <w:lang w:val="af-ZA"/>
        </w:rPr>
        <w:t xml:space="preserve">ներպետական օրենսդրական </w:t>
      </w:r>
      <w:r w:rsidR="00B01995" w:rsidRPr="00EF7399">
        <w:rPr>
          <w:rFonts w:ascii="Times New Roman" w:hAnsi="Times New Roman" w:cs="Times New Roman"/>
          <w:lang w:val="af-ZA"/>
        </w:rPr>
        <w:t xml:space="preserve">այն </w:t>
      </w:r>
      <w:r w:rsidR="008E72EF" w:rsidRPr="00EF7399">
        <w:rPr>
          <w:rFonts w:ascii="Times New Roman" w:hAnsi="Times New Roman" w:cs="Times New Roman"/>
          <w:lang w:val="af-ZA"/>
        </w:rPr>
        <w:t>կարգավորումները, որոնք թույլ են տալիս գործադիրին առաջարկել հանրային միջոցառումների վայրի, ժամի կամ անցկացման ձևի փոփոխություն և չ</w:t>
      </w:r>
      <w:r w:rsidR="00915887" w:rsidRPr="00EF7399">
        <w:rPr>
          <w:rFonts w:ascii="Times New Roman" w:hAnsi="Times New Roman" w:cs="Times New Roman"/>
          <w:lang w:val="hy-AM"/>
        </w:rPr>
        <w:t>ե</w:t>
      </w:r>
      <w:r w:rsidR="008E72EF" w:rsidRPr="00EF7399">
        <w:rPr>
          <w:rFonts w:ascii="Times New Roman" w:hAnsi="Times New Roman" w:cs="Times New Roman"/>
          <w:lang w:val="af-ZA"/>
        </w:rPr>
        <w:t>ն</w:t>
      </w:r>
      <w:r w:rsidR="00915887" w:rsidRPr="00EF7399">
        <w:rPr>
          <w:rFonts w:ascii="Times New Roman" w:hAnsi="Times New Roman" w:cs="Times New Roman"/>
          <w:lang w:val="hy-AM"/>
        </w:rPr>
        <w:t xml:space="preserve"> նախատեսում</w:t>
      </w:r>
      <w:r w:rsidR="008E72EF" w:rsidRPr="00EF7399">
        <w:rPr>
          <w:rFonts w:ascii="Times New Roman" w:hAnsi="Times New Roman" w:cs="Times New Roman"/>
          <w:lang w:val="af-ZA"/>
        </w:rPr>
        <w:t xml:space="preserve"> համարժեք ու արդյունավետ իրավական երաշխիքներ այդ լիազորությունների կամայական և խտրական կիրառմա</w:t>
      </w:r>
      <w:r w:rsidR="00B01995" w:rsidRPr="00EF7399">
        <w:rPr>
          <w:rFonts w:ascii="Times New Roman" w:hAnsi="Times New Roman" w:cs="Times New Roman"/>
          <w:lang w:val="af-ZA"/>
        </w:rPr>
        <w:t>ն դեմ</w:t>
      </w:r>
      <w:r w:rsidR="00915887" w:rsidRPr="00EF7399">
        <w:rPr>
          <w:rFonts w:ascii="Times New Roman" w:hAnsi="Times New Roman" w:cs="Times New Roman"/>
          <w:lang w:val="hy-AM"/>
        </w:rPr>
        <w:t xml:space="preserve">, համարվել են </w:t>
      </w:r>
      <w:r w:rsidR="00915887" w:rsidRPr="00EF7399">
        <w:rPr>
          <w:rFonts w:ascii="Times New Roman" w:hAnsi="Times New Roman" w:cs="Times New Roman"/>
          <w:lang w:val="af-ZA"/>
        </w:rPr>
        <w:t xml:space="preserve">Կոնվենցիայի «օրենքի որակի» պահանջներին </w:t>
      </w:r>
      <w:r w:rsidR="00915887" w:rsidRPr="00EF7399">
        <w:rPr>
          <w:rFonts w:ascii="Times New Roman" w:hAnsi="Times New Roman" w:cs="Times New Roman"/>
          <w:lang w:val="hy-AM"/>
        </w:rPr>
        <w:t>չ</w:t>
      </w:r>
      <w:r w:rsidR="00915887" w:rsidRPr="00EF7399">
        <w:rPr>
          <w:rFonts w:ascii="Times New Roman" w:hAnsi="Times New Roman" w:cs="Times New Roman"/>
          <w:lang w:val="af-ZA"/>
        </w:rPr>
        <w:t>համապատասխանո</w:t>
      </w:r>
      <w:r w:rsidR="00915887" w:rsidRPr="00EF7399">
        <w:rPr>
          <w:rFonts w:ascii="Times New Roman" w:hAnsi="Times New Roman" w:cs="Times New Roman"/>
          <w:lang w:val="hy-AM"/>
        </w:rPr>
        <w:t>ղ</w:t>
      </w:r>
      <w:r w:rsidR="00B01995" w:rsidRPr="00EF7399">
        <w:rPr>
          <w:rFonts w:ascii="Times New Roman" w:hAnsi="Times New Roman" w:cs="Times New Roman"/>
          <w:lang w:val="af-ZA"/>
        </w:rPr>
        <w:t>: Նույն տրամաբանությամբ</w:t>
      </w:r>
      <w:r w:rsidR="00915887" w:rsidRPr="00EF7399">
        <w:rPr>
          <w:rFonts w:ascii="Times New Roman" w:hAnsi="Times New Roman" w:cs="Times New Roman"/>
          <w:lang w:val="hy-AM"/>
        </w:rPr>
        <w:t>,</w:t>
      </w:r>
      <w:r w:rsidR="00B01995" w:rsidRPr="00EF7399">
        <w:rPr>
          <w:rFonts w:ascii="Times New Roman" w:hAnsi="Times New Roman" w:cs="Times New Roman"/>
          <w:lang w:val="af-ZA"/>
        </w:rPr>
        <w:t xml:space="preserve"> </w:t>
      </w:r>
      <w:r w:rsidR="00B40309" w:rsidRPr="00EF7399">
        <w:rPr>
          <w:rFonts w:ascii="Times New Roman" w:hAnsi="Times New Roman" w:cs="Times New Roman"/>
          <w:lang w:val="af-ZA"/>
        </w:rPr>
        <w:t>գործադիր իշխանությունների լայն հայեցողությունը</w:t>
      </w:r>
      <w:r w:rsidR="00915887" w:rsidRPr="00EF7399">
        <w:rPr>
          <w:rFonts w:ascii="Times New Roman" w:hAnsi="Times New Roman" w:cs="Times New Roman"/>
          <w:lang w:val="hy-AM"/>
        </w:rPr>
        <w:t>՝</w:t>
      </w:r>
      <w:r w:rsidR="00B40309" w:rsidRPr="00EF7399">
        <w:rPr>
          <w:rFonts w:ascii="Times New Roman" w:hAnsi="Times New Roman" w:cs="Times New Roman"/>
          <w:lang w:val="af-ZA"/>
        </w:rPr>
        <w:t xml:space="preserve"> </w:t>
      </w:r>
      <w:r w:rsidR="00915887" w:rsidRPr="00EF7399">
        <w:rPr>
          <w:rFonts w:ascii="Times New Roman" w:hAnsi="Times New Roman" w:cs="Times New Roman"/>
          <w:lang w:val="af-ZA"/>
        </w:rPr>
        <w:t>որոշելու</w:t>
      </w:r>
      <w:r w:rsidR="00915887" w:rsidRPr="00EF7399">
        <w:rPr>
          <w:rFonts w:ascii="Times New Roman" w:hAnsi="Times New Roman" w:cs="Times New Roman"/>
          <w:lang w:val="hy-AM"/>
        </w:rPr>
        <w:t>, թե որ վարքագիծն է</w:t>
      </w:r>
      <w:r w:rsidR="00915887" w:rsidRPr="00EF7399">
        <w:rPr>
          <w:rFonts w:ascii="Times New Roman" w:hAnsi="Times New Roman" w:cs="Times New Roman"/>
          <w:lang w:val="af-ZA"/>
        </w:rPr>
        <w:t xml:space="preserve"> </w:t>
      </w:r>
      <w:r w:rsidR="00B40309" w:rsidRPr="00EF7399">
        <w:rPr>
          <w:rFonts w:ascii="Times New Roman" w:hAnsi="Times New Roman" w:cs="Times New Roman"/>
          <w:lang w:val="af-ZA"/>
        </w:rPr>
        <w:t>պաշտոնական իրազեկման ենթակա «հանրային միջոցառման», երբ բացակայում են այն ոչ ֆորմալ հավաքույթից</w:t>
      </w:r>
      <w:r w:rsidR="00915887" w:rsidRPr="00EF7399">
        <w:rPr>
          <w:rFonts w:ascii="Times New Roman" w:hAnsi="Times New Roman" w:cs="Times New Roman"/>
          <w:lang w:val="hy-AM"/>
        </w:rPr>
        <w:t xml:space="preserve"> </w:t>
      </w:r>
      <w:r w:rsidR="00915887" w:rsidRPr="00EF7399">
        <w:rPr>
          <w:rFonts w:ascii="Times New Roman" w:hAnsi="Times New Roman" w:cs="Times New Roman"/>
          <w:lang w:val="af-ZA"/>
        </w:rPr>
        <w:t>տարբերակո</w:t>
      </w:r>
      <w:r w:rsidR="00915887" w:rsidRPr="00EF7399">
        <w:rPr>
          <w:rFonts w:ascii="Times New Roman" w:hAnsi="Times New Roman" w:cs="Times New Roman"/>
          <w:lang w:val="hy-AM"/>
        </w:rPr>
        <w:t xml:space="preserve">ղ </w:t>
      </w:r>
      <w:r w:rsidR="00915887" w:rsidRPr="00EF7399">
        <w:rPr>
          <w:rFonts w:ascii="Times New Roman" w:hAnsi="Times New Roman" w:cs="Times New Roman"/>
          <w:lang w:val="af-ZA"/>
        </w:rPr>
        <w:t>չափորոշիչներ</w:t>
      </w:r>
      <w:r w:rsidR="00915887" w:rsidRPr="00EF7399">
        <w:rPr>
          <w:rFonts w:ascii="Times New Roman" w:hAnsi="Times New Roman" w:cs="Times New Roman"/>
          <w:lang w:val="hy-AM"/>
        </w:rPr>
        <w:t>ը</w:t>
      </w:r>
      <w:r w:rsidR="00915887" w:rsidRPr="00EF7399">
        <w:rPr>
          <w:rFonts w:ascii="Times New Roman" w:hAnsi="Times New Roman" w:cs="Times New Roman"/>
          <w:lang w:val="af-ZA"/>
        </w:rPr>
        <w:t>,</w:t>
      </w:r>
      <w:r w:rsidR="00B40309" w:rsidRPr="00EF7399">
        <w:rPr>
          <w:rFonts w:ascii="Times New Roman" w:hAnsi="Times New Roman" w:cs="Times New Roman"/>
          <w:lang w:val="af-ZA"/>
        </w:rPr>
        <w:t xml:space="preserve"> </w:t>
      </w:r>
      <w:r w:rsidR="00B01995" w:rsidRPr="00EF7399">
        <w:rPr>
          <w:rFonts w:ascii="Times New Roman" w:hAnsi="Times New Roman" w:cs="Times New Roman"/>
          <w:lang w:val="af-ZA"/>
        </w:rPr>
        <w:t>Դատարանի մոտ</w:t>
      </w:r>
      <w:r w:rsidR="00915887" w:rsidRPr="00EF7399">
        <w:rPr>
          <w:rFonts w:ascii="Times New Roman" w:hAnsi="Times New Roman" w:cs="Times New Roman"/>
          <w:lang w:val="af-ZA"/>
        </w:rPr>
        <w:t xml:space="preserve"> առաջաց</w:t>
      </w:r>
      <w:r w:rsidR="00915887" w:rsidRPr="00EF7399">
        <w:rPr>
          <w:rFonts w:ascii="Times New Roman" w:hAnsi="Times New Roman" w:cs="Times New Roman"/>
          <w:lang w:val="hy-AM"/>
        </w:rPr>
        <w:t>ր</w:t>
      </w:r>
      <w:r w:rsidR="00915887" w:rsidRPr="00EF7399">
        <w:rPr>
          <w:rFonts w:ascii="Times New Roman" w:hAnsi="Times New Roman" w:cs="Times New Roman"/>
          <w:lang w:val="af-ZA"/>
        </w:rPr>
        <w:t>ել</w:t>
      </w:r>
      <w:r w:rsidR="00915887" w:rsidRPr="00EF7399">
        <w:rPr>
          <w:rFonts w:ascii="Times New Roman" w:hAnsi="Times New Roman" w:cs="Times New Roman"/>
          <w:lang w:val="hy-AM"/>
        </w:rPr>
        <w:t xml:space="preserve"> էին </w:t>
      </w:r>
      <w:r w:rsidR="00915887" w:rsidRPr="00EF7399">
        <w:rPr>
          <w:rFonts w:ascii="Times New Roman" w:hAnsi="Times New Roman" w:cs="Times New Roman"/>
          <w:lang w:val="af-ZA"/>
        </w:rPr>
        <w:t xml:space="preserve">կասկածներ </w:t>
      </w:r>
      <w:r w:rsidR="00915887" w:rsidRPr="00EF7399">
        <w:rPr>
          <w:rFonts w:ascii="Times New Roman" w:hAnsi="Times New Roman" w:cs="Times New Roman"/>
          <w:lang w:val="hy-AM"/>
        </w:rPr>
        <w:t>առ այն</w:t>
      </w:r>
      <w:r w:rsidR="00B01995" w:rsidRPr="00EF7399">
        <w:rPr>
          <w:rFonts w:ascii="Times New Roman" w:hAnsi="Times New Roman" w:cs="Times New Roman"/>
          <w:lang w:val="af-ZA"/>
        </w:rPr>
        <w:t xml:space="preserve">, որ </w:t>
      </w:r>
      <w:r w:rsidR="00B40309" w:rsidRPr="00EF7399">
        <w:rPr>
          <w:rFonts w:ascii="Times New Roman" w:hAnsi="Times New Roman" w:cs="Times New Roman"/>
          <w:lang w:val="af-ZA"/>
        </w:rPr>
        <w:t xml:space="preserve">իրազեկման </w:t>
      </w:r>
      <w:r w:rsidR="00915887" w:rsidRPr="00EF7399">
        <w:rPr>
          <w:rFonts w:ascii="Times New Roman" w:hAnsi="Times New Roman" w:cs="Times New Roman"/>
          <w:lang w:val="hy-AM"/>
        </w:rPr>
        <w:t>ընթացա</w:t>
      </w:r>
      <w:r w:rsidR="00B40309" w:rsidRPr="00EF7399">
        <w:rPr>
          <w:rFonts w:ascii="Times New Roman" w:hAnsi="Times New Roman" w:cs="Times New Roman"/>
          <w:lang w:val="af-ZA"/>
        </w:rPr>
        <w:t>կարգի պահանջները խախտելու համար կիրառված վարչական հարկադր</w:t>
      </w:r>
      <w:r w:rsidR="00915887" w:rsidRPr="00EF7399">
        <w:rPr>
          <w:rFonts w:ascii="Times New Roman" w:hAnsi="Times New Roman" w:cs="Times New Roman"/>
          <w:lang w:val="hy-AM"/>
        </w:rPr>
        <w:t>ակ</w:t>
      </w:r>
      <w:r w:rsidR="00B40309" w:rsidRPr="00EF7399">
        <w:rPr>
          <w:rFonts w:ascii="Times New Roman" w:hAnsi="Times New Roman" w:cs="Times New Roman"/>
          <w:lang w:val="af-ZA"/>
        </w:rPr>
        <w:t>ան միջոցները «նախատեսված էին օրենքով»</w:t>
      </w:r>
      <w:r w:rsidR="00B01995" w:rsidRPr="00EF7399">
        <w:rPr>
          <w:rFonts w:ascii="Times New Roman" w:hAnsi="Times New Roman" w:cs="Times New Roman"/>
          <w:lang w:val="af-ZA"/>
        </w:rPr>
        <w:t xml:space="preserve"> </w:t>
      </w:r>
      <w:r w:rsidR="0081194B" w:rsidRPr="00EF7399">
        <w:rPr>
          <w:rFonts w:ascii="Times New Roman" w:hAnsi="Times New Roman" w:cs="Times New Roman"/>
          <w:lang w:val="af-ZA"/>
        </w:rPr>
        <w:t>(</w:t>
      </w:r>
      <w:hyperlink r:id="rId169" w:history="1">
        <w:r w:rsidR="0081194B" w:rsidRPr="00EF7399">
          <w:rPr>
            <w:rStyle w:val="Hyperlink"/>
            <w:rFonts w:ascii="Times New Roman" w:hAnsi="Times New Roman" w:cs="Times New Roman"/>
            <w:lang w:val="af-ZA"/>
          </w:rPr>
          <w:t>Navalnyy</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Russia</w:t>
        </w:r>
      </w:hyperlink>
      <w:r w:rsidR="0081194B" w:rsidRPr="00EF7399">
        <w:rPr>
          <w:rFonts w:ascii="Times New Roman" w:hAnsi="Times New Roman" w:cs="Times New Roman"/>
          <w:lang w:val="af-ZA"/>
        </w:rPr>
        <w:t xml:space="preserve"> [GC], </w:t>
      </w:r>
      <w:r w:rsidR="001E21F4" w:rsidRPr="00EF7399">
        <w:rPr>
          <w:rFonts w:ascii="Times New Roman" w:hAnsi="Times New Roman" w:cs="Times New Roman"/>
          <w:lang w:val="af-ZA"/>
        </w:rPr>
        <w:t xml:space="preserve">2018, </w:t>
      </w:r>
      <w:r w:rsidR="0081194B" w:rsidRPr="00EF7399">
        <w:rPr>
          <w:rFonts w:ascii="Times New Roman" w:hAnsi="Times New Roman" w:cs="Times New Roman"/>
          <w:lang w:val="af-ZA"/>
        </w:rPr>
        <w:t>§</w:t>
      </w:r>
      <w:r w:rsidR="00873234" w:rsidRPr="00EF7399">
        <w:rPr>
          <w:rFonts w:ascii="Times New Roman" w:hAnsi="Times New Roman" w:cs="Times New Roman"/>
          <w:lang w:val="af-ZA"/>
        </w:rPr>
        <w:t>§ </w:t>
      </w:r>
      <w:r w:rsidR="0081194B" w:rsidRPr="00EF7399">
        <w:rPr>
          <w:rFonts w:ascii="Times New Roman" w:hAnsi="Times New Roman" w:cs="Times New Roman"/>
          <w:lang w:val="af-ZA"/>
        </w:rPr>
        <w:t>117-118)</w:t>
      </w:r>
      <w:r w:rsidR="00B40309" w:rsidRPr="00EF7399">
        <w:rPr>
          <w:rFonts w:ascii="Times New Roman" w:hAnsi="Times New Roman" w:cs="Times New Roman"/>
          <w:lang w:val="af-ZA"/>
        </w:rPr>
        <w:t>:</w:t>
      </w:r>
    </w:p>
    <w:p w14:paraId="36C36327" w14:textId="2230FBBE" w:rsidR="009053AB" w:rsidRPr="00EF7399" w:rsidRDefault="009053AB" w:rsidP="009053AB">
      <w:pPr>
        <w:pStyle w:val="ECHRParaSpaced"/>
        <w:rPr>
          <w:rFonts w:ascii="Times New Roman" w:hAnsi="Times New Roman" w:cs="Times New Roman"/>
          <w:lang w:val="hy-AM"/>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59</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B40309" w:rsidRPr="00EF7399">
        <w:rPr>
          <w:rFonts w:ascii="Times New Roman" w:hAnsi="Times New Roman" w:cs="Times New Roman"/>
          <w:lang w:val="af-ZA"/>
        </w:rPr>
        <w:t>Հարկադր</w:t>
      </w:r>
      <w:r w:rsidR="00915887" w:rsidRPr="00EF7399">
        <w:rPr>
          <w:rFonts w:ascii="Times New Roman" w:hAnsi="Times New Roman" w:cs="Times New Roman"/>
          <w:lang w:val="hy-AM"/>
        </w:rPr>
        <w:t>ակ</w:t>
      </w:r>
      <w:r w:rsidR="00B40309" w:rsidRPr="00EF7399">
        <w:rPr>
          <w:rFonts w:ascii="Times New Roman" w:hAnsi="Times New Roman" w:cs="Times New Roman"/>
          <w:lang w:val="af-ZA"/>
        </w:rPr>
        <w:t>ան միջոցները, որոնք կիրառվում են</w:t>
      </w:r>
      <w:r w:rsidR="00915887" w:rsidRPr="00EF7399">
        <w:rPr>
          <w:rFonts w:ascii="Times New Roman" w:hAnsi="Times New Roman" w:cs="Times New Roman"/>
          <w:lang w:val="hy-AM"/>
        </w:rPr>
        <w:t>՝</w:t>
      </w:r>
      <w:r w:rsidR="00B40309" w:rsidRPr="00EF7399">
        <w:rPr>
          <w:rFonts w:ascii="Times New Roman" w:hAnsi="Times New Roman" w:cs="Times New Roman"/>
          <w:lang w:val="af-ZA"/>
        </w:rPr>
        <w:t xml:space="preserve"> հղում կատարելով իրավական նորմերին, որոնք</w:t>
      </w:r>
      <w:r w:rsidR="00915887" w:rsidRPr="00EF7399">
        <w:rPr>
          <w:rFonts w:ascii="Times New Roman" w:hAnsi="Times New Roman" w:cs="Times New Roman"/>
          <w:lang w:val="hy-AM"/>
        </w:rPr>
        <w:t xml:space="preserve"> որևէ</w:t>
      </w:r>
      <w:r w:rsidR="00B40309" w:rsidRPr="00EF7399">
        <w:rPr>
          <w:rFonts w:ascii="Times New Roman" w:hAnsi="Times New Roman" w:cs="Times New Roman"/>
          <w:lang w:val="af-ZA"/>
        </w:rPr>
        <w:t xml:space="preserve"> կապ չունեն տվյալ միջոցների </w:t>
      </w:r>
      <w:r w:rsidR="00915887" w:rsidRPr="00EF7399">
        <w:rPr>
          <w:rFonts w:ascii="Times New Roman" w:hAnsi="Times New Roman" w:cs="Times New Roman"/>
          <w:lang w:val="hy-AM"/>
        </w:rPr>
        <w:t>հետապնդած</w:t>
      </w:r>
      <w:r w:rsidR="00915887" w:rsidRPr="00EF7399">
        <w:rPr>
          <w:rFonts w:ascii="Times New Roman" w:hAnsi="Times New Roman" w:cs="Times New Roman"/>
          <w:lang w:val="af-ZA"/>
        </w:rPr>
        <w:t xml:space="preserve"> </w:t>
      </w:r>
      <w:r w:rsidR="00B40309" w:rsidRPr="00EF7399">
        <w:rPr>
          <w:rFonts w:ascii="Times New Roman" w:hAnsi="Times New Roman" w:cs="Times New Roman"/>
          <w:lang w:val="af-ZA"/>
        </w:rPr>
        <w:t>նպատակի հետ, կար</w:t>
      </w:r>
      <w:r w:rsidR="00915887" w:rsidRPr="00EF7399">
        <w:rPr>
          <w:rFonts w:ascii="Times New Roman" w:hAnsi="Times New Roman" w:cs="Times New Roman"/>
          <w:lang w:val="hy-AM"/>
        </w:rPr>
        <w:t>ող</w:t>
      </w:r>
      <w:r w:rsidR="00B40309" w:rsidRPr="00EF7399">
        <w:rPr>
          <w:rFonts w:ascii="Times New Roman" w:hAnsi="Times New Roman" w:cs="Times New Roman"/>
          <w:lang w:val="af-ZA"/>
        </w:rPr>
        <w:t xml:space="preserve"> </w:t>
      </w:r>
      <w:r w:rsidR="00915887" w:rsidRPr="00EF7399">
        <w:rPr>
          <w:rFonts w:ascii="Times New Roman" w:hAnsi="Times New Roman" w:cs="Times New Roman"/>
          <w:lang w:val="hy-AM"/>
        </w:rPr>
        <w:t>են</w:t>
      </w:r>
      <w:r w:rsidR="00B40309" w:rsidRPr="00EF7399">
        <w:rPr>
          <w:rFonts w:ascii="Times New Roman" w:hAnsi="Times New Roman" w:cs="Times New Roman"/>
          <w:lang w:val="af-ZA"/>
        </w:rPr>
        <w:t xml:space="preserve"> որակ</w:t>
      </w:r>
      <w:r w:rsidR="00915887" w:rsidRPr="00EF7399">
        <w:rPr>
          <w:rFonts w:ascii="Times New Roman" w:hAnsi="Times New Roman" w:cs="Times New Roman"/>
          <w:lang w:val="hy-AM"/>
        </w:rPr>
        <w:t>վ</w:t>
      </w:r>
      <w:r w:rsidR="00B40309" w:rsidRPr="00EF7399">
        <w:rPr>
          <w:rFonts w:ascii="Times New Roman" w:hAnsi="Times New Roman" w:cs="Times New Roman"/>
          <w:lang w:val="af-ZA"/>
        </w:rPr>
        <w:t>ել</w:t>
      </w:r>
      <w:r w:rsidR="00915887" w:rsidRPr="00EF7399">
        <w:rPr>
          <w:rFonts w:ascii="Times New Roman" w:hAnsi="Times New Roman" w:cs="Times New Roman"/>
          <w:lang w:val="hy-AM"/>
        </w:rPr>
        <w:t>՝</w:t>
      </w:r>
      <w:r w:rsidR="00B40309" w:rsidRPr="00EF7399">
        <w:rPr>
          <w:rFonts w:ascii="Times New Roman" w:hAnsi="Times New Roman" w:cs="Times New Roman"/>
          <w:lang w:val="af-ZA"/>
        </w:rPr>
        <w:t xml:space="preserve"> որպես կամայական և անօրինական: Այսպես, ոստիկանության ներկայացուցչի օրինական պահանջին չենթարկվելու կամ խուլիգանության համար պատիժները, որոնք </w:t>
      </w:r>
      <w:r w:rsidR="00915887" w:rsidRPr="00EF7399">
        <w:rPr>
          <w:rFonts w:ascii="Times New Roman" w:hAnsi="Times New Roman" w:cs="Times New Roman"/>
          <w:lang w:val="hy-AM"/>
        </w:rPr>
        <w:t>կիրառվում</w:t>
      </w:r>
      <w:r w:rsidR="00915887" w:rsidRPr="00EF7399">
        <w:rPr>
          <w:rFonts w:ascii="Times New Roman" w:hAnsi="Times New Roman" w:cs="Times New Roman"/>
          <w:lang w:val="af-ZA"/>
        </w:rPr>
        <w:t xml:space="preserve"> </w:t>
      </w:r>
      <w:r w:rsidR="00B40309" w:rsidRPr="00EF7399">
        <w:rPr>
          <w:rFonts w:ascii="Times New Roman" w:hAnsi="Times New Roman" w:cs="Times New Roman"/>
          <w:lang w:val="af-ZA"/>
        </w:rPr>
        <w:t xml:space="preserve">են </w:t>
      </w:r>
      <w:r w:rsidR="003A5C68" w:rsidRPr="00EF7399">
        <w:rPr>
          <w:rFonts w:ascii="Times New Roman" w:hAnsi="Times New Roman" w:cs="Times New Roman"/>
          <w:lang w:val="af-ZA"/>
        </w:rPr>
        <w:lastRenderedPageBreak/>
        <w:t>հավաքին մասնակց</w:t>
      </w:r>
      <w:r w:rsidR="00915887" w:rsidRPr="00EF7399">
        <w:rPr>
          <w:rFonts w:ascii="Times New Roman" w:hAnsi="Times New Roman" w:cs="Times New Roman"/>
          <w:lang w:val="hy-AM"/>
        </w:rPr>
        <w:t>ությունը</w:t>
      </w:r>
      <w:r w:rsidR="003A5C68" w:rsidRPr="00EF7399">
        <w:rPr>
          <w:rFonts w:ascii="Times New Roman" w:hAnsi="Times New Roman" w:cs="Times New Roman"/>
          <w:lang w:val="af-ZA"/>
        </w:rPr>
        <w:t xml:space="preserve"> կանխելու կամ մասնակց</w:t>
      </w:r>
      <w:r w:rsidR="00915887" w:rsidRPr="00EF7399">
        <w:rPr>
          <w:rFonts w:ascii="Times New Roman" w:hAnsi="Times New Roman" w:cs="Times New Roman"/>
          <w:lang w:val="hy-AM"/>
        </w:rPr>
        <w:t>ության</w:t>
      </w:r>
      <w:r w:rsidR="003A5C68" w:rsidRPr="00EF7399">
        <w:rPr>
          <w:rFonts w:ascii="Times New Roman" w:hAnsi="Times New Roman" w:cs="Times New Roman"/>
          <w:lang w:val="af-ZA"/>
        </w:rPr>
        <w:t xml:space="preserve"> համար պատժելու նպատակով, չեն համապատասխանում Կոնվենցիայ</w:t>
      </w:r>
      <w:r w:rsidR="00941EB0" w:rsidRPr="00EF7399">
        <w:rPr>
          <w:rFonts w:ascii="Times New Roman" w:hAnsi="Times New Roman" w:cs="Times New Roman"/>
          <w:lang w:val="hy-AM"/>
        </w:rPr>
        <w:t xml:space="preserve">ով </w:t>
      </w:r>
      <w:r w:rsidR="00941EB0" w:rsidRPr="00E7226F">
        <w:rPr>
          <w:rFonts w:ascii="Times New Roman" w:hAnsi="Times New Roman" w:cs="Times New Roman"/>
          <w:lang w:val="hy-AM"/>
        </w:rPr>
        <w:t>սահմանված</w:t>
      </w:r>
      <w:r w:rsidR="003A5C68" w:rsidRPr="00E7226F">
        <w:rPr>
          <w:rFonts w:ascii="Times New Roman" w:hAnsi="Times New Roman" w:cs="Times New Roman"/>
          <w:lang w:val="af-ZA"/>
        </w:rPr>
        <w:t xml:space="preserve"> </w:t>
      </w:r>
      <w:r w:rsidR="00941EB0" w:rsidRPr="00E7226F">
        <w:rPr>
          <w:rFonts w:ascii="Times New Roman" w:hAnsi="Times New Roman" w:cs="Times New Roman"/>
          <w:lang w:val="hy-AM"/>
        </w:rPr>
        <w:t>օրինականության</w:t>
      </w:r>
      <w:r w:rsidR="00941EB0" w:rsidRPr="00E7226F">
        <w:rPr>
          <w:rFonts w:ascii="Times New Roman" w:hAnsi="Times New Roman" w:cs="Times New Roman"/>
          <w:lang w:val="af-ZA"/>
        </w:rPr>
        <w:t xml:space="preserve"> </w:t>
      </w:r>
      <w:r w:rsidR="003A5C68" w:rsidRPr="00E7226F">
        <w:rPr>
          <w:rFonts w:ascii="Times New Roman" w:hAnsi="Times New Roman" w:cs="Times New Roman"/>
          <w:lang w:val="af-ZA"/>
        </w:rPr>
        <w:t xml:space="preserve">պահանջին </w:t>
      </w:r>
      <w:r w:rsidRPr="00E7226F">
        <w:rPr>
          <w:rFonts w:ascii="Times New Roman" w:hAnsi="Times New Roman" w:cs="Times New Roman"/>
          <w:lang w:val="af-ZA"/>
        </w:rPr>
        <w:t>(</w:t>
      </w:r>
      <w:hyperlink r:id="rId170" w:history="1">
        <w:r w:rsidRPr="00E7226F">
          <w:rPr>
            <w:rStyle w:val="Hyperlink"/>
            <w:rFonts w:ascii="Times New Roman" w:hAnsi="Times New Roman" w:cs="Times New Roman"/>
            <w:lang w:val="af-ZA"/>
          </w:rPr>
          <w:t>Hakobyan and Others</w:t>
        </w:r>
        <w:r w:rsidR="00873234" w:rsidRPr="00E7226F">
          <w:rPr>
            <w:rStyle w:val="Hyperlink"/>
            <w:rFonts w:ascii="Times New Roman" w:hAnsi="Times New Roman" w:cs="Times New Roman"/>
            <w:lang w:val="af-ZA"/>
          </w:rPr>
          <w:t xml:space="preserve"> v. </w:t>
        </w:r>
        <w:r w:rsidRPr="00E7226F">
          <w:rPr>
            <w:rStyle w:val="Hyperlink"/>
            <w:rFonts w:ascii="Times New Roman" w:hAnsi="Times New Roman" w:cs="Times New Roman"/>
            <w:lang w:val="af-ZA"/>
          </w:rPr>
          <w:t>Armenia</w:t>
        </w:r>
      </w:hyperlink>
      <w:r w:rsidRPr="00E7226F">
        <w:rPr>
          <w:rFonts w:ascii="Times New Roman" w:hAnsi="Times New Roman" w:cs="Times New Roman"/>
          <w:lang w:val="af-ZA"/>
        </w:rPr>
        <w:t xml:space="preserve">, </w:t>
      </w:r>
      <w:r w:rsidR="001E21F4" w:rsidRPr="00E7226F">
        <w:rPr>
          <w:rFonts w:ascii="Times New Roman" w:hAnsi="Times New Roman" w:cs="Times New Roman"/>
          <w:lang w:val="af-ZA"/>
        </w:rPr>
        <w:t xml:space="preserve">2012, </w:t>
      </w:r>
      <w:r w:rsidR="00873234" w:rsidRPr="00E7226F">
        <w:rPr>
          <w:rFonts w:ascii="Times New Roman" w:hAnsi="Times New Roman" w:cs="Times New Roman"/>
          <w:lang w:val="af-ZA"/>
        </w:rPr>
        <w:t>§ </w:t>
      </w:r>
      <w:r w:rsidRPr="00E7226F">
        <w:rPr>
          <w:rFonts w:ascii="Times New Roman" w:hAnsi="Times New Roman" w:cs="Times New Roman"/>
          <w:lang w:val="af-ZA"/>
        </w:rPr>
        <w:t xml:space="preserve">107; </w:t>
      </w:r>
      <w:hyperlink r:id="rId171" w:history="1">
        <w:r w:rsidR="00883BD7" w:rsidRPr="00E7226F">
          <w:rPr>
            <w:rStyle w:val="Hyperlink"/>
            <w:rFonts w:ascii="Times New Roman" w:hAnsi="Times New Roman" w:cs="Times New Roman"/>
            <w:lang w:val="af-ZA"/>
          </w:rPr>
          <w:t>Huseynli and Others</w:t>
        </w:r>
        <w:r w:rsidR="00873234" w:rsidRPr="00E7226F">
          <w:rPr>
            <w:rStyle w:val="Hyperlink"/>
            <w:rFonts w:ascii="Times New Roman" w:hAnsi="Times New Roman" w:cs="Times New Roman"/>
            <w:lang w:val="af-ZA"/>
          </w:rPr>
          <w:t xml:space="preserve"> v. </w:t>
        </w:r>
        <w:r w:rsidRPr="00E7226F">
          <w:rPr>
            <w:rStyle w:val="Hyperlink"/>
            <w:rFonts w:ascii="Times New Roman" w:hAnsi="Times New Roman" w:cs="Times New Roman"/>
            <w:lang w:val="af-ZA"/>
          </w:rPr>
          <w:t>Azerbaijan</w:t>
        </w:r>
      </w:hyperlink>
      <w:r w:rsidRPr="00E7226F">
        <w:rPr>
          <w:rFonts w:ascii="Times New Roman" w:hAnsi="Times New Roman" w:cs="Times New Roman"/>
          <w:lang w:val="af-ZA"/>
        </w:rPr>
        <w:t xml:space="preserve">, </w:t>
      </w:r>
      <w:r w:rsidR="001E21F4" w:rsidRPr="00E7226F">
        <w:rPr>
          <w:rFonts w:ascii="Times New Roman" w:hAnsi="Times New Roman" w:cs="Times New Roman"/>
          <w:lang w:val="af-ZA"/>
        </w:rPr>
        <w:t xml:space="preserve">2016, </w:t>
      </w:r>
      <w:r w:rsidR="00873234" w:rsidRPr="00E7226F">
        <w:rPr>
          <w:rFonts w:ascii="Times New Roman" w:hAnsi="Times New Roman" w:cs="Times New Roman"/>
          <w:lang w:val="af-ZA"/>
        </w:rPr>
        <w:t>§ </w:t>
      </w:r>
      <w:r w:rsidRPr="00E7226F">
        <w:rPr>
          <w:rFonts w:ascii="Times New Roman" w:hAnsi="Times New Roman" w:cs="Times New Roman"/>
          <w:lang w:val="af-ZA"/>
        </w:rPr>
        <w:t>98)</w:t>
      </w:r>
      <w:r w:rsidR="003A5C68" w:rsidRPr="00E7226F">
        <w:rPr>
          <w:rFonts w:ascii="Times New Roman" w:hAnsi="Times New Roman" w:cs="Times New Roman"/>
          <w:lang w:val="af-ZA"/>
        </w:rPr>
        <w:t>:</w:t>
      </w:r>
      <w:r w:rsidR="005D33F2" w:rsidRPr="00E7226F">
        <w:rPr>
          <w:lang w:val="af-ZA"/>
        </w:rPr>
        <w:t xml:space="preserve"> </w:t>
      </w:r>
      <w:r w:rsidR="00E7226F" w:rsidRPr="00E7226F">
        <w:rPr>
          <w:rFonts w:ascii="Times New Roman" w:hAnsi="Times New Roman" w:cs="Times New Roman"/>
          <w:lang w:val="af-ZA"/>
        </w:rPr>
        <w:t>Նույն կերպ, որոշումը, որով դիմումատուն պարտավոր</w:t>
      </w:r>
      <w:r w:rsidR="00E7226F" w:rsidRPr="00E7226F">
        <w:rPr>
          <w:rFonts w:ascii="Times New Roman" w:hAnsi="Times New Roman" w:cs="Times New Roman"/>
          <w:lang w:val="hy-AM"/>
        </w:rPr>
        <w:t>վ</w:t>
      </w:r>
      <w:r w:rsidR="00E7226F" w:rsidRPr="00E7226F">
        <w:rPr>
          <w:rFonts w:ascii="Times New Roman" w:hAnsi="Times New Roman" w:cs="Times New Roman"/>
          <w:lang w:val="af-ZA"/>
        </w:rPr>
        <w:t>ում էր 45 այլ անձանց հետ միասին վճարել ցույցի ժամանակ տուժած ոստիկաններին վճարված բժշկական ծախսերի փոխհատուցման</w:t>
      </w:r>
      <w:r w:rsidR="00E7226F" w:rsidRPr="00E7226F">
        <w:rPr>
          <w:rFonts w:ascii="Times New Roman" w:hAnsi="Times New Roman" w:cs="Times New Roman"/>
          <w:lang w:val="hy-AM"/>
        </w:rPr>
        <w:t xml:space="preserve"> համար,</w:t>
      </w:r>
      <w:r w:rsidR="00E7226F" w:rsidRPr="00E7226F">
        <w:rPr>
          <w:lang w:val="af-ZA"/>
        </w:rPr>
        <w:t xml:space="preserve"> </w:t>
      </w:r>
      <w:r w:rsidR="00E7226F" w:rsidRPr="00E7226F">
        <w:rPr>
          <w:rFonts w:ascii="Times New Roman" w:hAnsi="Times New Roman" w:cs="Times New Roman"/>
          <w:lang w:val="hy-AM"/>
        </w:rPr>
        <w:t>չնայած քրեական դատավարության ընթացքում արդարացված լինելուն, ճանաչվել է կամայական՝ ներպետական օրենսդրության մեջ կանխատեսելի իրավական հիմքի բացակայության պատճառով (</w:t>
      </w:r>
      <w:hyperlink r:id="rId172" w:history="1">
        <w:r w:rsidR="00E7226F" w:rsidRPr="00E7226F">
          <w:rPr>
            <w:rStyle w:val="Hyperlink"/>
            <w:rFonts w:ascii="Times New Roman" w:hAnsi="Times New Roman" w:cs="Times New Roman"/>
            <w:lang w:val="hy-AM"/>
          </w:rPr>
          <w:t>Kazan v. Türkiye</w:t>
        </w:r>
      </w:hyperlink>
      <w:r w:rsidR="00E7226F" w:rsidRPr="00E7226F">
        <w:rPr>
          <w:rFonts w:ascii="Times New Roman" w:hAnsi="Times New Roman" w:cs="Times New Roman"/>
          <w:lang w:val="hy-AM"/>
        </w:rPr>
        <w:t>, 2023, §§ 67-73)։</w:t>
      </w:r>
    </w:p>
    <w:p w14:paraId="25607D69" w14:textId="77777777" w:rsidR="0027611C" w:rsidRPr="00EF7399" w:rsidRDefault="0027611C" w:rsidP="009053AB">
      <w:pPr>
        <w:pStyle w:val="ECHRParaSpaced"/>
        <w:rPr>
          <w:rFonts w:ascii="Times New Roman" w:hAnsi="Times New Roman" w:cs="Times New Roman"/>
          <w:lang w:val="hy-AM"/>
        </w:rPr>
      </w:pPr>
    </w:p>
    <w:p w14:paraId="00BFA843" w14:textId="16F308A9" w:rsidR="00034A8D" w:rsidRPr="00EF7399" w:rsidRDefault="00A83DAB" w:rsidP="00A83DAB">
      <w:pPr>
        <w:pStyle w:val="ECHRHeading4"/>
        <w:numPr>
          <w:ilvl w:val="0"/>
          <w:numId w:val="0"/>
        </w:numPr>
        <w:rPr>
          <w:rFonts w:ascii="Times New Roman" w:eastAsiaTheme="minorHAnsi" w:hAnsi="Times New Roman" w:cs="Times New Roman"/>
          <w:color w:val="auto"/>
          <w:sz w:val="22"/>
          <w:lang w:val="af-ZA"/>
        </w:rPr>
      </w:pPr>
      <w:bookmarkStart w:id="47" w:name="_Toc159945218"/>
      <w:r>
        <w:rPr>
          <w:rFonts w:ascii="Times New Roman" w:hAnsi="Times New Roman" w:cs="Times New Roman"/>
          <w:lang w:val="hy-AM"/>
        </w:rPr>
        <w:t xml:space="preserve">բ․ </w:t>
      </w:r>
      <w:r w:rsidR="00963C90" w:rsidRPr="00EF7399">
        <w:rPr>
          <w:rFonts w:ascii="Times New Roman" w:hAnsi="Times New Roman" w:cs="Times New Roman"/>
          <w:lang w:val="af-ZA"/>
        </w:rPr>
        <w:t>Իրավաչափ</w:t>
      </w:r>
      <w:r w:rsidR="003A5C68" w:rsidRPr="00EF7399">
        <w:rPr>
          <w:rFonts w:ascii="Times New Roman" w:hAnsi="Times New Roman" w:cs="Times New Roman"/>
          <w:lang w:val="af-ZA"/>
        </w:rPr>
        <w:t xml:space="preserve"> նպատակ</w:t>
      </w:r>
      <w:bookmarkEnd w:id="47"/>
    </w:p>
    <w:p w14:paraId="53A6C4B1" w14:textId="6A82F25F" w:rsidR="00034A8D" w:rsidRPr="00EF7399" w:rsidRDefault="0036651F" w:rsidP="00034A8D">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60</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3A5C68" w:rsidRPr="00EF7399">
        <w:rPr>
          <w:rFonts w:ascii="Times New Roman" w:hAnsi="Times New Roman" w:cs="Times New Roman"/>
          <w:lang w:val="af-ZA"/>
        </w:rPr>
        <w:t>Հավաքների ազատության իրավունքի</w:t>
      </w:r>
      <w:r w:rsidR="00D372DC" w:rsidRPr="00EF7399">
        <w:rPr>
          <w:rFonts w:ascii="Times New Roman" w:hAnsi="Times New Roman" w:cs="Times New Roman"/>
          <w:lang w:val="hy-AM"/>
        </w:rPr>
        <w:t>ց</w:t>
      </w:r>
      <w:r w:rsidR="003A5C68" w:rsidRPr="00EF7399">
        <w:rPr>
          <w:rFonts w:ascii="Times New Roman" w:hAnsi="Times New Roman" w:cs="Times New Roman"/>
          <w:lang w:val="af-ZA"/>
        </w:rPr>
        <w:t xml:space="preserve"> բացառություններ</w:t>
      </w:r>
      <w:r w:rsidR="00D372DC" w:rsidRPr="00EF7399">
        <w:rPr>
          <w:rFonts w:ascii="Times New Roman" w:hAnsi="Times New Roman" w:cs="Times New Roman"/>
          <w:lang w:val="hy-AM"/>
        </w:rPr>
        <w:t>ի</w:t>
      </w:r>
      <w:r w:rsidR="003A5C68" w:rsidRPr="00EF7399">
        <w:rPr>
          <w:rFonts w:ascii="Times New Roman" w:hAnsi="Times New Roman" w:cs="Times New Roman"/>
          <w:lang w:val="af-ZA"/>
        </w:rPr>
        <w:t xml:space="preserve"> նեղ մեկնաբան</w:t>
      </w:r>
      <w:r w:rsidR="00D372DC" w:rsidRPr="00EF7399">
        <w:rPr>
          <w:rFonts w:ascii="Times New Roman" w:hAnsi="Times New Roman" w:cs="Times New Roman"/>
          <w:lang w:val="hy-AM"/>
        </w:rPr>
        <w:t>ության</w:t>
      </w:r>
      <w:r w:rsidR="003A5C68" w:rsidRPr="00EF7399">
        <w:rPr>
          <w:rFonts w:ascii="Times New Roman" w:hAnsi="Times New Roman" w:cs="Times New Roman"/>
          <w:lang w:val="af-ZA"/>
        </w:rPr>
        <w:t xml:space="preserve"> պահանջը  </w:t>
      </w:r>
      <w:r w:rsidR="0061468B" w:rsidRPr="00EF7399">
        <w:rPr>
          <w:rFonts w:ascii="Times New Roman" w:hAnsi="Times New Roman" w:cs="Times New Roman"/>
          <w:lang w:val="af-ZA"/>
        </w:rPr>
        <w:t xml:space="preserve">կիրառելի է նաև 11-րդ հոդվածի 2-րդ մասում թվարկած </w:t>
      </w:r>
      <w:r w:rsidR="00963C90" w:rsidRPr="00EF7399">
        <w:rPr>
          <w:rFonts w:ascii="Times New Roman" w:hAnsi="Times New Roman" w:cs="Times New Roman"/>
          <w:lang w:val="af-ZA"/>
        </w:rPr>
        <w:t>իրավաչափ</w:t>
      </w:r>
      <w:r w:rsidR="0061468B" w:rsidRPr="00EF7399">
        <w:rPr>
          <w:rFonts w:ascii="Times New Roman" w:hAnsi="Times New Roman" w:cs="Times New Roman"/>
          <w:lang w:val="af-ZA"/>
        </w:rPr>
        <w:t xml:space="preserve"> նպատակների</w:t>
      </w:r>
      <w:r w:rsidR="00D372DC" w:rsidRPr="00EF7399">
        <w:rPr>
          <w:rFonts w:ascii="Times New Roman" w:hAnsi="Times New Roman" w:cs="Times New Roman"/>
          <w:lang w:val="hy-AM"/>
        </w:rPr>
        <w:t xml:space="preserve"> </w:t>
      </w:r>
      <w:r w:rsidR="0061468B" w:rsidRPr="00EF7399">
        <w:rPr>
          <w:rFonts w:ascii="Times New Roman" w:hAnsi="Times New Roman" w:cs="Times New Roman"/>
          <w:lang w:val="af-ZA"/>
        </w:rPr>
        <w:t>ն</w:t>
      </w:r>
      <w:r w:rsidR="00D372DC" w:rsidRPr="00EF7399">
        <w:rPr>
          <w:rFonts w:ascii="Times New Roman" w:hAnsi="Times New Roman" w:cs="Times New Roman"/>
          <w:lang w:val="hy-AM"/>
        </w:rPr>
        <w:t>կատմամբ</w:t>
      </w:r>
      <w:r w:rsidR="0061468B" w:rsidRPr="00EF7399">
        <w:rPr>
          <w:rFonts w:ascii="Times New Roman" w:hAnsi="Times New Roman" w:cs="Times New Roman"/>
          <w:lang w:val="af-ZA"/>
        </w:rPr>
        <w:t>: Մասնավորապես, հավաքների ազատության իրավունքի իրա</w:t>
      </w:r>
      <w:r w:rsidR="00D372DC" w:rsidRPr="00EF7399">
        <w:rPr>
          <w:rFonts w:ascii="Times New Roman" w:hAnsi="Times New Roman" w:cs="Times New Roman"/>
          <w:lang w:val="hy-AM"/>
        </w:rPr>
        <w:t>ցմ</w:t>
      </w:r>
      <w:r w:rsidR="0061468B" w:rsidRPr="00EF7399">
        <w:rPr>
          <w:rFonts w:ascii="Times New Roman" w:hAnsi="Times New Roman" w:cs="Times New Roman"/>
          <w:lang w:val="af-ZA"/>
        </w:rPr>
        <w:t>ան նկատմամբ կիրառվող սահմանափակումների</w:t>
      </w:r>
      <w:r w:rsidR="00D372DC" w:rsidRPr="00EF7399">
        <w:rPr>
          <w:rFonts w:ascii="Times New Roman" w:hAnsi="Times New Roman" w:cs="Times New Roman"/>
          <w:lang w:val="hy-AM"/>
        </w:rPr>
        <w:t>՝</w:t>
      </w:r>
      <w:r w:rsidR="0061468B" w:rsidRPr="00EF7399">
        <w:rPr>
          <w:rFonts w:ascii="Times New Roman" w:hAnsi="Times New Roman" w:cs="Times New Roman"/>
          <w:lang w:val="af-ZA"/>
        </w:rPr>
        <w:t xml:space="preserve"> առավել հաճախ հիշատակվող թույլատրելի հիմքերից մեկը` «անկարգությունների կանխումը»</w:t>
      </w:r>
      <w:r w:rsidR="00D372DC" w:rsidRPr="00EF7399">
        <w:rPr>
          <w:rFonts w:ascii="Times New Roman" w:hAnsi="Times New Roman" w:cs="Times New Roman"/>
          <w:lang w:val="hy-AM"/>
        </w:rPr>
        <w:t xml:space="preserve"> </w:t>
      </w:r>
      <w:r w:rsidR="00D372DC" w:rsidRPr="00EF7399">
        <w:rPr>
          <w:rFonts w:ascii="Times New Roman" w:hAnsi="Times New Roman" w:cs="Times New Roman"/>
          <w:lang w:val="af-ZA"/>
        </w:rPr>
        <w:t>հարկ է նեղ մեկնաբանել</w:t>
      </w:r>
      <w:r w:rsidR="0061468B" w:rsidRPr="00EF7399">
        <w:rPr>
          <w:rFonts w:ascii="Times New Roman" w:hAnsi="Times New Roman" w:cs="Times New Roman"/>
          <w:lang w:val="af-ZA"/>
        </w:rPr>
        <w:t xml:space="preserve">, և դա պետք է անել ֆրանսերեն տեքստում </w:t>
      </w:r>
      <w:r w:rsidR="00D372DC" w:rsidRPr="00EF7399">
        <w:rPr>
          <w:rFonts w:ascii="Times New Roman" w:hAnsi="Times New Roman" w:cs="Times New Roman"/>
          <w:lang w:val="hy-AM"/>
        </w:rPr>
        <w:t>գործածված</w:t>
      </w:r>
      <w:r w:rsidR="00D372DC" w:rsidRPr="00EF7399">
        <w:rPr>
          <w:rFonts w:ascii="Times New Roman" w:hAnsi="Times New Roman" w:cs="Times New Roman"/>
          <w:lang w:val="af-ZA"/>
        </w:rPr>
        <w:t xml:space="preserve"> </w:t>
      </w:r>
      <w:r w:rsidR="00034A8D" w:rsidRPr="00EF7399">
        <w:rPr>
          <w:rFonts w:ascii="Times New Roman" w:hAnsi="Times New Roman" w:cs="Times New Roman"/>
          <w:lang w:val="af-ZA"/>
        </w:rPr>
        <w:t>“</w:t>
      </w:r>
      <w:r w:rsidR="00034A8D" w:rsidRPr="00EF7399">
        <w:rPr>
          <w:rFonts w:ascii="Times New Roman" w:hAnsi="Times New Roman" w:cs="Times New Roman"/>
          <w:i/>
          <w:lang w:val="af-ZA"/>
        </w:rPr>
        <w:t>la défense de l</w:t>
      </w:r>
      <w:r w:rsidR="00DF297D" w:rsidRPr="00EF7399">
        <w:rPr>
          <w:rFonts w:ascii="Times New Roman" w:hAnsi="Times New Roman" w:cs="Times New Roman"/>
          <w:i/>
          <w:lang w:val="af-ZA"/>
        </w:rPr>
        <w:t>’</w:t>
      </w:r>
      <w:r w:rsidR="00034A8D" w:rsidRPr="00EF7399">
        <w:rPr>
          <w:rFonts w:ascii="Times New Roman" w:hAnsi="Times New Roman" w:cs="Times New Roman"/>
          <w:i/>
          <w:lang w:val="af-ZA"/>
        </w:rPr>
        <w:t>ordre</w:t>
      </w:r>
      <w:r w:rsidR="00034A8D" w:rsidRPr="00EF7399">
        <w:rPr>
          <w:rFonts w:ascii="Times New Roman" w:hAnsi="Times New Roman" w:cs="Times New Roman"/>
          <w:lang w:val="af-ZA"/>
        </w:rPr>
        <w:t xml:space="preserve">” </w:t>
      </w:r>
      <w:r w:rsidR="0061468B" w:rsidRPr="00EF7399">
        <w:rPr>
          <w:rFonts w:ascii="Times New Roman" w:hAnsi="Times New Roman" w:cs="Times New Roman"/>
          <w:lang w:val="af-ZA"/>
        </w:rPr>
        <w:t>արտ</w:t>
      </w:r>
      <w:r w:rsidR="00D372DC" w:rsidRPr="00EF7399">
        <w:rPr>
          <w:rFonts w:ascii="Times New Roman" w:hAnsi="Times New Roman" w:cs="Times New Roman"/>
          <w:lang w:val="hy-AM"/>
        </w:rPr>
        <w:t>ա</w:t>
      </w:r>
      <w:r w:rsidR="0061468B" w:rsidRPr="00EF7399">
        <w:rPr>
          <w:rFonts w:ascii="Times New Roman" w:hAnsi="Times New Roman" w:cs="Times New Roman"/>
          <w:lang w:val="af-ZA"/>
        </w:rPr>
        <w:t>հայտությանը համահունչ</w:t>
      </w:r>
      <w:r w:rsidR="00034A8D" w:rsidRPr="00EF7399">
        <w:rPr>
          <w:rFonts w:ascii="Times New Roman" w:hAnsi="Times New Roman" w:cs="Times New Roman"/>
          <w:lang w:val="af-ZA"/>
        </w:rPr>
        <w:t xml:space="preserve"> </w:t>
      </w:r>
      <w:r w:rsidR="0081194B" w:rsidRPr="00EF7399">
        <w:rPr>
          <w:rFonts w:ascii="Times New Roman" w:hAnsi="Times New Roman" w:cs="Times New Roman"/>
          <w:lang w:val="af-ZA"/>
        </w:rPr>
        <w:t>(</w:t>
      </w:r>
      <w:hyperlink r:id="rId173" w:history="1">
        <w:r w:rsidR="00883BD7" w:rsidRPr="00EF7399">
          <w:rPr>
            <w:rStyle w:val="Hyperlink"/>
            <w:rFonts w:ascii="Times New Roman" w:hAnsi="Times New Roman" w:cs="Times New Roman"/>
            <w:lang w:val="af-ZA"/>
          </w:rPr>
          <w:t>Navalnyy</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Russia</w:t>
        </w:r>
      </w:hyperlink>
      <w:r w:rsidR="0081194B" w:rsidRPr="00EF7399">
        <w:rPr>
          <w:rFonts w:ascii="Times New Roman" w:hAnsi="Times New Roman" w:cs="Times New Roman"/>
          <w:lang w:val="af-ZA"/>
        </w:rPr>
        <w:t xml:space="preserve"> [GC], </w:t>
      </w:r>
      <w:r w:rsidR="001E21F4" w:rsidRPr="00EF7399">
        <w:rPr>
          <w:rFonts w:ascii="Times New Roman" w:hAnsi="Times New Roman" w:cs="Times New Roman"/>
          <w:lang w:val="af-ZA"/>
        </w:rPr>
        <w:t xml:space="preserve">2018,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12</w:t>
      </w:r>
      <w:r w:rsidR="00D36F39" w:rsidRPr="00EF7399">
        <w:rPr>
          <w:rFonts w:ascii="Times New Roman" w:hAnsi="Times New Roman" w:cs="Times New Roman"/>
          <w:lang w:val="af-ZA"/>
        </w:rPr>
        <w:t>2</w:t>
      </w:r>
      <w:r w:rsidR="0081194B" w:rsidRPr="00EF7399">
        <w:rPr>
          <w:rFonts w:ascii="Times New Roman" w:hAnsi="Times New Roman" w:cs="Times New Roman"/>
          <w:lang w:val="af-ZA"/>
        </w:rPr>
        <w:t>)</w:t>
      </w:r>
      <w:r w:rsidR="0061468B" w:rsidRPr="00EF7399">
        <w:rPr>
          <w:rFonts w:ascii="Times New Roman" w:hAnsi="Times New Roman" w:cs="Times New Roman"/>
          <w:lang w:val="af-ZA"/>
        </w:rPr>
        <w:t>:</w:t>
      </w:r>
    </w:p>
    <w:p w14:paraId="3FD4968A" w14:textId="6C16A3A8" w:rsidR="00034A8D" w:rsidRPr="00EF7399" w:rsidRDefault="00034A8D" w:rsidP="00034A8D">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61</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D372DC" w:rsidRPr="00EF7399">
        <w:rPr>
          <w:rFonts w:ascii="Times New Roman" w:hAnsi="Times New Roman" w:cs="Times New Roman"/>
          <w:lang w:val="hy-AM"/>
        </w:rPr>
        <w:t>Ա</w:t>
      </w:r>
      <w:r w:rsidR="00D372DC" w:rsidRPr="00EF7399">
        <w:rPr>
          <w:rFonts w:ascii="Times New Roman" w:hAnsi="Times New Roman" w:cs="Times New Roman"/>
          <w:lang w:val="af-ZA"/>
        </w:rPr>
        <w:t>նկարգությունները կանխելու</w:t>
      </w:r>
      <w:r w:rsidR="00D372DC" w:rsidRPr="00EF7399">
        <w:rPr>
          <w:rFonts w:ascii="Times New Roman" w:hAnsi="Times New Roman" w:cs="Times New Roman"/>
          <w:lang w:val="hy-AM"/>
        </w:rPr>
        <w:t>ց զատ,</w:t>
      </w:r>
      <w:r w:rsidR="00D372DC" w:rsidRPr="00EF7399">
        <w:rPr>
          <w:rFonts w:ascii="Times New Roman" w:hAnsi="Times New Roman" w:cs="Times New Roman"/>
          <w:lang w:val="af-ZA"/>
        </w:rPr>
        <w:t xml:space="preserve"> </w:t>
      </w:r>
      <w:r w:rsidR="00D372DC" w:rsidRPr="00EF7399">
        <w:rPr>
          <w:rFonts w:ascii="Times New Roman" w:hAnsi="Times New Roman" w:cs="Times New Roman"/>
          <w:lang w:val="hy-AM"/>
        </w:rPr>
        <w:t>ո</w:t>
      </w:r>
      <w:r w:rsidR="0061468B" w:rsidRPr="00EF7399">
        <w:rPr>
          <w:rFonts w:ascii="Times New Roman" w:hAnsi="Times New Roman" w:cs="Times New Roman"/>
          <w:lang w:val="af-ZA"/>
        </w:rPr>
        <w:t xml:space="preserve">րպես </w:t>
      </w:r>
      <w:r w:rsidR="00900FAE" w:rsidRPr="00EF7399">
        <w:rPr>
          <w:rFonts w:ascii="Times New Roman" w:hAnsi="Times New Roman" w:cs="Times New Roman"/>
          <w:lang w:val="af-ZA"/>
        </w:rPr>
        <w:t>իրավաչափ</w:t>
      </w:r>
      <w:r w:rsidR="0061468B" w:rsidRPr="00EF7399">
        <w:rPr>
          <w:rFonts w:ascii="Times New Roman" w:hAnsi="Times New Roman" w:cs="Times New Roman"/>
          <w:lang w:val="af-ZA"/>
        </w:rPr>
        <w:t xml:space="preserve"> նպատակ</w:t>
      </w:r>
      <w:r w:rsidR="00D372DC" w:rsidRPr="00EF7399">
        <w:rPr>
          <w:rFonts w:ascii="Times New Roman" w:hAnsi="Times New Roman" w:cs="Times New Roman"/>
          <w:lang w:val="hy-AM"/>
        </w:rPr>
        <w:t>՝</w:t>
      </w:r>
      <w:r w:rsidR="0061468B" w:rsidRPr="00EF7399">
        <w:rPr>
          <w:rFonts w:ascii="Times New Roman" w:hAnsi="Times New Roman" w:cs="Times New Roman"/>
          <w:lang w:val="af-ZA"/>
        </w:rPr>
        <w:t xml:space="preserve">  հաճախ</w:t>
      </w:r>
      <w:r w:rsidR="00092D90" w:rsidRPr="00EF7399">
        <w:rPr>
          <w:rFonts w:ascii="Times New Roman" w:hAnsi="Times New Roman" w:cs="Times New Roman"/>
          <w:lang w:val="af-ZA"/>
        </w:rPr>
        <w:t xml:space="preserve"> հիշատակվում է նաև այլ անձանց իրավունքների պաշտպանությունը: Իրականում</w:t>
      </w:r>
      <w:r w:rsidR="0014642D" w:rsidRPr="00EF7399">
        <w:rPr>
          <w:rFonts w:ascii="Times New Roman" w:hAnsi="Times New Roman" w:cs="Times New Roman"/>
          <w:lang w:val="af-ZA"/>
        </w:rPr>
        <w:t>,</w:t>
      </w:r>
      <w:r w:rsidR="00092D90" w:rsidRPr="00EF7399">
        <w:rPr>
          <w:rFonts w:ascii="Times New Roman" w:hAnsi="Times New Roman" w:cs="Times New Roman"/>
          <w:lang w:val="af-ZA"/>
        </w:rPr>
        <w:t xml:space="preserve"> այս երկու նպատակները սերտորեն փոխկապակցված են, քանի որ «հանրային վայրերում խաղաղ հավաքների ազատության սահմանափակումները կարող են պաշտպանել այլ անձա</w:t>
      </w:r>
      <w:r w:rsidR="00135B8B" w:rsidRPr="00EF7399">
        <w:rPr>
          <w:rFonts w:ascii="Times New Roman" w:hAnsi="Times New Roman" w:cs="Times New Roman"/>
          <w:lang w:val="hy-AM"/>
        </w:rPr>
        <w:t>ն</w:t>
      </w:r>
      <w:r w:rsidR="00092D90" w:rsidRPr="00EF7399">
        <w:rPr>
          <w:rFonts w:ascii="Times New Roman" w:hAnsi="Times New Roman" w:cs="Times New Roman"/>
          <w:lang w:val="af-ZA"/>
        </w:rPr>
        <w:t>ց իրավունք</w:t>
      </w:r>
      <w:r w:rsidR="00135B8B" w:rsidRPr="00EF7399">
        <w:rPr>
          <w:rFonts w:ascii="Times New Roman" w:hAnsi="Times New Roman" w:cs="Times New Roman"/>
          <w:lang w:val="hy-AM"/>
        </w:rPr>
        <w:t>ն</w:t>
      </w:r>
      <w:r w:rsidR="00092D90" w:rsidRPr="00EF7399">
        <w:rPr>
          <w:rFonts w:ascii="Times New Roman" w:hAnsi="Times New Roman" w:cs="Times New Roman"/>
          <w:lang w:val="af-ZA"/>
        </w:rPr>
        <w:t xml:space="preserve">երը` կանխելով անկարգությունները և ապահովելով երթևեկության բնականոն հոսքը» </w:t>
      </w:r>
      <w:r w:rsidR="0081194B" w:rsidRPr="00EF7399">
        <w:rPr>
          <w:rFonts w:ascii="Times New Roman" w:hAnsi="Times New Roman" w:cs="Times New Roman"/>
          <w:lang w:val="af-ZA"/>
        </w:rPr>
        <w:t>(</w:t>
      </w:r>
      <w:hyperlink r:id="rId174" w:anchor="{%22itemid%22:[%22001-88775%22]}" w:history="1">
        <w:r w:rsidR="0081194B" w:rsidRPr="00EF7399">
          <w:rPr>
            <w:rStyle w:val="Hyperlink"/>
            <w:rFonts w:ascii="Times New Roman" w:hAnsi="Times New Roman" w:cs="Times New Roman"/>
            <w:lang w:val="af-ZA"/>
          </w:rPr>
          <w:t>Éva Molnár</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Hungary</w:t>
        </w:r>
      </w:hyperlink>
      <w:r w:rsidR="0081194B" w:rsidRPr="00EF7399">
        <w:rPr>
          <w:rFonts w:ascii="Times New Roman" w:hAnsi="Times New Roman" w:cs="Times New Roman"/>
          <w:lang w:val="af-ZA"/>
        </w:rPr>
        <w:t xml:space="preserve">, </w:t>
      </w:r>
      <w:r w:rsidR="001E21F4" w:rsidRPr="00EF7399">
        <w:rPr>
          <w:rFonts w:ascii="Times New Roman" w:hAnsi="Times New Roman" w:cs="Times New Roman"/>
          <w:lang w:val="af-ZA"/>
        </w:rPr>
        <w:t xml:space="preserve">2008,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34)</w:t>
      </w:r>
      <w:r w:rsidR="00092D90" w:rsidRPr="00EF7399">
        <w:rPr>
          <w:rFonts w:ascii="Times New Roman" w:hAnsi="Times New Roman" w:cs="Times New Roman"/>
          <w:lang w:val="af-ZA"/>
        </w:rPr>
        <w:t xml:space="preserve">: Քանի որ հանրային միջոցառման ընթացքում մարդկանց կուտակումը հղի է վտանգներով, </w:t>
      </w:r>
      <w:r w:rsidR="0014642D" w:rsidRPr="00EF7399">
        <w:rPr>
          <w:rFonts w:ascii="Times New Roman" w:hAnsi="Times New Roman" w:cs="Times New Roman"/>
          <w:lang w:val="hy-AM"/>
        </w:rPr>
        <w:t>հազվադեպ</w:t>
      </w:r>
      <w:r w:rsidR="0014642D" w:rsidRPr="00EF7399">
        <w:rPr>
          <w:rFonts w:ascii="Times New Roman" w:hAnsi="Times New Roman" w:cs="Times New Roman"/>
          <w:lang w:val="af-ZA"/>
        </w:rPr>
        <w:t xml:space="preserve"> </w:t>
      </w:r>
      <w:r w:rsidR="00092D90" w:rsidRPr="00EF7399">
        <w:rPr>
          <w:rFonts w:ascii="Times New Roman" w:hAnsi="Times New Roman" w:cs="Times New Roman"/>
          <w:lang w:val="af-ZA"/>
        </w:rPr>
        <w:t xml:space="preserve">երևույթ </w:t>
      </w:r>
      <w:r w:rsidR="0014642D" w:rsidRPr="00EF7399">
        <w:rPr>
          <w:rFonts w:ascii="Times New Roman" w:hAnsi="Times New Roman" w:cs="Times New Roman"/>
          <w:lang w:val="hy-AM"/>
        </w:rPr>
        <w:t>չ</w:t>
      </w:r>
      <w:r w:rsidR="00092D90" w:rsidRPr="00EF7399">
        <w:rPr>
          <w:rFonts w:ascii="Times New Roman" w:hAnsi="Times New Roman" w:cs="Times New Roman"/>
          <w:lang w:val="af-ZA"/>
        </w:rPr>
        <w:t>է, երբ տարբեր երկրներում</w:t>
      </w:r>
      <w:r w:rsidR="0014642D" w:rsidRPr="00EF7399">
        <w:rPr>
          <w:rFonts w:ascii="Times New Roman" w:hAnsi="Times New Roman" w:cs="Times New Roman"/>
          <w:lang w:val="hy-AM"/>
        </w:rPr>
        <w:t xml:space="preserve"> պետական</w:t>
      </w:r>
      <w:r w:rsidR="00092D90" w:rsidRPr="00EF7399">
        <w:rPr>
          <w:rFonts w:ascii="Times New Roman" w:hAnsi="Times New Roman" w:cs="Times New Roman"/>
          <w:lang w:val="af-ZA"/>
        </w:rPr>
        <w:t xml:space="preserve"> իշխանությունները կիրառում են ծրագրված հանրային հավաքույթի վայրի, օրվա, ժամի, անցկացման ձևի </w:t>
      </w:r>
      <w:r w:rsidR="00135B8B" w:rsidRPr="00EF7399">
        <w:rPr>
          <w:rFonts w:ascii="Times New Roman" w:hAnsi="Times New Roman" w:cs="Times New Roman"/>
          <w:lang w:val="hy-AM"/>
        </w:rPr>
        <w:t xml:space="preserve">կամ կարգի </w:t>
      </w:r>
      <w:r w:rsidR="00092D90" w:rsidRPr="00EF7399">
        <w:rPr>
          <w:rFonts w:ascii="Times New Roman" w:hAnsi="Times New Roman" w:cs="Times New Roman"/>
          <w:lang w:val="af-ZA"/>
        </w:rPr>
        <w:t xml:space="preserve">սահմանափակումներ </w:t>
      </w:r>
      <w:r w:rsidR="0081194B" w:rsidRPr="00EF7399">
        <w:rPr>
          <w:rFonts w:ascii="Times New Roman" w:hAnsi="Times New Roman" w:cs="Times New Roman"/>
          <w:lang w:val="af-ZA"/>
        </w:rPr>
        <w:t>(</w:t>
      </w:r>
      <w:hyperlink r:id="rId175" w:history="1">
        <w:r w:rsidR="0081194B" w:rsidRPr="00EF7399">
          <w:rPr>
            <w:rStyle w:val="Hyperlink"/>
            <w:rFonts w:ascii="Times New Roman" w:hAnsi="Times New Roman" w:cs="Times New Roman"/>
            <w:lang w:val="af-ZA"/>
          </w:rPr>
          <w:t>Primov and Others</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Russia</w:t>
        </w:r>
      </w:hyperlink>
      <w:r w:rsidR="0081194B" w:rsidRPr="00EF7399">
        <w:rPr>
          <w:rFonts w:ascii="Times New Roman" w:hAnsi="Times New Roman" w:cs="Times New Roman"/>
          <w:lang w:val="af-ZA"/>
        </w:rPr>
        <w:t xml:space="preserve">, </w:t>
      </w:r>
      <w:r w:rsidR="001E21F4"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130)</w:t>
      </w:r>
      <w:r w:rsidR="00092D90" w:rsidRPr="00EF7399">
        <w:rPr>
          <w:rFonts w:ascii="Times New Roman" w:hAnsi="Times New Roman" w:cs="Times New Roman"/>
          <w:lang w:val="af-ZA"/>
        </w:rPr>
        <w:t>:</w:t>
      </w:r>
    </w:p>
    <w:p w14:paraId="6433062A" w14:textId="3D440CB3" w:rsidR="00FB7D26" w:rsidRPr="00EF7399" w:rsidRDefault="00034A8D" w:rsidP="00B80B88">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62</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092D90" w:rsidRPr="00EF7399">
        <w:rPr>
          <w:rFonts w:ascii="Times New Roman" w:hAnsi="Times New Roman" w:cs="Times New Roman"/>
          <w:lang w:val="af-ZA"/>
        </w:rPr>
        <w:t xml:space="preserve">Դատարանը, սովորաբար, ընդունում է, որ </w:t>
      </w:r>
      <w:r w:rsidR="006F413D" w:rsidRPr="00EF7399">
        <w:rPr>
          <w:rFonts w:ascii="Times New Roman" w:hAnsi="Times New Roman" w:cs="Times New Roman"/>
          <w:lang w:val="af-ZA"/>
        </w:rPr>
        <w:t>վիճարկվող միջոցերը հետապնդել</w:t>
      </w:r>
      <w:r w:rsidR="00092D90" w:rsidRPr="00EF7399">
        <w:rPr>
          <w:rFonts w:ascii="Times New Roman" w:hAnsi="Times New Roman" w:cs="Times New Roman"/>
          <w:lang w:val="af-ZA"/>
        </w:rPr>
        <w:t xml:space="preserve"> են «անկարգությունները կանխելու»</w:t>
      </w:r>
      <w:r w:rsidR="006F413D" w:rsidRPr="00EF7399">
        <w:rPr>
          <w:rFonts w:ascii="Times New Roman" w:hAnsi="Times New Roman" w:cs="Times New Roman"/>
          <w:lang w:val="af-ZA"/>
        </w:rPr>
        <w:t xml:space="preserve"> կամ «այլ անձանց իրավունքները պաշտպանելու»</w:t>
      </w:r>
      <w:r w:rsidR="00092D90" w:rsidRPr="00EF7399">
        <w:rPr>
          <w:rFonts w:ascii="Times New Roman" w:hAnsi="Times New Roman" w:cs="Times New Roman"/>
          <w:lang w:val="af-ZA"/>
        </w:rPr>
        <w:t xml:space="preserve"> նպ</w:t>
      </w:r>
      <w:r w:rsidR="006F413D" w:rsidRPr="00EF7399">
        <w:rPr>
          <w:rFonts w:ascii="Times New Roman" w:hAnsi="Times New Roman" w:cs="Times New Roman"/>
          <w:lang w:val="af-ZA"/>
        </w:rPr>
        <w:t>ա</w:t>
      </w:r>
      <w:r w:rsidR="00092D90" w:rsidRPr="00EF7399">
        <w:rPr>
          <w:rFonts w:ascii="Times New Roman" w:hAnsi="Times New Roman" w:cs="Times New Roman"/>
          <w:lang w:val="af-ZA"/>
        </w:rPr>
        <w:t>տակ</w:t>
      </w:r>
      <w:r w:rsidR="006F413D" w:rsidRPr="00EF7399">
        <w:rPr>
          <w:rFonts w:ascii="Times New Roman" w:hAnsi="Times New Roman" w:cs="Times New Roman"/>
          <w:lang w:val="af-ZA"/>
        </w:rPr>
        <w:t xml:space="preserve"> կամ երկու նպատակներն էլ միաժամանակ, թեև եթե նշված նպատակն ակնհայտորեն վերաբերելի չէ տվյալ հանգամանքներում, այն կարող է մերժվել: Մասնավորապես, Դատարանը չի ընդունել անկարգությունները կանխելու հիմնավորումն այն իրադարձությունների դեպքում, երբ հավաքները եղել են ինքնաբուխ և չեն առաջացրել որևէ </w:t>
      </w:r>
      <w:r w:rsidR="00135B8B" w:rsidRPr="00EF7399">
        <w:rPr>
          <w:rFonts w:ascii="Times New Roman" w:hAnsi="Times New Roman" w:cs="Times New Roman"/>
          <w:lang w:val="hy-AM"/>
        </w:rPr>
        <w:t>անհարմարություն</w:t>
      </w:r>
      <w:r w:rsidR="00135B8B" w:rsidRPr="00EF7399">
        <w:rPr>
          <w:rFonts w:ascii="Times New Roman" w:hAnsi="Times New Roman" w:cs="Times New Roman"/>
          <w:lang w:val="af-ZA"/>
        </w:rPr>
        <w:t xml:space="preserve"> </w:t>
      </w:r>
      <w:r w:rsidR="0081194B" w:rsidRPr="00EF7399">
        <w:rPr>
          <w:rFonts w:ascii="Times New Roman" w:hAnsi="Times New Roman" w:cs="Times New Roman"/>
          <w:lang w:val="af-ZA"/>
        </w:rPr>
        <w:t>(</w:t>
      </w:r>
      <w:hyperlink r:id="rId176" w:history="1">
        <w:r w:rsidR="0081194B" w:rsidRPr="00EF7399">
          <w:rPr>
            <w:rStyle w:val="Hyperlink"/>
            <w:rFonts w:ascii="Times New Roman" w:hAnsi="Times New Roman" w:cs="Times New Roman"/>
            <w:lang w:val="af-ZA"/>
          </w:rPr>
          <w:t>Navalnyy</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Russia</w:t>
        </w:r>
      </w:hyperlink>
      <w:r w:rsidR="0081194B" w:rsidRPr="00EF7399">
        <w:rPr>
          <w:rFonts w:ascii="Times New Roman" w:hAnsi="Times New Roman" w:cs="Times New Roman"/>
          <w:lang w:val="af-ZA"/>
        </w:rPr>
        <w:t xml:space="preserve"> [GC], </w:t>
      </w:r>
      <w:r w:rsidR="001E21F4" w:rsidRPr="00EF7399">
        <w:rPr>
          <w:rFonts w:ascii="Times New Roman" w:hAnsi="Times New Roman" w:cs="Times New Roman"/>
          <w:lang w:val="af-ZA"/>
        </w:rPr>
        <w:t xml:space="preserve">2018, </w:t>
      </w:r>
      <w:r w:rsidR="0081194B" w:rsidRPr="00EF7399">
        <w:rPr>
          <w:rFonts w:ascii="Times New Roman" w:hAnsi="Times New Roman" w:cs="Times New Roman"/>
          <w:lang w:val="af-ZA"/>
        </w:rPr>
        <w:t>§</w:t>
      </w:r>
      <w:r w:rsidR="00873234" w:rsidRPr="00EF7399">
        <w:rPr>
          <w:rFonts w:ascii="Times New Roman" w:hAnsi="Times New Roman" w:cs="Times New Roman"/>
          <w:lang w:val="af-ZA"/>
        </w:rPr>
        <w:t>§ </w:t>
      </w:r>
      <w:r w:rsidR="0081194B" w:rsidRPr="00EF7399">
        <w:rPr>
          <w:rFonts w:ascii="Times New Roman" w:hAnsi="Times New Roman" w:cs="Times New Roman"/>
          <w:lang w:val="af-ZA"/>
        </w:rPr>
        <w:t>124-126)</w:t>
      </w:r>
      <w:r w:rsidR="006F413D" w:rsidRPr="00EF7399">
        <w:rPr>
          <w:rFonts w:ascii="Times New Roman" w:hAnsi="Times New Roman" w:cs="Times New Roman"/>
          <w:lang w:val="af-ZA"/>
        </w:rPr>
        <w:t>:</w:t>
      </w:r>
      <w:r w:rsidR="0081194B" w:rsidRPr="00EF7399">
        <w:rPr>
          <w:rFonts w:ascii="Times New Roman" w:hAnsi="Times New Roman" w:cs="Times New Roman"/>
          <w:lang w:val="af-ZA"/>
        </w:rPr>
        <w:t xml:space="preserve"> </w:t>
      </w:r>
      <w:r w:rsidR="001C277B" w:rsidRPr="00EF7399">
        <w:rPr>
          <w:rFonts w:ascii="Times New Roman" w:hAnsi="Times New Roman" w:cs="Times New Roman"/>
          <w:lang w:val="af-ZA"/>
        </w:rPr>
        <w:t xml:space="preserve">ԼԳԲՏ չտեղաշարժվող ցույցերի սահմանափակման համատեքստում Դատարանը մերժել է «բարոյականության պաշտպանության» հիմնավորումը և որակել այն խտրական </w:t>
      </w:r>
      <w:r w:rsidR="0081194B" w:rsidRPr="00EF7399">
        <w:rPr>
          <w:rFonts w:ascii="Times New Roman" w:hAnsi="Times New Roman" w:cs="Times New Roman"/>
          <w:lang w:val="af-ZA"/>
        </w:rPr>
        <w:t>(</w:t>
      </w:r>
      <w:hyperlink r:id="rId177" w:history="1">
        <w:r w:rsidR="0081194B" w:rsidRPr="00EF7399">
          <w:rPr>
            <w:rStyle w:val="Hyperlink"/>
            <w:rFonts w:ascii="Times New Roman" w:hAnsi="Times New Roman" w:cs="Times New Roman"/>
            <w:iCs/>
            <w:lang w:val="af-ZA"/>
          </w:rPr>
          <w:t>Bayev and Others</w:t>
        </w:r>
        <w:r w:rsidR="00873234" w:rsidRPr="00EF7399">
          <w:rPr>
            <w:rStyle w:val="Hyperlink"/>
            <w:rFonts w:ascii="Times New Roman" w:hAnsi="Times New Roman" w:cs="Times New Roman"/>
            <w:iCs/>
            <w:lang w:val="af-ZA"/>
          </w:rPr>
          <w:t xml:space="preserve"> v. </w:t>
        </w:r>
        <w:r w:rsidR="0081194B" w:rsidRPr="00EF7399">
          <w:rPr>
            <w:rStyle w:val="Hyperlink"/>
            <w:rFonts w:ascii="Times New Roman" w:hAnsi="Times New Roman" w:cs="Times New Roman"/>
            <w:iCs/>
            <w:lang w:val="af-ZA"/>
          </w:rPr>
          <w:t>Russia</w:t>
        </w:r>
      </w:hyperlink>
      <w:r w:rsidR="0081194B" w:rsidRPr="00EF7399">
        <w:rPr>
          <w:rFonts w:ascii="Times New Roman" w:hAnsi="Times New Roman" w:cs="Times New Roman"/>
          <w:iCs/>
          <w:lang w:val="af-ZA"/>
        </w:rPr>
        <w:t xml:space="preserve">, </w:t>
      </w:r>
      <w:r w:rsidR="001E21F4" w:rsidRPr="00EF7399">
        <w:rPr>
          <w:rFonts w:ascii="Times New Roman" w:hAnsi="Times New Roman" w:cs="Times New Roman"/>
          <w:iCs/>
          <w:lang w:val="af-ZA"/>
        </w:rPr>
        <w:t xml:space="preserve">2017, </w:t>
      </w:r>
      <w:r w:rsidR="0081194B" w:rsidRPr="00EF7399">
        <w:rPr>
          <w:rFonts w:ascii="Times New Roman" w:hAnsi="Times New Roman" w:cs="Times New Roman"/>
          <w:iCs/>
          <w:lang w:val="af-ZA"/>
        </w:rPr>
        <w:t>§</w:t>
      </w:r>
      <w:r w:rsidR="00873234" w:rsidRPr="00EF7399">
        <w:rPr>
          <w:rFonts w:ascii="Times New Roman" w:hAnsi="Times New Roman" w:cs="Times New Roman"/>
          <w:iCs/>
          <w:lang w:val="af-ZA"/>
        </w:rPr>
        <w:t>§ </w:t>
      </w:r>
      <w:r w:rsidR="0081194B" w:rsidRPr="00EF7399">
        <w:rPr>
          <w:rFonts w:ascii="Times New Roman" w:hAnsi="Times New Roman" w:cs="Times New Roman"/>
          <w:iCs/>
          <w:lang w:val="af-ZA"/>
        </w:rPr>
        <w:t xml:space="preserve">66-69, </w:t>
      </w:r>
      <w:r w:rsidR="001C277B" w:rsidRPr="00EF7399">
        <w:rPr>
          <w:rFonts w:ascii="Times New Roman" w:hAnsi="Times New Roman" w:cs="Times New Roman"/>
          <w:iCs/>
          <w:lang w:val="af-ZA"/>
        </w:rPr>
        <w:t>քննվել է 10-րդ հոդվածի շրջանակում</w:t>
      </w:r>
      <w:r w:rsidR="0081194B" w:rsidRPr="00EF7399">
        <w:rPr>
          <w:rFonts w:ascii="Times New Roman" w:hAnsi="Times New Roman" w:cs="Times New Roman"/>
          <w:lang w:val="af-ZA"/>
        </w:rPr>
        <w:t>)</w:t>
      </w:r>
      <w:r w:rsidR="001C277B" w:rsidRPr="00EF7399">
        <w:rPr>
          <w:rFonts w:ascii="Times New Roman" w:hAnsi="Times New Roman" w:cs="Times New Roman"/>
          <w:lang w:val="af-ZA"/>
        </w:rPr>
        <w:t>:</w:t>
      </w:r>
    </w:p>
    <w:p w14:paraId="59A00213" w14:textId="12CFC736" w:rsidR="00034A8D" w:rsidRPr="00EF7399" w:rsidRDefault="00340B04" w:rsidP="00034A8D">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 MERGEFORMAT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63</w:t>
      </w:r>
      <w:r w:rsidRPr="00EF7399">
        <w:rPr>
          <w:rFonts w:ascii="Times New Roman" w:hAnsi="Times New Roman" w:cs="Times New Roman"/>
          <w:lang w:val="af-ZA"/>
        </w:rPr>
        <w:fldChar w:fldCharType="end"/>
      </w:r>
      <w:r w:rsidR="00B80B88" w:rsidRPr="00EF7399">
        <w:rPr>
          <w:rFonts w:ascii="Times New Roman" w:hAnsi="Times New Roman" w:cs="Times New Roman"/>
          <w:lang w:val="af-ZA"/>
        </w:rPr>
        <w:t>.  </w:t>
      </w:r>
      <w:r w:rsidR="001C277B" w:rsidRPr="00EF7399">
        <w:rPr>
          <w:rFonts w:ascii="Times New Roman" w:hAnsi="Times New Roman" w:cs="Times New Roman"/>
          <w:lang w:val="af-ZA"/>
        </w:rPr>
        <w:t xml:space="preserve">«Այլ անձանց կրոնական </w:t>
      </w:r>
      <w:r w:rsidR="00B25FB5" w:rsidRPr="00EF7399">
        <w:rPr>
          <w:rFonts w:ascii="Times New Roman" w:hAnsi="Times New Roman" w:cs="Times New Roman"/>
          <w:lang w:val="hy-AM"/>
        </w:rPr>
        <w:t>համոզմունքների</w:t>
      </w:r>
      <w:r w:rsidR="00B25FB5" w:rsidRPr="00EF7399">
        <w:rPr>
          <w:rFonts w:ascii="Times New Roman" w:hAnsi="Times New Roman" w:cs="Times New Roman"/>
          <w:lang w:val="af-ZA"/>
        </w:rPr>
        <w:t xml:space="preserve"> </w:t>
      </w:r>
      <w:r w:rsidR="004130CE" w:rsidRPr="00EF7399">
        <w:rPr>
          <w:rFonts w:ascii="Times New Roman" w:hAnsi="Times New Roman" w:cs="Times New Roman"/>
          <w:lang w:val="af-ZA"/>
        </w:rPr>
        <w:t>հետ</w:t>
      </w:r>
      <w:r w:rsidR="001C277B" w:rsidRPr="00EF7399">
        <w:rPr>
          <w:rFonts w:ascii="Times New Roman" w:hAnsi="Times New Roman" w:cs="Times New Roman"/>
          <w:lang w:val="af-ZA"/>
        </w:rPr>
        <w:t xml:space="preserve"> անհամատեղելի»</w:t>
      </w:r>
      <w:r w:rsidR="004130CE" w:rsidRPr="00EF7399">
        <w:rPr>
          <w:rFonts w:ascii="Times New Roman" w:hAnsi="Times New Roman" w:cs="Times New Roman"/>
          <w:lang w:val="af-ZA"/>
        </w:rPr>
        <w:t xml:space="preserve"> լինելու</w:t>
      </w:r>
      <w:r w:rsidR="001C277B" w:rsidRPr="00EF7399">
        <w:rPr>
          <w:rFonts w:ascii="Times New Roman" w:hAnsi="Times New Roman" w:cs="Times New Roman"/>
          <w:lang w:val="af-ZA"/>
        </w:rPr>
        <w:t xml:space="preserve"> հիմքով </w:t>
      </w:r>
      <w:r w:rsidR="004130CE" w:rsidRPr="00EF7399">
        <w:rPr>
          <w:rFonts w:ascii="Times New Roman" w:hAnsi="Times New Roman" w:cs="Times New Roman"/>
          <w:lang w:val="af-ZA"/>
        </w:rPr>
        <w:t>վ</w:t>
      </w:r>
      <w:r w:rsidR="001C277B" w:rsidRPr="00EF7399">
        <w:rPr>
          <w:rFonts w:ascii="Times New Roman" w:hAnsi="Times New Roman" w:cs="Times New Roman"/>
          <w:lang w:val="af-ZA"/>
        </w:rPr>
        <w:t>իշնուականություն քարոզող կրոնական միջոցառում</w:t>
      </w:r>
      <w:r w:rsidR="00B25FB5" w:rsidRPr="00EF7399">
        <w:rPr>
          <w:rFonts w:ascii="Times New Roman" w:hAnsi="Times New Roman" w:cs="Times New Roman"/>
          <w:lang w:val="hy-AM"/>
        </w:rPr>
        <w:t>ն</w:t>
      </w:r>
      <w:r w:rsidR="004130CE" w:rsidRPr="00EF7399">
        <w:rPr>
          <w:rFonts w:ascii="Times New Roman" w:hAnsi="Times New Roman" w:cs="Times New Roman"/>
          <w:lang w:val="af-ZA"/>
        </w:rPr>
        <w:t xml:space="preserve"> արգելելու գործով Դատարանը որոշել է, որ թեև հավաքների ազատության իրավունքը կարող է սահմանափակվել անկարգությունները կանխելու կամ այլ անձանց իրավունքները պաշտպանելու նպատակ</w:t>
      </w:r>
      <w:r w:rsidR="00B25FB5" w:rsidRPr="00EF7399">
        <w:rPr>
          <w:rFonts w:ascii="Times New Roman" w:hAnsi="Times New Roman" w:cs="Times New Roman"/>
          <w:lang w:val="hy-AM"/>
        </w:rPr>
        <w:t>ներ</w:t>
      </w:r>
      <w:r w:rsidR="004130CE" w:rsidRPr="00EF7399">
        <w:rPr>
          <w:rFonts w:ascii="Times New Roman" w:hAnsi="Times New Roman" w:cs="Times New Roman"/>
          <w:lang w:val="af-ZA"/>
        </w:rPr>
        <w:t>ով, որոնք երկուսն էլ</w:t>
      </w:r>
      <w:r w:rsidR="00B25FB5" w:rsidRPr="00EF7399">
        <w:rPr>
          <w:rFonts w:ascii="Times New Roman" w:hAnsi="Times New Roman" w:cs="Times New Roman"/>
          <w:lang w:val="hy-AM"/>
        </w:rPr>
        <w:t>,</w:t>
      </w:r>
      <w:r w:rsidR="004130CE" w:rsidRPr="00EF7399">
        <w:rPr>
          <w:rFonts w:ascii="Times New Roman" w:hAnsi="Times New Roman" w:cs="Times New Roman"/>
          <w:lang w:val="af-ZA"/>
        </w:rPr>
        <w:t xml:space="preserve"> Կոնվենցիայի համաձայն</w:t>
      </w:r>
      <w:r w:rsidR="00B25FB5" w:rsidRPr="00EF7399">
        <w:rPr>
          <w:rFonts w:ascii="Times New Roman" w:hAnsi="Times New Roman" w:cs="Times New Roman"/>
          <w:lang w:val="hy-AM"/>
        </w:rPr>
        <w:t>,</w:t>
      </w:r>
      <w:r w:rsidR="004130CE" w:rsidRPr="00EF7399">
        <w:rPr>
          <w:rFonts w:ascii="Times New Roman" w:hAnsi="Times New Roman" w:cs="Times New Roman"/>
          <w:lang w:val="af-ZA"/>
        </w:rPr>
        <w:t xml:space="preserve"> </w:t>
      </w:r>
      <w:r w:rsidR="00900FAE" w:rsidRPr="00EF7399">
        <w:rPr>
          <w:rFonts w:ascii="Times New Roman" w:hAnsi="Times New Roman" w:cs="Times New Roman"/>
          <w:lang w:val="af-ZA"/>
        </w:rPr>
        <w:t>իրավաչափ</w:t>
      </w:r>
      <w:r w:rsidR="004130CE" w:rsidRPr="00EF7399">
        <w:rPr>
          <w:rFonts w:ascii="Times New Roman" w:hAnsi="Times New Roman" w:cs="Times New Roman"/>
          <w:lang w:val="af-ZA"/>
        </w:rPr>
        <w:t xml:space="preserve"> նպատակներ են և ներպետական օրենսդրությամբ նախատեսված թույլատրելի հիմքեր, այլ անձանց կրոնական </w:t>
      </w:r>
      <w:r w:rsidR="00B25FB5" w:rsidRPr="00EF7399">
        <w:rPr>
          <w:rFonts w:ascii="Times New Roman" w:hAnsi="Times New Roman" w:cs="Times New Roman"/>
          <w:lang w:val="hy-AM"/>
        </w:rPr>
        <w:t>համոզմունքների</w:t>
      </w:r>
      <w:r w:rsidR="00B25FB5" w:rsidRPr="00EF7399">
        <w:rPr>
          <w:rFonts w:ascii="Times New Roman" w:hAnsi="Times New Roman" w:cs="Times New Roman"/>
          <w:lang w:val="af-ZA"/>
        </w:rPr>
        <w:t xml:space="preserve"> </w:t>
      </w:r>
      <w:r w:rsidR="004130CE" w:rsidRPr="00EF7399">
        <w:rPr>
          <w:rFonts w:ascii="Times New Roman" w:hAnsi="Times New Roman" w:cs="Times New Roman"/>
          <w:lang w:val="af-ZA"/>
        </w:rPr>
        <w:t>հետ անհամատեղելիությունը</w:t>
      </w:r>
      <w:r w:rsidR="00690D03" w:rsidRPr="00EF7399">
        <w:rPr>
          <w:rFonts w:ascii="Times New Roman" w:hAnsi="Times New Roman" w:cs="Times New Roman"/>
          <w:lang w:val="af-ZA"/>
        </w:rPr>
        <w:t>,</w:t>
      </w:r>
      <w:r w:rsidR="004130CE" w:rsidRPr="00EF7399">
        <w:rPr>
          <w:rFonts w:ascii="Times New Roman" w:hAnsi="Times New Roman" w:cs="Times New Roman"/>
          <w:lang w:val="af-ZA"/>
        </w:rPr>
        <w:t xml:space="preserve"> որպես այդպիսին, </w:t>
      </w:r>
      <w:r w:rsidR="00B25FB5" w:rsidRPr="00EF7399">
        <w:rPr>
          <w:rFonts w:ascii="Times New Roman" w:hAnsi="Times New Roman" w:cs="Times New Roman"/>
          <w:lang w:val="hy-AM"/>
        </w:rPr>
        <w:t>ինչը</w:t>
      </w:r>
      <w:r w:rsidR="00B25FB5" w:rsidRPr="00EF7399">
        <w:rPr>
          <w:rFonts w:ascii="Times New Roman" w:hAnsi="Times New Roman" w:cs="Times New Roman"/>
          <w:lang w:val="af-ZA"/>
        </w:rPr>
        <w:t xml:space="preserve"> </w:t>
      </w:r>
      <w:r w:rsidR="004130CE" w:rsidRPr="00EF7399">
        <w:rPr>
          <w:rFonts w:ascii="Times New Roman" w:hAnsi="Times New Roman" w:cs="Times New Roman"/>
          <w:lang w:val="af-ZA"/>
        </w:rPr>
        <w:t xml:space="preserve">կառավարության հիմնավորումն էր այս գործում, չի բավարարում «ժողովրդավարական հասարակությունում անհրաժեշտ» լինելու պահանջը </w:t>
      </w:r>
      <w:r w:rsidR="00B80B88" w:rsidRPr="00EF7399">
        <w:rPr>
          <w:rFonts w:ascii="Times New Roman" w:hAnsi="Times New Roman" w:cs="Times New Roman"/>
          <w:lang w:val="af-ZA"/>
        </w:rPr>
        <w:t>(</w:t>
      </w:r>
      <w:hyperlink r:id="rId178" w:history="1">
        <w:r w:rsidR="00367255" w:rsidRPr="00EF7399">
          <w:rPr>
            <w:rStyle w:val="Hyperlink"/>
            <w:rFonts w:ascii="Times New Roman" w:hAnsi="Times New Roman" w:cs="Times New Roman"/>
            <w:lang w:val="af-ZA"/>
          </w:rPr>
          <w:t>Centre of Societies for Krishna Consciousness in Russia</w:t>
        </w:r>
      </w:hyperlink>
      <w:r w:rsidR="00B80B88" w:rsidRPr="00EF7399">
        <w:rPr>
          <w:rFonts w:ascii="Times New Roman" w:hAnsi="Times New Roman" w:cs="Times New Roman"/>
          <w:lang w:val="af-ZA"/>
        </w:rPr>
        <w:t>,</w:t>
      </w:r>
      <w:r w:rsidR="000B1BA0" w:rsidRPr="00EF7399">
        <w:rPr>
          <w:rFonts w:ascii="Times New Roman" w:hAnsi="Times New Roman" w:cs="Times New Roman"/>
          <w:lang w:val="af-ZA"/>
        </w:rPr>
        <w:t xml:space="preserve"> 2021,</w:t>
      </w:r>
      <w:r w:rsidR="00B80B88" w:rsidRPr="00EF7399">
        <w:rPr>
          <w:rFonts w:ascii="Times New Roman" w:hAnsi="Times New Roman" w:cs="Times New Roman"/>
          <w:lang w:val="af-ZA"/>
        </w:rPr>
        <w:t xml:space="preserve"> </w:t>
      </w:r>
      <w:r w:rsidR="00873234" w:rsidRPr="00EF7399">
        <w:rPr>
          <w:rFonts w:ascii="Times New Roman" w:hAnsi="Times New Roman" w:cs="Times New Roman"/>
          <w:lang w:val="af-ZA"/>
        </w:rPr>
        <w:t>§ </w:t>
      </w:r>
      <w:r w:rsidR="00B80B88" w:rsidRPr="00EF7399">
        <w:rPr>
          <w:rFonts w:ascii="Times New Roman" w:hAnsi="Times New Roman" w:cs="Times New Roman"/>
          <w:lang w:val="af-ZA"/>
        </w:rPr>
        <w:t>55)</w:t>
      </w:r>
      <w:r w:rsidR="00690D03" w:rsidRPr="00EF7399">
        <w:rPr>
          <w:rFonts w:ascii="Times New Roman" w:hAnsi="Times New Roman" w:cs="Times New Roman"/>
          <w:lang w:val="af-ZA"/>
        </w:rPr>
        <w:t>:</w:t>
      </w:r>
    </w:p>
    <w:p w14:paraId="6A7C79DA" w14:textId="75459881" w:rsidR="009053AB" w:rsidRPr="00EF7399" w:rsidRDefault="00034A8D" w:rsidP="00034A8D">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64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690D03" w:rsidRPr="00EF7399">
        <w:rPr>
          <w:rFonts w:ascii="Times New Roman" w:hAnsi="Times New Roman" w:cs="Times New Roman"/>
          <w:lang w:val="af-ZA"/>
        </w:rPr>
        <w:t>Անկախ այն հանգամանքից</w:t>
      </w:r>
      <w:r w:rsidR="00FC01C0" w:rsidRPr="00EF7399">
        <w:rPr>
          <w:rFonts w:ascii="Times New Roman" w:hAnsi="Times New Roman" w:cs="Times New Roman"/>
          <w:lang w:val="af-ZA"/>
        </w:rPr>
        <w:t>, թե</w:t>
      </w:r>
      <w:r w:rsidR="00690D03" w:rsidRPr="00EF7399">
        <w:rPr>
          <w:rFonts w:ascii="Times New Roman" w:hAnsi="Times New Roman" w:cs="Times New Roman"/>
          <w:lang w:val="af-ZA"/>
        </w:rPr>
        <w:t xml:space="preserve"> Դատարանն ընդունում է, որ իշխանությունները հետապնդել են </w:t>
      </w:r>
      <w:r w:rsidR="00900FAE" w:rsidRPr="00EF7399">
        <w:rPr>
          <w:rFonts w:ascii="Times New Roman" w:hAnsi="Times New Roman" w:cs="Times New Roman"/>
          <w:lang w:val="af-ZA"/>
        </w:rPr>
        <w:t>իրավաչափ</w:t>
      </w:r>
      <w:r w:rsidR="00690D03" w:rsidRPr="00EF7399">
        <w:rPr>
          <w:rFonts w:ascii="Times New Roman" w:hAnsi="Times New Roman" w:cs="Times New Roman"/>
          <w:lang w:val="af-ZA"/>
        </w:rPr>
        <w:t xml:space="preserve"> նպատակ կամ մերժում է կառավարության ներկայացրած նպատակները,</w:t>
      </w:r>
      <w:r w:rsidR="00FC01C0" w:rsidRPr="00EF7399">
        <w:rPr>
          <w:rFonts w:ascii="Times New Roman" w:hAnsi="Times New Roman" w:cs="Times New Roman"/>
          <w:lang w:val="af-ZA"/>
        </w:rPr>
        <w:t xml:space="preserve"> Դատարանը կարող է քննել 18-րդ հոդված</w:t>
      </w:r>
      <w:r w:rsidR="00B25FB5" w:rsidRPr="00EF7399">
        <w:rPr>
          <w:rFonts w:ascii="Times New Roman" w:hAnsi="Times New Roman" w:cs="Times New Roman"/>
          <w:lang w:val="hy-AM"/>
        </w:rPr>
        <w:t xml:space="preserve">ի ներքո ներկայացված </w:t>
      </w:r>
      <w:r w:rsidR="00FC01C0" w:rsidRPr="00EF7399">
        <w:rPr>
          <w:rFonts w:ascii="Times New Roman" w:hAnsi="Times New Roman" w:cs="Times New Roman"/>
          <w:lang w:val="af-ZA"/>
        </w:rPr>
        <w:t xml:space="preserve">գանգատն առ այն, որ </w:t>
      </w:r>
      <w:r w:rsidR="00B25FB5" w:rsidRPr="00EF7399">
        <w:rPr>
          <w:rFonts w:ascii="Times New Roman" w:hAnsi="Times New Roman" w:cs="Times New Roman"/>
          <w:lang w:val="hy-AM"/>
        </w:rPr>
        <w:t>խնդրո առարկա</w:t>
      </w:r>
      <w:r w:rsidR="00B25FB5" w:rsidRPr="00EF7399">
        <w:rPr>
          <w:rFonts w:ascii="Times New Roman" w:hAnsi="Times New Roman" w:cs="Times New Roman"/>
          <w:lang w:val="af-ZA"/>
        </w:rPr>
        <w:t xml:space="preserve"> </w:t>
      </w:r>
      <w:r w:rsidR="00FC01C0" w:rsidRPr="00EF7399">
        <w:rPr>
          <w:rFonts w:ascii="Times New Roman" w:hAnsi="Times New Roman" w:cs="Times New Roman"/>
          <w:lang w:val="af-ZA"/>
        </w:rPr>
        <w:t xml:space="preserve">միջոցները հետապնդել են թաքնված նպատակ, </w:t>
      </w:r>
      <w:r w:rsidR="00B25FB5" w:rsidRPr="00EF7399">
        <w:rPr>
          <w:rFonts w:ascii="Times New Roman" w:hAnsi="Times New Roman" w:cs="Times New Roman"/>
          <w:lang w:val="hy-AM"/>
        </w:rPr>
        <w:t>ինչպիսին է</w:t>
      </w:r>
      <w:r w:rsidR="00FC01C0" w:rsidRPr="00EF7399">
        <w:rPr>
          <w:rFonts w:ascii="Times New Roman" w:hAnsi="Times New Roman" w:cs="Times New Roman"/>
          <w:lang w:val="af-ZA"/>
        </w:rPr>
        <w:t xml:space="preserve"> քաղաքական հետապնդում</w:t>
      </w:r>
      <w:r w:rsidR="00B25FB5" w:rsidRPr="00EF7399">
        <w:rPr>
          <w:rFonts w:ascii="Times New Roman" w:hAnsi="Times New Roman" w:cs="Times New Roman"/>
          <w:lang w:val="hy-AM"/>
        </w:rPr>
        <w:t>ը</w:t>
      </w:r>
      <w:r w:rsidR="00FC01C0" w:rsidRPr="00EF7399">
        <w:rPr>
          <w:rFonts w:ascii="Times New Roman" w:hAnsi="Times New Roman" w:cs="Times New Roman"/>
          <w:lang w:val="af-ZA"/>
        </w:rPr>
        <w:t xml:space="preserve"> (որպես միակ նպատակ կամ ի հավելումն </w:t>
      </w:r>
      <w:r w:rsidR="00B25FB5" w:rsidRPr="00EF7399">
        <w:rPr>
          <w:rFonts w:ascii="Times New Roman" w:hAnsi="Times New Roman" w:cs="Times New Roman"/>
          <w:lang w:val="hy-AM"/>
        </w:rPr>
        <w:t>իրավաչափ</w:t>
      </w:r>
      <w:r w:rsidR="00B25FB5" w:rsidRPr="00EF7399">
        <w:rPr>
          <w:rFonts w:ascii="Times New Roman" w:hAnsi="Times New Roman" w:cs="Times New Roman"/>
          <w:lang w:val="af-ZA"/>
        </w:rPr>
        <w:t xml:space="preserve"> </w:t>
      </w:r>
      <w:r w:rsidR="00FC01C0" w:rsidRPr="00EF7399">
        <w:rPr>
          <w:rFonts w:ascii="Times New Roman" w:hAnsi="Times New Roman" w:cs="Times New Roman"/>
          <w:lang w:val="af-ZA"/>
        </w:rPr>
        <w:t>նպատակի): Գործերի մեծ</w:t>
      </w:r>
      <w:r w:rsidR="00F04008" w:rsidRPr="00EF7399">
        <w:rPr>
          <w:rFonts w:ascii="Times New Roman" w:hAnsi="Times New Roman" w:cs="Times New Roman"/>
          <w:lang w:val="af-ZA"/>
        </w:rPr>
        <w:t>ամասնության</w:t>
      </w:r>
      <w:r w:rsidR="00FC01C0" w:rsidRPr="00EF7399">
        <w:rPr>
          <w:rFonts w:ascii="Times New Roman" w:hAnsi="Times New Roman" w:cs="Times New Roman"/>
          <w:lang w:val="af-ZA"/>
        </w:rPr>
        <w:t xml:space="preserve"> </w:t>
      </w:r>
      <w:r w:rsidR="00F04008" w:rsidRPr="00EF7399">
        <w:rPr>
          <w:rFonts w:ascii="Times New Roman" w:hAnsi="Times New Roman" w:cs="Times New Roman"/>
          <w:lang w:val="af-ZA"/>
        </w:rPr>
        <w:t>պարագայում Դատարանը գտել է, որ 18-րդ հոդված</w:t>
      </w:r>
      <w:r w:rsidR="009A77D4" w:rsidRPr="00EF7399">
        <w:rPr>
          <w:rFonts w:ascii="Times New Roman" w:hAnsi="Times New Roman" w:cs="Times New Roman"/>
          <w:lang w:val="hy-AM"/>
        </w:rPr>
        <w:t>ի ներքո</w:t>
      </w:r>
      <w:r w:rsidR="00F04008" w:rsidRPr="00EF7399">
        <w:rPr>
          <w:rFonts w:ascii="Times New Roman" w:hAnsi="Times New Roman" w:cs="Times New Roman"/>
          <w:lang w:val="af-ZA"/>
        </w:rPr>
        <w:t xml:space="preserve"> </w:t>
      </w:r>
      <w:r w:rsidR="009A77D4" w:rsidRPr="00EF7399">
        <w:rPr>
          <w:rFonts w:ascii="Times New Roman" w:hAnsi="Times New Roman" w:cs="Times New Roman"/>
          <w:lang w:val="hy-AM"/>
        </w:rPr>
        <w:lastRenderedPageBreak/>
        <w:t>ներկայացված</w:t>
      </w:r>
      <w:r w:rsidR="009A77D4" w:rsidRPr="00EF7399">
        <w:rPr>
          <w:rFonts w:ascii="Times New Roman" w:hAnsi="Times New Roman" w:cs="Times New Roman"/>
          <w:lang w:val="af-ZA"/>
        </w:rPr>
        <w:t xml:space="preserve"> </w:t>
      </w:r>
      <w:r w:rsidR="00F45A29" w:rsidRPr="00EF7399">
        <w:rPr>
          <w:rFonts w:ascii="Times New Roman" w:hAnsi="Times New Roman" w:cs="Times New Roman"/>
          <w:lang w:val="hy-AM"/>
        </w:rPr>
        <w:t>պնդումները</w:t>
      </w:r>
      <w:r w:rsidR="00F45A29" w:rsidRPr="00EF7399">
        <w:rPr>
          <w:rFonts w:ascii="Times New Roman" w:hAnsi="Times New Roman" w:cs="Times New Roman"/>
          <w:lang w:val="af-ZA"/>
        </w:rPr>
        <w:t xml:space="preserve"> </w:t>
      </w:r>
      <w:r w:rsidR="00F04008" w:rsidRPr="00EF7399">
        <w:rPr>
          <w:rFonts w:ascii="Times New Roman" w:hAnsi="Times New Roman" w:cs="Times New Roman"/>
          <w:lang w:val="af-ZA"/>
        </w:rPr>
        <w:t>չեն բարձրացրել 5-րդ և 11-րդ հոդվածներ</w:t>
      </w:r>
      <w:r w:rsidR="00F45A29" w:rsidRPr="00EF7399">
        <w:rPr>
          <w:rFonts w:ascii="Times New Roman" w:hAnsi="Times New Roman" w:cs="Times New Roman"/>
          <w:lang w:val="hy-AM"/>
        </w:rPr>
        <w:t xml:space="preserve">ի ներքո </w:t>
      </w:r>
      <w:r w:rsidR="00F04008" w:rsidRPr="00EF7399">
        <w:rPr>
          <w:rFonts w:ascii="Times New Roman" w:hAnsi="Times New Roman" w:cs="Times New Roman"/>
          <w:lang w:val="af-ZA"/>
        </w:rPr>
        <w:t xml:space="preserve">քննված գանգատներին առնչվող առանձին խնդիր </w:t>
      </w:r>
      <w:r w:rsidR="0081194B" w:rsidRPr="00EF7399">
        <w:rPr>
          <w:rFonts w:ascii="Times New Roman" w:hAnsi="Times New Roman" w:cs="Times New Roman"/>
          <w:lang w:val="af-ZA"/>
        </w:rPr>
        <w:t>(</w:t>
      </w:r>
      <w:hyperlink r:id="rId179" w:history="1">
        <w:r w:rsidR="0081194B" w:rsidRPr="00EF7399">
          <w:rPr>
            <w:rStyle w:val="Hyperlink"/>
            <w:rFonts w:ascii="Times New Roman" w:hAnsi="Times New Roman" w:cs="Times New Roman"/>
            <w:lang w:val="af-ZA"/>
          </w:rPr>
          <w:t>Nemtsov</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Russia</w:t>
        </w:r>
      </w:hyperlink>
      <w:r w:rsidR="0081194B" w:rsidRPr="00EF7399">
        <w:rPr>
          <w:rFonts w:ascii="Times New Roman" w:hAnsi="Times New Roman" w:cs="Times New Roman"/>
          <w:lang w:val="af-ZA"/>
        </w:rPr>
        <w:t xml:space="preserve">, </w:t>
      </w:r>
      <w:r w:rsidR="001E21F4"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 xml:space="preserve">130; </w:t>
      </w:r>
      <w:hyperlink r:id="rId180" w:history="1">
        <w:r w:rsidR="0081194B" w:rsidRPr="00EF7399">
          <w:rPr>
            <w:rStyle w:val="Hyperlink"/>
            <w:rFonts w:ascii="Times New Roman" w:hAnsi="Times New Roman" w:cs="Times New Roman"/>
            <w:lang w:val="af-ZA"/>
          </w:rPr>
          <w:t>Frumkin</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Russia</w:t>
        </w:r>
      </w:hyperlink>
      <w:r w:rsidR="0081194B" w:rsidRPr="00EF7399">
        <w:rPr>
          <w:rFonts w:ascii="Times New Roman" w:hAnsi="Times New Roman" w:cs="Times New Roman"/>
          <w:lang w:val="af-ZA"/>
        </w:rPr>
        <w:t xml:space="preserve">, </w:t>
      </w:r>
      <w:r w:rsidR="001E21F4" w:rsidRPr="00EF7399">
        <w:rPr>
          <w:rFonts w:ascii="Times New Roman" w:hAnsi="Times New Roman" w:cs="Times New Roman"/>
          <w:lang w:val="af-ZA"/>
        </w:rPr>
        <w:t xml:space="preserve">2016,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173)</w:t>
      </w:r>
      <w:r w:rsidR="00F04008" w:rsidRPr="00EF7399">
        <w:rPr>
          <w:rFonts w:ascii="Times New Roman" w:hAnsi="Times New Roman" w:cs="Times New Roman"/>
          <w:lang w:val="af-ZA"/>
        </w:rPr>
        <w:t xml:space="preserve">: Սակայն, եթե նման </w:t>
      </w:r>
      <w:r w:rsidR="00F45A29" w:rsidRPr="00EF7399">
        <w:rPr>
          <w:rFonts w:ascii="Times New Roman" w:hAnsi="Times New Roman" w:cs="Times New Roman"/>
          <w:lang w:val="hy-AM"/>
        </w:rPr>
        <w:t>պնդումները ներկայացնում են</w:t>
      </w:r>
      <w:r w:rsidR="00F45A29" w:rsidRPr="00EF7399">
        <w:rPr>
          <w:rFonts w:ascii="Times New Roman" w:hAnsi="Times New Roman" w:cs="Times New Roman"/>
          <w:lang w:val="af-ZA"/>
        </w:rPr>
        <w:t xml:space="preserve"> </w:t>
      </w:r>
      <w:r w:rsidR="00F04008" w:rsidRPr="00EF7399">
        <w:rPr>
          <w:rFonts w:ascii="Times New Roman" w:hAnsi="Times New Roman" w:cs="Times New Roman"/>
          <w:lang w:val="af-ZA"/>
        </w:rPr>
        <w:t xml:space="preserve">գործի հիմնարար </w:t>
      </w:r>
      <w:r w:rsidR="00F45A29" w:rsidRPr="00EF7399">
        <w:rPr>
          <w:rFonts w:ascii="Times New Roman" w:hAnsi="Times New Roman" w:cs="Times New Roman"/>
          <w:lang w:val="hy-AM"/>
        </w:rPr>
        <w:t>կողմը</w:t>
      </w:r>
      <w:r w:rsidR="00F45A29" w:rsidRPr="00EF7399">
        <w:rPr>
          <w:rFonts w:ascii="Times New Roman" w:hAnsi="Times New Roman" w:cs="Times New Roman"/>
          <w:lang w:val="af-ZA"/>
        </w:rPr>
        <w:t>,</w:t>
      </w:r>
      <w:r w:rsidR="00F04008" w:rsidRPr="00EF7399">
        <w:rPr>
          <w:rFonts w:ascii="Times New Roman" w:hAnsi="Times New Roman" w:cs="Times New Roman"/>
          <w:lang w:val="af-ZA"/>
        </w:rPr>
        <w:t xml:space="preserve"> Դատարանը կարող է</w:t>
      </w:r>
      <w:r w:rsidR="0081194B" w:rsidRPr="00EF7399">
        <w:rPr>
          <w:rFonts w:ascii="Times New Roman" w:hAnsi="Times New Roman" w:cs="Times New Roman"/>
          <w:lang w:val="af-ZA"/>
        </w:rPr>
        <w:t xml:space="preserve"> </w:t>
      </w:r>
      <w:r w:rsidR="00923DE1" w:rsidRPr="00EF7399">
        <w:rPr>
          <w:rFonts w:ascii="Times New Roman" w:hAnsi="Times New Roman" w:cs="Times New Roman"/>
          <w:lang w:val="af-ZA"/>
        </w:rPr>
        <w:t xml:space="preserve">դրանք առանձին քննել </w:t>
      </w:r>
      <w:r w:rsidR="0081194B" w:rsidRPr="00EF7399">
        <w:rPr>
          <w:rFonts w:ascii="Times New Roman" w:hAnsi="Times New Roman" w:cs="Times New Roman"/>
          <w:lang w:val="af-ZA"/>
        </w:rPr>
        <w:t>(</w:t>
      </w:r>
      <w:hyperlink r:id="rId181" w:history="1">
        <w:r w:rsidR="0081194B" w:rsidRPr="00EF7399">
          <w:rPr>
            <w:rStyle w:val="Hyperlink"/>
            <w:rFonts w:ascii="Times New Roman" w:hAnsi="Times New Roman" w:cs="Times New Roman"/>
            <w:lang w:val="af-ZA"/>
          </w:rPr>
          <w:t>Navalnyy</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Russia</w:t>
        </w:r>
      </w:hyperlink>
      <w:r w:rsidR="0081194B" w:rsidRPr="00EF7399">
        <w:rPr>
          <w:rFonts w:ascii="Times New Roman" w:hAnsi="Times New Roman" w:cs="Times New Roman"/>
          <w:lang w:val="af-ZA"/>
        </w:rPr>
        <w:t xml:space="preserve"> [GC], </w:t>
      </w:r>
      <w:r w:rsidR="001E21F4" w:rsidRPr="00EF7399">
        <w:rPr>
          <w:rFonts w:ascii="Times New Roman" w:hAnsi="Times New Roman" w:cs="Times New Roman"/>
          <w:lang w:val="af-ZA"/>
        </w:rPr>
        <w:t xml:space="preserve">2018,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164)</w:t>
      </w:r>
      <w:r w:rsidR="00923DE1" w:rsidRPr="00EF7399">
        <w:rPr>
          <w:rFonts w:ascii="Times New Roman" w:hAnsi="Times New Roman" w:cs="Times New Roman"/>
          <w:lang w:val="af-ZA"/>
        </w:rPr>
        <w:t>:</w:t>
      </w:r>
      <w:r w:rsidR="0081194B" w:rsidRPr="00EF7399">
        <w:rPr>
          <w:rFonts w:ascii="Times New Roman" w:hAnsi="Times New Roman" w:cs="Times New Roman"/>
          <w:vertAlign w:val="superscript"/>
          <w:lang w:val="af-ZA"/>
        </w:rPr>
        <w:footnoteReference w:id="4"/>
      </w:r>
    </w:p>
    <w:bookmarkStart w:id="48" w:name="_Hlk92265630"/>
    <w:p w14:paraId="5228B2AE" w14:textId="4D887175" w:rsidR="00B56A70" w:rsidRPr="00EF7399" w:rsidRDefault="00CC1405" w:rsidP="00C75C7B">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 MERGEFORMAT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65</w:t>
      </w:r>
      <w:r w:rsidRPr="00EF7399">
        <w:rPr>
          <w:rFonts w:ascii="Times New Roman" w:hAnsi="Times New Roman" w:cs="Times New Roman"/>
          <w:lang w:val="af-ZA"/>
        </w:rPr>
        <w:fldChar w:fldCharType="end"/>
      </w:r>
      <w:r w:rsidRPr="00EF7399">
        <w:rPr>
          <w:rFonts w:ascii="Times New Roman" w:hAnsi="Times New Roman" w:cs="Times New Roman"/>
          <w:lang w:val="af-ZA"/>
        </w:rPr>
        <w:t>.  </w:t>
      </w:r>
      <w:hyperlink r:id="rId182" w:history="1">
        <w:r w:rsidR="00CE5BC6" w:rsidRPr="00EF7399">
          <w:rPr>
            <w:rStyle w:val="Hyperlink"/>
            <w:rFonts w:ascii="Times New Roman" w:hAnsi="Times New Roman" w:cs="Times New Roman"/>
            <w:iCs/>
            <w:lang w:val="af-ZA"/>
          </w:rPr>
          <w:t>Dareskizb Ltd</w:t>
        </w:r>
        <w:r w:rsidR="00873234" w:rsidRPr="00EF7399">
          <w:rPr>
            <w:rStyle w:val="Hyperlink"/>
            <w:rFonts w:ascii="Times New Roman" w:hAnsi="Times New Roman" w:cs="Times New Roman"/>
            <w:iCs/>
            <w:lang w:val="af-ZA"/>
          </w:rPr>
          <w:t xml:space="preserve"> v. </w:t>
        </w:r>
        <w:r w:rsidR="00CE5BC6" w:rsidRPr="00EF7399">
          <w:rPr>
            <w:rStyle w:val="Hyperlink"/>
            <w:rFonts w:ascii="Times New Roman" w:hAnsi="Times New Roman" w:cs="Times New Roman"/>
            <w:iCs/>
            <w:lang w:val="af-ZA"/>
          </w:rPr>
          <w:t>Armenia</w:t>
        </w:r>
      </w:hyperlink>
      <w:r w:rsidR="00923DE1" w:rsidRPr="00EF7399">
        <w:rPr>
          <w:rFonts w:ascii="Times New Roman" w:hAnsi="Times New Roman" w:cs="Times New Roman"/>
          <w:lang w:val="af-ZA"/>
        </w:rPr>
        <w:t xml:space="preserve"> գործով Դատարանը մերժեց կառավարության հղումը 15-րդ հոդվածին</w:t>
      </w:r>
      <w:r w:rsidR="00424C74" w:rsidRPr="00EF7399">
        <w:rPr>
          <w:rFonts w:ascii="Times New Roman" w:hAnsi="Times New Roman" w:cs="Times New Roman"/>
          <w:lang w:val="hy-AM"/>
        </w:rPr>
        <w:t>՝</w:t>
      </w:r>
      <w:r w:rsidR="00923DE1" w:rsidRPr="00EF7399">
        <w:rPr>
          <w:rFonts w:ascii="Times New Roman" w:hAnsi="Times New Roman" w:cs="Times New Roman"/>
          <w:lang w:val="af-ZA"/>
        </w:rPr>
        <w:t xml:space="preserve"> որպես կոնվենցիոն որոշ իրավունքներից, մասնավորապես` 10-րդ և 11-րդ հոդվածներից (§§ 45-46) շեղվելու </w:t>
      </w:r>
      <w:r w:rsidR="00633202" w:rsidRPr="00EF7399">
        <w:rPr>
          <w:rFonts w:ascii="Times New Roman" w:hAnsi="Times New Roman" w:cs="Times New Roman"/>
          <w:lang w:val="af-ZA"/>
        </w:rPr>
        <w:t xml:space="preserve">պատճառ այն հիմքով, որ ընդդիմության բողոքի </w:t>
      </w:r>
      <w:r w:rsidR="00185B27" w:rsidRPr="00EF7399">
        <w:rPr>
          <w:rFonts w:ascii="Times New Roman" w:hAnsi="Times New Roman" w:cs="Times New Roman"/>
          <w:lang w:val="af-ZA"/>
        </w:rPr>
        <w:t>ցույցերը</w:t>
      </w:r>
      <w:r w:rsidR="00633202" w:rsidRPr="00EF7399">
        <w:rPr>
          <w:rFonts w:ascii="Times New Roman" w:hAnsi="Times New Roman" w:cs="Times New Roman"/>
          <w:lang w:val="af-ZA"/>
        </w:rPr>
        <w:t xml:space="preserve"> ստեղծել էին «հասարակական կարգին սպառնացող լուրջ իրավիճակ», սակայն չէին հա</w:t>
      </w:r>
      <w:r w:rsidR="00185B27" w:rsidRPr="00EF7399">
        <w:rPr>
          <w:rFonts w:ascii="Times New Roman" w:hAnsi="Times New Roman" w:cs="Times New Roman"/>
          <w:lang w:val="af-ZA"/>
        </w:rPr>
        <w:t>տ</w:t>
      </w:r>
      <w:r w:rsidR="00633202" w:rsidRPr="00EF7399">
        <w:rPr>
          <w:rFonts w:ascii="Times New Roman" w:hAnsi="Times New Roman" w:cs="Times New Roman"/>
          <w:lang w:val="af-ZA"/>
        </w:rPr>
        <w:t>ել</w:t>
      </w:r>
      <w:r w:rsidR="00185B27" w:rsidRPr="00EF7399">
        <w:rPr>
          <w:rFonts w:ascii="Times New Roman" w:hAnsi="Times New Roman" w:cs="Times New Roman"/>
          <w:lang w:val="af-ZA"/>
        </w:rPr>
        <w:t xml:space="preserve"> «ազգի կյանքին սպառնացող» արտակարգ դրության շեմը,</w:t>
      </w:r>
      <w:r w:rsidR="00633202" w:rsidRPr="00EF7399">
        <w:rPr>
          <w:rFonts w:ascii="Times New Roman" w:hAnsi="Times New Roman" w:cs="Times New Roman"/>
          <w:lang w:val="af-ZA"/>
        </w:rPr>
        <w:t xml:space="preserve"> </w:t>
      </w:r>
      <w:r w:rsidR="00185B27" w:rsidRPr="00EF7399">
        <w:rPr>
          <w:rFonts w:ascii="Times New Roman" w:hAnsi="Times New Roman" w:cs="Times New Roman"/>
          <w:lang w:val="af-ZA"/>
        </w:rPr>
        <w:t xml:space="preserve">որով կհիմնավորվեր շեղումը </w:t>
      </w:r>
      <w:r w:rsidR="00694ABE" w:rsidRPr="00EF7399">
        <w:rPr>
          <w:rFonts w:ascii="Times New Roman" w:hAnsi="Times New Roman" w:cs="Times New Roman"/>
          <w:lang w:val="af-ZA"/>
        </w:rPr>
        <w:t>(</w:t>
      </w:r>
      <w:r w:rsidR="00873234" w:rsidRPr="00EF7399">
        <w:rPr>
          <w:rFonts w:ascii="Times New Roman" w:hAnsi="Times New Roman" w:cs="Times New Roman"/>
          <w:lang w:val="af-ZA"/>
        </w:rPr>
        <w:t>§ </w:t>
      </w:r>
      <w:r w:rsidR="00694ABE" w:rsidRPr="00EF7399">
        <w:rPr>
          <w:rFonts w:ascii="Times New Roman" w:hAnsi="Times New Roman" w:cs="Times New Roman"/>
          <w:lang w:val="af-ZA"/>
        </w:rPr>
        <w:t>62)</w:t>
      </w:r>
      <w:r w:rsidR="00185B27" w:rsidRPr="00EF7399">
        <w:rPr>
          <w:rFonts w:ascii="Times New Roman" w:hAnsi="Times New Roman" w:cs="Times New Roman"/>
          <w:lang w:val="af-ZA"/>
        </w:rPr>
        <w:t xml:space="preserve">: </w:t>
      </w:r>
      <w:r w:rsidR="00184020" w:rsidRPr="00EF7399">
        <w:rPr>
          <w:rFonts w:ascii="Times New Roman" w:hAnsi="Times New Roman" w:cs="Times New Roman"/>
          <w:lang w:val="af-ZA"/>
        </w:rPr>
        <w:t xml:space="preserve">10-րդ հոդվածի շրջանակներում </w:t>
      </w:r>
      <w:r w:rsidR="00184020" w:rsidRPr="00EF7399">
        <w:rPr>
          <w:rFonts w:ascii="Times New Roman" w:hAnsi="Times New Roman" w:cs="Times New Roman"/>
          <w:lang w:val="hy-AM"/>
        </w:rPr>
        <w:t>գ</w:t>
      </w:r>
      <w:r w:rsidR="00134154" w:rsidRPr="00EF7399">
        <w:rPr>
          <w:rFonts w:ascii="Times New Roman" w:hAnsi="Times New Roman" w:cs="Times New Roman"/>
          <w:lang w:val="af-ZA"/>
        </w:rPr>
        <w:t xml:space="preserve">ործի </w:t>
      </w:r>
      <w:r w:rsidR="00184020" w:rsidRPr="00EF7399">
        <w:rPr>
          <w:rFonts w:ascii="Times New Roman" w:hAnsi="Times New Roman" w:cs="Times New Roman"/>
          <w:lang w:val="hy-AM"/>
        </w:rPr>
        <w:t>ըստ էության քննությամբ</w:t>
      </w:r>
      <w:r w:rsidR="00185B27" w:rsidRPr="00EF7399">
        <w:rPr>
          <w:rFonts w:ascii="Times New Roman" w:hAnsi="Times New Roman" w:cs="Times New Roman"/>
          <w:lang w:val="af-ZA"/>
        </w:rPr>
        <w:t xml:space="preserve"> </w:t>
      </w:r>
      <w:r w:rsidR="00134154" w:rsidRPr="00EF7399">
        <w:rPr>
          <w:rFonts w:ascii="Times New Roman" w:hAnsi="Times New Roman" w:cs="Times New Roman"/>
          <w:lang w:val="af-ZA"/>
        </w:rPr>
        <w:t>Դատարան</w:t>
      </w:r>
      <w:r w:rsidR="00184020" w:rsidRPr="00EF7399">
        <w:rPr>
          <w:rFonts w:ascii="Times New Roman" w:hAnsi="Times New Roman" w:cs="Times New Roman"/>
          <w:lang w:val="hy-AM"/>
        </w:rPr>
        <w:t>ն</w:t>
      </w:r>
      <w:r w:rsidR="00185B27" w:rsidRPr="00EF7399">
        <w:rPr>
          <w:rFonts w:ascii="Times New Roman" w:hAnsi="Times New Roman" w:cs="Times New Roman"/>
          <w:lang w:val="af-ZA"/>
        </w:rPr>
        <w:t xml:space="preserve"> ընդունել է, որ արտակարգ իրավիճակի պայմաններում իշխանություններին քննադատող նյութ հրապարակելու արգելքը</w:t>
      </w:r>
      <w:r w:rsidR="0065309B" w:rsidRPr="00EF7399">
        <w:rPr>
          <w:rFonts w:ascii="Times New Roman" w:hAnsi="Times New Roman" w:cs="Times New Roman"/>
          <w:lang w:val="hy-AM"/>
        </w:rPr>
        <w:t xml:space="preserve"> </w:t>
      </w:r>
      <w:r w:rsidR="00C75C7B" w:rsidRPr="00EF7399">
        <w:rPr>
          <w:rFonts w:ascii="Times New Roman" w:hAnsi="Times New Roman" w:cs="Times New Roman"/>
          <w:lang w:val="hy-AM"/>
        </w:rPr>
        <w:t>դիմումատու</w:t>
      </w:r>
      <w:r w:rsidR="0065309B" w:rsidRPr="00EF7399">
        <w:rPr>
          <w:rFonts w:ascii="Times New Roman" w:hAnsi="Times New Roman" w:cs="Times New Roman"/>
          <w:lang w:val="af-ZA"/>
        </w:rPr>
        <w:t xml:space="preserve"> օրաթերթ</w:t>
      </w:r>
      <w:r w:rsidR="0065309B" w:rsidRPr="00EF7399">
        <w:rPr>
          <w:rFonts w:ascii="Times New Roman" w:hAnsi="Times New Roman" w:cs="Times New Roman"/>
          <w:lang w:val="hy-AM"/>
        </w:rPr>
        <w:t>ի նկատմամբ</w:t>
      </w:r>
      <w:r w:rsidR="00134154" w:rsidRPr="00EF7399">
        <w:rPr>
          <w:rFonts w:ascii="Times New Roman" w:hAnsi="Times New Roman" w:cs="Times New Roman"/>
          <w:lang w:val="af-ZA"/>
        </w:rPr>
        <w:t xml:space="preserve"> հետապնդել է անկարգությունները և հանցագործությունները կանխելու «</w:t>
      </w:r>
      <w:r w:rsidR="00900FAE" w:rsidRPr="00EF7399">
        <w:rPr>
          <w:rFonts w:ascii="Times New Roman" w:hAnsi="Times New Roman" w:cs="Times New Roman"/>
          <w:lang w:val="af-ZA"/>
        </w:rPr>
        <w:t>իրավաչափ</w:t>
      </w:r>
      <w:r w:rsidR="00134154" w:rsidRPr="00EF7399">
        <w:rPr>
          <w:rFonts w:ascii="Times New Roman" w:hAnsi="Times New Roman" w:cs="Times New Roman"/>
          <w:lang w:val="af-ZA"/>
        </w:rPr>
        <w:t xml:space="preserve"> նպատակ», սակայն գտել է, որ նման սահմանափակումները</w:t>
      </w:r>
      <w:r w:rsidR="00C75C7B" w:rsidRPr="00EF7399">
        <w:rPr>
          <w:rFonts w:ascii="Times New Roman" w:hAnsi="Times New Roman" w:cs="Times New Roman"/>
          <w:lang w:val="hy-AM"/>
        </w:rPr>
        <w:t>, որոնք ունեին</w:t>
      </w:r>
      <w:r w:rsidR="00C75C7B" w:rsidRPr="001B2612">
        <w:rPr>
          <w:lang w:val="af-ZA"/>
        </w:rPr>
        <w:t xml:space="preserve"> </w:t>
      </w:r>
      <w:r w:rsidR="00C75C7B" w:rsidRPr="00EF7399">
        <w:rPr>
          <w:rFonts w:ascii="Times New Roman" w:hAnsi="Times New Roman" w:cs="Times New Roman"/>
          <w:lang w:val="af-ZA"/>
        </w:rPr>
        <w:t xml:space="preserve">քաղաքական բանավեճը ճնշող </w:t>
      </w:r>
      <w:r w:rsidR="00C75C7B" w:rsidRPr="00EF7399">
        <w:rPr>
          <w:rFonts w:ascii="Times New Roman" w:hAnsi="Times New Roman" w:cs="Times New Roman"/>
          <w:lang w:val="hy-AM"/>
        </w:rPr>
        <w:t>և</w:t>
      </w:r>
      <w:r w:rsidR="00C75C7B" w:rsidRPr="00EF7399">
        <w:rPr>
          <w:rFonts w:ascii="Times New Roman" w:hAnsi="Times New Roman" w:cs="Times New Roman"/>
          <w:lang w:val="af-ZA"/>
        </w:rPr>
        <w:t xml:space="preserve"> չհամընկնող կարծիքները լռեցնող ազդեցություն, հակաս</w:t>
      </w:r>
      <w:r w:rsidR="00C75C7B" w:rsidRPr="00EF7399">
        <w:rPr>
          <w:rFonts w:ascii="Times New Roman" w:hAnsi="Times New Roman" w:cs="Times New Roman"/>
          <w:lang w:val="hy-AM"/>
        </w:rPr>
        <w:t>ել</w:t>
      </w:r>
      <w:r w:rsidR="00C75C7B" w:rsidRPr="00EF7399">
        <w:rPr>
          <w:rFonts w:ascii="Times New Roman" w:hAnsi="Times New Roman" w:cs="Times New Roman"/>
          <w:lang w:val="af-ZA"/>
        </w:rPr>
        <w:t xml:space="preserve"> են 10-րդ հոդվածի բուն նպատակին </w:t>
      </w:r>
      <w:r w:rsidR="00C75C7B" w:rsidRPr="00EF7399">
        <w:rPr>
          <w:rFonts w:ascii="Times New Roman" w:hAnsi="Times New Roman" w:cs="Times New Roman"/>
          <w:lang w:val="hy-AM"/>
        </w:rPr>
        <w:t>և</w:t>
      </w:r>
      <w:r w:rsidR="00C75C7B" w:rsidRPr="00EF7399">
        <w:rPr>
          <w:rFonts w:ascii="Times New Roman" w:hAnsi="Times New Roman" w:cs="Times New Roman"/>
          <w:lang w:val="af-ZA"/>
        </w:rPr>
        <w:t xml:space="preserve"> անհրաժեշտ չեն եղել ժողովրդավարական հասարակությունում</w:t>
      </w:r>
      <w:r w:rsidR="00C75C7B" w:rsidRPr="00EF7399">
        <w:rPr>
          <w:rFonts w:ascii="Times New Roman" w:hAnsi="Times New Roman" w:cs="Times New Roman"/>
          <w:lang w:val="hy-AM"/>
        </w:rPr>
        <w:t xml:space="preserve">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78)</w:t>
      </w:r>
      <w:bookmarkEnd w:id="48"/>
      <w:r w:rsidR="00134154" w:rsidRPr="00EF7399">
        <w:rPr>
          <w:rFonts w:ascii="Times New Roman" w:hAnsi="Times New Roman" w:cs="Times New Roman"/>
          <w:lang w:val="af-ZA"/>
        </w:rPr>
        <w:t xml:space="preserve">: </w:t>
      </w:r>
    </w:p>
    <w:p w14:paraId="445B9010" w14:textId="00FF838C" w:rsidR="00034A8D" w:rsidRPr="00EF7399" w:rsidRDefault="00A83DAB" w:rsidP="00A83DAB">
      <w:pPr>
        <w:pStyle w:val="ECHRHeading4"/>
        <w:numPr>
          <w:ilvl w:val="0"/>
          <w:numId w:val="0"/>
        </w:numPr>
        <w:rPr>
          <w:rFonts w:ascii="Times New Roman" w:eastAsiaTheme="minorHAnsi" w:hAnsi="Times New Roman" w:cs="Times New Roman"/>
          <w:color w:val="auto"/>
          <w:sz w:val="22"/>
          <w:lang w:val="af-ZA"/>
        </w:rPr>
      </w:pPr>
      <w:bookmarkStart w:id="49" w:name="_Toc159945219"/>
      <w:r>
        <w:rPr>
          <w:rFonts w:ascii="Times New Roman" w:hAnsi="Times New Roman" w:cs="Times New Roman"/>
          <w:lang w:val="hy-AM"/>
        </w:rPr>
        <w:t xml:space="preserve">գ․ </w:t>
      </w:r>
      <w:r w:rsidR="00134154" w:rsidRPr="00EF7399">
        <w:rPr>
          <w:rFonts w:ascii="Times New Roman" w:hAnsi="Times New Roman" w:cs="Times New Roman"/>
          <w:lang w:val="af-ZA"/>
        </w:rPr>
        <w:t>Անհրաժեշտ ժողովրդավարական հասարակությունում</w:t>
      </w:r>
      <w:bookmarkEnd w:id="49"/>
    </w:p>
    <w:p w14:paraId="07B296EC" w14:textId="64453FDE" w:rsidR="00034A8D" w:rsidRPr="00EF7399" w:rsidRDefault="00034A8D" w:rsidP="00034A8D">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66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B31B1C" w:rsidRPr="00EF7399">
        <w:rPr>
          <w:rFonts w:ascii="Times New Roman" w:hAnsi="Times New Roman" w:cs="Times New Roman"/>
          <w:lang w:val="af-ZA"/>
        </w:rPr>
        <w:t>Երբ դիտարկվում է Կոնվենցիայով երաշխավորված իրավունքների և ազատությունների սահմանափակումները «ժողովրդավարական հասարակությունում</w:t>
      </w:r>
      <w:r w:rsidR="00411F37" w:rsidRPr="00EF7399">
        <w:rPr>
          <w:rFonts w:ascii="Times New Roman" w:hAnsi="Times New Roman" w:cs="Times New Roman"/>
          <w:lang w:val="af-ZA"/>
        </w:rPr>
        <w:t xml:space="preserve"> անհրաժեշտ</w:t>
      </w:r>
      <w:r w:rsidR="00B31B1C" w:rsidRPr="00EF7399">
        <w:rPr>
          <w:rFonts w:ascii="Times New Roman" w:hAnsi="Times New Roman" w:cs="Times New Roman"/>
          <w:lang w:val="af-ZA"/>
        </w:rPr>
        <w:t xml:space="preserve">» </w:t>
      </w:r>
      <w:r w:rsidR="00411F37" w:rsidRPr="00EF7399">
        <w:rPr>
          <w:rFonts w:ascii="Times New Roman" w:hAnsi="Times New Roman" w:cs="Times New Roman"/>
          <w:lang w:val="af-ZA"/>
        </w:rPr>
        <w:t xml:space="preserve">համարելու </w:t>
      </w:r>
      <w:r w:rsidR="00B31B1C" w:rsidRPr="00EF7399">
        <w:rPr>
          <w:rFonts w:ascii="Times New Roman" w:hAnsi="Times New Roman" w:cs="Times New Roman"/>
          <w:lang w:val="af-ZA"/>
        </w:rPr>
        <w:t>հարցը</w:t>
      </w:r>
      <w:r w:rsidR="00B005EB" w:rsidRPr="00EF7399">
        <w:rPr>
          <w:rFonts w:ascii="Times New Roman" w:hAnsi="Times New Roman" w:cs="Times New Roman"/>
          <w:lang w:val="hy-AM"/>
        </w:rPr>
        <w:t>,</w:t>
      </w:r>
      <w:r w:rsidR="00411F37" w:rsidRPr="00EF7399">
        <w:rPr>
          <w:rFonts w:ascii="Times New Roman" w:hAnsi="Times New Roman" w:cs="Times New Roman"/>
          <w:lang w:val="af-ZA"/>
        </w:rPr>
        <w:t xml:space="preserve"> Պայմանավորվող կողմերն օգտվում են որոշակի, բայց ոչ անսահմանափակ հայեցողությունից</w:t>
      </w:r>
      <w:r w:rsidR="00B31B1C"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183" w:history="1">
        <w:r w:rsidRPr="00EF7399">
          <w:rPr>
            <w:rStyle w:val="Hyperlink"/>
            <w:rFonts w:ascii="Times New Roman" w:hAnsi="Times New Roman" w:cs="Times New Roman"/>
            <w:lang w:val="af-ZA"/>
          </w:rPr>
          <w:t>Barraco</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France</w:t>
        </w:r>
      </w:hyperlink>
      <w:r w:rsidRPr="00EF7399">
        <w:rPr>
          <w:rFonts w:ascii="Times New Roman" w:hAnsi="Times New Roman" w:cs="Times New Roman"/>
          <w:lang w:val="af-ZA"/>
        </w:rPr>
        <w:t xml:space="preserve">, </w:t>
      </w:r>
      <w:r w:rsidR="001E21F4" w:rsidRPr="00EF7399">
        <w:rPr>
          <w:rFonts w:ascii="Times New Roman" w:hAnsi="Times New Roman" w:cs="Times New Roman"/>
          <w:lang w:val="af-ZA"/>
        </w:rPr>
        <w:t xml:space="preserve">2009, </w:t>
      </w:r>
      <w:r w:rsidR="00873234" w:rsidRPr="00EF7399">
        <w:rPr>
          <w:rFonts w:ascii="Times New Roman" w:hAnsi="Times New Roman" w:cs="Times New Roman"/>
          <w:lang w:val="af-ZA"/>
        </w:rPr>
        <w:t>§ </w:t>
      </w:r>
      <w:r w:rsidRPr="00EF7399">
        <w:rPr>
          <w:rFonts w:ascii="Times New Roman" w:hAnsi="Times New Roman" w:cs="Times New Roman"/>
          <w:lang w:val="af-ZA"/>
        </w:rPr>
        <w:t>42)</w:t>
      </w:r>
      <w:r w:rsidR="00411F37" w:rsidRPr="00EF7399">
        <w:rPr>
          <w:rFonts w:ascii="Times New Roman" w:hAnsi="Times New Roman" w:cs="Times New Roman"/>
          <w:lang w:val="af-ZA"/>
        </w:rPr>
        <w:t>: Ամեն դեպքում,</w:t>
      </w:r>
      <w:r w:rsidR="00B005EB" w:rsidRPr="00EF7399">
        <w:rPr>
          <w:rFonts w:ascii="Times New Roman" w:hAnsi="Times New Roman" w:cs="Times New Roman"/>
          <w:lang w:val="hy-AM"/>
        </w:rPr>
        <w:t xml:space="preserve"> </w:t>
      </w:r>
      <w:r w:rsidR="00B005EB" w:rsidRPr="00EF7399">
        <w:rPr>
          <w:rFonts w:ascii="Times New Roman" w:hAnsi="Times New Roman" w:cs="Times New Roman"/>
          <w:lang w:val="af-ZA"/>
        </w:rPr>
        <w:t>սահմանափակման</w:t>
      </w:r>
      <w:r w:rsidR="00B005EB" w:rsidRPr="00EF7399">
        <w:rPr>
          <w:rFonts w:ascii="Times New Roman" w:hAnsi="Times New Roman" w:cs="Times New Roman"/>
          <w:lang w:val="hy-AM"/>
        </w:rPr>
        <w:t>՝</w:t>
      </w:r>
      <w:r w:rsidR="00411F37" w:rsidRPr="00EF7399">
        <w:rPr>
          <w:rFonts w:ascii="Times New Roman" w:hAnsi="Times New Roman" w:cs="Times New Roman"/>
          <w:lang w:val="af-ZA"/>
        </w:rPr>
        <w:t xml:space="preserve"> Կոնվենցիային համապատասխանության </w:t>
      </w:r>
      <w:r w:rsidR="00C41182" w:rsidRPr="00EF7399">
        <w:rPr>
          <w:rFonts w:ascii="Times New Roman" w:hAnsi="Times New Roman" w:cs="Times New Roman"/>
          <w:lang w:val="af-ZA"/>
        </w:rPr>
        <w:t>վերաբերյալ</w:t>
      </w:r>
      <w:r w:rsidR="00411F37" w:rsidRPr="00EF7399">
        <w:rPr>
          <w:rFonts w:ascii="Times New Roman" w:hAnsi="Times New Roman" w:cs="Times New Roman"/>
          <w:lang w:val="af-ZA"/>
        </w:rPr>
        <w:t xml:space="preserve"> </w:t>
      </w:r>
      <w:r w:rsidR="00C41182" w:rsidRPr="00EF7399">
        <w:rPr>
          <w:rFonts w:ascii="Times New Roman" w:hAnsi="Times New Roman" w:cs="Times New Roman"/>
          <w:lang w:val="af-ZA"/>
        </w:rPr>
        <w:t xml:space="preserve">վերջնական որոշում կայացնում է </w:t>
      </w:r>
      <w:r w:rsidR="00411F37" w:rsidRPr="00EF7399">
        <w:rPr>
          <w:rFonts w:ascii="Times New Roman" w:hAnsi="Times New Roman" w:cs="Times New Roman"/>
          <w:lang w:val="af-ZA"/>
        </w:rPr>
        <w:t>Դատարանը</w:t>
      </w:r>
      <w:r w:rsidR="00B005EB" w:rsidRPr="00EF7399">
        <w:rPr>
          <w:rFonts w:ascii="Times New Roman" w:hAnsi="Times New Roman" w:cs="Times New Roman"/>
          <w:lang w:val="hy-AM"/>
        </w:rPr>
        <w:t>,</w:t>
      </w:r>
      <w:r w:rsidR="00C41182" w:rsidRPr="00EF7399">
        <w:rPr>
          <w:rFonts w:ascii="Times New Roman" w:hAnsi="Times New Roman" w:cs="Times New Roman"/>
          <w:lang w:val="af-ZA"/>
        </w:rPr>
        <w:t xml:space="preserve"> և դա արվում է</w:t>
      </w:r>
      <w:r w:rsidR="00B005EB" w:rsidRPr="00EF7399">
        <w:rPr>
          <w:rFonts w:ascii="Times New Roman" w:hAnsi="Times New Roman" w:cs="Times New Roman"/>
          <w:lang w:val="hy-AM"/>
        </w:rPr>
        <w:t>՝</w:t>
      </w:r>
      <w:r w:rsidR="00C41182" w:rsidRPr="00EF7399">
        <w:rPr>
          <w:rFonts w:ascii="Times New Roman" w:hAnsi="Times New Roman" w:cs="Times New Roman"/>
          <w:lang w:val="af-ZA"/>
        </w:rPr>
        <w:t xml:space="preserve"> գնահատելով կոնկրետ գործի հանգամանքները </w:t>
      </w:r>
      <w:r w:rsidRPr="00EF7399">
        <w:rPr>
          <w:rFonts w:ascii="Times New Roman" w:hAnsi="Times New Roman" w:cs="Times New Roman"/>
          <w:lang w:val="af-ZA"/>
        </w:rPr>
        <w:t>(</w:t>
      </w:r>
      <w:hyperlink r:id="rId184" w:history="1">
        <w:r w:rsidRPr="00EF7399">
          <w:rPr>
            <w:rStyle w:val="Hyperlink"/>
            <w:rFonts w:ascii="Times New Roman" w:hAnsi="Times New Roman" w:cs="Times New Roman"/>
            <w:lang w:val="af-ZA"/>
          </w:rPr>
          <w:t>Galstyan</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Armenia</w:t>
        </w:r>
      </w:hyperlink>
      <w:r w:rsidRPr="00EF7399">
        <w:rPr>
          <w:rFonts w:ascii="Times New Roman" w:hAnsi="Times New Roman" w:cs="Times New Roman"/>
          <w:lang w:val="af-ZA"/>
        </w:rPr>
        <w:t xml:space="preserve">, </w:t>
      </w:r>
      <w:r w:rsidR="001E21F4" w:rsidRPr="00EF7399">
        <w:rPr>
          <w:rFonts w:ascii="Times New Roman" w:hAnsi="Times New Roman" w:cs="Times New Roman"/>
          <w:lang w:val="af-ZA"/>
        </w:rPr>
        <w:t xml:space="preserve">2007, </w:t>
      </w:r>
      <w:r w:rsidR="00873234" w:rsidRPr="00EF7399">
        <w:rPr>
          <w:rFonts w:ascii="Times New Roman" w:hAnsi="Times New Roman" w:cs="Times New Roman"/>
          <w:lang w:val="af-ZA"/>
        </w:rPr>
        <w:t>§ </w:t>
      </w:r>
      <w:r w:rsidRPr="00EF7399">
        <w:rPr>
          <w:rFonts w:ascii="Times New Roman" w:hAnsi="Times New Roman" w:cs="Times New Roman"/>
          <w:lang w:val="af-ZA"/>
        </w:rPr>
        <w:t>114)</w:t>
      </w:r>
      <w:r w:rsidR="00C41182" w:rsidRPr="00EF7399">
        <w:rPr>
          <w:rFonts w:ascii="Times New Roman" w:hAnsi="Times New Roman" w:cs="Times New Roman"/>
          <w:lang w:val="af-ZA"/>
        </w:rPr>
        <w:t>:</w:t>
      </w:r>
    </w:p>
    <w:p w14:paraId="69549ECB" w14:textId="2D671840" w:rsidR="009053AB" w:rsidRPr="00EF7399" w:rsidRDefault="00034A8D" w:rsidP="00034A8D">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67</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B75084" w:rsidRPr="00EF7399">
        <w:rPr>
          <w:rFonts w:ascii="Times New Roman" w:hAnsi="Times New Roman" w:cs="Times New Roman"/>
          <w:lang w:val="hy-AM"/>
        </w:rPr>
        <w:t>Խնդրո առարկա</w:t>
      </w:r>
      <w:r w:rsidR="00B75084" w:rsidRPr="00EF7399">
        <w:rPr>
          <w:rFonts w:ascii="Times New Roman" w:hAnsi="Times New Roman" w:cs="Times New Roman"/>
          <w:lang w:val="af-ZA"/>
        </w:rPr>
        <w:t xml:space="preserve"> </w:t>
      </w:r>
      <w:r w:rsidR="00C41182" w:rsidRPr="00EF7399">
        <w:rPr>
          <w:rFonts w:ascii="Times New Roman" w:hAnsi="Times New Roman" w:cs="Times New Roman"/>
          <w:lang w:val="af-ZA"/>
        </w:rPr>
        <w:t xml:space="preserve">միջոցը պետք է </w:t>
      </w:r>
      <w:r w:rsidR="00963C90" w:rsidRPr="00EF7399">
        <w:rPr>
          <w:rFonts w:ascii="Times New Roman" w:hAnsi="Times New Roman" w:cs="Times New Roman"/>
          <w:lang w:val="af-ZA"/>
        </w:rPr>
        <w:t>համապատասխանի «</w:t>
      </w:r>
      <w:r w:rsidR="00900FAE" w:rsidRPr="00EF7399">
        <w:rPr>
          <w:rFonts w:ascii="Times New Roman" w:hAnsi="Times New Roman" w:cs="Times New Roman"/>
          <w:lang w:val="af-ZA"/>
        </w:rPr>
        <w:t>ծայրահեղ</w:t>
      </w:r>
      <w:r w:rsidR="00963C90" w:rsidRPr="00EF7399">
        <w:rPr>
          <w:rFonts w:ascii="Times New Roman" w:hAnsi="Times New Roman" w:cs="Times New Roman"/>
          <w:lang w:val="af-ZA"/>
        </w:rPr>
        <w:t xml:space="preserve"> սոցիալական </w:t>
      </w:r>
      <w:r w:rsidR="00475C3E" w:rsidRPr="00EF7399">
        <w:rPr>
          <w:rFonts w:ascii="Times New Roman" w:hAnsi="Times New Roman" w:cs="Times New Roman"/>
          <w:lang w:val="af-ZA"/>
        </w:rPr>
        <w:t>անհրաժեշտությանը</w:t>
      </w:r>
      <w:r w:rsidR="00963C90" w:rsidRPr="00EF7399">
        <w:rPr>
          <w:rFonts w:ascii="Times New Roman" w:hAnsi="Times New Roman" w:cs="Times New Roman"/>
          <w:lang w:val="af-ZA"/>
        </w:rPr>
        <w:t>» և համաչափ լինի «</w:t>
      </w:r>
      <w:r w:rsidR="00900FAE" w:rsidRPr="00EF7399">
        <w:rPr>
          <w:rFonts w:ascii="Times New Roman" w:hAnsi="Times New Roman" w:cs="Times New Roman"/>
          <w:lang w:val="af-ZA"/>
        </w:rPr>
        <w:t>իրավաչափ</w:t>
      </w:r>
      <w:r w:rsidR="00963C90" w:rsidRPr="00EF7399">
        <w:rPr>
          <w:rFonts w:ascii="Times New Roman" w:hAnsi="Times New Roman" w:cs="Times New Roman"/>
          <w:lang w:val="af-ZA"/>
        </w:rPr>
        <w:t xml:space="preserve"> նպատակին», իսկ այն հիմնավորող պատճառները, որոնք ներկայացնում են ազգային իշխանությունները</w:t>
      </w:r>
      <w:r w:rsidR="00900FAE" w:rsidRPr="00EF7399">
        <w:rPr>
          <w:rFonts w:ascii="Times New Roman" w:hAnsi="Times New Roman" w:cs="Times New Roman"/>
          <w:lang w:val="af-ZA"/>
        </w:rPr>
        <w:t>,</w:t>
      </w:r>
      <w:r w:rsidR="00963C90" w:rsidRPr="00EF7399">
        <w:rPr>
          <w:rFonts w:ascii="Times New Roman" w:hAnsi="Times New Roman" w:cs="Times New Roman"/>
          <w:lang w:val="af-ZA"/>
        </w:rPr>
        <w:t xml:space="preserve"> պետք է լինեն «վերաբերելի և բավարար»: </w:t>
      </w:r>
      <w:r w:rsidR="00475C3E" w:rsidRPr="00EF7399">
        <w:rPr>
          <w:rFonts w:ascii="Times New Roman" w:hAnsi="Times New Roman" w:cs="Times New Roman"/>
          <w:lang w:val="af-ZA"/>
        </w:rPr>
        <w:t>Ազգային իշխանությունները պետք է կիրառեն չափանիշներ, որոնք համապատասխանում են 11-րդ հոդվածում ամրագրված սկզբունքներին և, ավելին, իրենց որոշումներում հիմնվեն վերաբերելի փաստերի ընդունելի գնահատման վրա: Համաչափության սկզբունքը պահանջում է հավասարակշ</w:t>
      </w:r>
      <w:r w:rsidR="00315177" w:rsidRPr="00EF7399">
        <w:rPr>
          <w:rFonts w:ascii="Times New Roman" w:hAnsi="Times New Roman" w:cs="Times New Roman"/>
          <w:lang w:val="af-ZA"/>
        </w:rPr>
        <w:t>ռությ</w:t>
      </w:r>
      <w:r w:rsidR="003432B8" w:rsidRPr="00EF7399">
        <w:rPr>
          <w:rFonts w:ascii="Times New Roman" w:hAnsi="Times New Roman" w:cs="Times New Roman"/>
          <w:lang w:val="hy-AM"/>
        </w:rPr>
        <w:t>ա</w:t>
      </w:r>
      <w:r w:rsidR="00315177" w:rsidRPr="00EF7399">
        <w:rPr>
          <w:rFonts w:ascii="Times New Roman" w:hAnsi="Times New Roman" w:cs="Times New Roman"/>
          <w:lang w:val="af-ZA"/>
        </w:rPr>
        <w:t>ն ապահով</w:t>
      </w:r>
      <w:r w:rsidR="003432B8" w:rsidRPr="00EF7399">
        <w:rPr>
          <w:rFonts w:ascii="Times New Roman" w:hAnsi="Times New Roman" w:cs="Times New Roman"/>
          <w:lang w:val="hy-AM"/>
        </w:rPr>
        <w:t>ում</w:t>
      </w:r>
      <w:r w:rsidR="00315177" w:rsidRPr="00EF7399">
        <w:rPr>
          <w:rFonts w:ascii="Times New Roman" w:hAnsi="Times New Roman" w:cs="Times New Roman"/>
          <w:lang w:val="af-ZA"/>
        </w:rPr>
        <w:t>,</w:t>
      </w:r>
      <w:r w:rsidR="00475C3E" w:rsidRPr="00EF7399">
        <w:rPr>
          <w:rFonts w:ascii="Times New Roman" w:hAnsi="Times New Roman" w:cs="Times New Roman"/>
          <w:lang w:val="af-ZA"/>
        </w:rPr>
        <w:t xml:space="preserve"> </w:t>
      </w:r>
      <w:r w:rsidR="00315177" w:rsidRPr="00EF7399">
        <w:rPr>
          <w:rFonts w:ascii="Times New Roman" w:hAnsi="Times New Roman" w:cs="Times New Roman"/>
          <w:lang w:val="af-ZA"/>
        </w:rPr>
        <w:t>մի կողմից, 2-րդ մասում թվարկ</w:t>
      </w:r>
      <w:r w:rsidR="003432B8" w:rsidRPr="00EF7399">
        <w:rPr>
          <w:rFonts w:ascii="Times New Roman" w:hAnsi="Times New Roman" w:cs="Times New Roman"/>
          <w:lang w:val="hy-AM"/>
        </w:rPr>
        <w:t>վ</w:t>
      </w:r>
      <w:r w:rsidR="00315177" w:rsidRPr="00EF7399">
        <w:rPr>
          <w:rFonts w:ascii="Times New Roman" w:hAnsi="Times New Roman" w:cs="Times New Roman"/>
          <w:lang w:val="af-ZA"/>
        </w:rPr>
        <w:t>ած նպատակների, իսկ մյուս կողմից</w:t>
      </w:r>
      <w:r w:rsidR="005A3ACE" w:rsidRPr="00EF7399">
        <w:rPr>
          <w:rFonts w:ascii="Times New Roman" w:hAnsi="Times New Roman" w:cs="Times New Roman"/>
          <w:lang w:val="hy-AM"/>
        </w:rPr>
        <w:t>,</w:t>
      </w:r>
      <w:r w:rsidR="00315177" w:rsidRPr="00EF7399">
        <w:rPr>
          <w:rFonts w:ascii="Times New Roman" w:hAnsi="Times New Roman" w:cs="Times New Roman"/>
          <w:lang w:val="af-ZA"/>
        </w:rPr>
        <w:t xml:space="preserve"> փողոցներում կամ հանրային այլ վայրերում հավաքված անձանց կողմից խոսքով, շարժումով կամ</w:t>
      </w:r>
      <w:r w:rsidR="00CE10AC" w:rsidRPr="00EF7399">
        <w:rPr>
          <w:rFonts w:ascii="Times New Roman" w:hAnsi="Times New Roman" w:cs="Times New Roman"/>
          <w:lang w:val="af-ZA"/>
        </w:rPr>
        <w:t xml:space="preserve"> նույնիսկ </w:t>
      </w:r>
      <w:r w:rsidR="00315177" w:rsidRPr="00EF7399">
        <w:rPr>
          <w:rFonts w:ascii="Times New Roman" w:hAnsi="Times New Roman" w:cs="Times New Roman"/>
          <w:lang w:val="af-ZA"/>
        </w:rPr>
        <w:t xml:space="preserve">լռությամբ կարծիքների ազատ արտահայտման պահանջների միջև </w:t>
      </w:r>
      <w:r w:rsidR="0081194B" w:rsidRPr="00EF7399">
        <w:rPr>
          <w:rFonts w:ascii="Times New Roman" w:hAnsi="Times New Roman" w:cs="Times New Roman"/>
          <w:lang w:val="af-ZA"/>
        </w:rPr>
        <w:t>(</w:t>
      </w:r>
      <w:hyperlink r:id="rId185" w:history="1">
        <w:r w:rsidR="0081194B" w:rsidRPr="00EF7399">
          <w:rPr>
            <w:rStyle w:val="Hyperlink"/>
            <w:rFonts w:ascii="Times New Roman" w:hAnsi="Times New Roman" w:cs="Times New Roman"/>
            <w:lang w:val="af-ZA"/>
          </w:rPr>
          <w:t>Kudrevičius and Others</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Lithuania</w:t>
        </w:r>
      </w:hyperlink>
      <w:r w:rsidR="0081194B" w:rsidRPr="00EF7399">
        <w:rPr>
          <w:rFonts w:ascii="Times New Roman" w:hAnsi="Times New Roman" w:cs="Times New Roman"/>
          <w:i/>
          <w:lang w:val="af-ZA"/>
        </w:rPr>
        <w:t xml:space="preserve"> </w:t>
      </w:r>
      <w:r w:rsidR="0081194B" w:rsidRPr="00EF7399">
        <w:rPr>
          <w:rFonts w:ascii="Times New Roman" w:hAnsi="Times New Roman" w:cs="Times New Roman"/>
          <w:lang w:val="af-ZA"/>
        </w:rPr>
        <w:t xml:space="preserve">[GC], </w:t>
      </w:r>
      <w:r w:rsidR="001E21F4"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142-144)</w:t>
      </w:r>
      <w:r w:rsidR="00CE10AC" w:rsidRPr="00EF7399">
        <w:rPr>
          <w:rFonts w:ascii="Times New Roman" w:hAnsi="Times New Roman" w:cs="Times New Roman"/>
          <w:lang w:val="af-ZA"/>
        </w:rPr>
        <w:t>:</w:t>
      </w:r>
    </w:p>
    <w:p w14:paraId="6E5CC163" w14:textId="05536604" w:rsidR="00B40BA9" w:rsidRPr="001B2612" w:rsidRDefault="00A02867" w:rsidP="00034A8D">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68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CE10AC" w:rsidRPr="00EF7399">
        <w:rPr>
          <w:rFonts w:ascii="Times New Roman" w:hAnsi="Times New Roman" w:cs="Times New Roman"/>
          <w:lang w:val="af-ZA"/>
        </w:rPr>
        <w:t xml:space="preserve">Կոնվենցիայի այլ </w:t>
      </w:r>
      <w:r w:rsidR="005A3ACE" w:rsidRPr="00EF7399">
        <w:rPr>
          <w:rFonts w:ascii="Times New Roman" w:hAnsi="Times New Roman" w:cs="Times New Roman"/>
          <w:lang w:val="hy-AM"/>
        </w:rPr>
        <w:t>դրույթների</w:t>
      </w:r>
      <w:r w:rsidR="00CE10AC" w:rsidRPr="00EF7399">
        <w:rPr>
          <w:rFonts w:ascii="Times New Roman" w:hAnsi="Times New Roman" w:cs="Times New Roman"/>
          <w:lang w:val="af-ZA"/>
        </w:rPr>
        <w:t xml:space="preserve">, </w:t>
      </w:r>
      <w:r w:rsidR="00E448B8" w:rsidRPr="00EF7399">
        <w:rPr>
          <w:rFonts w:ascii="Times New Roman" w:hAnsi="Times New Roman" w:cs="Times New Roman"/>
          <w:lang w:val="hy-AM"/>
        </w:rPr>
        <w:t>ինչպիսիք են՝</w:t>
      </w:r>
      <w:r w:rsidR="00CE10AC" w:rsidRPr="00EF7399">
        <w:rPr>
          <w:rFonts w:ascii="Times New Roman" w:hAnsi="Times New Roman" w:cs="Times New Roman"/>
          <w:lang w:val="af-ZA"/>
        </w:rPr>
        <w:t xml:space="preserve"> 3-րդ, 5-րդ և 6-րդ հոդվածների խախտումները, որոնք առնչվում են խա</w:t>
      </w:r>
      <w:r w:rsidR="00E448B8" w:rsidRPr="00EF7399">
        <w:rPr>
          <w:rFonts w:ascii="Times New Roman" w:hAnsi="Times New Roman" w:cs="Times New Roman"/>
          <w:lang w:val="hy-AM"/>
        </w:rPr>
        <w:t>ղ</w:t>
      </w:r>
      <w:r w:rsidR="00CE10AC" w:rsidRPr="00EF7399">
        <w:rPr>
          <w:rFonts w:ascii="Times New Roman" w:hAnsi="Times New Roman" w:cs="Times New Roman"/>
          <w:lang w:val="af-ZA"/>
        </w:rPr>
        <w:t xml:space="preserve">աղ հավաքին գանգատաբերի մասնակցությանը, որոշիչ </w:t>
      </w:r>
      <w:r w:rsidR="00A81101" w:rsidRPr="00EF7399">
        <w:rPr>
          <w:rFonts w:ascii="Times New Roman" w:hAnsi="Times New Roman" w:cs="Times New Roman"/>
          <w:lang w:val="af-ZA"/>
        </w:rPr>
        <w:t>դեր են ունեցել</w:t>
      </w:r>
      <w:r w:rsidR="00CE10AC" w:rsidRPr="00EF7399">
        <w:rPr>
          <w:rFonts w:ascii="Times New Roman" w:hAnsi="Times New Roman" w:cs="Times New Roman"/>
          <w:lang w:val="af-ZA"/>
        </w:rPr>
        <w:t xml:space="preserve"> </w:t>
      </w:r>
      <w:r w:rsidR="00A81101" w:rsidRPr="00EF7399">
        <w:rPr>
          <w:rFonts w:ascii="Times New Roman" w:hAnsi="Times New Roman" w:cs="Times New Roman"/>
          <w:lang w:val="af-ZA"/>
        </w:rPr>
        <w:t xml:space="preserve">11-րդ հոդվածով սահմանված իրավունքներին </w:t>
      </w:r>
      <w:r w:rsidR="00E448B8" w:rsidRPr="00EF7399">
        <w:rPr>
          <w:rFonts w:ascii="Times New Roman" w:hAnsi="Times New Roman" w:cs="Times New Roman"/>
          <w:lang w:val="hy-AM"/>
        </w:rPr>
        <w:t>վերաբերելի</w:t>
      </w:r>
      <w:r w:rsidR="00E448B8" w:rsidRPr="00EF7399">
        <w:rPr>
          <w:rFonts w:ascii="Times New Roman" w:hAnsi="Times New Roman" w:cs="Times New Roman"/>
          <w:lang w:val="af-ZA"/>
        </w:rPr>
        <w:t xml:space="preserve"> </w:t>
      </w:r>
      <w:r w:rsidR="00A81101" w:rsidRPr="00EF7399">
        <w:rPr>
          <w:rFonts w:ascii="Times New Roman" w:hAnsi="Times New Roman" w:cs="Times New Roman"/>
          <w:lang w:val="af-ZA"/>
        </w:rPr>
        <w:t>միջամտության</w:t>
      </w:r>
      <w:r w:rsidR="00E448B8" w:rsidRPr="00EF7399">
        <w:rPr>
          <w:rFonts w:ascii="Times New Roman" w:hAnsi="Times New Roman" w:cs="Times New Roman"/>
          <w:lang w:val="hy-AM"/>
        </w:rPr>
        <w:t>՝</w:t>
      </w:r>
      <w:r w:rsidR="00A81101" w:rsidRPr="00EF7399">
        <w:rPr>
          <w:rFonts w:ascii="Times New Roman" w:hAnsi="Times New Roman" w:cs="Times New Roman"/>
          <w:lang w:val="af-ZA"/>
        </w:rPr>
        <w:t xml:space="preserve"> «ժողովրդավարական հասարակությունում անհրաժեշտ» լինելու վերաբերյալ </w:t>
      </w:r>
      <w:r w:rsidR="00CE10AC" w:rsidRPr="00EF7399">
        <w:rPr>
          <w:rFonts w:ascii="Times New Roman" w:hAnsi="Times New Roman" w:cs="Times New Roman"/>
          <w:lang w:val="af-ZA"/>
        </w:rPr>
        <w:t>Դատարան</w:t>
      </w:r>
      <w:r w:rsidR="00A81101" w:rsidRPr="00EF7399">
        <w:rPr>
          <w:rFonts w:ascii="Times New Roman" w:hAnsi="Times New Roman" w:cs="Times New Roman"/>
          <w:lang w:val="af-ZA"/>
        </w:rPr>
        <w:t xml:space="preserve">ի </w:t>
      </w:r>
      <w:r w:rsidR="00E448B8" w:rsidRPr="00EF7399">
        <w:rPr>
          <w:rFonts w:ascii="Times New Roman" w:hAnsi="Times New Roman" w:cs="Times New Roman"/>
          <w:lang w:val="hy-AM"/>
        </w:rPr>
        <w:t>եզրահանգման</w:t>
      </w:r>
      <w:r w:rsidR="00E448B8" w:rsidRPr="00EF7399">
        <w:rPr>
          <w:rFonts w:ascii="Times New Roman" w:hAnsi="Times New Roman" w:cs="Times New Roman"/>
          <w:lang w:val="af-ZA"/>
        </w:rPr>
        <w:t xml:space="preserve"> </w:t>
      </w:r>
      <w:r w:rsidR="00A81101" w:rsidRPr="00EF7399">
        <w:rPr>
          <w:rFonts w:ascii="Times New Roman" w:hAnsi="Times New Roman" w:cs="Times New Roman"/>
          <w:lang w:val="af-ZA"/>
        </w:rPr>
        <w:t xml:space="preserve">համար </w:t>
      </w:r>
      <w:r w:rsidR="00E51D7B" w:rsidRPr="00EF7399">
        <w:rPr>
          <w:rFonts w:ascii="Times New Roman" w:hAnsi="Times New Roman" w:cs="Times New Roman"/>
          <w:lang w:val="af-ZA"/>
        </w:rPr>
        <w:t>(</w:t>
      </w:r>
      <w:hyperlink r:id="rId186" w:history="1">
        <w:r w:rsidR="00E51D7B" w:rsidRPr="00EF7399">
          <w:rPr>
            <w:rStyle w:val="Hyperlink"/>
            <w:rFonts w:ascii="Times New Roman" w:hAnsi="Times New Roman" w:cs="Times New Roman"/>
            <w:iCs/>
            <w:lang w:val="af-ZA"/>
          </w:rPr>
          <w:t>Navalnyy and Gunko</w:t>
        </w:r>
        <w:r w:rsidR="00873234" w:rsidRPr="00EF7399">
          <w:rPr>
            <w:rStyle w:val="Hyperlink"/>
            <w:rFonts w:ascii="Times New Roman" w:hAnsi="Times New Roman" w:cs="Times New Roman"/>
            <w:iCs/>
            <w:lang w:val="af-ZA"/>
          </w:rPr>
          <w:t xml:space="preserve"> v. </w:t>
        </w:r>
        <w:r w:rsidR="00E51D7B" w:rsidRPr="00EF7399">
          <w:rPr>
            <w:rStyle w:val="Hyperlink"/>
            <w:rFonts w:ascii="Times New Roman" w:hAnsi="Times New Roman" w:cs="Times New Roman"/>
            <w:iCs/>
            <w:lang w:val="af-ZA"/>
          </w:rPr>
          <w:t>Russia</w:t>
        </w:r>
      </w:hyperlink>
      <w:r w:rsidR="00E51D7B" w:rsidRPr="00EF7399">
        <w:rPr>
          <w:rFonts w:ascii="Times New Roman" w:hAnsi="Times New Roman" w:cs="Times New Roman"/>
          <w:lang w:val="af-ZA"/>
        </w:rPr>
        <w:t>,</w:t>
      </w:r>
      <w:r w:rsidR="003F1F1D" w:rsidRPr="00EF7399">
        <w:rPr>
          <w:rFonts w:ascii="Times New Roman" w:hAnsi="Times New Roman" w:cs="Times New Roman"/>
          <w:lang w:val="af-ZA"/>
        </w:rPr>
        <w:t xml:space="preserve"> </w:t>
      </w:r>
      <w:r w:rsidR="001E21F4" w:rsidRPr="00EF7399">
        <w:rPr>
          <w:rFonts w:ascii="Times New Roman" w:hAnsi="Times New Roman" w:cs="Times New Roman"/>
          <w:lang w:val="af-ZA"/>
        </w:rPr>
        <w:t xml:space="preserve">2020, </w:t>
      </w:r>
      <w:r w:rsidR="00E51D7B" w:rsidRPr="00EF7399">
        <w:rPr>
          <w:rFonts w:ascii="Times New Roman" w:hAnsi="Times New Roman" w:cs="Times New Roman"/>
          <w:lang w:val="af-ZA"/>
        </w:rPr>
        <w:t>§</w:t>
      </w:r>
      <w:r w:rsidR="00873234" w:rsidRPr="00EF7399">
        <w:rPr>
          <w:rFonts w:ascii="Times New Roman" w:hAnsi="Times New Roman" w:cs="Times New Roman"/>
          <w:lang w:val="af-ZA"/>
        </w:rPr>
        <w:t>§ </w:t>
      </w:r>
      <w:r w:rsidR="00E51D7B" w:rsidRPr="00EF7399">
        <w:rPr>
          <w:rFonts w:ascii="Times New Roman" w:hAnsi="Times New Roman" w:cs="Times New Roman"/>
          <w:lang w:val="af-ZA"/>
        </w:rPr>
        <w:t xml:space="preserve">84-93; </w:t>
      </w:r>
      <w:hyperlink r:id="rId187" w:history="1">
        <w:r w:rsidR="00E51D7B" w:rsidRPr="00EF7399">
          <w:rPr>
            <w:rStyle w:val="Hyperlink"/>
            <w:rFonts w:ascii="Times New Roman" w:hAnsi="Times New Roman" w:cs="Times New Roman"/>
            <w:iCs/>
            <w:lang w:val="af-ZA"/>
          </w:rPr>
          <w:t>Zakharov and Varzhabetyan</w:t>
        </w:r>
        <w:r w:rsidR="00873234" w:rsidRPr="00EF7399">
          <w:rPr>
            <w:rStyle w:val="Hyperlink"/>
            <w:rFonts w:ascii="Times New Roman" w:hAnsi="Times New Roman" w:cs="Times New Roman"/>
            <w:iCs/>
            <w:lang w:val="af-ZA"/>
          </w:rPr>
          <w:t xml:space="preserve"> v. </w:t>
        </w:r>
        <w:r w:rsidR="00E51D7B" w:rsidRPr="00EF7399">
          <w:rPr>
            <w:rStyle w:val="Hyperlink"/>
            <w:rFonts w:ascii="Times New Roman" w:hAnsi="Times New Roman" w:cs="Times New Roman"/>
            <w:iCs/>
            <w:lang w:val="af-ZA"/>
          </w:rPr>
          <w:t>Russia</w:t>
        </w:r>
      </w:hyperlink>
      <w:r w:rsidR="00E51D7B" w:rsidRPr="00EF7399">
        <w:rPr>
          <w:rFonts w:ascii="Times New Roman" w:hAnsi="Times New Roman" w:cs="Times New Roman"/>
          <w:lang w:val="af-ZA"/>
        </w:rPr>
        <w:t xml:space="preserve">, </w:t>
      </w:r>
      <w:r w:rsidR="001E21F4" w:rsidRPr="00EF7399">
        <w:rPr>
          <w:rFonts w:ascii="Times New Roman" w:hAnsi="Times New Roman" w:cs="Times New Roman"/>
          <w:lang w:val="af-ZA"/>
        </w:rPr>
        <w:t xml:space="preserve">2020, </w:t>
      </w:r>
      <w:r w:rsidR="00E51D7B" w:rsidRPr="00EF7399">
        <w:rPr>
          <w:rFonts w:ascii="Times New Roman" w:hAnsi="Times New Roman" w:cs="Times New Roman"/>
          <w:lang w:val="af-ZA"/>
        </w:rPr>
        <w:t>§</w:t>
      </w:r>
      <w:r w:rsidR="00873234" w:rsidRPr="00EF7399">
        <w:rPr>
          <w:rFonts w:ascii="Times New Roman" w:hAnsi="Times New Roman" w:cs="Times New Roman"/>
          <w:lang w:val="af-ZA"/>
        </w:rPr>
        <w:t>§ </w:t>
      </w:r>
      <w:r w:rsidR="00E51D7B" w:rsidRPr="00EF7399">
        <w:rPr>
          <w:rFonts w:ascii="Times New Roman" w:hAnsi="Times New Roman" w:cs="Times New Roman"/>
          <w:lang w:val="af-ZA"/>
        </w:rPr>
        <w:t>87-91)</w:t>
      </w:r>
      <w:r w:rsidR="00A81101" w:rsidRPr="00EF7399">
        <w:rPr>
          <w:rFonts w:ascii="Times New Roman" w:hAnsi="Times New Roman" w:cs="Times New Roman"/>
          <w:lang w:val="af-ZA"/>
        </w:rPr>
        <w:t>:</w:t>
      </w:r>
    </w:p>
    <w:p w14:paraId="7773E587" w14:textId="2CFB9D75" w:rsidR="00034A8D" w:rsidRPr="00EF7399" w:rsidRDefault="00A81101" w:rsidP="00034A8D">
      <w:pPr>
        <w:pStyle w:val="ECHRHeading5"/>
        <w:rPr>
          <w:rFonts w:ascii="Times New Roman" w:hAnsi="Times New Roman" w:cs="Times New Roman"/>
          <w:lang w:val="af-ZA"/>
        </w:rPr>
      </w:pPr>
      <w:bookmarkStart w:id="50" w:name="_Toc159945220"/>
      <w:r w:rsidRPr="00EF7399">
        <w:rPr>
          <w:rFonts w:ascii="Times New Roman" w:hAnsi="Times New Roman" w:cs="Times New Roman"/>
          <w:lang w:val="af-ZA"/>
        </w:rPr>
        <w:t>Հավաքի ընթացքում արտահայտված կարծիքների բովանդակության հիման վրա միջամտ</w:t>
      </w:r>
      <w:r w:rsidR="00E448B8" w:rsidRPr="00EF7399">
        <w:rPr>
          <w:rFonts w:ascii="Times New Roman" w:hAnsi="Times New Roman" w:cs="Times New Roman"/>
          <w:lang w:val="hy-AM"/>
        </w:rPr>
        <w:t>ության հարցում</w:t>
      </w:r>
      <w:r w:rsidRPr="00EF7399">
        <w:rPr>
          <w:rFonts w:ascii="Times New Roman" w:hAnsi="Times New Roman" w:cs="Times New Roman"/>
          <w:lang w:val="af-ZA"/>
        </w:rPr>
        <w:t xml:space="preserve"> </w:t>
      </w:r>
      <w:r w:rsidR="00EF2E08" w:rsidRPr="00EF7399">
        <w:rPr>
          <w:rFonts w:ascii="Times New Roman" w:hAnsi="Times New Roman" w:cs="Times New Roman"/>
          <w:lang w:val="af-ZA"/>
        </w:rPr>
        <w:t>հայեցողությ</w:t>
      </w:r>
      <w:r w:rsidR="00E448B8" w:rsidRPr="00EF7399">
        <w:rPr>
          <w:rFonts w:ascii="Times New Roman" w:hAnsi="Times New Roman" w:cs="Times New Roman"/>
          <w:lang w:val="hy-AM"/>
        </w:rPr>
        <w:t>ա</w:t>
      </w:r>
      <w:r w:rsidR="00EF2E08" w:rsidRPr="00EF7399">
        <w:rPr>
          <w:rFonts w:ascii="Times New Roman" w:hAnsi="Times New Roman" w:cs="Times New Roman"/>
          <w:lang w:val="af-ZA"/>
        </w:rPr>
        <w:t>ն</w:t>
      </w:r>
      <w:r w:rsidR="00E448B8" w:rsidRPr="00EF7399">
        <w:rPr>
          <w:rFonts w:ascii="Times New Roman" w:hAnsi="Times New Roman" w:cs="Times New Roman"/>
          <w:lang w:val="hy-AM"/>
        </w:rPr>
        <w:t xml:space="preserve"> նեղ շրջանակ</w:t>
      </w:r>
      <w:bookmarkEnd w:id="50"/>
    </w:p>
    <w:p w14:paraId="343961E8" w14:textId="3C6BC210" w:rsidR="00034A8D" w:rsidRPr="00EF7399" w:rsidRDefault="00034A8D" w:rsidP="00034A8D">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69</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B25FCB" w:rsidRPr="00EF7399">
        <w:rPr>
          <w:rFonts w:ascii="Times New Roman" w:hAnsi="Times New Roman" w:cs="Times New Roman"/>
          <w:lang w:val="af-ZA"/>
        </w:rPr>
        <w:t>Հավաքների ազատությունը, որն ամրագրված է Կոնվենցիայի 11-րդ հոդվածում, պաշտպանում է այն ցույցերը, որոնք կարող են վրդովվեցնել կամ վիրավորել այն անձանց, ովքեր հակադրվում են դրա առաջ քաշած գաղափարներին կամ պնդումներին: Որքան էլ ցնցող և անընդունելի լինեն իշխանությունների համար արտահայտված որոշ տեսակետ</w:t>
      </w:r>
      <w:r w:rsidR="00CC40FA" w:rsidRPr="00EF7399">
        <w:rPr>
          <w:rFonts w:ascii="Times New Roman" w:hAnsi="Times New Roman" w:cs="Times New Roman"/>
          <w:lang w:val="hy-AM"/>
        </w:rPr>
        <w:t>ն</w:t>
      </w:r>
      <w:r w:rsidR="00B25FCB" w:rsidRPr="00EF7399">
        <w:rPr>
          <w:rFonts w:ascii="Times New Roman" w:hAnsi="Times New Roman" w:cs="Times New Roman"/>
          <w:lang w:val="af-ZA"/>
        </w:rPr>
        <w:t>եր</w:t>
      </w:r>
      <w:r w:rsidR="00442811" w:rsidRPr="00EF7399">
        <w:rPr>
          <w:rFonts w:ascii="Times New Roman" w:hAnsi="Times New Roman" w:cs="Times New Roman"/>
          <w:lang w:val="af-ZA"/>
        </w:rPr>
        <w:t xml:space="preserve"> </w:t>
      </w:r>
      <w:r w:rsidR="00B25FCB" w:rsidRPr="00EF7399">
        <w:rPr>
          <w:rFonts w:ascii="Times New Roman" w:hAnsi="Times New Roman" w:cs="Times New Roman"/>
          <w:lang w:val="af-ZA"/>
        </w:rPr>
        <w:t xml:space="preserve"> կամ օգտագործված բառեր</w:t>
      </w:r>
      <w:r w:rsidR="001D7A69" w:rsidRPr="00EF7399">
        <w:rPr>
          <w:rFonts w:ascii="Times New Roman" w:hAnsi="Times New Roman" w:cs="Times New Roman"/>
          <w:lang w:val="hy-AM"/>
        </w:rPr>
        <w:t>,</w:t>
      </w:r>
      <w:r w:rsidR="00B25FCB" w:rsidRPr="00EF7399">
        <w:rPr>
          <w:rFonts w:ascii="Times New Roman" w:hAnsi="Times New Roman" w:cs="Times New Roman"/>
          <w:lang w:val="af-ZA"/>
        </w:rPr>
        <w:t xml:space="preserve"> հավաքների և արտահայտման ազատությանը միջամտող բոլոր միջոցները, բացառությամբ այն դեպքերի, երբ արվում են բռնության կոչեր կամ մերժվում են </w:t>
      </w:r>
      <w:r w:rsidR="00B25FCB" w:rsidRPr="00EF7399">
        <w:rPr>
          <w:rFonts w:ascii="Times New Roman" w:hAnsi="Times New Roman" w:cs="Times New Roman"/>
          <w:lang w:val="af-ZA"/>
        </w:rPr>
        <w:lastRenderedPageBreak/>
        <w:t xml:space="preserve">ժողովրդավարական սկզբունքները, վնաս են հասցնում ժողովրդավարությանը և հաճախ նույնիսկ վտանգում այն </w:t>
      </w:r>
      <w:r w:rsidR="0081194B" w:rsidRPr="00EF7399">
        <w:rPr>
          <w:rFonts w:ascii="Times New Roman" w:hAnsi="Times New Roman" w:cs="Times New Roman"/>
          <w:lang w:val="af-ZA"/>
        </w:rPr>
        <w:t>(</w:t>
      </w:r>
      <w:hyperlink r:id="rId188" w:history="1">
        <w:r w:rsidR="001527B4" w:rsidRPr="00EF7399">
          <w:rPr>
            <w:rStyle w:val="Hyperlink"/>
            <w:rFonts w:ascii="Times New Roman" w:hAnsi="Times New Roman" w:cs="Times New Roman"/>
            <w:lang w:val="af-ZA"/>
          </w:rPr>
          <w:t>Kudrevičius and Others</w:t>
        </w:r>
        <w:r w:rsidR="00873234" w:rsidRPr="00EF7399">
          <w:rPr>
            <w:rStyle w:val="Hyperlink"/>
            <w:rFonts w:ascii="Times New Roman" w:hAnsi="Times New Roman" w:cs="Times New Roman"/>
            <w:lang w:val="af-ZA"/>
          </w:rPr>
          <w:t xml:space="preserve"> v. </w:t>
        </w:r>
        <w:r w:rsidR="001527B4" w:rsidRPr="00EF7399">
          <w:rPr>
            <w:rStyle w:val="Hyperlink"/>
            <w:rFonts w:ascii="Times New Roman" w:hAnsi="Times New Roman" w:cs="Times New Roman"/>
            <w:lang w:val="af-ZA"/>
          </w:rPr>
          <w:t>Lithuania</w:t>
        </w:r>
      </w:hyperlink>
      <w:r w:rsidR="001527B4" w:rsidRPr="00EF7399">
        <w:rPr>
          <w:rFonts w:ascii="Times New Roman" w:hAnsi="Times New Roman" w:cs="Times New Roman"/>
          <w:i/>
          <w:lang w:val="af-ZA"/>
        </w:rPr>
        <w:t xml:space="preserve"> </w:t>
      </w:r>
      <w:r w:rsidR="001527B4" w:rsidRPr="00EF7399">
        <w:rPr>
          <w:rFonts w:ascii="Times New Roman" w:hAnsi="Times New Roman" w:cs="Times New Roman"/>
          <w:lang w:val="af-ZA"/>
        </w:rPr>
        <w:t xml:space="preserve">[GC], </w:t>
      </w:r>
      <w:r w:rsidR="001E21F4"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001527B4" w:rsidRPr="00EF7399">
        <w:rPr>
          <w:rFonts w:ascii="Times New Roman" w:hAnsi="Times New Roman" w:cs="Times New Roman"/>
          <w:lang w:val="af-ZA"/>
        </w:rPr>
        <w:t xml:space="preserve">145; </w:t>
      </w:r>
      <w:hyperlink r:id="rId189" w:history="1">
        <w:r w:rsidR="0081194B" w:rsidRPr="00EF7399">
          <w:rPr>
            <w:rStyle w:val="Hyperlink"/>
            <w:rFonts w:ascii="Times New Roman" w:hAnsi="Times New Roman" w:cs="Times New Roman"/>
            <w:lang w:val="af-ZA"/>
          </w:rPr>
          <w:t>Stankov and the United Macedonian Organisation Ilinden</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Bulgaria</w:t>
        </w:r>
      </w:hyperlink>
      <w:r w:rsidR="0081194B" w:rsidRPr="00EF7399">
        <w:rPr>
          <w:rFonts w:ascii="Times New Roman" w:hAnsi="Times New Roman" w:cs="Times New Roman"/>
          <w:lang w:val="af-ZA"/>
        </w:rPr>
        <w:t xml:space="preserve">, </w:t>
      </w:r>
      <w:r w:rsidR="00F00CD1" w:rsidRPr="00EF7399">
        <w:rPr>
          <w:rFonts w:ascii="Times New Roman" w:hAnsi="Times New Roman" w:cs="Times New Roman"/>
          <w:lang w:val="af-ZA"/>
        </w:rPr>
        <w:t xml:space="preserve">2001,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97)</w:t>
      </w:r>
      <w:r w:rsidR="00B25FCB" w:rsidRPr="00EF7399">
        <w:rPr>
          <w:rFonts w:ascii="Times New Roman" w:hAnsi="Times New Roman" w:cs="Times New Roman"/>
          <w:lang w:val="af-ZA"/>
        </w:rPr>
        <w:t xml:space="preserve">: </w:t>
      </w:r>
      <w:r w:rsidR="00E3157E" w:rsidRPr="00EF7399">
        <w:rPr>
          <w:rFonts w:ascii="Times New Roman" w:hAnsi="Times New Roman" w:cs="Times New Roman"/>
          <w:lang w:val="af-ZA"/>
        </w:rPr>
        <w:t>Փոքրամասն</w:t>
      </w:r>
      <w:r w:rsidR="001D7A69" w:rsidRPr="00EF7399">
        <w:rPr>
          <w:rFonts w:ascii="Times New Roman" w:hAnsi="Times New Roman" w:cs="Times New Roman"/>
          <w:lang w:val="hy-AM"/>
        </w:rPr>
        <w:t>ական</w:t>
      </w:r>
      <w:r w:rsidR="00E3157E" w:rsidRPr="00EF7399">
        <w:rPr>
          <w:rFonts w:ascii="Times New Roman" w:hAnsi="Times New Roman" w:cs="Times New Roman"/>
          <w:lang w:val="af-ZA"/>
        </w:rPr>
        <w:t xml:space="preserve"> խմբի կողմից Կոնվենցիայ</w:t>
      </w:r>
      <w:r w:rsidR="001D7A69" w:rsidRPr="00EF7399">
        <w:rPr>
          <w:rFonts w:ascii="Times New Roman" w:hAnsi="Times New Roman" w:cs="Times New Roman"/>
          <w:lang w:val="hy-AM"/>
        </w:rPr>
        <w:t>ով երաշխավորված</w:t>
      </w:r>
      <w:r w:rsidR="00E3157E" w:rsidRPr="00EF7399">
        <w:rPr>
          <w:rFonts w:ascii="Times New Roman" w:hAnsi="Times New Roman" w:cs="Times New Roman"/>
          <w:lang w:val="af-ZA"/>
        </w:rPr>
        <w:t xml:space="preserve"> իրավունքների </w:t>
      </w:r>
      <w:r w:rsidR="001D7A69" w:rsidRPr="00EF7399">
        <w:rPr>
          <w:rFonts w:ascii="Times New Roman" w:hAnsi="Times New Roman" w:cs="Times New Roman"/>
          <w:lang w:val="hy-AM"/>
        </w:rPr>
        <w:t>իրացումը</w:t>
      </w:r>
      <w:r w:rsidR="001D7A69" w:rsidRPr="00EF7399">
        <w:rPr>
          <w:rFonts w:ascii="Times New Roman" w:hAnsi="Times New Roman" w:cs="Times New Roman"/>
          <w:lang w:val="af-ZA"/>
        </w:rPr>
        <w:t xml:space="preserve"> </w:t>
      </w:r>
      <w:r w:rsidR="00E3157E" w:rsidRPr="00EF7399">
        <w:rPr>
          <w:rFonts w:ascii="Times New Roman" w:hAnsi="Times New Roman" w:cs="Times New Roman"/>
          <w:lang w:val="af-ZA"/>
        </w:rPr>
        <w:t>մեծամասնության համար դրանց ընդունելի լինելու հանգամանքով</w:t>
      </w:r>
      <w:r w:rsidR="001D7A69" w:rsidRPr="00EF7399">
        <w:rPr>
          <w:rFonts w:ascii="Times New Roman" w:hAnsi="Times New Roman" w:cs="Times New Roman"/>
          <w:lang w:val="hy-AM"/>
        </w:rPr>
        <w:t xml:space="preserve"> </w:t>
      </w:r>
      <w:r w:rsidR="001D7A69" w:rsidRPr="00EF7399">
        <w:rPr>
          <w:rFonts w:ascii="Times New Roman" w:hAnsi="Times New Roman" w:cs="Times New Roman"/>
          <w:lang w:val="af-ZA"/>
        </w:rPr>
        <w:t>պայմանավորելը</w:t>
      </w:r>
      <w:r w:rsidR="00E3157E" w:rsidRPr="00EF7399">
        <w:rPr>
          <w:rFonts w:ascii="Times New Roman" w:hAnsi="Times New Roman" w:cs="Times New Roman"/>
          <w:lang w:val="af-ZA"/>
        </w:rPr>
        <w:t xml:space="preserve"> համադրելի չէ Կոնվենցիայի հիմքում ընկած արժեքների</w:t>
      </w:r>
      <w:r w:rsidR="001D7A69" w:rsidRPr="00EF7399">
        <w:rPr>
          <w:rFonts w:ascii="Times New Roman" w:hAnsi="Times New Roman" w:cs="Times New Roman"/>
          <w:lang w:val="hy-AM"/>
        </w:rPr>
        <w:t>ն</w:t>
      </w:r>
      <w:r w:rsidR="00E3157E" w:rsidRPr="00EF7399">
        <w:rPr>
          <w:rFonts w:ascii="Times New Roman" w:hAnsi="Times New Roman" w:cs="Times New Roman"/>
          <w:lang w:val="af-ZA"/>
        </w:rPr>
        <w:t>: Եթե այդպես լիներ, ապա փոքրամասնական խմբի կրոնի, արտահայտման և հավաքների ազատության իրավունքները կդառնային պարզապես տեսական, քան գործնական և արդյունավետ</w:t>
      </w:r>
      <w:r w:rsidR="001D7A69" w:rsidRPr="00EF7399">
        <w:rPr>
          <w:rFonts w:ascii="Times New Roman" w:hAnsi="Times New Roman" w:cs="Times New Roman"/>
          <w:lang w:val="hy-AM"/>
        </w:rPr>
        <w:t>,</w:t>
      </w:r>
      <w:r w:rsidR="00E3157E" w:rsidRPr="00EF7399">
        <w:rPr>
          <w:rFonts w:ascii="Times New Roman" w:hAnsi="Times New Roman" w:cs="Times New Roman"/>
          <w:lang w:val="af-ZA"/>
        </w:rPr>
        <w:t xml:space="preserve"> ինչպես պահանջում է Կոնվենցիան </w:t>
      </w:r>
      <w:r w:rsidR="0081194B" w:rsidRPr="00EF7399">
        <w:rPr>
          <w:rFonts w:ascii="Times New Roman" w:hAnsi="Times New Roman" w:cs="Times New Roman"/>
          <w:lang w:val="af-ZA"/>
        </w:rPr>
        <w:t>(</w:t>
      </w:r>
      <w:hyperlink r:id="rId190" w:history="1">
        <w:r w:rsidR="0081194B" w:rsidRPr="00EF7399">
          <w:rPr>
            <w:rStyle w:val="Hyperlink"/>
            <w:rFonts w:ascii="Times New Roman" w:hAnsi="Times New Roman" w:cs="Times New Roman"/>
            <w:lang w:val="af-ZA"/>
          </w:rPr>
          <w:t>Alekseyev</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Russia</w:t>
        </w:r>
      </w:hyperlink>
      <w:r w:rsidR="0081194B" w:rsidRPr="00EF7399">
        <w:rPr>
          <w:rFonts w:ascii="Times New Roman" w:hAnsi="Times New Roman" w:cs="Times New Roman"/>
          <w:lang w:val="af-ZA"/>
        </w:rPr>
        <w:t xml:space="preserve">, </w:t>
      </w:r>
      <w:r w:rsidR="001E21F4" w:rsidRPr="00EF7399">
        <w:rPr>
          <w:rFonts w:ascii="Times New Roman" w:hAnsi="Times New Roman" w:cs="Times New Roman"/>
          <w:lang w:val="af-ZA"/>
        </w:rPr>
        <w:t xml:space="preserve">2010,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 xml:space="preserve">81; </w:t>
      </w:r>
      <w:hyperlink r:id="rId191" w:history="1">
        <w:r w:rsidR="0081194B" w:rsidRPr="00EF7399">
          <w:rPr>
            <w:rStyle w:val="Hyperlink"/>
            <w:rFonts w:ascii="Times New Roman" w:hAnsi="Times New Roman" w:cs="Times New Roman"/>
            <w:lang w:val="af-ZA"/>
          </w:rPr>
          <w:t>Barankevich</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Russia</w:t>
        </w:r>
      </w:hyperlink>
      <w:r w:rsidR="0081194B" w:rsidRPr="00EF7399">
        <w:rPr>
          <w:rFonts w:ascii="Times New Roman" w:hAnsi="Times New Roman" w:cs="Times New Roman"/>
          <w:lang w:val="af-ZA"/>
        </w:rPr>
        <w:t xml:space="preserve">, </w:t>
      </w:r>
      <w:r w:rsidR="001E21F4" w:rsidRPr="00EF7399">
        <w:rPr>
          <w:rFonts w:ascii="Times New Roman" w:hAnsi="Times New Roman" w:cs="Times New Roman"/>
          <w:lang w:val="af-ZA"/>
        </w:rPr>
        <w:t xml:space="preserve">2007,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31)</w:t>
      </w:r>
      <w:r w:rsidR="00E3157E" w:rsidRPr="00EF7399">
        <w:rPr>
          <w:rFonts w:ascii="Times New Roman" w:hAnsi="Times New Roman" w:cs="Times New Roman"/>
          <w:lang w:val="af-ZA"/>
        </w:rPr>
        <w:t>:</w:t>
      </w:r>
    </w:p>
    <w:p w14:paraId="186DD07C" w14:textId="4DFEFA08" w:rsidR="00034A8D" w:rsidRPr="001B2612" w:rsidRDefault="00034A8D" w:rsidP="00034A8D">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70</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E3157E" w:rsidRPr="00EF7399">
        <w:rPr>
          <w:rFonts w:ascii="Times New Roman" w:hAnsi="Times New Roman" w:cs="Times New Roman"/>
          <w:lang w:val="af-ZA"/>
        </w:rPr>
        <w:t>Հետևաբար, տարբեր</w:t>
      </w:r>
      <w:r w:rsidR="001D7A69" w:rsidRPr="00EF7399">
        <w:rPr>
          <w:rFonts w:ascii="Times New Roman" w:hAnsi="Times New Roman" w:cs="Times New Roman"/>
          <w:lang w:val="hy-AM"/>
        </w:rPr>
        <w:t>ակում պետք է դրվի</w:t>
      </w:r>
      <w:r w:rsidR="00E3157E" w:rsidRPr="00EF7399">
        <w:rPr>
          <w:rFonts w:ascii="Times New Roman" w:hAnsi="Times New Roman" w:cs="Times New Roman"/>
          <w:lang w:val="af-ZA"/>
        </w:rPr>
        <w:t xml:space="preserve"> հավաքների ազատության</w:t>
      </w:r>
      <w:r w:rsidR="001D7A69" w:rsidRPr="00EF7399">
        <w:rPr>
          <w:rFonts w:ascii="Times New Roman" w:hAnsi="Times New Roman" w:cs="Times New Roman"/>
          <w:lang w:val="hy-AM"/>
        </w:rPr>
        <w:t xml:space="preserve"> </w:t>
      </w:r>
      <w:r w:rsidR="001D7A69" w:rsidRPr="00EF7399">
        <w:rPr>
          <w:rFonts w:ascii="Times New Roman" w:hAnsi="Times New Roman" w:cs="Times New Roman"/>
          <w:lang w:val="af-ZA"/>
        </w:rPr>
        <w:t>բովանդակ</w:t>
      </w:r>
      <w:r w:rsidR="00AA2AAA" w:rsidRPr="00EF7399">
        <w:rPr>
          <w:rFonts w:ascii="Times New Roman" w:hAnsi="Times New Roman" w:cs="Times New Roman"/>
          <w:lang w:val="hy-AM"/>
        </w:rPr>
        <w:t>ության հիմքով</w:t>
      </w:r>
      <w:r w:rsidR="001D7A69" w:rsidRPr="00EF7399">
        <w:rPr>
          <w:rFonts w:ascii="Times New Roman" w:hAnsi="Times New Roman" w:cs="Times New Roman"/>
          <w:lang w:val="af-ZA"/>
        </w:rPr>
        <w:t xml:space="preserve"> </w:t>
      </w:r>
      <w:r w:rsidR="00E3157E" w:rsidRPr="00EF7399">
        <w:rPr>
          <w:rFonts w:ascii="Times New Roman" w:hAnsi="Times New Roman" w:cs="Times New Roman"/>
          <w:lang w:val="af-ZA"/>
        </w:rPr>
        <w:t>սահմանափակումների և տեխնիկական բնույթի սահմանափակումների միջև:</w:t>
      </w:r>
    </w:p>
    <w:p w14:paraId="578726D0" w14:textId="7E442877" w:rsidR="009807DA" w:rsidRPr="00EF7399" w:rsidRDefault="00034A8D" w:rsidP="00034A8D">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71</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5C64C1" w:rsidRPr="00EF7399">
        <w:rPr>
          <w:rFonts w:ascii="Times New Roman" w:hAnsi="Times New Roman" w:cs="Times New Roman"/>
          <w:lang w:val="hy-AM"/>
        </w:rPr>
        <w:t>Երկրում</w:t>
      </w:r>
      <w:r w:rsidR="005C64C1" w:rsidRPr="00EF7399">
        <w:rPr>
          <w:rFonts w:ascii="Times New Roman" w:hAnsi="Times New Roman" w:cs="Times New Roman"/>
          <w:lang w:val="af-ZA"/>
        </w:rPr>
        <w:t xml:space="preserve"> </w:t>
      </w:r>
      <w:r w:rsidR="00E3157E" w:rsidRPr="00EF7399">
        <w:rPr>
          <w:rFonts w:ascii="Times New Roman" w:hAnsi="Times New Roman" w:cs="Times New Roman"/>
          <w:lang w:val="af-ZA"/>
        </w:rPr>
        <w:t>կամ տեղական մակարդակ</w:t>
      </w:r>
      <w:r w:rsidR="005C64C1" w:rsidRPr="00EF7399">
        <w:rPr>
          <w:rFonts w:ascii="Times New Roman" w:hAnsi="Times New Roman" w:cs="Times New Roman"/>
          <w:lang w:val="hy-AM"/>
        </w:rPr>
        <w:t>ում</w:t>
      </w:r>
      <w:r w:rsidR="00E3157E" w:rsidRPr="00EF7399">
        <w:rPr>
          <w:rFonts w:ascii="Times New Roman" w:hAnsi="Times New Roman" w:cs="Times New Roman"/>
          <w:lang w:val="af-ZA"/>
        </w:rPr>
        <w:t xml:space="preserve"> քաղաքական կյանքին առնչվող </w:t>
      </w:r>
      <w:r w:rsidR="00961295" w:rsidRPr="00EF7399">
        <w:rPr>
          <w:rFonts w:ascii="Times New Roman" w:hAnsi="Times New Roman" w:cs="Times New Roman"/>
          <w:lang w:val="af-ZA"/>
        </w:rPr>
        <w:t>հանրային միջոցառումները պետք է ամուր պաշտպանված լինեն 11-րդ հոդվածով: Հազվադեպ են իրավիճակները, երբ հավաքը կարող է իրավաչափորեն արգելվել</w:t>
      </w:r>
      <w:r w:rsidR="005C64C1" w:rsidRPr="00EF7399">
        <w:rPr>
          <w:rFonts w:ascii="Times New Roman" w:hAnsi="Times New Roman" w:cs="Times New Roman"/>
          <w:lang w:val="hy-AM"/>
        </w:rPr>
        <w:t>՝</w:t>
      </w:r>
      <w:r w:rsidR="00961295" w:rsidRPr="00EF7399">
        <w:rPr>
          <w:rFonts w:ascii="Times New Roman" w:hAnsi="Times New Roman" w:cs="Times New Roman"/>
          <w:lang w:val="af-ZA"/>
        </w:rPr>
        <w:t xml:space="preserve"> </w:t>
      </w:r>
      <w:r w:rsidR="00AA2AAA" w:rsidRPr="00EF7399">
        <w:rPr>
          <w:rFonts w:ascii="Times New Roman" w:hAnsi="Times New Roman" w:cs="Times New Roman"/>
          <w:lang w:val="hy-AM"/>
        </w:rPr>
        <w:t xml:space="preserve"> </w:t>
      </w:r>
      <w:r w:rsidR="00961295" w:rsidRPr="00EF7399">
        <w:rPr>
          <w:rFonts w:ascii="Times New Roman" w:hAnsi="Times New Roman" w:cs="Times New Roman"/>
          <w:lang w:val="af-ZA"/>
        </w:rPr>
        <w:t xml:space="preserve">մասնակիցների հնչեցվելիք ուղերձների բովանդակությունից ելնելով: Կառավարությունը </w:t>
      </w:r>
      <w:r w:rsidR="00AA2AAA" w:rsidRPr="00EF7399">
        <w:rPr>
          <w:rFonts w:ascii="Times New Roman" w:hAnsi="Times New Roman" w:cs="Times New Roman"/>
          <w:lang w:val="hy-AM"/>
        </w:rPr>
        <w:t>չ</w:t>
      </w:r>
      <w:r w:rsidR="00961295" w:rsidRPr="00EF7399">
        <w:rPr>
          <w:rFonts w:ascii="Times New Roman" w:hAnsi="Times New Roman" w:cs="Times New Roman"/>
          <w:lang w:val="af-ZA"/>
        </w:rPr>
        <w:t>պետք է ունենա ցույցն արգելելու լիազորություն այն պատճառով, որ «սխալ» է համարում ցուցարարների ուղերձը: Դա առանձնահատուկ կարևոր</w:t>
      </w:r>
      <w:r w:rsidR="00071826" w:rsidRPr="00EF7399">
        <w:rPr>
          <w:rFonts w:ascii="Times New Roman" w:hAnsi="Times New Roman" w:cs="Times New Roman"/>
          <w:lang w:val="af-ZA"/>
        </w:rPr>
        <w:t>վում</w:t>
      </w:r>
      <w:r w:rsidR="00961295" w:rsidRPr="00EF7399">
        <w:rPr>
          <w:rFonts w:ascii="Times New Roman" w:hAnsi="Times New Roman" w:cs="Times New Roman"/>
          <w:lang w:val="af-ZA"/>
        </w:rPr>
        <w:t xml:space="preserve"> է այն դեպքերում, երբ քննադատության հիմնական թիրախն այն իշխանություններն են, որոնք լիազորված են </w:t>
      </w:r>
      <w:r w:rsidR="00071826" w:rsidRPr="00EF7399">
        <w:rPr>
          <w:rFonts w:ascii="Times New Roman" w:hAnsi="Times New Roman" w:cs="Times New Roman"/>
          <w:lang w:val="af-ZA"/>
        </w:rPr>
        <w:t xml:space="preserve">արտոնել կամ արգելել հանրային հավաքը: Բովանդակության հիմքով հավաքների ազատության սահմանափակումները ենթակա են </w:t>
      </w:r>
      <w:r w:rsidR="00AA2AAA" w:rsidRPr="00EF7399">
        <w:rPr>
          <w:rFonts w:ascii="Times New Roman" w:hAnsi="Times New Roman" w:cs="Times New Roman"/>
          <w:lang w:val="hy-AM"/>
        </w:rPr>
        <w:t>այս</w:t>
      </w:r>
      <w:r w:rsidR="00AA2AAA" w:rsidRPr="00EF7399">
        <w:rPr>
          <w:rFonts w:ascii="Times New Roman" w:hAnsi="Times New Roman" w:cs="Times New Roman"/>
          <w:lang w:val="af-ZA"/>
        </w:rPr>
        <w:t xml:space="preserve"> </w:t>
      </w:r>
      <w:r w:rsidR="00071826" w:rsidRPr="00EF7399">
        <w:rPr>
          <w:rFonts w:ascii="Times New Roman" w:hAnsi="Times New Roman" w:cs="Times New Roman"/>
          <w:lang w:val="af-ZA"/>
        </w:rPr>
        <w:t xml:space="preserve">Դատարանի </w:t>
      </w:r>
      <w:r w:rsidR="00E66E30" w:rsidRPr="00EF7399">
        <w:rPr>
          <w:rFonts w:ascii="Times New Roman" w:hAnsi="Times New Roman" w:cs="Times New Roman"/>
          <w:lang w:val="hy-AM"/>
        </w:rPr>
        <w:t>ամենից լուրջ</w:t>
      </w:r>
      <w:r w:rsidR="00071826" w:rsidRPr="00EF7399">
        <w:rPr>
          <w:rFonts w:ascii="Times New Roman" w:hAnsi="Times New Roman" w:cs="Times New Roman"/>
          <w:lang w:val="af-ZA"/>
        </w:rPr>
        <w:t xml:space="preserve"> քննության</w:t>
      </w:r>
      <w:r w:rsidR="00E66E30" w:rsidRPr="00EF7399">
        <w:rPr>
          <w:rFonts w:ascii="Times New Roman" w:hAnsi="Times New Roman" w:cs="Times New Roman"/>
          <w:lang w:val="hy-AM"/>
        </w:rPr>
        <w:t>ը</w:t>
      </w:r>
      <w:r w:rsidR="00071826" w:rsidRPr="00EF7399">
        <w:rPr>
          <w:rFonts w:ascii="Times New Roman" w:hAnsi="Times New Roman" w:cs="Times New Roman"/>
          <w:lang w:val="af-ZA"/>
        </w:rPr>
        <w:t xml:space="preserve">  </w:t>
      </w:r>
      <w:r w:rsidR="0081194B" w:rsidRPr="00EF7399">
        <w:rPr>
          <w:rFonts w:ascii="Times New Roman" w:hAnsi="Times New Roman" w:cs="Times New Roman"/>
          <w:lang w:val="af-ZA"/>
        </w:rPr>
        <w:t>(</w:t>
      </w:r>
      <w:hyperlink r:id="rId192" w:history="1">
        <w:r w:rsidR="008F70F4" w:rsidRPr="00EF7399">
          <w:rPr>
            <w:rStyle w:val="Hyperlink"/>
            <w:rFonts w:ascii="Times New Roman" w:hAnsi="Times New Roman" w:cs="Times New Roman"/>
            <w:lang w:val="af-ZA"/>
          </w:rPr>
          <w:t>Navalnyy</w:t>
        </w:r>
        <w:r w:rsidR="00873234" w:rsidRPr="00EF7399">
          <w:rPr>
            <w:rStyle w:val="Hyperlink"/>
            <w:rFonts w:ascii="Times New Roman" w:hAnsi="Times New Roman" w:cs="Times New Roman"/>
            <w:lang w:val="af-ZA"/>
          </w:rPr>
          <w:t xml:space="preserve"> v. </w:t>
        </w:r>
        <w:r w:rsidR="008F70F4" w:rsidRPr="00EF7399">
          <w:rPr>
            <w:rStyle w:val="Hyperlink"/>
            <w:rFonts w:ascii="Times New Roman" w:hAnsi="Times New Roman" w:cs="Times New Roman"/>
            <w:lang w:val="af-ZA"/>
          </w:rPr>
          <w:t>Russia</w:t>
        </w:r>
      </w:hyperlink>
      <w:r w:rsidR="008F70F4" w:rsidRPr="00EF7399">
        <w:rPr>
          <w:rFonts w:ascii="Times New Roman" w:hAnsi="Times New Roman" w:cs="Times New Roman"/>
          <w:lang w:val="af-ZA"/>
        </w:rPr>
        <w:t xml:space="preserve">, [GC], </w:t>
      </w:r>
      <w:r w:rsidR="001E21F4" w:rsidRPr="00EF7399">
        <w:rPr>
          <w:rFonts w:ascii="Times New Roman" w:hAnsi="Times New Roman" w:cs="Times New Roman"/>
          <w:lang w:val="af-ZA"/>
        </w:rPr>
        <w:t xml:space="preserve">2018, </w:t>
      </w:r>
      <w:r w:rsidR="00873234" w:rsidRPr="00EF7399">
        <w:rPr>
          <w:rFonts w:ascii="Times New Roman" w:hAnsi="Times New Roman" w:cs="Times New Roman"/>
          <w:lang w:val="af-ZA"/>
        </w:rPr>
        <w:t>§ </w:t>
      </w:r>
      <w:r w:rsidR="008F70F4" w:rsidRPr="00EF7399">
        <w:rPr>
          <w:rFonts w:ascii="Times New Roman" w:hAnsi="Times New Roman" w:cs="Times New Roman"/>
          <w:lang w:val="af-ZA"/>
        </w:rPr>
        <w:t>13</w:t>
      </w:r>
      <w:r w:rsidR="00D36F39" w:rsidRPr="00EF7399">
        <w:rPr>
          <w:rFonts w:ascii="Times New Roman" w:hAnsi="Times New Roman" w:cs="Times New Roman"/>
          <w:lang w:val="af-ZA"/>
        </w:rPr>
        <w:t>6</w:t>
      </w:r>
      <w:r w:rsidR="008F70F4" w:rsidRPr="00EF7399">
        <w:rPr>
          <w:rFonts w:ascii="Times New Roman" w:hAnsi="Times New Roman" w:cs="Times New Roman"/>
          <w:lang w:val="af-ZA"/>
        </w:rPr>
        <w:t xml:space="preserve">; </w:t>
      </w:r>
      <w:hyperlink r:id="rId193" w:history="1">
        <w:r w:rsidR="0081194B" w:rsidRPr="00EF7399">
          <w:rPr>
            <w:rStyle w:val="Hyperlink"/>
            <w:rFonts w:ascii="Times New Roman" w:hAnsi="Times New Roman" w:cs="Times New Roman"/>
            <w:lang w:val="af-ZA"/>
          </w:rPr>
          <w:t>Primov and Others</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Russia</w:t>
        </w:r>
      </w:hyperlink>
      <w:r w:rsidR="0081194B" w:rsidRPr="00EF7399">
        <w:rPr>
          <w:rFonts w:ascii="Times New Roman" w:hAnsi="Times New Roman" w:cs="Times New Roman"/>
          <w:lang w:val="af-ZA"/>
        </w:rPr>
        <w:t xml:space="preserve">, </w:t>
      </w:r>
      <w:r w:rsidR="001E21F4" w:rsidRPr="00EF7399">
        <w:rPr>
          <w:rFonts w:ascii="Times New Roman" w:hAnsi="Times New Roman" w:cs="Times New Roman"/>
          <w:lang w:val="af-ZA"/>
        </w:rPr>
        <w:t xml:space="preserve">2014, </w:t>
      </w:r>
      <w:r w:rsidR="0081194B" w:rsidRPr="00EF7399">
        <w:rPr>
          <w:rFonts w:ascii="Times New Roman" w:hAnsi="Times New Roman" w:cs="Times New Roman"/>
          <w:lang w:val="af-ZA"/>
        </w:rPr>
        <w:t>§</w:t>
      </w:r>
      <w:r w:rsidR="00873234" w:rsidRPr="00EF7399">
        <w:rPr>
          <w:rFonts w:ascii="Times New Roman" w:hAnsi="Times New Roman" w:cs="Times New Roman"/>
          <w:lang w:val="af-ZA"/>
        </w:rPr>
        <w:t>§ </w:t>
      </w:r>
      <w:r w:rsidR="0081194B" w:rsidRPr="00EF7399">
        <w:rPr>
          <w:rFonts w:ascii="Times New Roman" w:hAnsi="Times New Roman" w:cs="Times New Roman"/>
          <w:lang w:val="af-ZA"/>
        </w:rPr>
        <w:t>134-135</w:t>
      </w:r>
      <w:r w:rsidR="009807DA" w:rsidRPr="00EF7399">
        <w:rPr>
          <w:rFonts w:ascii="Times New Roman" w:hAnsi="Times New Roman" w:cs="Times New Roman"/>
          <w:lang w:val="af-ZA"/>
        </w:rPr>
        <w:t xml:space="preserve">; </w:t>
      </w:r>
      <w:hyperlink r:id="rId194" w:history="1">
        <w:r w:rsidR="00367255" w:rsidRPr="00EF7399">
          <w:rPr>
            <w:rStyle w:val="Hyperlink"/>
            <w:rFonts w:ascii="Times New Roman" w:hAnsi="Times New Roman" w:cs="Times New Roman"/>
            <w:lang w:val="af-ZA"/>
          </w:rPr>
          <w:t>Centre of Societies for Krishna Consciousness in Russia</w:t>
        </w:r>
      </w:hyperlink>
      <w:r w:rsidR="009807DA" w:rsidRPr="00EF7399">
        <w:rPr>
          <w:rFonts w:ascii="Times New Roman" w:hAnsi="Times New Roman" w:cs="Times New Roman"/>
          <w:lang w:val="af-ZA"/>
        </w:rPr>
        <w:t>,</w:t>
      </w:r>
      <w:r w:rsidR="000B1BA0" w:rsidRPr="00EF7399">
        <w:rPr>
          <w:rFonts w:ascii="Times New Roman" w:hAnsi="Times New Roman" w:cs="Times New Roman"/>
          <w:lang w:val="af-ZA"/>
        </w:rPr>
        <w:t xml:space="preserve"> 2021,</w:t>
      </w:r>
      <w:r w:rsidR="009807DA" w:rsidRPr="00EF7399">
        <w:rPr>
          <w:rFonts w:ascii="Times New Roman" w:hAnsi="Times New Roman" w:cs="Times New Roman"/>
          <w:lang w:val="af-ZA"/>
        </w:rPr>
        <w:t xml:space="preserve"> </w:t>
      </w:r>
      <w:r w:rsidR="00873234" w:rsidRPr="00EF7399">
        <w:rPr>
          <w:rFonts w:ascii="Times New Roman" w:hAnsi="Times New Roman" w:cs="Times New Roman"/>
          <w:lang w:val="af-ZA"/>
        </w:rPr>
        <w:t>§ </w:t>
      </w:r>
      <w:r w:rsidR="009807DA" w:rsidRPr="00EF7399">
        <w:rPr>
          <w:rFonts w:ascii="Times New Roman" w:hAnsi="Times New Roman" w:cs="Times New Roman"/>
          <w:lang w:val="af-ZA"/>
        </w:rPr>
        <w:t>52</w:t>
      </w:r>
      <w:r w:rsidR="0081194B" w:rsidRPr="00EF7399">
        <w:rPr>
          <w:rFonts w:ascii="Times New Roman" w:hAnsi="Times New Roman" w:cs="Times New Roman"/>
          <w:lang w:val="af-ZA"/>
        </w:rPr>
        <w:t>)</w:t>
      </w:r>
      <w:r w:rsidR="00071826" w:rsidRPr="00EF7399">
        <w:rPr>
          <w:rFonts w:ascii="Times New Roman" w:hAnsi="Times New Roman" w:cs="Times New Roman"/>
          <w:lang w:val="af-ZA"/>
        </w:rPr>
        <w:t>:</w:t>
      </w:r>
    </w:p>
    <w:p w14:paraId="0AEDBEBE" w14:textId="6187A123" w:rsidR="00034A8D" w:rsidRPr="00EF7399" w:rsidRDefault="00034A8D" w:rsidP="00034A8D">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72</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8E5A0C" w:rsidRPr="00EF7399">
        <w:rPr>
          <w:rFonts w:ascii="Times New Roman" w:hAnsi="Times New Roman" w:cs="Times New Roman"/>
          <w:lang w:val="hy-AM"/>
        </w:rPr>
        <w:t>Ի</w:t>
      </w:r>
      <w:r w:rsidR="008E5A0C" w:rsidRPr="00EF7399">
        <w:rPr>
          <w:rFonts w:ascii="Times New Roman" w:hAnsi="Times New Roman" w:cs="Times New Roman"/>
          <w:lang w:val="af-ZA"/>
        </w:rPr>
        <w:t xml:space="preserve">րավունքի գերակայության վրա հիմնված ժողովրդավարական հասարակությունում </w:t>
      </w:r>
      <w:r w:rsidR="00071826" w:rsidRPr="00EF7399">
        <w:rPr>
          <w:rFonts w:ascii="Times New Roman" w:hAnsi="Times New Roman" w:cs="Times New Roman"/>
          <w:lang w:val="af-ZA"/>
        </w:rPr>
        <w:t>գաղափարները, որոն</w:t>
      </w:r>
      <w:r w:rsidR="008E5A0C" w:rsidRPr="00EF7399">
        <w:rPr>
          <w:rFonts w:ascii="Times New Roman" w:hAnsi="Times New Roman" w:cs="Times New Roman"/>
          <w:lang w:val="hy-AM"/>
        </w:rPr>
        <w:t xml:space="preserve">ք </w:t>
      </w:r>
      <w:r w:rsidR="008E5A0C" w:rsidRPr="00EF7399">
        <w:rPr>
          <w:rFonts w:ascii="Times New Roman" w:hAnsi="Times New Roman" w:cs="Times New Roman"/>
          <w:lang w:val="af-ZA"/>
        </w:rPr>
        <w:t>վիճարկ</w:t>
      </w:r>
      <w:r w:rsidR="008E5A0C" w:rsidRPr="00EF7399">
        <w:rPr>
          <w:rFonts w:ascii="Times New Roman" w:hAnsi="Times New Roman" w:cs="Times New Roman"/>
          <w:lang w:val="hy-AM"/>
        </w:rPr>
        <w:t>ում են առկա կարգը, և որոնց</w:t>
      </w:r>
      <w:r w:rsidR="00071826" w:rsidRPr="00EF7399">
        <w:rPr>
          <w:rFonts w:ascii="Times New Roman" w:hAnsi="Times New Roman" w:cs="Times New Roman"/>
          <w:lang w:val="af-ZA"/>
        </w:rPr>
        <w:t xml:space="preserve"> իրագործումը </w:t>
      </w:r>
      <w:r w:rsidR="008E5A0C" w:rsidRPr="00EF7399">
        <w:rPr>
          <w:rFonts w:ascii="Times New Roman" w:hAnsi="Times New Roman" w:cs="Times New Roman"/>
          <w:lang w:val="hy-AM"/>
        </w:rPr>
        <w:t>խրախուսվում</w:t>
      </w:r>
      <w:r w:rsidR="008E5A0C" w:rsidRPr="00EF7399">
        <w:rPr>
          <w:rFonts w:ascii="Times New Roman" w:hAnsi="Times New Roman" w:cs="Times New Roman"/>
          <w:lang w:val="af-ZA"/>
        </w:rPr>
        <w:t xml:space="preserve"> </w:t>
      </w:r>
      <w:r w:rsidR="008E5A0C" w:rsidRPr="00EF7399">
        <w:rPr>
          <w:rFonts w:ascii="Times New Roman" w:hAnsi="Times New Roman" w:cs="Times New Roman"/>
          <w:lang w:val="hy-AM"/>
        </w:rPr>
        <w:t>է</w:t>
      </w:r>
      <w:r w:rsidR="00071826" w:rsidRPr="00EF7399">
        <w:rPr>
          <w:rFonts w:ascii="Times New Roman" w:hAnsi="Times New Roman" w:cs="Times New Roman"/>
          <w:lang w:val="af-ZA"/>
        </w:rPr>
        <w:t xml:space="preserve"> խաղաղ միջոցներով, պետք է </w:t>
      </w:r>
      <w:r w:rsidR="008E5A0C" w:rsidRPr="00EF7399">
        <w:rPr>
          <w:rFonts w:ascii="Times New Roman" w:hAnsi="Times New Roman" w:cs="Times New Roman"/>
          <w:lang w:val="hy-AM"/>
        </w:rPr>
        <w:t xml:space="preserve">ապահովվեն </w:t>
      </w:r>
      <w:r w:rsidR="008E5A0C" w:rsidRPr="00EF7399">
        <w:rPr>
          <w:rFonts w:ascii="Times New Roman" w:hAnsi="Times New Roman" w:cs="Times New Roman"/>
          <w:lang w:val="af-ZA"/>
        </w:rPr>
        <w:t xml:space="preserve">հավաքների իրավունքի </w:t>
      </w:r>
      <w:r w:rsidR="008E5A0C" w:rsidRPr="00EF7399">
        <w:rPr>
          <w:rFonts w:ascii="Times New Roman" w:hAnsi="Times New Roman" w:cs="Times New Roman"/>
          <w:lang w:val="hy-AM"/>
        </w:rPr>
        <w:t>իրացման</w:t>
      </w:r>
      <w:r w:rsidR="008E5A0C" w:rsidRPr="00EF7399">
        <w:rPr>
          <w:rFonts w:ascii="Times New Roman" w:hAnsi="Times New Roman" w:cs="Times New Roman"/>
          <w:lang w:val="af-ZA"/>
        </w:rPr>
        <w:t xml:space="preserve"> և օրինական այլ միջոցներով </w:t>
      </w:r>
      <w:r w:rsidR="00590E8C" w:rsidRPr="00EF7399">
        <w:rPr>
          <w:rFonts w:ascii="Times New Roman" w:hAnsi="Times New Roman" w:cs="Times New Roman"/>
          <w:lang w:val="af-ZA"/>
        </w:rPr>
        <w:t>արտահայտման պատշաճ հնարավորությ</w:t>
      </w:r>
      <w:r w:rsidR="008E5A0C" w:rsidRPr="00EF7399">
        <w:rPr>
          <w:rFonts w:ascii="Times New Roman" w:hAnsi="Times New Roman" w:cs="Times New Roman"/>
          <w:lang w:val="hy-AM"/>
        </w:rPr>
        <w:t>ամբ</w:t>
      </w:r>
      <w:r w:rsidR="00656F07" w:rsidRPr="00EF7399">
        <w:rPr>
          <w:rFonts w:ascii="Times New Roman" w:hAnsi="Times New Roman" w:cs="Times New Roman"/>
          <w:lang w:val="af-ZA"/>
        </w:rPr>
        <w:t xml:space="preserve"> </w:t>
      </w:r>
      <w:r w:rsidR="0081194B" w:rsidRPr="00EF7399">
        <w:rPr>
          <w:rFonts w:ascii="Times New Roman" w:hAnsi="Times New Roman" w:cs="Times New Roman"/>
          <w:lang w:val="af-ZA"/>
        </w:rPr>
        <w:t>(</w:t>
      </w:r>
      <w:hyperlink r:id="rId195" w:history="1">
        <w:r w:rsidR="0081194B" w:rsidRPr="00EF7399">
          <w:rPr>
            <w:rStyle w:val="Hyperlink"/>
            <w:rFonts w:ascii="Times New Roman" w:hAnsi="Times New Roman" w:cs="Times New Roman"/>
            <w:lang w:val="af-ZA"/>
          </w:rPr>
          <w:t>Stankov and the United Macedonian Organisation Ilinden</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Bulgaria</w:t>
        </w:r>
      </w:hyperlink>
      <w:r w:rsidR="0081194B" w:rsidRPr="00EF7399">
        <w:rPr>
          <w:rFonts w:ascii="Times New Roman" w:hAnsi="Times New Roman" w:cs="Times New Roman"/>
          <w:lang w:val="af-ZA"/>
        </w:rPr>
        <w:t xml:space="preserve">, </w:t>
      </w:r>
      <w:r w:rsidR="00F00CD1" w:rsidRPr="00EF7399">
        <w:rPr>
          <w:rFonts w:ascii="Times New Roman" w:hAnsi="Times New Roman" w:cs="Times New Roman"/>
          <w:lang w:val="af-ZA"/>
        </w:rPr>
        <w:t xml:space="preserve">2001,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 xml:space="preserve">97; </w:t>
      </w:r>
      <w:hyperlink r:id="rId196" w:history="1">
        <w:r w:rsidR="0081194B" w:rsidRPr="00EF7399">
          <w:rPr>
            <w:rStyle w:val="Hyperlink"/>
            <w:rFonts w:ascii="Times New Roman" w:hAnsi="Times New Roman" w:cs="Times New Roman"/>
            <w:lang w:val="af-ZA"/>
          </w:rPr>
          <w:t>Sergey Kuznetsov</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Russia</w:t>
        </w:r>
      </w:hyperlink>
      <w:r w:rsidR="0081194B" w:rsidRPr="00EF7399">
        <w:rPr>
          <w:rFonts w:ascii="Times New Roman" w:hAnsi="Times New Roman" w:cs="Times New Roman"/>
          <w:lang w:val="af-ZA"/>
        </w:rPr>
        <w:t xml:space="preserve">, </w:t>
      </w:r>
      <w:r w:rsidR="00F00CD1" w:rsidRPr="00EF7399">
        <w:rPr>
          <w:rFonts w:ascii="Times New Roman" w:hAnsi="Times New Roman" w:cs="Times New Roman"/>
          <w:lang w:val="af-ZA"/>
        </w:rPr>
        <w:t xml:space="preserve">2008,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45)</w:t>
      </w:r>
      <w:r w:rsidR="00656F07" w:rsidRPr="00EF7399">
        <w:rPr>
          <w:rFonts w:ascii="Times New Roman" w:hAnsi="Times New Roman" w:cs="Times New Roman"/>
          <w:lang w:val="af-ZA"/>
        </w:rPr>
        <w:t>:</w:t>
      </w:r>
    </w:p>
    <w:p w14:paraId="5DBB3E69" w14:textId="4DA6627A" w:rsidR="00034A8D" w:rsidRPr="001B2612" w:rsidRDefault="00763E4B" w:rsidP="00034A8D">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73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656F07" w:rsidRPr="00EF7399">
        <w:rPr>
          <w:rFonts w:ascii="Times New Roman" w:hAnsi="Times New Roman" w:cs="Times New Roman"/>
          <w:lang w:val="af-ZA"/>
        </w:rPr>
        <w:t>Այն հանգամանքը, որ մի խումբ անձինք ինքնավարության կոչ</w:t>
      </w:r>
      <w:r w:rsidR="00762B61" w:rsidRPr="00EF7399">
        <w:rPr>
          <w:rFonts w:ascii="Times New Roman" w:hAnsi="Times New Roman" w:cs="Times New Roman"/>
          <w:lang w:val="af-ZA"/>
        </w:rPr>
        <w:t>եր են</w:t>
      </w:r>
      <w:r w:rsidR="00656F07" w:rsidRPr="00EF7399">
        <w:rPr>
          <w:rFonts w:ascii="Times New Roman" w:hAnsi="Times New Roman" w:cs="Times New Roman"/>
          <w:lang w:val="af-ZA"/>
        </w:rPr>
        <w:t xml:space="preserve"> </w:t>
      </w:r>
      <w:r w:rsidR="00762B61" w:rsidRPr="00EF7399">
        <w:rPr>
          <w:rFonts w:ascii="Times New Roman" w:hAnsi="Times New Roman" w:cs="Times New Roman"/>
          <w:lang w:val="af-ZA"/>
        </w:rPr>
        <w:t>հնչեցնում</w:t>
      </w:r>
      <w:r w:rsidR="00656F07" w:rsidRPr="00EF7399">
        <w:rPr>
          <w:rFonts w:ascii="Times New Roman" w:hAnsi="Times New Roman" w:cs="Times New Roman"/>
          <w:lang w:val="af-ZA"/>
        </w:rPr>
        <w:t xml:space="preserve"> կամ նույնիսկ </w:t>
      </w:r>
      <w:r w:rsidR="00762B61" w:rsidRPr="00EF7399">
        <w:rPr>
          <w:rFonts w:ascii="Times New Roman" w:hAnsi="Times New Roman" w:cs="Times New Roman"/>
          <w:lang w:val="af-ZA"/>
        </w:rPr>
        <w:t>պահանջում</w:t>
      </w:r>
      <w:r w:rsidR="00656F07" w:rsidRPr="00EF7399">
        <w:rPr>
          <w:rFonts w:ascii="Times New Roman" w:hAnsi="Times New Roman" w:cs="Times New Roman"/>
          <w:lang w:val="af-ZA"/>
        </w:rPr>
        <w:t xml:space="preserve"> պետության տարածքի</w:t>
      </w:r>
      <w:r w:rsidR="00762B61" w:rsidRPr="00EF7399">
        <w:rPr>
          <w:rFonts w:ascii="Times New Roman" w:hAnsi="Times New Roman" w:cs="Times New Roman"/>
          <w:lang w:val="af-ZA"/>
        </w:rPr>
        <w:t xml:space="preserve"> մի մասի անջատում` պահանջելով սահմանադրական և տարածքային հիմնարար փոփոխություններ, ինքն</w:t>
      </w:r>
      <w:r w:rsidR="0002437F" w:rsidRPr="00EF7399">
        <w:rPr>
          <w:rFonts w:ascii="Times New Roman" w:hAnsi="Times New Roman" w:cs="Times New Roman"/>
          <w:lang w:val="hy-AM"/>
        </w:rPr>
        <w:t>աբերաբար</w:t>
      </w:r>
      <w:r w:rsidR="00762B61" w:rsidRPr="00EF7399">
        <w:rPr>
          <w:rFonts w:ascii="Times New Roman" w:hAnsi="Times New Roman" w:cs="Times New Roman"/>
          <w:lang w:val="af-ZA"/>
        </w:rPr>
        <w:t xml:space="preserve"> չի </w:t>
      </w:r>
      <w:r w:rsidR="0002437F" w:rsidRPr="00EF7399">
        <w:rPr>
          <w:rFonts w:ascii="Times New Roman" w:hAnsi="Times New Roman" w:cs="Times New Roman"/>
          <w:lang w:val="hy-AM"/>
        </w:rPr>
        <w:t>արդարացնում</w:t>
      </w:r>
      <w:r w:rsidR="0002437F" w:rsidRPr="00EF7399">
        <w:rPr>
          <w:rFonts w:ascii="Times New Roman" w:hAnsi="Times New Roman" w:cs="Times New Roman"/>
          <w:lang w:val="af-ZA"/>
        </w:rPr>
        <w:t xml:space="preserve"> </w:t>
      </w:r>
      <w:r w:rsidR="00762B61" w:rsidRPr="00EF7399">
        <w:rPr>
          <w:rFonts w:ascii="Times New Roman" w:hAnsi="Times New Roman" w:cs="Times New Roman"/>
          <w:lang w:val="af-ZA"/>
        </w:rPr>
        <w:t xml:space="preserve">այդ խմբի հավաքների արգելքը: Ելույթներում և ցույցերին տարածքային փոփոխությունների պահանջներ հնչեցնելն ինքնին չի </w:t>
      </w:r>
      <w:r w:rsidR="0002437F" w:rsidRPr="00EF7399">
        <w:rPr>
          <w:rFonts w:ascii="Times New Roman" w:hAnsi="Times New Roman" w:cs="Times New Roman"/>
          <w:lang w:val="hy-AM"/>
        </w:rPr>
        <w:t>պարունակում</w:t>
      </w:r>
      <w:r w:rsidR="0002437F" w:rsidRPr="00EF7399">
        <w:rPr>
          <w:rFonts w:ascii="Times New Roman" w:hAnsi="Times New Roman" w:cs="Times New Roman"/>
          <w:lang w:val="af-ZA"/>
        </w:rPr>
        <w:t xml:space="preserve"> </w:t>
      </w:r>
      <w:r w:rsidR="00762B61" w:rsidRPr="00EF7399">
        <w:rPr>
          <w:rFonts w:ascii="Times New Roman" w:hAnsi="Times New Roman" w:cs="Times New Roman"/>
          <w:lang w:val="af-ZA"/>
        </w:rPr>
        <w:t xml:space="preserve">երկրի տարածքային ամբողջականության կամ ազգային անվտանգության համար սպառնալիք </w:t>
      </w:r>
      <w:r w:rsidR="0081194B" w:rsidRPr="00EF7399">
        <w:rPr>
          <w:rFonts w:ascii="Times New Roman" w:hAnsi="Times New Roman" w:cs="Times New Roman"/>
          <w:lang w:val="af-ZA"/>
        </w:rPr>
        <w:t>(</w:t>
      </w:r>
      <w:hyperlink r:id="rId197" w:history="1">
        <w:r w:rsidR="0081194B" w:rsidRPr="00EF7399">
          <w:rPr>
            <w:rStyle w:val="Hyperlink"/>
            <w:rFonts w:ascii="Times New Roman" w:hAnsi="Times New Roman" w:cs="Times New Roman"/>
            <w:lang w:val="af-ZA"/>
          </w:rPr>
          <w:t>Stankov and the United Macedonian Organisation Ilinden</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Bulgaria</w:t>
        </w:r>
      </w:hyperlink>
      <w:r w:rsidR="0081194B" w:rsidRPr="00EF7399">
        <w:rPr>
          <w:rFonts w:ascii="Times New Roman" w:hAnsi="Times New Roman" w:cs="Times New Roman"/>
          <w:lang w:val="af-ZA"/>
        </w:rPr>
        <w:t xml:space="preserve">, </w:t>
      </w:r>
      <w:r w:rsidR="00F00CD1" w:rsidRPr="00EF7399">
        <w:rPr>
          <w:rFonts w:ascii="Times New Roman" w:hAnsi="Times New Roman" w:cs="Times New Roman"/>
          <w:lang w:val="af-ZA"/>
        </w:rPr>
        <w:t xml:space="preserve">2001,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97)</w:t>
      </w:r>
      <w:r w:rsidR="00762B61" w:rsidRPr="00EF7399">
        <w:rPr>
          <w:rFonts w:ascii="Times New Roman" w:hAnsi="Times New Roman" w:cs="Times New Roman"/>
          <w:lang w:val="af-ZA"/>
        </w:rPr>
        <w:t>:</w:t>
      </w:r>
    </w:p>
    <w:p w14:paraId="708A0FF4" w14:textId="1AB978BE" w:rsidR="00DF297D" w:rsidRPr="00EF7399" w:rsidRDefault="00034A8D" w:rsidP="00017CF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74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762B61" w:rsidRPr="00EF7399">
        <w:rPr>
          <w:rFonts w:ascii="Times New Roman" w:hAnsi="Times New Roman" w:cs="Times New Roman"/>
          <w:lang w:val="af-ZA"/>
        </w:rPr>
        <w:t>Հավաքն արտոնելու պայման</w:t>
      </w:r>
      <w:r w:rsidR="00B54CDF" w:rsidRPr="00EF7399">
        <w:rPr>
          <w:rFonts w:ascii="Times New Roman" w:hAnsi="Times New Roman" w:cs="Times New Roman"/>
          <w:lang w:val="af-ZA"/>
        </w:rPr>
        <w:t>ը, որով ցուցարարներին արգելվել է կրել պետական գրանցում չունեցող կուսակցությունների, քաղաքական կազմակերպությունների կամ միավորումների խորհրդանիշ</w:t>
      </w:r>
      <w:r w:rsidR="00171B97" w:rsidRPr="00EF7399">
        <w:rPr>
          <w:rFonts w:ascii="Times New Roman" w:hAnsi="Times New Roman" w:cs="Times New Roman"/>
          <w:lang w:val="hy-AM"/>
        </w:rPr>
        <w:t>ն</w:t>
      </w:r>
      <w:r w:rsidR="00B54CDF" w:rsidRPr="00EF7399">
        <w:rPr>
          <w:rFonts w:ascii="Times New Roman" w:hAnsi="Times New Roman" w:cs="Times New Roman"/>
          <w:lang w:val="af-ZA"/>
        </w:rPr>
        <w:t>երը, չի համապատասխանել «ծայրահեղ սոցիալական անհրաժեշտությանը» այն գանգատաբերի դեպքում, ով կրել է չգրանցված կոմունիստական խորհրդանիշ</w:t>
      </w:r>
      <w:r w:rsidR="00171B97" w:rsidRPr="00EF7399">
        <w:rPr>
          <w:rFonts w:ascii="Times New Roman" w:hAnsi="Times New Roman" w:cs="Times New Roman"/>
          <w:lang w:val="hy-AM"/>
        </w:rPr>
        <w:t>ն</w:t>
      </w:r>
      <w:r w:rsidR="00B54CDF" w:rsidRPr="00EF7399">
        <w:rPr>
          <w:rFonts w:ascii="Times New Roman" w:hAnsi="Times New Roman" w:cs="Times New Roman"/>
          <w:lang w:val="af-ZA"/>
        </w:rPr>
        <w:t xml:space="preserve">եր </w:t>
      </w:r>
      <w:r w:rsidRPr="00EF7399">
        <w:rPr>
          <w:rFonts w:ascii="Times New Roman" w:hAnsi="Times New Roman" w:cs="Times New Roman"/>
          <w:lang w:val="af-ZA"/>
        </w:rPr>
        <w:t>(</w:t>
      </w:r>
      <w:hyperlink r:id="rId198" w:history="1">
        <w:r w:rsidRPr="00EF7399">
          <w:rPr>
            <w:rStyle w:val="Hyperlink"/>
            <w:rFonts w:ascii="Times New Roman" w:hAnsi="Times New Roman" w:cs="Times New Roman"/>
            <w:lang w:val="af-ZA"/>
          </w:rPr>
          <w:t>Şolari</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the Republic of Moldova</w:t>
        </w:r>
      </w:hyperlink>
      <w:r w:rsidRPr="00EF7399">
        <w:rPr>
          <w:rFonts w:ascii="Times New Roman" w:hAnsi="Times New Roman" w:cs="Times New Roman"/>
          <w:lang w:val="af-ZA"/>
        </w:rPr>
        <w:t xml:space="preserve">, </w:t>
      </w:r>
      <w:r w:rsidR="00F00CD1" w:rsidRPr="00EF7399">
        <w:rPr>
          <w:rFonts w:ascii="Times New Roman" w:hAnsi="Times New Roman" w:cs="Times New Roman"/>
          <w:lang w:val="af-ZA"/>
        </w:rPr>
        <w:t xml:space="preserve">2017, </w:t>
      </w:r>
      <w:r w:rsidR="00873234" w:rsidRPr="00EF7399">
        <w:rPr>
          <w:rFonts w:ascii="Times New Roman" w:hAnsi="Times New Roman" w:cs="Times New Roman"/>
          <w:lang w:val="af-ZA"/>
        </w:rPr>
        <w:t>§ </w:t>
      </w:r>
      <w:r w:rsidRPr="00EF7399">
        <w:rPr>
          <w:rFonts w:ascii="Times New Roman" w:hAnsi="Times New Roman" w:cs="Times New Roman"/>
          <w:lang w:val="af-ZA"/>
        </w:rPr>
        <w:t>39)</w:t>
      </w:r>
      <w:r w:rsidR="00B54CDF" w:rsidRPr="00EF7399">
        <w:rPr>
          <w:rFonts w:ascii="Times New Roman" w:hAnsi="Times New Roman" w:cs="Times New Roman"/>
          <w:lang w:val="af-ZA"/>
        </w:rPr>
        <w:t xml:space="preserve">: </w:t>
      </w:r>
      <w:r w:rsidR="00171B97" w:rsidRPr="00EF7399">
        <w:rPr>
          <w:rFonts w:ascii="Times New Roman" w:hAnsi="Times New Roman" w:cs="Times New Roman"/>
          <w:lang w:val="hy-AM"/>
        </w:rPr>
        <w:t>Նմանապես</w:t>
      </w:r>
      <w:r w:rsidR="009E55A4" w:rsidRPr="00EF7399">
        <w:rPr>
          <w:rFonts w:ascii="Times New Roman" w:hAnsi="Times New Roman" w:cs="Times New Roman"/>
          <w:lang w:val="af-ZA"/>
        </w:rPr>
        <w:t>, Դատարանը գտել է, որ չարտոնված ուղիով երթի ընթացքում Ա. Օջալանի լուսանկարով փաստառ կրելու համար ք</w:t>
      </w:r>
      <w:r w:rsidR="00B54CDF" w:rsidRPr="00EF7399">
        <w:rPr>
          <w:rFonts w:ascii="Times New Roman" w:hAnsi="Times New Roman" w:cs="Times New Roman"/>
          <w:lang w:val="af-ZA"/>
        </w:rPr>
        <w:t xml:space="preserve">րեական </w:t>
      </w:r>
      <w:r w:rsidR="009E55A4" w:rsidRPr="00EF7399">
        <w:rPr>
          <w:rFonts w:ascii="Times New Roman" w:hAnsi="Times New Roman" w:cs="Times New Roman"/>
          <w:lang w:val="af-ZA"/>
        </w:rPr>
        <w:t>պատիժ</w:t>
      </w:r>
      <w:r w:rsidR="00171B97" w:rsidRPr="00EF7399">
        <w:rPr>
          <w:rFonts w:ascii="Times New Roman" w:hAnsi="Times New Roman" w:cs="Times New Roman"/>
          <w:lang w:val="hy-AM"/>
        </w:rPr>
        <w:t>ն</w:t>
      </w:r>
      <w:r w:rsidR="009E55A4" w:rsidRPr="00EF7399">
        <w:rPr>
          <w:rFonts w:ascii="Times New Roman" w:hAnsi="Times New Roman" w:cs="Times New Roman"/>
          <w:lang w:val="af-ZA"/>
        </w:rPr>
        <w:t xml:space="preserve"> </w:t>
      </w:r>
      <w:r w:rsidR="00171B97" w:rsidRPr="00EF7399">
        <w:rPr>
          <w:rFonts w:ascii="Times New Roman" w:hAnsi="Times New Roman" w:cs="Times New Roman"/>
          <w:lang w:val="hy-AM"/>
        </w:rPr>
        <w:t>արդարացված</w:t>
      </w:r>
      <w:r w:rsidR="00171B97" w:rsidRPr="00EF7399">
        <w:rPr>
          <w:rFonts w:ascii="Times New Roman" w:hAnsi="Times New Roman" w:cs="Times New Roman"/>
          <w:lang w:val="af-ZA"/>
        </w:rPr>
        <w:t xml:space="preserve"> </w:t>
      </w:r>
      <w:r w:rsidR="00171B97" w:rsidRPr="00EF7399">
        <w:rPr>
          <w:rFonts w:ascii="Times New Roman" w:hAnsi="Times New Roman" w:cs="Times New Roman"/>
          <w:lang w:val="hy-AM"/>
        </w:rPr>
        <w:t>չ</w:t>
      </w:r>
      <w:r w:rsidR="009E55A4" w:rsidRPr="00EF7399">
        <w:rPr>
          <w:rFonts w:ascii="Times New Roman" w:hAnsi="Times New Roman" w:cs="Times New Roman"/>
          <w:lang w:val="af-ZA"/>
        </w:rPr>
        <w:t>է</w:t>
      </w:r>
      <w:r w:rsidR="00171B97" w:rsidRPr="00EF7399">
        <w:rPr>
          <w:rFonts w:ascii="Times New Roman" w:hAnsi="Times New Roman" w:cs="Times New Roman"/>
          <w:lang w:val="hy-AM"/>
        </w:rPr>
        <w:t>ր</w:t>
      </w:r>
      <w:r w:rsidR="009E55A4" w:rsidRPr="00EF7399">
        <w:rPr>
          <w:rFonts w:ascii="Times New Roman" w:hAnsi="Times New Roman" w:cs="Times New Roman"/>
          <w:lang w:val="af-ZA"/>
        </w:rPr>
        <w:t xml:space="preserve">, քանի որ պաստառը չէր կարող համարվել արտահայտման ձև, որով բռնության, զինված դիմադրության կամ ապստամբության կոչ է արվել կամ կատարվել է ահաբեկչական կազմակերպության գովազդ </w:t>
      </w:r>
      <w:r w:rsidR="00C02F2B" w:rsidRPr="00EF7399">
        <w:rPr>
          <w:rFonts w:ascii="Times New Roman" w:hAnsi="Times New Roman" w:cs="Times New Roman"/>
          <w:lang w:val="af-ZA"/>
        </w:rPr>
        <w:t>(</w:t>
      </w:r>
      <w:hyperlink r:id="rId199" w:history="1">
        <w:r w:rsidR="00705669" w:rsidRPr="00EF7399">
          <w:rPr>
            <w:rStyle w:val="Hyperlink"/>
            <w:rFonts w:ascii="Times New Roman" w:hAnsi="Times New Roman" w:cs="Times New Roman"/>
            <w:lang w:val="af-ZA"/>
          </w:rPr>
          <w:t>Silgir</w:t>
        </w:r>
        <w:r w:rsidR="00873234" w:rsidRPr="00EF7399">
          <w:rPr>
            <w:rStyle w:val="Hyperlink"/>
            <w:rFonts w:ascii="Times New Roman" w:hAnsi="Times New Roman" w:cs="Times New Roman"/>
            <w:lang w:val="af-ZA"/>
          </w:rPr>
          <w:t xml:space="preserve"> v. </w:t>
        </w:r>
        <w:r w:rsidR="00705669" w:rsidRPr="00EF7399">
          <w:rPr>
            <w:rStyle w:val="Hyperlink"/>
            <w:rFonts w:ascii="Times New Roman" w:hAnsi="Times New Roman" w:cs="Times New Roman"/>
            <w:lang w:val="af-ZA"/>
          </w:rPr>
          <w:t>Turkey</w:t>
        </w:r>
      </w:hyperlink>
      <w:r w:rsidR="00C02F2B" w:rsidRPr="00EF7399">
        <w:rPr>
          <w:rFonts w:ascii="Times New Roman" w:hAnsi="Times New Roman" w:cs="Times New Roman"/>
          <w:lang w:val="af-ZA"/>
        </w:rPr>
        <w:t xml:space="preserve">, 2022, </w:t>
      </w:r>
      <w:r w:rsidR="00873234" w:rsidRPr="00EF7399">
        <w:rPr>
          <w:rFonts w:ascii="Times New Roman" w:hAnsi="Times New Roman" w:cs="Times New Roman"/>
          <w:lang w:val="af-ZA"/>
        </w:rPr>
        <w:t>§ </w:t>
      </w:r>
      <w:r w:rsidR="00C02F2B" w:rsidRPr="00EF7399">
        <w:rPr>
          <w:rFonts w:ascii="Times New Roman" w:hAnsi="Times New Roman" w:cs="Times New Roman"/>
          <w:lang w:val="af-ZA"/>
        </w:rPr>
        <w:t>30)</w:t>
      </w:r>
      <w:r w:rsidR="009E55A4" w:rsidRPr="00EF7399">
        <w:rPr>
          <w:rFonts w:ascii="Times New Roman" w:hAnsi="Times New Roman" w:cs="Times New Roman"/>
          <w:lang w:val="af-ZA"/>
        </w:rPr>
        <w:t xml:space="preserve">: Հակասական շինարարական ծրագրի վերաբերյալ անպարկեշտ կարգախոսով փաստառներ </w:t>
      </w:r>
      <w:r w:rsidR="00C91777" w:rsidRPr="00EF7399">
        <w:rPr>
          <w:rFonts w:ascii="Times New Roman" w:hAnsi="Times New Roman" w:cs="Times New Roman"/>
          <w:lang w:val="af-ZA"/>
        </w:rPr>
        <w:t>կրելու համար</w:t>
      </w:r>
      <w:r w:rsidR="009E55A4" w:rsidRPr="00EF7399">
        <w:rPr>
          <w:rFonts w:ascii="Times New Roman" w:hAnsi="Times New Roman" w:cs="Times New Roman"/>
          <w:lang w:val="af-ZA"/>
        </w:rPr>
        <w:t xml:space="preserve"> </w:t>
      </w:r>
      <w:r w:rsidR="00C91777" w:rsidRPr="00EF7399">
        <w:rPr>
          <w:rFonts w:ascii="Times New Roman" w:hAnsi="Times New Roman" w:cs="Times New Roman"/>
          <w:lang w:val="af-ZA"/>
        </w:rPr>
        <w:t>գ</w:t>
      </w:r>
      <w:r w:rsidR="009E55A4" w:rsidRPr="00EF7399">
        <w:rPr>
          <w:rFonts w:ascii="Times New Roman" w:hAnsi="Times New Roman" w:cs="Times New Roman"/>
          <w:lang w:val="af-ZA"/>
        </w:rPr>
        <w:t xml:space="preserve">անգատաբերների ձերբակալությանը և դատապարտմանն առնչվող գործով </w:t>
      </w:r>
      <w:r w:rsidR="00C91777" w:rsidRPr="00EF7399">
        <w:rPr>
          <w:rFonts w:ascii="Times New Roman" w:hAnsi="Times New Roman" w:cs="Times New Roman"/>
          <w:lang w:val="af-ZA"/>
        </w:rPr>
        <w:t>Դատարանը գտավ</w:t>
      </w:r>
      <w:r w:rsidR="005D09E3" w:rsidRPr="00EF7399">
        <w:rPr>
          <w:rFonts w:ascii="Times New Roman" w:hAnsi="Times New Roman" w:cs="Times New Roman"/>
          <w:lang w:val="hy-AM"/>
        </w:rPr>
        <w:t>, որ տեղի է ունեցել</w:t>
      </w:r>
      <w:r w:rsidR="00C91777" w:rsidRPr="00EF7399">
        <w:rPr>
          <w:rFonts w:ascii="Times New Roman" w:hAnsi="Times New Roman" w:cs="Times New Roman"/>
          <w:lang w:val="af-ZA"/>
        </w:rPr>
        <w:t xml:space="preserve"> 11-րդ հոդվածի խախտում</w:t>
      </w:r>
      <w:r w:rsidR="005D09E3" w:rsidRPr="00EF7399">
        <w:rPr>
          <w:rFonts w:ascii="Times New Roman" w:hAnsi="Times New Roman" w:cs="Times New Roman"/>
          <w:lang w:val="hy-AM"/>
        </w:rPr>
        <w:t>՝ մեկնաբանված</w:t>
      </w:r>
      <w:r w:rsidR="005D09E3" w:rsidRPr="00EF7399">
        <w:rPr>
          <w:rFonts w:ascii="Times New Roman" w:hAnsi="Times New Roman" w:cs="Times New Roman"/>
          <w:lang w:val="af-ZA"/>
        </w:rPr>
        <w:t xml:space="preserve"> 10-րդ հոդվածի </w:t>
      </w:r>
      <w:r w:rsidR="005D09E3" w:rsidRPr="00EF7399">
        <w:rPr>
          <w:rFonts w:ascii="Times New Roman" w:hAnsi="Times New Roman" w:cs="Times New Roman"/>
          <w:lang w:val="hy-AM"/>
        </w:rPr>
        <w:t>լույսի ներքո</w:t>
      </w:r>
      <w:r w:rsidR="00C91777" w:rsidRPr="00EF7399">
        <w:rPr>
          <w:rFonts w:ascii="Times New Roman" w:hAnsi="Times New Roman" w:cs="Times New Roman"/>
          <w:lang w:val="af-ZA"/>
        </w:rPr>
        <w:t xml:space="preserve">, քանի որ վիճարկվող կարգախոսի անպարկեշտ բնույթն անհարկի կերպով առանձնացվել էր դրա քաղաքական համատեքստից </w:t>
      </w:r>
      <w:r w:rsidR="0089403D" w:rsidRPr="00EF7399">
        <w:rPr>
          <w:rFonts w:ascii="Times New Roman" w:hAnsi="Times New Roman" w:cs="Times New Roman"/>
          <w:lang w:val="af-ZA"/>
        </w:rPr>
        <w:t>(</w:t>
      </w:r>
      <w:hyperlink r:id="rId200" w:history="1">
        <w:r w:rsidR="0089403D" w:rsidRPr="00EF7399">
          <w:rPr>
            <w:rStyle w:val="Hyperlink"/>
            <w:rFonts w:ascii="Times New Roman" w:hAnsi="Times New Roman" w:cs="Times New Roman"/>
            <w:lang w:val="af-ZA"/>
          </w:rPr>
          <w:t>Peradze and Others v. Georgia</w:t>
        </w:r>
      </w:hyperlink>
      <w:r w:rsidR="0089403D" w:rsidRPr="00EF7399">
        <w:rPr>
          <w:rFonts w:ascii="Times New Roman" w:hAnsi="Times New Roman" w:cs="Times New Roman"/>
          <w:lang w:val="af-ZA"/>
        </w:rPr>
        <w:t>, 2022</w:t>
      </w:r>
      <w:r w:rsidR="00FB162D" w:rsidRPr="00EF7399">
        <w:rPr>
          <w:rFonts w:ascii="Times New Roman" w:hAnsi="Times New Roman" w:cs="Times New Roman"/>
          <w:lang w:val="af-ZA"/>
        </w:rPr>
        <w:t>, § 45</w:t>
      </w:r>
      <w:r w:rsidR="0089403D" w:rsidRPr="00EF7399">
        <w:rPr>
          <w:rFonts w:ascii="Times New Roman" w:hAnsi="Times New Roman" w:cs="Times New Roman"/>
          <w:lang w:val="af-ZA"/>
        </w:rPr>
        <w:t>)</w:t>
      </w:r>
      <w:r w:rsidR="00C91777" w:rsidRPr="00EF7399">
        <w:rPr>
          <w:rFonts w:ascii="Times New Roman" w:hAnsi="Times New Roman" w:cs="Times New Roman"/>
          <w:lang w:val="af-ZA"/>
        </w:rPr>
        <w:t>:</w:t>
      </w:r>
    </w:p>
    <w:p w14:paraId="4D5377FD" w14:textId="22E5CCD7" w:rsidR="00B31E71" w:rsidRPr="00EF7399" w:rsidRDefault="00C91777" w:rsidP="00B31E71">
      <w:pPr>
        <w:pStyle w:val="Narrowmarginofappreciationforageneralbanonassembly"/>
        <w:rPr>
          <w:rFonts w:ascii="Times New Roman" w:hAnsi="Times New Roman" w:cs="Times New Roman"/>
          <w:lang w:val="af-ZA" w:eastAsia="fr-FR"/>
        </w:rPr>
      </w:pPr>
      <w:bookmarkStart w:id="51" w:name="_Toc159945221"/>
      <w:r w:rsidRPr="00EF7399">
        <w:rPr>
          <w:rFonts w:ascii="Times New Roman" w:hAnsi="Times New Roman" w:cs="Times New Roman"/>
          <w:lang w:val="af-ZA" w:eastAsia="fr-FR"/>
        </w:rPr>
        <w:t>Հավաքների ընդհանուր արգելքի</w:t>
      </w:r>
      <w:r w:rsidR="005D09E3" w:rsidRPr="00EF7399">
        <w:rPr>
          <w:rFonts w:ascii="Times New Roman" w:hAnsi="Times New Roman" w:cs="Times New Roman"/>
          <w:lang w:val="hy-AM" w:eastAsia="fr-FR"/>
        </w:rPr>
        <w:t xml:space="preserve"> հարցում</w:t>
      </w:r>
      <w:r w:rsidRPr="00EF7399">
        <w:rPr>
          <w:rFonts w:ascii="Times New Roman" w:hAnsi="Times New Roman" w:cs="Times New Roman"/>
          <w:lang w:val="af-ZA" w:eastAsia="fr-FR"/>
        </w:rPr>
        <w:t xml:space="preserve"> հայեցողությ</w:t>
      </w:r>
      <w:r w:rsidR="005D09E3" w:rsidRPr="00EF7399">
        <w:rPr>
          <w:rFonts w:ascii="Times New Roman" w:hAnsi="Times New Roman" w:cs="Times New Roman"/>
          <w:lang w:val="hy-AM" w:eastAsia="fr-FR"/>
        </w:rPr>
        <w:t>ան նեղ շրջանակ</w:t>
      </w:r>
      <w:bookmarkEnd w:id="51"/>
    </w:p>
    <w:p w14:paraId="162F0858" w14:textId="5F238526" w:rsidR="00B31E71" w:rsidRPr="00EF7399" w:rsidRDefault="0036651F" w:rsidP="00034A8D">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75</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C91777" w:rsidRPr="00EF7399">
        <w:rPr>
          <w:rFonts w:ascii="Times New Roman" w:hAnsi="Times New Roman" w:cs="Times New Roman"/>
          <w:lang w:val="af-ZA"/>
        </w:rPr>
        <w:t xml:space="preserve">Պետությունը կարող է </w:t>
      </w:r>
      <w:r w:rsidR="00BC5B28" w:rsidRPr="00EF7399">
        <w:rPr>
          <w:rFonts w:ascii="Times New Roman" w:hAnsi="Times New Roman" w:cs="Times New Roman"/>
          <w:lang w:val="af-ZA"/>
        </w:rPr>
        <w:t xml:space="preserve">ընդունել </w:t>
      </w:r>
      <w:r w:rsidR="00C91777" w:rsidRPr="00EF7399">
        <w:rPr>
          <w:rFonts w:ascii="Times New Roman" w:hAnsi="Times New Roman" w:cs="Times New Roman"/>
          <w:lang w:val="af-ZA"/>
        </w:rPr>
        <w:t>Կոնվենցիային համապատասխան</w:t>
      </w:r>
      <w:r w:rsidR="00BC5B28" w:rsidRPr="00EF7399">
        <w:rPr>
          <w:rFonts w:ascii="Times New Roman" w:hAnsi="Times New Roman" w:cs="Times New Roman"/>
          <w:lang w:val="af-ZA"/>
        </w:rPr>
        <w:t>ող</w:t>
      </w:r>
      <w:r w:rsidR="00C91777" w:rsidRPr="00EF7399">
        <w:rPr>
          <w:rFonts w:ascii="Times New Roman" w:hAnsi="Times New Roman" w:cs="Times New Roman"/>
          <w:lang w:val="af-ZA"/>
        </w:rPr>
        <w:t xml:space="preserve"> ընդհանուր միջոցներ, որոնք կիրառելի են նախապես սահմանված իրավիճակներում` յուրաքանչյուր դեպքի անհատական փաստերից անկախ</w:t>
      </w:r>
      <w:r w:rsidR="00BC5B28" w:rsidRPr="00EF7399">
        <w:rPr>
          <w:rFonts w:ascii="Times New Roman" w:hAnsi="Times New Roman" w:cs="Times New Roman"/>
          <w:lang w:val="af-ZA"/>
        </w:rPr>
        <w:t xml:space="preserve">, եթե նույնիսկ դա կարող է հանգեցնել առանձին դժվար </w:t>
      </w:r>
      <w:r w:rsidR="005D09E3" w:rsidRPr="00EF7399">
        <w:rPr>
          <w:rFonts w:ascii="Times New Roman" w:hAnsi="Times New Roman" w:cs="Times New Roman"/>
          <w:lang w:val="hy-AM"/>
        </w:rPr>
        <w:lastRenderedPageBreak/>
        <w:t>դեպքերի</w:t>
      </w:r>
      <w:r w:rsidR="005D09E3" w:rsidRPr="00EF7399">
        <w:rPr>
          <w:rFonts w:ascii="Times New Roman" w:hAnsi="Times New Roman" w:cs="Times New Roman"/>
          <w:lang w:val="af-ZA"/>
        </w:rPr>
        <w:t xml:space="preserve"> </w:t>
      </w:r>
      <w:r w:rsidR="00B31E71" w:rsidRPr="00EF7399">
        <w:rPr>
          <w:rFonts w:ascii="Times New Roman" w:hAnsi="Times New Roman" w:cs="Times New Roman"/>
          <w:lang w:val="af-ZA"/>
        </w:rPr>
        <w:t>(</w:t>
      </w:r>
      <w:hyperlink r:id="rId201" w:history="1">
        <w:r w:rsidR="0069277B" w:rsidRPr="00EF7399">
          <w:rPr>
            <w:rStyle w:val="Hyperlink"/>
            <w:rFonts w:ascii="Times New Roman" w:hAnsi="Times New Roman" w:cs="Times New Roman"/>
            <w:lang w:val="af-ZA"/>
          </w:rPr>
          <w:t>Animal Defenders International</w:t>
        </w:r>
        <w:r w:rsidR="00873234" w:rsidRPr="00EF7399">
          <w:rPr>
            <w:rStyle w:val="Hyperlink"/>
            <w:rFonts w:ascii="Times New Roman" w:hAnsi="Times New Roman" w:cs="Times New Roman"/>
            <w:lang w:val="af-ZA"/>
          </w:rPr>
          <w:t xml:space="preserve"> v. </w:t>
        </w:r>
        <w:r w:rsidR="0069277B" w:rsidRPr="00EF7399">
          <w:rPr>
            <w:rStyle w:val="Hyperlink"/>
            <w:rFonts w:ascii="Times New Roman" w:hAnsi="Times New Roman" w:cs="Times New Roman"/>
            <w:lang w:val="af-ZA"/>
          </w:rPr>
          <w:t>the United Kingdom</w:t>
        </w:r>
      </w:hyperlink>
      <w:r w:rsidR="00B31E71" w:rsidRPr="00EF7399">
        <w:rPr>
          <w:rFonts w:ascii="Times New Roman" w:hAnsi="Times New Roman" w:cs="Times New Roman"/>
          <w:lang w:val="af-ZA"/>
        </w:rPr>
        <w:t xml:space="preserve"> [GC], </w:t>
      </w:r>
      <w:r w:rsidR="00F00CD1" w:rsidRPr="00EF7399">
        <w:rPr>
          <w:rFonts w:ascii="Times New Roman" w:hAnsi="Times New Roman" w:cs="Times New Roman"/>
          <w:lang w:val="af-ZA"/>
        </w:rPr>
        <w:t xml:space="preserve">2013, </w:t>
      </w:r>
      <w:r w:rsidR="00873234" w:rsidRPr="00EF7399">
        <w:rPr>
          <w:rFonts w:ascii="Times New Roman" w:hAnsi="Times New Roman" w:cs="Times New Roman"/>
          <w:lang w:val="af-ZA"/>
        </w:rPr>
        <w:t>§ </w:t>
      </w:r>
      <w:r w:rsidR="00B31E71" w:rsidRPr="00EF7399">
        <w:rPr>
          <w:rFonts w:ascii="Times New Roman" w:hAnsi="Times New Roman" w:cs="Times New Roman"/>
          <w:lang w:val="af-ZA"/>
        </w:rPr>
        <w:t>106)</w:t>
      </w:r>
      <w:r w:rsidR="00BC5B28" w:rsidRPr="00EF7399">
        <w:rPr>
          <w:rFonts w:ascii="Times New Roman" w:hAnsi="Times New Roman" w:cs="Times New Roman"/>
          <w:lang w:val="af-ZA"/>
        </w:rPr>
        <w:t>:</w:t>
      </w:r>
      <w:r w:rsidR="00E72347" w:rsidRPr="00EF7399">
        <w:rPr>
          <w:rFonts w:ascii="Times New Roman" w:hAnsi="Times New Roman" w:cs="Times New Roman"/>
          <w:lang w:val="af-ZA"/>
        </w:rPr>
        <w:t xml:space="preserve"> </w:t>
      </w:r>
      <w:r w:rsidR="00FB643A" w:rsidRPr="00EF7399">
        <w:rPr>
          <w:rFonts w:ascii="Times New Roman" w:hAnsi="Times New Roman" w:cs="Times New Roman"/>
          <w:lang w:val="hy-AM"/>
        </w:rPr>
        <w:t>Այնուամենայնիվ,</w:t>
      </w:r>
      <w:r w:rsidR="00FB643A" w:rsidRPr="00EF7399">
        <w:rPr>
          <w:rFonts w:ascii="Times New Roman" w:hAnsi="Times New Roman" w:cs="Times New Roman"/>
          <w:lang w:val="af-ZA"/>
        </w:rPr>
        <w:t xml:space="preserve"> </w:t>
      </w:r>
      <w:r w:rsidR="00E72347" w:rsidRPr="00EF7399">
        <w:rPr>
          <w:rFonts w:ascii="Times New Roman" w:hAnsi="Times New Roman" w:cs="Times New Roman"/>
          <w:lang w:val="af-ZA"/>
        </w:rPr>
        <w:t xml:space="preserve">ցույցերի ընդհանուր արգելքը կարող է </w:t>
      </w:r>
      <w:r w:rsidR="00FB643A" w:rsidRPr="00EF7399">
        <w:rPr>
          <w:rFonts w:ascii="Times New Roman" w:hAnsi="Times New Roman" w:cs="Times New Roman"/>
          <w:lang w:val="hy-AM"/>
        </w:rPr>
        <w:t>արդարացված</w:t>
      </w:r>
      <w:r w:rsidR="00FB643A" w:rsidRPr="00EF7399">
        <w:rPr>
          <w:rFonts w:ascii="Times New Roman" w:hAnsi="Times New Roman" w:cs="Times New Roman"/>
          <w:lang w:val="af-ZA"/>
        </w:rPr>
        <w:t xml:space="preserve"> </w:t>
      </w:r>
      <w:r w:rsidR="00E72347" w:rsidRPr="00EF7399">
        <w:rPr>
          <w:rFonts w:ascii="Times New Roman" w:hAnsi="Times New Roman" w:cs="Times New Roman"/>
          <w:lang w:val="af-ZA"/>
        </w:rPr>
        <w:t xml:space="preserve">լինել միայն այն պարագայում, երբ առկա է իրական վտանգ, որ դրանք կհանգեցնեն անկարգությունների, որոնք հնարավոր չէ կանխել այլ` նվազ խիստ միջոցներով: </w:t>
      </w:r>
      <w:r w:rsidR="00C00B99" w:rsidRPr="00EF7399">
        <w:rPr>
          <w:rFonts w:ascii="Times New Roman" w:hAnsi="Times New Roman" w:cs="Times New Roman"/>
          <w:lang w:val="hy-AM"/>
        </w:rPr>
        <w:t>Սրա հետ կապված,</w:t>
      </w:r>
      <w:r w:rsidR="00E72347" w:rsidRPr="00EF7399">
        <w:rPr>
          <w:rFonts w:ascii="Times New Roman" w:hAnsi="Times New Roman" w:cs="Times New Roman"/>
          <w:lang w:val="af-ZA"/>
        </w:rPr>
        <w:t xml:space="preserve"> իշխանությունները պետք է հաշվի առնեն հասարակական կարգի</w:t>
      </w:r>
      <w:r w:rsidR="00E6589A" w:rsidRPr="00EF7399">
        <w:rPr>
          <w:rFonts w:ascii="Times New Roman" w:hAnsi="Times New Roman" w:cs="Times New Roman"/>
          <w:lang w:val="af-ZA"/>
        </w:rPr>
        <w:t xml:space="preserve"> համար ինքնին վտանգ չներկայացնող </w:t>
      </w:r>
      <w:r w:rsidR="00E72347" w:rsidRPr="00EF7399">
        <w:rPr>
          <w:rFonts w:ascii="Times New Roman" w:hAnsi="Times New Roman" w:cs="Times New Roman"/>
          <w:lang w:val="af-ZA"/>
        </w:rPr>
        <w:t>ցույցերի վրա արգելքի ազդեցությունը</w:t>
      </w:r>
      <w:r w:rsidR="00E6589A" w:rsidRPr="00EF7399">
        <w:rPr>
          <w:rFonts w:ascii="Times New Roman" w:hAnsi="Times New Roman" w:cs="Times New Roman"/>
          <w:lang w:val="af-ZA"/>
        </w:rPr>
        <w:t xml:space="preserve">: </w:t>
      </w:r>
      <w:r w:rsidR="006B651A" w:rsidRPr="00EF7399">
        <w:rPr>
          <w:rFonts w:ascii="Times New Roman" w:hAnsi="Times New Roman" w:cs="Times New Roman"/>
          <w:lang w:val="af-ZA"/>
        </w:rPr>
        <w:t>Արգելքը կարող է 11-րդ հոդվածի 2-րդ մասի իմաստով համարվել անհրաժեշտ մ</w:t>
      </w:r>
      <w:r w:rsidR="00E6589A" w:rsidRPr="00EF7399">
        <w:rPr>
          <w:rFonts w:ascii="Times New Roman" w:hAnsi="Times New Roman" w:cs="Times New Roman"/>
          <w:lang w:val="af-ZA"/>
        </w:rPr>
        <w:t>իայն այն պարագայում, երբ</w:t>
      </w:r>
      <w:r w:rsidR="00C00B99" w:rsidRPr="00EF7399">
        <w:rPr>
          <w:rFonts w:ascii="Times New Roman" w:hAnsi="Times New Roman" w:cs="Times New Roman"/>
          <w:lang w:val="hy-AM"/>
        </w:rPr>
        <w:t xml:space="preserve"> դա հիմնավորող</w:t>
      </w:r>
      <w:r w:rsidR="00E6589A" w:rsidRPr="00EF7399">
        <w:rPr>
          <w:rFonts w:ascii="Times New Roman" w:hAnsi="Times New Roman" w:cs="Times New Roman"/>
          <w:lang w:val="af-ZA"/>
        </w:rPr>
        <w:t xml:space="preserve"> </w:t>
      </w:r>
      <w:r w:rsidR="0036347B" w:rsidRPr="00EF7399">
        <w:rPr>
          <w:rFonts w:ascii="Times New Roman" w:hAnsi="Times New Roman" w:cs="Times New Roman"/>
          <w:lang w:val="af-ZA"/>
        </w:rPr>
        <w:t>անվտանգային նկատառումներ</w:t>
      </w:r>
      <w:r w:rsidR="00C00B99" w:rsidRPr="00EF7399">
        <w:rPr>
          <w:rFonts w:ascii="Times New Roman" w:hAnsi="Times New Roman" w:cs="Times New Roman"/>
          <w:lang w:val="hy-AM"/>
        </w:rPr>
        <w:t xml:space="preserve">ն </w:t>
      </w:r>
      <w:r w:rsidR="0036347B" w:rsidRPr="00EF7399">
        <w:rPr>
          <w:rFonts w:ascii="Times New Roman" w:hAnsi="Times New Roman" w:cs="Times New Roman"/>
          <w:lang w:val="af-ZA"/>
        </w:rPr>
        <w:t xml:space="preserve">ակնհայտորեն ավելի ծանրակշիռ են, քան </w:t>
      </w:r>
      <w:r w:rsidR="00C00B99" w:rsidRPr="00EF7399">
        <w:rPr>
          <w:rFonts w:ascii="Times New Roman" w:hAnsi="Times New Roman" w:cs="Times New Roman"/>
          <w:lang w:val="hy-AM"/>
        </w:rPr>
        <w:t>արգելքի</w:t>
      </w:r>
      <w:r w:rsidR="00C00B99" w:rsidRPr="00EF7399">
        <w:rPr>
          <w:rFonts w:ascii="Times New Roman" w:hAnsi="Times New Roman" w:cs="Times New Roman"/>
          <w:lang w:val="af-ZA"/>
        </w:rPr>
        <w:t xml:space="preserve"> </w:t>
      </w:r>
      <w:r w:rsidR="00E6589A" w:rsidRPr="00EF7399">
        <w:rPr>
          <w:rFonts w:ascii="Times New Roman" w:hAnsi="Times New Roman" w:cs="Times New Roman"/>
          <w:lang w:val="af-ZA"/>
        </w:rPr>
        <w:t xml:space="preserve">տակ ընկնող ցույցերի </w:t>
      </w:r>
      <w:r w:rsidR="0036347B" w:rsidRPr="00EF7399">
        <w:rPr>
          <w:rFonts w:ascii="Times New Roman" w:hAnsi="Times New Roman" w:cs="Times New Roman"/>
          <w:lang w:val="af-ZA"/>
        </w:rPr>
        <w:t>անբարենպաստ հետևանքները</w:t>
      </w:r>
      <w:r w:rsidR="00E6589A" w:rsidRPr="00EF7399">
        <w:rPr>
          <w:rFonts w:ascii="Times New Roman" w:hAnsi="Times New Roman" w:cs="Times New Roman"/>
          <w:lang w:val="af-ZA"/>
        </w:rPr>
        <w:t>,</w:t>
      </w:r>
      <w:r w:rsidR="0036347B" w:rsidRPr="00EF7399">
        <w:rPr>
          <w:rFonts w:ascii="Times New Roman" w:hAnsi="Times New Roman" w:cs="Times New Roman"/>
          <w:lang w:val="af-ZA"/>
        </w:rPr>
        <w:t xml:space="preserve"> և չկա արգելքի շրջանակը</w:t>
      </w:r>
      <w:r w:rsidR="00C00B99" w:rsidRPr="00EF7399">
        <w:rPr>
          <w:rFonts w:ascii="Times New Roman" w:hAnsi="Times New Roman" w:cs="Times New Roman"/>
          <w:lang w:val="hy-AM"/>
        </w:rPr>
        <w:t xml:space="preserve"> </w:t>
      </w:r>
      <w:r w:rsidR="00C00B99" w:rsidRPr="00EF7399">
        <w:rPr>
          <w:rFonts w:ascii="Times New Roman" w:hAnsi="Times New Roman" w:cs="Times New Roman"/>
          <w:lang w:val="af-ZA"/>
        </w:rPr>
        <w:t>նեղ</w:t>
      </w:r>
      <w:r w:rsidR="00C00B99" w:rsidRPr="00EF7399">
        <w:rPr>
          <w:rFonts w:ascii="Times New Roman" w:hAnsi="Times New Roman" w:cs="Times New Roman"/>
          <w:lang w:val="hy-AM"/>
        </w:rPr>
        <w:t>՝</w:t>
      </w:r>
      <w:r w:rsidR="0036347B" w:rsidRPr="00EF7399">
        <w:rPr>
          <w:rFonts w:ascii="Times New Roman" w:hAnsi="Times New Roman" w:cs="Times New Roman"/>
          <w:lang w:val="af-ZA"/>
        </w:rPr>
        <w:t xml:space="preserve"> տարածքային կիրառելիության և տևողության սահման</w:t>
      </w:r>
      <w:r w:rsidR="004911B9" w:rsidRPr="00EF7399">
        <w:rPr>
          <w:rFonts w:ascii="Times New Roman" w:hAnsi="Times New Roman" w:cs="Times New Roman"/>
          <w:lang w:val="hy-AM"/>
        </w:rPr>
        <w:t>ման</w:t>
      </w:r>
      <w:r w:rsidR="006B651A" w:rsidRPr="00EF7399">
        <w:rPr>
          <w:rFonts w:ascii="Times New Roman" w:hAnsi="Times New Roman" w:cs="Times New Roman"/>
          <w:lang w:val="af-ZA"/>
        </w:rPr>
        <w:t xml:space="preserve"> միջոցով </w:t>
      </w:r>
      <w:r w:rsidR="0036347B" w:rsidRPr="00EF7399">
        <w:rPr>
          <w:rFonts w:ascii="Times New Roman" w:hAnsi="Times New Roman" w:cs="Times New Roman"/>
          <w:lang w:val="af-ZA"/>
        </w:rPr>
        <w:t>դրա անցանկալի կողմնակի ազդեցություններից խուսափելու հնարավորություն</w:t>
      </w:r>
      <w:r w:rsidR="006B651A" w:rsidRPr="00EF7399">
        <w:rPr>
          <w:rFonts w:ascii="Times New Roman" w:hAnsi="Times New Roman" w:cs="Times New Roman"/>
          <w:lang w:val="af-ZA"/>
        </w:rPr>
        <w:t xml:space="preserve"> </w:t>
      </w:r>
      <w:r w:rsidR="00B31E71" w:rsidRPr="00EF7399">
        <w:rPr>
          <w:rFonts w:ascii="Times New Roman" w:hAnsi="Times New Roman" w:cs="Times New Roman"/>
          <w:lang w:val="af-ZA"/>
        </w:rPr>
        <w:t>(</w:t>
      </w:r>
      <w:hyperlink r:id="rId202" w:history="1">
        <w:r w:rsidR="0069277B" w:rsidRPr="00EF7399">
          <w:rPr>
            <w:rStyle w:val="Hyperlink"/>
            <w:rFonts w:ascii="Times New Roman" w:hAnsi="Times New Roman" w:cs="Times New Roman"/>
            <w:lang w:val="af-ZA"/>
          </w:rPr>
          <w:t>Christians against Racism and Fascism</w:t>
        </w:r>
        <w:r w:rsidR="00873234" w:rsidRPr="00EF7399">
          <w:rPr>
            <w:rStyle w:val="Hyperlink"/>
            <w:rFonts w:ascii="Times New Roman" w:hAnsi="Times New Roman" w:cs="Times New Roman"/>
            <w:lang w:val="af-ZA"/>
          </w:rPr>
          <w:t xml:space="preserve"> v. </w:t>
        </w:r>
        <w:r w:rsidR="0069277B" w:rsidRPr="00EF7399">
          <w:rPr>
            <w:rStyle w:val="Hyperlink"/>
            <w:rFonts w:ascii="Times New Roman" w:hAnsi="Times New Roman" w:cs="Times New Roman"/>
            <w:lang w:val="af-ZA"/>
          </w:rPr>
          <w:t>the United Kingdom</w:t>
        </w:r>
      </w:hyperlink>
      <w:r w:rsidR="00F00CD1" w:rsidRPr="00EF7399">
        <w:rPr>
          <w:rFonts w:ascii="Times New Roman" w:hAnsi="Times New Roman" w:cs="Times New Roman"/>
          <w:lang w:val="af-ZA"/>
        </w:rPr>
        <w:t>, 1980)</w:t>
      </w:r>
      <w:r w:rsidR="006B651A" w:rsidRPr="00EF7399">
        <w:rPr>
          <w:rFonts w:ascii="Times New Roman" w:hAnsi="Times New Roman" w:cs="Times New Roman"/>
          <w:lang w:val="af-ZA"/>
        </w:rPr>
        <w:t>:</w:t>
      </w:r>
    </w:p>
    <w:p w14:paraId="255FCCDF" w14:textId="65840687" w:rsidR="00034A8D" w:rsidRPr="00EF7399" w:rsidRDefault="00F9686D" w:rsidP="00B31E71">
      <w:pPr>
        <w:pStyle w:val="Narrowmarginofappreciationforageneralbanonassembly"/>
        <w:rPr>
          <w:rFonts w:ascii="Times New Roman" w:hAnsi="Times New Roman" w:cs="Times New Roman"/>
          <w:lang w:val="af-ZA"/>
        </w:rPr>
      </w:pPr>
      <w:bookmarkStart w:id="52" w:name="Wider_margin"/>
      <w:bookmarkStart w:id="53" w:name="_Ref103245149"/>
      <w:bookmarkStart w:id="54" w:name="_Ref103245163"/>
      <w:bookmarkStart w:id="55" w:name="_Toc159945222"/>
      <w:r w:rsidRPr="00EF7399">
        <w:rPr>
          <w:rFonts w:ascii="Times New Roman" w:hAnsi="Times New Roman" w:cs="Times New Roman"/>
          <w:lang w:val="af-ZA"/>
        </w:rPr>
        <w:t>Բնականոն կյանքը և երթևեկությունը դիտավորությամբ խաթարելու համար պատժամիջոցներ կիրառելու</w:t>
      </w:r>
      <w:r w:rsidR="004911B9" w:rsidRPr="00EF7399">
        <w:rPr>
          <w:rFonts w:ascii="Times New Roman" w:hAnsi="Times New Roman" w:cs="Times New Roman"/>
          <w:lang w:val="hy-AM"/>
        </w:rPr>
        <w:t xml:space="preserve"> </w:t>
      </w:r>
      <w:r w:rsidR="004911B9" w:rsidRPr="00EF7399">
        <w:rPr>
          <w:rFonts w:ascii="Times New Roman" w:hAnsi="Times New Roman" w:cs="Times New Roman"/>
          <w:lang w:val="af-ZA"/>
        </w:rPr>
        <w:t>հայեցողությ</w:t>
      </w:r>
      <w:r w:rsidR="004911B9" w:rsidRPr="00EF7399">
        <w:rPr>
          <w:rFonts w:ascii="Times New Roman" w:hAnsi="Times New Roman" w:cs="Times New Roman"/>
          <w:lang w:val="hy-AM"/>
        </w:rPr>
        <w:t>ա</w:t>
      </w:r>
      <w:r w:rsidR="004911B9" w:rsidRPr="00EF7399">
        <w:rPr>
          <w:rFonts w:ascii="Times New Roman" w:hAnsi="Times New Roman" w:cs="Times New Roman"/>
          <w:lang w:val="af-ZA"/>
        </w:rPr>
        <w:t>ն</w:t>
      </w:r>
      <w:r w:rsidR="004911B9" w:rsidRPr="00EF7399">
        <w:rPr>
          <w:rFonts w:ascii="Times New Roman" w:hAnsi="Times New Roman" w:cs="Times New Roman"/>
          <w:lang w:val="hy-AM"/>
        </w:rPr>
        <w:t xml:space="preserve"> առավել</w:t>
      </w:r>
      <w:r w:rsidRPr="00EF7399">
        <w:rPr>
          <w:rFonts w:ascii="Times New Roman" w:hAnsi="Times New Roman" w:cs="Times New Roman"/>
          <w:lang w:val="af-ZA"/>
        </w:rPr>
        <w:t xml:space="preserve"> լայն</w:t>
      </w:r>
      <w:r w:rsidR="004911B9" w:rsidRPr="00EF7399">
        <w:rPr>
          <w:rFonts w:ascii="Times New Roman" w:hAnsi="Times New Roman" w:cs="Times New Roman"/>
          <w:lang w:val="hy-AM"/>
        </w:rPr>
        <w:t xml:space="preserve"> շրջանակ</w:t>
      </w:r>
      <w:bookmarkEnd w:id="55"/>
      <w:r w:rsidRPr="00EF7399">
        <w:rPr>
          <w:rFonts w:ascii="Times New Roman" w:hAnsi="Times New Roman" w:cs="Times New Roman"/>
          <w:lang w:val="af-ZA"/>
        </w:rPr>
        <w:t xml:space="preserve"> </w:t>
      </w:r>
      <w:bookmarkEnd w:id="52"/>
      <w:bookmarkEnd w:id="53"/>
      <w:bookmarkEnd w:id="54"/>
    </w:p>
    <w:p w14:paraId="674343A0" w14:textId="711528C3" w:rsidR="00034A8D" w:rsidRPr="00EF7399" w:rsidRDefault="00034A8D" w:rsidP="00034A8D">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76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F9686D" w:rsidRPr="00EF7399">
        <w:rPr>
          <w:rFonts w:ascii="Times New Roman" w:hAnsi="Times New Roman" w:cs="Times New Roman"/>
          <w:lang w:val="af-ZA"/>
        </w:rPr>
        <w:t xml:space="preserve">Կազմակերպիչների` այս կանոններին դիտավորյալ չհետևելը և ցույցի կամ դրա մի մասի </w:t>
      </w:r>
      <w:r w:rsidR="00CD17A4" w:rsidRPr="00EF7399">
        <w:rPr>
          <w:rFonts w:ascii="Times New Roman" w:hAnsi="Times New Roman" w:cs="Times New Roman"/>
          <w:lang w:val="af-ZA"/>
        </w:rPr>
        <w:t>այնպիսի կազմակերպումը, որը կխաթարի բնականոն կյանքը և գործունեության այլ ձևեր</w:t>
      </w:r>
      <w:r w:rsidR="004911B9" w:rsidRPr="00EF7399">
        <w:rPr>
          <w:rFonts w:ascii="Times New Roman" w:hAnsi="Times New Roman" w:cs="Times New Roman"/>
          <w:lang w:val="hy-AM"/>
        </w:rPr>
        <w:t>ն</w:t>
      </w:r>
      <w:r w:rsidR="00CD17A4" w:rsidRPr="00EF7399">
        <w:rPr>
          <w:rFonts w:ascii="Times New Roman" w:hAnsi="Times New Roman" w:cs="Times New Roman"/>
          <w:lang w:val="af-ZA"/>
        </w:rPr>
        <w:t xml:space="preserve"> ավելի մեծ ծավալով, քան անխուսափելի է տվյալ հանգամանքներում, գործելակերպ</w:t>
      </w:r>
      <w:r w:rsidR="004911B9" w:rsidRPr="00EF7399">
        <w:rPr>
          <w:rFonts w:ascii="Times New Roman" w:hAnsi="Times New Roman" w:cs="Times New Roman"/>
          <w:lang w:val="hy-AM"/>
        </w:rPr>
        <w:t xml:space="preserve"> է</w:t>
      </w:r>
      <w:r w:rsidR="00CD17A4" w:rsidRPr="00EF7399">
        <w:rPr>
          <w:rFonts w:ascii="Times New Roman" w:hAnsi="Times New Roman" w:cs="Times New Roman"/>
          <w:lang w:val="af-ZA"/>
        </w:rPr>
        <w:t>, որը չի կարող օգտվել Կոնվենցիայով նախատեսված այն</w:t>
      </w:r>
      <w:r w:rsidR="004911B9" w:rsidRPr="00EF7399">
        <w:rPr>
          <w:rFonts w:ascii="Times New Roman" w:hAnsi="Times New Roman" w:cs="Times New Roman"/>
          <w:lang w:val="hy-AM"/>
        </w:rPr>
        <w:t xml:space="preserve"> նույն</w:t>
      </w:r>
      <w:r w:rsidR="00CD17A4" w:rsidRPr="00EF7399">
        <w:rPr>
          <w:rFonts w:ascii="Times New Roman" w:hAnsi="Times New Roman" w:cs="Times New Roman"/>
          <w:lang w:val="af-ZA"/>
        </w:rPr>
        <w:t xml:space="preserve"> արտոնյալ պաշտպանությունից, ինչ հանրային հետաքրքրություն </w:t>
      </w:r>
      <w:r w:rsidR="004911B9" w:rsidRPr="00EF7399">
        <w:rPr>
          <w:rFonts w:ascii="Times New Roman" w:hAnsi="Times New Roman" w:cs="Times New Roman"/>
          <w:lang w:val="hy-AM"/>
        </w:rPr>
        <w:t>ներկայացնող</w:t>
      </w:r>
      <w:r w:rsidR="004911B9" w:rsidRPr="00EF7399">
        <w:rPr>
          <w:rFonts w:ascii="Times New Roman" w:hAnsi="Times New Roman" w:cs="Times New Roman"/>
          <w:lang w:val="af-ZA"/>
        </w:rPr>
        <w:t xml:space="preserve"> </w:t>
      </w:r>
      <w:r w:rsidR="00CD17A4" w:rsidRPr="00EF7399">
        <w:rPr>
          <w:rFonts w:ascii="Times New Roman" w:hAnsi="Times New Roman" w:cs="Times New Roman"/>
          <w:lang w:val="af-ZA"/>
        </w:rPr>
        <w:t xml:space="preserve">հարցերի վերաբերյալ քաղաքական խոսքը կամ բանավեճը կամ նման հարցերի վերաբերյալ կարծիքների խաղաղ արտահայտումը: </w:t>
      </w:r>
      <w:r w:rsidR="00F50836" w:rsidRPr="00EF7399">
        <w:rPr>
          <w:rFonts w:ascii="Times New Roman" w:hAnsi="Times New Roman" w:cs="Times New Roman"/>
          <w:lang w:val="af-ZA"/>
        </w:rPr>
        <w:t>Նման գործելակերպ</w:t>
      </w:r>
      <w:r w:rsidR="00BC1E85" w:rsidRPr="00EF7399">
        <w:rPr>
          <w:rFonts w:ascii="Times New Roman" w:hAnsi="Times New Roman" w:cs="Times New Roman"/>
          <w:lang w:val="af-ZA"/>
        </w:rPr>
        <w:t>ի</w:t>
      </w:r>
      <w:r w:rsidR="00F50836" w:rsidRPr="00EF7399">
        <w:rPr>
          <w:rFonts w:ascii="Times New Roman" w:hAnsi="Times New Roman" w:cs="Times New Roman"/>
          <w:lang w:val="af-ZA"/>
        </w:rPr>
        <w:t xml:space="preserve"> </w:t>
      </w:r>
      <w:r w:rsidR="004911B9" w:rsidRPr="00EF7399">
        <w:rPr>
          <w:rFonts w:ascii="Times New Roman" w:hAnsi="Times New Roman" w:cs="Times New Roman"/>
          <w:lang w:val="hy-AM"/>
        </w:rPr>
        <w:t>սահմանփակմանն ուղղված</w:t>
      </w:r>
      <w:r w:rsidR="004911B9" w:rsidRPr="00EF7399">
        <w:rPr>
          <w:rFonts w:ascii="Times New Roman" w:hAnsi="Times New Roman" w:cs="Times New Roman"/>
          <w:lang w:val="af-ZA"/>
        </w:rPr>
        <w:t xml:space="preserve"> </w:t>
      </w:r>
      <w:r w:rsidR="00BC1E85" w:rsidRPr="00EF7399">
        <w:rPr>
          <w:rFonts w:ascii="Times New Roman" w:hAnsi="Times New Roman" w:cs="Times New Roman"/>
          <w:lang w:val="af-ZA"/>
        </w:rPr>
        <w:t xml:space="preserve">միջոցներ ձեռնարկելու անհրաժեշտությունը գնահատելիս </w:t>
      </w:r>
      <w:r w:rsidR="00F50836" w:rsidRPr="00EF7399">
        <w:rPr>
          <w:rFonts w:ascii="Times New Roman" w:hAnsi="Times New Roman" w:cs="Times New Roman"/>
          <w:lang w:val="af-ZA"/>
        </w:rPr>
        <w:t>Պայմանավորվող կողմերն օգտվում են հայեցողությ</w:t>
      </w:r>
      <w:r w:rsidR="004911B9" w:rsidRPr="00EF7399">
        <w:rPr>
          <w:rFonts w:ascii="Times New Roman" w:hAnsi="Times New Roman" w:cs="Times New Roman"/>
          <w:lang w:val="hy-AM"/>
        </w:rPr>
        <w:t xml:space="preserve">ան </w:t>
      </w:r>
      <w:r w:rsidR="004911B9" w:rsidRPr="00EF7399">
        <w:rPr>
          <w:rFonts w:ascii="Times New Roman" w:hAnsi="Times New Roman" w:cs="Times New Roman"/>
          <w:lang w:val="af-ZA"/>
        </w:rPr>
        <w:t xml:space="preserve">լայն </w:t>
      </w:r>
      <w:r w:rsidR="004911B9" w:rsidRPr="00EF7399">
        <w:rPr>
          <w:rFonts w:ascii="Times New Roman" w:hAnsi="Times New Roman" w:cs="Times New Roman"/>
          <w:lang w:val="hy-AM"/>
        </w:rPr>
        <w:t>շրջանակից</w:t>
      </w:r>
      <w:r w:rsidR="00BC1E85" w:rsidRPr="00EF7399">
        <w:rPr>
          <w:rFonts w:ascii="Times New Roman" w:hAnsi="Times New Roman" w:cs="Times New Roman"/>
          <w:lang w:val="af-ZA"/>
        </w:rPr>
        <w:t xml:space="preserve"> </w:t>
      </w:r>
      <w:r w:rsidR="0081194B" w:rsidRPr="00EF7399">
        <w:rPr>
          <w:rFonts w:ascii="Times New Roman" w:hAnsi="Times New Roman" w:cs="Times New Roman"/>
          <w:lang w:val="af-ZA"/>
        </w:rPr>
        <w:t>(</w:t>
      </w:r>
      <w:hyperlink r:id="rId203" w:history="1">
        <w:r w:rsidR="0081194B" w:rsidRPr="00EF7399">
          <w:rPr>
            <w:rStyle w:val="Hyperlink"/>
            <w:rFonts w:ascii="Times New Roman" w:hAnsi="Times New Roman" w:cs="Times New Roman"/>
            <w:lang w:val="af-ZA"/>
          </w:rPr>
          <w:t>Kudrevičius and Others</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Lithuania</w:t>
        </w:r>
      </w:hyperlink>
      <w:r w:rsidR="0081194B" w:rsidRPr="00EF7399">
        <w:rPr>
          <w:rFonts w:ascii="Times New Roman" w:hAnsi="Times New Roman" w:cs="Times New Roman"/>
          <w:i/>
          <w:lang w:val="af-ZA"/>
        </w:rPr>
        <w:t xml:space="preserve"> </w:t>
      </w:r>
      <w:r w:rsidR="0081194B" w:rsidRPr="00EF7399">
        <w:rPr>
          <w:rFonts w:ascii="Times New Roman" w:hAnsi="Times New Roman" w:cs="Times New Roman"/>
          <w:lang w:val="af-ZA"/>
        </w:rPr>
        <w:t xml:space="preserve">[GC], </w:t>
      </w:r>
      <w:r w:rsidR="00F00CD1"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156)</w:t>
      </w:r>
      <w:r w:rsidR="00BC1E85" w:rsidRPr="00EF7399">
        <w:rPr>
          <w:rFonts w:ascii="Times New Roman" w:hAnsi="Times New Roman" w:cs="Times New Roman"/>
          <w:lang w:val="af-ZA"/>
        </w:rPr>
        <w:t>: Այս նկատառումները հավասարապես կիրառելի են համարվել այն արարքների դեպքում, որոնք</w:t>
      </w:r>
      <w:r w:rsidR="004911B9" w:rsidRPr="00EF7399">
        <w:rPr>
          <w:rFonts w:ascii="Times New Roman" w:hAnsi="Times New Roman" w:cs="Times New Roman"/>
          <w:lang w:val="hy-AM"/>
        </w:rPr>
        <w:t xml:space="preserve">, թեև ոչ բռնի, </w:t>
      </w:r>
      <w:r w:rsidR="00BC1E85" w:rsidRPr="00EF7399">
        <w:rPr>
          <w:rFonts w:ascii="Times New Roman" w:hAnsi="Times New Roman" w:cs="Times New Roman"/>
          <w:lang w:val="af-ZA"/>
        </w:rPr>
        <w:t>լրջորեն խոչընդոտում են արդարադատության պատշաճ իրա</w:t>
      </w:r>
      <w:r w:rsidR="00AE7B1F" w:rsidRPr="00EF7399">
        <w:rPr>
          <w:rFonts w:ascii="Times New Roman" w:hAnsi="Times New Roman" w:cs="Times New Roman"/>
          <w:lang w:val="hy-AM"/>
        </w:rPr>
        <w:t>կ</w:t>
      </w:r>
      <w:r w:rsidR="00BC1E85" w:rsidRPr="00EF7399">
        <w:rPr>
          <w:rFonts w:ascii="Times New Roman" w:hAnsi="Times New Roman" w:cs="Times New Roman"/>
          <w:lang w:val="af-ZA"/>
        </w:rPr>
        <w:t xml:space="preserve">անացմանը </w:t>
      </w:r>
      <w:r w:rsidR="00D6657E" w:rsidRPr="00EF7399">
        <w:rPr>
          <w:rFonts w:ascii="Times New Roman" w:hAnsi="Times New Roman" w:cs="Times New Roman"/>
          <w:lang w:val="af-ZA"/>
        </w:rPr>
        <w:t>(</w:t>
      </w:r>
      <w:hyperlink r:id="rId204" w:history="1">
        <w:r w:rsidR="00D6657E" w:rsidRPr="00EF7399">
          <w:rPr>
            <w:rStyle w:val="Hyperlink"/>
            <w:rFonts w:ascii="Times New Roman" w:hAnsi="Times New Roman" w:cs="Times New Roman"/>
            <w:iCs/>
            <w:lang w:val="af-ZA"/>
          </w:rPr>
          <w:t>Ekrem Can and Others</w:t>
        </w:r>
        <w:r w:rsidR="00873234" w:rsidRPr="00EF7399">
          <w:rPr>
            <w:rStyle w:val="Hyperlink"/>
            <w:rFonts w:ascii="Times New Roman" w:hAnsi="Times New Roman" w:cs="Times New Roman"/>
            <w:iCs/>
            <w:lang w:val="af-ZA"/>
          </w:rPr>
          <w:t xml:space="preserve"> v. </w:t>
        </w:r>
        <w:r w:rsidR="00D6657E" w:rsidRPr="00EF7399">
          <w:rPr>
            <w:rStyle w:val="Hyperlink"/>
            <w:rFonts w:ascii="Times New Roman" w:hAnsi="Times New Roman" w:cs="Times New Roman"/>
            <w:iCs/>
            <w:lang w:val="af-ZA"/>
          </w:rPr>
          <w:t>Turkey</w:t>
        </w:r>
      </w:hyperlink>
      <w:r w:rsidR="00D6657E" w:rsidRPr="00EF7399">
        <w:rPr>
          <w:rFonts w:ascii="Times New Roman" w:hAnsi="Times New Roman" w:cs="Times New Roman"/>
          <w:lang w:val="af-ZA"/>
        </w:rPr>
        <w:t xml:space="preserve">, 2022, </w:t>
      </w:r>
      <w:r w:rsidR="00873234" w:rsidRPr="00EF7399">
        <w:rPr>
          <w:rFonts w:ascii="Times New Roman" w:hAnsi="Times New Roman" w:cs="Times New Roman"/>
          <w:lang w:val="af-ZA"/>
        </w:rPr>
        <w:t>§ </w:t>
      </w:r>
      <w:r w:rsidR="00D6657E" w:rsidRPr="00EF7399">
        <w:rPr>
          <w:rFonts w:ascii="Times New Roman" w:hAnsi="Times New Roman" w:cs="Times New Roman"/>
          <w:lang w:val="af-ZA"/>
        </w:rPr>
        <w:t>91)</w:t>
      </w:r>
      <w:r w:rsidR="00BC1E85" w:rsidRPr="00EF7399">
        <w:rPr>
          <w:rFonts w:ascii="Times New Roman" w:hAnsi="Times New Roman" w:cs="Times New Roman"/>
          <w:lang w:val="af-ZA"/>
        </w:rPr>
        <w:t>:</w:t>
      </w:r>
    </w:p>
    <w:bookmarkStart w:id="56" w:name="Para73_however_acting_within"/>
    <w:p w14:paraId="1A864F4F" w14:textId="68EE56B3" w:rsidR="00034A8D" w:rsidRPr="00EF7399" w:rsidRDefault="00034A8D" w:rsidP="00034A8D">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77</w:t>
      </w:r>
      <w:r w:rsidRPr="00EF7399">
        <w:rPr>
          <w:rFonts w:ascii="Times New Roman" w:hAnsi="Times New Roman" w:cs="Times New Roman"/>
          <w:lang w:val="af-ZA"/>
        </w:rPr>
        <w:fldChar w:fldCharType="end"/>
      </w:r>
      <w:bookmarkEnd w:id="56"/>
      <w:r w:rsidRPr="00EF7399">
        <w:rPr>
          <w:rFonts w:ascii="Times New Roman" w:hAnsi="Times New Roman" w:cs="Times New Roman"/>
          <w:lang w:val="af-ZA"/>
        </w:rPr>
        <w:t>.  </w:t>
      </w:r>
      <w:r w:rsidR="00BC1E85" w:rsidRPr="00EF7399">
        <w:rPr>
          <w:rFonts w:ascii="Times New Roman" w:hAnsi="Times New Roman" w:cs="Times New Roman"/>
          <w:lang w:val="af-ZA"/>
        </w:rPr>
        <w:t>Այդ հայեցողության շրջանակում գործելով</w:t>
      </w:r>
      <w:r w:rsidR="008C766A" w:rsidRPr="00EF7399">
        <w:rPr>
          <w:rFonts w:ascii="Times New Roman" w:hAnsi="Times New Roman" w:cs="Times New Roman"/>
          <w:lang w:val="hy-AM"/>
        </w:rPr>
        <w:t>՝</w:t>
      </w:r>
      <w:r w:rsidR="00BC1E85" w:rsidRPr="00EF7399">
        <w:rPr>
          <w:rFonts w:ascii="Times New Roman" w:hAnsi="Times New Roman" w:cs="Times New Roman"/>
          <w:lang w:val="af-ZA"/>
        </w:rPr>
        <w:t xml:space="preserve"> ազգային իշխանությունները, այդուհանդերձ, պետք է կիրառեն չափանիշներ, որոնք համապատասխանում են 11-րդ հոդվածում ամրագրված սկզբունքներին</w:t>
      </w:r>
      <w:r w:rsidR="008C766A" w:rsidRPr="00EF7399">
        <w:rPr>
          <w:rFonts w:ascii="Times New Roman" w:hAnsi="Times New Roman" w:cs="Times New Roman"/>
          <w:lang w:val="hy-AM"/>
        </w:rPr>
        <w:t>,</w:t>
      </w:r>
      <w:r w:rsidR="00BC1E85" w:rsidRPr="00EF7399">
        <w:rPr>
          <w:rFonts w:ascii="Times New Roman" w:hAnsi="Times New Roman" w:cs="Times New Roman"/>
          <w:lang w:val="af-ZA"/>
        </w:rPr>
        <w:t xml:space="preserve"> և նրանց որոշումները պետք է հիմնվեն վերաբերելի փաստերի ընդունելի գնահատման վրա, </w:t>
      </w:r>
      <w:r w:rsidR="008C766A" w:rsidRPr="00EF7399">
        <w:rPr>
          <w:rFonts w:ascii="Times New Roman" w:hAnsi="Times New Roman" w:cs="Times New Roman"/>
          <w:lang w:val="hy-AM"/>
        </w:rPr>
        <w:t>որպիսի ձախողումը</w:t>
      </w:r>
      <w:r w:rsidR="00BC1E85" w:rsidRPr="00EF7399">
        <w:rPr>
          <w:rFonts w:ascii="Times New Roman" w:hAnsi="Times New Roman" w:cs="Times New Roman"/>
          <w:lang w:val="af-ZA"/>
        </w:rPr>
        <w:t xml:space="preserve"> կարող է հանգեցնել 11-րդ հոդվածի խախտման </w:t>
      </w:r>
      <w:r w:rsidRPr="00EF7399">
        <w:rPr>
          <w:rFonts w:ascii="Times New Roman" w:hAnsi="Times New Roman" w:cs="Times New Roman"/>
          <w:lang w:val="af-ZA"/>
        </w:rPr>
        <w:t>(</w:t>
      </w:r>
      <w:hyperlink r:id="rId205" w:history="1">
        <w:r w:rsidR="00C5605A" w:rsidRPr="00EF7399">
          <w:rPr>
            <w:rStyle w:val="Hyperlink"/>
            <w:rFonts w:ascii="Times New Roman" w:hAnsi="Times New Roman" w:cs="Times New Roman"/>
            <w:lang w:val="af-ZA"/>
          </w:rPr>
          <w:t>Körtvélyessy</w:t>
        </w:r>
        <w:r w:rsidR="00873234" w:rsidRPr="00EF7399">
          <w:rPr>
            <w:rStyle w:val="Hyperlink"/>
            <w:rFonts w:ascii="Times New Roman" w:hAnsi="Times New Roman" w:cs="Times New Roman"/>
            <w:lang w:val="af-ZA"/>
          </w:rPr>
          <w:t xml:space="preserve"> v. </w:t>
        </w:r>
        <w:r w:rsidR="00C5605A" w:rsidRPr="00EF7399">
          <w:rPr>
            <w:rStyle w:val="Hyperlink"/>
            <w:rFonts w:ascii="Times New Roman" w:hAnsi="Times New Roman" w:cs="Times New Roman"/>
            <w:lang w:val="af-ZA"/>
          </w:rPr>
          <w:t>Hungary</w:t>
        </w:r>
      </w:hyperlink>
      <w:r w:rsidR="003D7151" w:rsidRPr="00EF7399">
        <w:rPr>
          <w:rFonts w:ascii="Times New Roman" w:hAnsi="Times New Roman" w:cs="Times New Roman"/>
          <w:lang w:val="af-ZA"/>
        </w:rPr>
        <w:t xml:space="preserve">, </w:t>
      </w:r>
      <w:r w:rsidR="00F00CD1" w:rsidRPr="00EF7399">
        <w:rPr>
          <w:rFonts w:ascii="Times New Roman" w:hAnsi="Times New Roman" w:cs="Times New Roman"/>
          <w:lang w:val="af-ZA"/>
        </w:rPr>
        <w:t xml:space="preserve">2016, </w:t>
      </w:r>
      <w:r w:rsidR="003D7151" w:rsidRPr="00EF7399">
        <w:rPr>
          <w:rFonts w:ascii="Times New Roman" w:hAnsi="Times New Roman" w:cs="Times New Roman"/>
          <w:lang w:val="af-ZA"/>
        </w:rPr>
        <w:t>§</w:t>
      </w:r>
      <w:r w:rsidR="00873234" w:rsidRPr="00EF7399">
        <w:rPr>
          <w:rFonts w:ascii="Times New Roman" w:hAnsi="Times New Roman" w:cs="Times New Roman"/>
          <w:lang w:val="af-ZA"/>
        </w:rPr>
        <w:t>§ </w:t>
      </w:r>
      <w:r w:rsidR="003D7151" w:rsidRPr="00EF7399">
        <w:rPr>
          <w:rFonts w:ascii="Times New Roman" w:hAnsi="Times New Roman" w:cs="Times New Roman"/>
          <w:lang w:val="af-ZA"/>
        </w:rPr>
        <w:t xml:space="preserve">26-29; </w:t>
      </w:r>
      <w:r w:rsidR="00BC1E85" w:rsidRPr="00EF7399">
        <w:rPr>
          <w:rFonts w:ascii="Times New Roman" w:hAnsi="Times New Roman" w:cs="Times New Roman"/>
          <w:lang w:val="af-ZA"/>
        </w:rPr>
        <w:t>տե՛ս</w:t>
      </w:r>
      <w:r w:rsidR="003D7151" w:rsidRPr="00EF7399">
        <w:rPr>
          <w:rFonts w:ascii="Times New Roman" w:hAnsi="Times New Roman" w:cs="Times New Roman"/>
          <w:lang w:val="af-ZA"/>
        </w:rPr>
        <w:t xml:space="preserve"> </w:t>
      </w:r>
      <w:r w:rsidR="00BC1E85" w:rsidRPr="00EF7399">
        <w:rPr>
          <w:rFonts w:ascii="Times New Roman" w:hAnsi="Times New Roman" w:cs="Times New Roman"/>
          <w:lang w:val="af-ZA"/>
        </w:rPr>
        <w:t>«</w:t>
      </w:r>
      <w:r w:rsidR="002903DE" w:rsidRPr="00EF7399">
        <w:rPr>
          <w:rFonts w:ascii="Times New Roman" w:hAnsi="Times New Roman" w:cs="Times New Roman"/>
          <w:lang w:val="af-ZA"/>
        </w:rPr>
        <w:fldChar w:fldCharType="begin"/>
      </w:r>
      <w:r w:rsidR="002903DE" w:rsidRPr="00EF7399">
        <w:rPr>
          <w:rFonts w:ascii="Times New Roman" w:hAnsi="Times New Roman" w:cs="Times New Roman"/>
          <w:lang w:val="af-ZA"/>
        </w:rPr>
        <w:instrText xml:space="preserve"> REF Unlawful_assembly \h </w:instrText>
      </w:r>
      <w:r w:rsidR="00B40BA9" w:rsidRPr="00EF7399">
        <w:rPr>
          <w:rFonts w:ascii="Times New Roman" w:hAnsi="Times New Roman" w:cs="Times New Roman"/>
          <w:lang w:val="af-ZA"/>
        </w:rPr>
        <w:instrText xml:space="preserve"> \* MERGEFORMAT </w:instrText>
      </w:r>
      <w:r w:rsidR="002903DE" w:rsidRPr="00EF7399">
        <w:rPr>
          <w:rFonts w:ascii="Times New Roman" w:hAnsi="Times New Roman" w:cs="Times New Roman"/>
          <w:lang w:val="af-ZA"/>
        </w:rPr>
      </w:r>
      <w:r w:rsidR="002903DE" w:rsidRPr="00EF7399">
        <w:rPr>
          <w:rFonts w:ascii="Times New Roman" w:hAnsi="Times New Roman" w:cs="Times New Roman"/>
          <w:lang w:val="af-ZA"/>
        </w:rPr>
        <w:fldChar w:fldCharType="separate"/>
      </w:r>
      <w:r w:rsidR="00BC1E85" w:rsidRPr="00EF7399">
        <w:rPr>
          <w:rFonts w:ascii="Times New Roman" w:hAnsi="Times New Roman" w:cs="Times New Roman"/>
          <w:lang w:val="af-ZA"/>
        </w:rPr>
        <w:t>Ա</w:t>
      </w:r>
      <w:r w:rsidR="009A66BC">
        <w:rPr>
          <w:rFonts w:ascii="Times New Roman" w:hAnsi="Times New Roman" w:cs="Times New Roman"/>
          <w:lang w:val="hy-AM"/>
        </w:rPr>
        <w:t>նօրինական</w:t>
      </w:r>
      <w:r w:rsidR="00BC1E85" w:rsidRPr="00EF7399">
        <w:rPr>
          <w:rFonts w:ascii="Times New Roman" w:hAnsi="Times New Roman" w:cs="Times New Roman"/>
          <w:lang w:val="af-ZA"/>
        </w:rPr>
        <w:t xml:space="preserve"> հավաք</w:t>
      </w:r>
      <w:r w:rsidR="002903DE" w:rsidRPr="00EF7399">
        <w:rPr>
          <w:rFonts w:ascii="Times New Roman" w:hAnsi="Times New Roman" w:cs="Times New Roman"/>
          <w:lang w:val="af-ZA"/>
        </w:rPr>
        <w:fldChar w:fldCharType="end"/>
      </w:r>
      <w:r w:rsidR="00BC1E85" w:rsidRPr="00EF7399">
        <w:rPr>
          <w:rFonts w:ascii="Times New Roman" w:hAnsi="Times New Roman" w:cs="Times New Roman"/>
          <w:lang w:val="af-ZA"/>
        </w:rPr>
        <w:t>»</w:t>
      </w:r>
      <w:r w:rsidR="00EE2DC6" w:rsidRPr="00EF7399">
        <w:rPr>
          <w:rFonts w:ascii="Times New Roman" w:hAnsi="Times New Roman" w:cs="Times New Roman"/>
          <w:lang w:val="af-ZA"/>
        </w:rPr>
        <w:t xml:space="preserve"> բաժինը</w:t>
      </w:r>
      <w:r w:rsidRPr="00EF7399">
        <w:rPr>
          <w:rFonts w:ascii="Times New Roman" w:hAnsi="Times New Roman" w:cs="Times New Roman"/>
          <w:lang w:val="af-ZA"/>
        </w:rPr>
        <w:t>)</w:t>
      </w:r>
      <w:r w:rsidR="00EE2DC6" w:rsidRPr="00EF7399">
        <w:rPr>
          <w:rFonts w:ascii="Times New Roman" w:hAnsi="Times New Roman" w:cs="Times New Roman"/>
          <w:lang w:val="af-ZA"/>
        </w:rPr>
        <w:t xml:space="preserve">: Ինչ վերաբերում է ազգային իշխանությունների </w:t>
      </w:r>
      <w:r w:rsidR="008E1404" w:rsidRPr="00EF7399">
        <w:rPr>
          <w:rFonts w:ascii="Times New Roman" w:hAnsi="Times New Roman" w:cs="Times New Roman"/>
          <w:lang w:val="hy-AM"/>
        </w:rPr>
        <w:t>կիրառած</w:t>
      </w:r>
      <w:r w:rsidR="008E1404" w:rsidRPr="00EF7399">
        <w:rPr>
          <w:rFonts w:ascii="Times New Roman" w:hAnsi="Times New Roman" w:cs="Times New Roman"/>
          <w:lang w:val="af-ZA"/>
        </w:rPr>
        <w:t xml:space="preserve"> </w:t>
      </w:r>
      <w:r w:rsidR="00EE2DC6" w:rsidRPr="00EF7399">
        <w:rPr>
          <w:rFonts w:ascii="Times New Roman" w:hAnsi="Times New Roman" w:cs="Times New Roman"/>
          <w:lang w:val="af-ZA"/>
        </w:rPr>
        <w:t>պատժամիջոցներին, ապա Պայմանավորվող կողմերը չունեն անսահման</w:t>
      </w:r>
      <w:r w:rsidR="00E75C22" w:rsidRPr="00EF7399">
        <w:rPr>
          <w:rFonts w:ascii="Times New Roman" w:hAnsi="Times New Roman" w:cs="Times New Roman"/>
          <w:lang w:val="hy-AM"/>
        </w:rPr>
        <w:t>ափակ</w:t>
      </w:r>
      <w:r w:rsidR="00EE2DC6" w:rsidRPr="00EF7399">
        <w:rPr>
          <w:rFonts w:ascii="Times New Roman" w:hAnsi="Times New Roman" w:cs="Times New Roman"/>
          <w:lang w:val="af-ZA"/>
        </w:rPr>
        <w:t xml:space="preserve"> հայեցողություն</w:t>
      </w:r>
      <w:r w:rsidR="00535380" w:rsidRPr="00EF7399">
        <w:rPr>
          <w:rFonts w:ascii="Times New Roman" w:hAnsi="Times New Roman" w:cs="Times New Roman"/>
          <w:lang w:val="hy-AM"/>
        </w:rPr>
        <w:t>՝</w:t>
      </w:r>
      <w:r w:rsidR="00EE2DC6" w:rsidRPr="00EF7399">
        <w:rPr>
          <w:rFonts w:ascii="Times New Roman" w:hAnsi="Times New Roman" w:cs="Times New Roman"/>
          <w:lang w:val="af-ZA"/>
        </w:rPr>
        <w:t xml:space="preserve"> </w:t>
      </w:r>
      <w:r w:rsidR="00E75C22" w:rsidRPr="00EF7399">
        <w:rPr>
          <w:rFonts w:ascii="Times New Roman" w:hAnsi="Times New Roman" w:cs="Times New Roman"/>
          <w:lang w:val="af-ZA"/>
        </w:rPr>
        <w:t>կիրառելու իրենց կարծիքով նպատակահարմար ցանկացած միջոց</w:t>
      </w:r>
      <w:r w:rsidR="00535380" w:rsidRPr="00EF7399">
        <w:rPr>
          <w:rFonts w:ascii="Times New Roman" w:hAnsi="Times New Roman" w:cs="Times New Roman"/>
          <w:lang w:val="hy-AM"/>
        </w:rPr>
        <w:t>,</w:t>
      </w:r>
      <w:r w:rsidR="00E75C22" w:rsidRPr="00EF7399">
        <w:rPr>
          <w:rFonts w:ascii="Times New Roman" w:hAnsi="Times New Roman" w:cs="Times New Roman"/>
          <w:lang w:val="af-ZA"/>
        </w:rPr>
        <w:t xml:space="preserve"> </w:t>
      </w:r>
      <w:r w:rsidR="00EE2DC6" w:rsidRPr="00EF7399">
        <w:rPr>
          <w:rFonts w:ascii="Times New Roman" w:hAnsi="Times New Roman" w:cs="Times New Roman"/>
          <w:lang w:val="af-ZA"/>
        </w:rPr>
        <w:t>և Դատարան</w:t>
      </w:r>
      <w:r w:rsidR="00535380" w:rsidRPr="00EF7399">
        <w:rPr>
          <w:rFonts w:ascii="Times New Roman" w:hAnsi="Times New Roman" w:cs="Times New Roman"/>
          <w:lang w:val="hy-AM"/>
        </w:rPr>
        <w:t>ն է գնահատում</w:t>
      </w:r>
      <w:r w:rsidR="00EE2DC6" w:rsidRPr="00EF7399">
        <w:rPr>
          <w:rFonts w:ascii="Times New Roman" w:hAnsi="Times New Roman" w:cs="Times New Roman"/>
          <w:lang w:val="af-ZA"/>
        </w:rPr>
        <w:t xml:space="preserve"> հասարակական </w:t>
      </w:r>
      <w:r w:rsidR="00535380" w:rsidRPr="00EF7399">
        <w:rPr>
          <w:rFonts w:ascii="Times New Roman" w:hAnsi="Times New Roman" w:cs="Times New Roman"/>
          <w:lang w:val="hy-AM"/>
        </w:rPr>
        <w:t>կարգի</w:t>
      </w:r>
      <w:r w:rsidR="00535380" w:rsidRPr="00EF7399">
        <w:rPr>
          <w:rFonts w:ascii="Times New Roman" w:hAnsi="Times New Roman" w:cs="Times New Roman"/>
          <w:lang w:val="af-ZA"/>
        </w:rPr>
        <w:t xml:space="preserve"> որոշակի</w:t>
      </w:r>
      <w:r w:rsidR="00535380" w:rsidRPr="00EF7399">
        <w:rPr>
          <w:rFonts w:ascii="Times New Roman" w:hAnsi="Times New Roman" w:cs="Times New Roman"/>
          <w:lang w:val="hy-AM"/>
        </w:rPr>
        <w:t xml:space="preserve"> խախտումների</w:t>
      </w:r>
      <w:r w:rsidR="00535380" w:rsidRPr="00EF7399">
        <w:rPr>
          <w:rFonts w:ascii="Times New Roman" w:hAnsi="Times New Roman" w:cs="Times New Roman"/>
          <w:lang w:val="af-ZA"/>
        </w:rPr>
        <w:t xml:space="preserve"> </w:t>
      </w:r>
      <w:r w:rsidR="00EE2DC6" w:rsidRPr="00EF7399">
        <w:rPr>
          <w:rFonts w:ascii="Times New Roman" w:hAnsi="Times New Roman" w:cs="Times New Roman"/>
          <w:lang w:val="af-ZA"/>
        </w:rPr>
        <w:t xml:space="preserve">հանգեցրած </w:t>
      </w:r>
      <w:r w:rsidR="00535380" w:rsidRPr="00EF7399">
        <w:rPr>
          <w:rFonts w:ascii="Times New Roman" w:hAnsi="Times New Roman" w:cs="Times New Roman"/>
          <w:lang w:val="hy-AM"/>
        </w:rPr>
        <w:t>վարքագծի</w:t>
      </w:r>
      <w:r w:rsidR="00535380" w:rsidRPr="00EF7399">
        <w:rPr>
          <w:rFonts w:ascii="Times New Roman" w:hAnsi="Times New Roman" w:cs="Times New Roman"/>
          <w:lang w:val="af-ZA"/>
        </w:rPr>
        <w:t xml:space="preserve"> </w:t>
      </w:r>
      <w:r w:rsidR="00EE2DC6" w:rsidRPr="00EF7399">
        <w:rPr>
          <w:rFonts w:ascii="Times New Roman" w:hAnsi="Times New Roman" w:cs="Times New Roman"/>
          <w:lang w:val="af-ZA"/>
        </w:rPr>
        <w:t xml:space="preserve">համար </w:t>
      </w:r>
      <w:r w:rsidR="00535380" w:rsidRPr="00EF7399">
        <w:rPr>
          <w:rFonts w:ascii="Times New Roman" w:hAnsi="Times New Roman" w:cs="Times New Roman"/>
          <w:lang w:val="hy-AM"/>
        </w:rPr>
        <w:t>կիրառված</w:t>
      </w:r>
      <w:r w:rsidR="00535380" w:rsidRPr="00EF7399">
        <w:rPr>
          <w:rFonts w:ascii="Times New Roman" w:hAnsi="Times New Roman" w:cs="Times New Roman"/>
          <w:lang w:val="af-ZA"/>
        </w:rPr>
        <w:t xml:space="preserve"> </w:t>
      </w:r>
      <w:r w:rsidR="00EE2DC6" w:rsidRPr="00EF7399">
        <w:rPr>
          <w:rFonts w:ascii="Times New Roman" w:hAnsi="Times New Roman" w:cs="Times New Roman"/>
          <w:lang w:val="af-ZA"/>
        </w:rPr>
        <w:t>պատիժների բնույթը և խստությունը</w:t>
      </w:r>
      <w:r w:rsidR="008D2269" w:rsidRPr="00EF7399">
        <w:rPr>
          <w:rFonts w:ascii="Times New Roman" w:hAnsi="Times New Roman" w:cs="Times New Roman"/>
          <w:lang w:val="af-ZA"/>
        </w:rPr>
        <w:t>` նպատակ ունենալով ուսումնասիրել</w:t>
      </w:r>
      <w:r w:rsidR="00EE2DC6" w:rsidRPr="00EF7399">
        <w:rPr>
          <w:rFonts w:ascii="Times New Roman" w:hAnsi="Times New Roman" w:cs="Times New Roman"/>
          <w:lang w:val="af-ZA"/>
        </w:rPr>
        <w:t xml:space="preserve"> </w:t>
      </w:r>
      <w:r w:rsidR="008D2269" w:rsidRPr="00EF7399">
        <w:rPr>
          <w:rFonts w:ascii="Times New Roman" w:hAnsi="Times New Roman" w:cs="Times New Roman"/>
          <w:lang w:val="af-ZA"/>
        </w:rPr>
        <w:t xml:space="preserve">միջամտության համաչափությունը </w:t>
      </w:r>
      <w:r w:rsidR="00EE2DC6" w:rsidRPr="00EF7399">
        <w:rPr>
          <w:rFonts w:ascii="Times New Roman" w:hAnsi="Times New Roman" w:cs="Times New Roman"/>
          <w:lang w:val="af-ZA"/>
        </w:rPr>
        <w:t>հետապնդած նպատակի</w:t>
      </w:r>
      <w:r w:rsidR="008D2269" w:rsidRPr="00EF7399">
        <w:rPr>
          <w:rFonts w:ascii="Times New Roman" w:hAnsi="Times New Roman" w:cs="Times New Roman"/>
          <w:lang w:val="af-ZA"/>
        </w:rPr>
        <w:t xml:space="preserve">ն </w:t>
      </w:r>
      <w:r w:rsidR="00AC3641" w:rsidRPr="00EF7399">
        <w:rPr>
          <w:rFonts w:ascii="Times New Roman" w:hAnsi="Times New Roman" w:cs="Times New Roman"/>
          <w:lang w:val="af-ZA"/>
        </w:rPr>
        <w:t>(</w:t>
      </w:r>
      <w:bookmarkStart w:id="57" w:name="_Hlk97295351"/>
      <w:r w:rsidR="00AC3641" w:rsidRPr="00EF7399">
        <w:rPr>
          <w:rFonts w:ascii="Times New Roman" w:hAnsi="Times New Roman" w:cs="Times New Roman"/>
          <w:i/>
          <w:iCs/>
          <w:lang w:val="af-ZA"/>
        </w:rPr>
        <w:fldChar w:fldCharType="begin"/>
      </w:r>
      <w:r w:rsidR="00AC3641" w:rsidRPr="00EF7399">
        <w:rPr>
          <w:rFonts w:ascii="Times New Roman" w:hAnsi="Times New Roman" w:cs="Times New Roman"/>
          <w:i/>
          <w:iCs/>
          <w:lang w:val="af-ZA"/>
        </w:rPr>
        <w:instrText xml:space="preserve"> HYPERLINK "https://hudoc.echr.coe.int/eng?i=001-216156" </w:instrText>
      </w:r>
      <w:r w:rsidR="00AC3641" w:rsidRPr="00EF7399">
        <w:rPr>
          <w:rFonts w:ascii="Times New Roman" w:hAnsi="Times New Roman" w:cs="Times New Roman"/>
          <w:i/>
          <w:iCs/>
          <w:lang w:val="af-ZA"/>
        </w:rPr>
      </w:r>
      <w:r w:rsidR="00AC3641" w:rsidRPr="00EF7399">
        <w:rPr>
          <w:rFonts w:ascii="Times New Roman" w:hAnsi="Times New Roman" w:cs="Times New Roman"/>
          <w:i/>
          <w:iCs/>
          <w:lang w:val="af-ZA"/>
        </w:rPr>
        <w:fldChar w:fldCharType="separate"/>
      </w:r>
      <w:r w:rsidR="00AC3641" w:rsidRPr="00EF7399">
        <w:rPr>
          <w:rStyle w:val="Hyperlink"/>
          <w:rFonts w:ascii="Times New Roman" w:hAnsi="Times New Roman" w:cs="Times New Roman"/>
          <w:iCs/>
          <w:lang w:val="af-ZA"/>
        </w:rPr>
        <w:t>Ekrem Can and Others</w:t>
      </w:r>
      <w:r w:rsidR="00873234" w:rsidRPr="00EF7399">
        <w:rPr>
          <w:rStyle w:val="Hyperlink"/>
          <w:rFonts w:ascii="Times New Roman" w:hAnsi="Times New Roman" w:cs="Times New Roman"/>
          <w:iCs/>
          <w:lang w:val="af-ZA"/>
        </w:rPr>
        <w:t xml:space="preserve"> v. </w:t>
      </w:r>
      <w:r w:rsidR="00AC3641" w:rsidRPr="00EF7399">
        <w:rPr>
          <w:rStyle w:val="Hyperlink"/>
          <w:rFonts w:ascii="Times New Roman" w:hAnsi="Times New Roman" w:cs="Times New Roman"/>
          <w:iCs/>
          <w:lang w:val="af-ZA"/>
        </w:rPr>
        <w:t>Turkey</w:t>
      </w:r>
      <w:r w:rsidR="00AC3641" w:rsidRPr="00EF7399">
        <w:rPr>
          <w:rFonts w:ascii="Times New Roman" w:hAnsi="Times New Roman" w:cs="Times New Roman"/>
          <w:lang w:val="af-ZA"/>
        </w:rPr>
        <w:fldChar w:fldCharType="end"/>
      </w:r>
      <w:r w:rsidR="00AC3641" w:rsidRPr="00EF7399">
        <w:rPr>
          <w:rFonts w:ascii="Times New Roman" w:hAnsi="Times New Roman" w:cs="Times New Roman"/>
          <w:lang w:val="af-ZA"/>
        </w:rPr>
        <w:t xml:space="preserve">, 2022, </w:t>
      </w:r>
      <w:r w:rsidR="00873234" w:rsidRPr="00EF7399">
        <w:rPr>
          <w:rFonts w:ascii="Times New Roman" w:hAnsi="Times New Roman" w:cs="Times New Roman"/>
          <w:lang w:val="af-ZA"/>
        </w:rPr>
        <w:t>§ </w:t>
      </w:r>
      <w:r w:rsidR="00AC3641" w:rsidRPr="00EF7399">
        <w:rPr>
          <w:rFonts w:ascii="Times New Roman" w:hAnsi="Times New Roman" w:cs="Times New Roman"/>
          <w:lang w:val="af-ZA"/>
        </w:rPr>
        <w:t xml:space="preserve">91, </w:t>
      </w:r>
      <w:r w:rsidR="008D2269" w:rsidRPr="00EF7399">
        <w:rPr>
          <w:rFonts w:ascii="Times New Roman" w:hAnsi="Times New Roman" w:cs="Times New Roman"/>
          <w:lang w:val="af-ZA"/>
        </w:rPr>
        <w:t>լրացուցիչ հղումներով</w:t>
      </w:r>
      <w:r w:rsidR="00AC3641" w:rsidRPr="00EF7399">
        <w:rPr>
          <w:rFonts w:ascii="Times New Roman" w:hAnsi="Times New Roman" w:cs="Times New Roman"/>
          <w:lang w:val="af-ZA"/>
        </w:rPr>
        <w:t>)</w:t>
      </w:r>
      <w:bookmarkEnd w:id="57"/>
      <w:r w:rsidR="008D2269" w:rsidRPr="00EF7399">
        <w:rPr>
          <w:rFonts w:ascii="Times New Roman" w:hAnsi="Times New Roman" w:cs="Times New Roman"/>
          <w:lang w:val="af-ZA"/>
        </w:rPr>
        <w:t>:</w:t>
      </w:r>
    </w:p>
    <w:p w14:paraId="2D9D38AE" w14:textId="12FC01C2" w:rsidR="00034A8D" w:rsidRPr="00EF7399" w:rsidRDefault="00AE7B1F" w:rsidP="00A32622">
      <w:pPr>
        <w:pStyle w:val="ECHRHeading5"/>
        <w:rPr>
          <w:rFonts w:ascii="Times New Roman" w:hAnsi="Times New Roman" w:cs="Times New Roman"/>
          <w:lang w:val="af-ZA"/>
        </w:rPr>
      </w:pPr>
      <w:bookmarkStart w:id="58" w:name="_Toc159945223"/>
      <w:r w:rsidRPr="00EF7399">
        <w:rPr>
          <w:rFonts w:ascii="Times New Roman" w:hAnsi="Times New Roman" w:cs="Times New Roman"/>
          <w:lang w:val="hy-AM"/>
        </w:rPr>
        <w:t>Զսպող</w:t>
      </w:r>
      <w:r w:rsidRPr="00EF7399">
        <w:rPr>
          <w:rFonts w:ascii="Times New Roman" w:hAnsi="Times New Roman" w:cs="Times New Roman"/>
          <w:lang w:val="af-ZA"/>
        </w:rPr>
        <w:t xml:space="preserve"> </w:t>
      </w:r>
      <w:r w:rsidR="00B24875" w:rsidRPr="00EF7399">
        <w:rPr>
          <w:rFonts w:ascii="Times New Roman" w:hAnsi="Times New Roman" w:cs="Times New Roman"/>
          <w:lang w:val="af-ZA"/>
        </w:rPr>
        <w:t>ազդեցություն</w:t>
      </w:r>
      <w:bookmarkEnd w:id="58"/>
    </w:p>
    <w:p w14:paraId="039440C8" w14:textId="19FFDF04" w:rsidR="007B4F5E" w:rsidRPr="001B2612" w:rsidRDefault="00763E4B" w:rsidP="007B4F5E">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78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8D2269" w:rsidRPr="00EF7399">
        <w:rPr>
          <w:rFonts w:ascii="Times New Roman" w:hAnsi="Times New Roman" w:cs="Times New Roman"/>
          <w:lang w:val="af-ZA"/>
        </w:rPr>
        <w:t>Միջոցի համաչափությունը դիտարկելու ընթացքում անհրաժեշտ է հաշվի առնել դրա</w:t>
      </w:r>
      <w:r w:rsidR="00B24875" w:rsidRPr="00EF7399">
        <w:rPr>
          <w:rFonts w:ascii="Times New Roman" w:hAnsi="Times New Roman" w:cs="Times New Roman"/>
          <w:lang w:val="af-ZA"/>
        </w:rPr>
        <w:t xml:space="preserve"> </w:t>
      </w:r>
      <w:r w:rsidR="00F35D5C" w:rsidRPr="00EF7399">
        <w:rPr>
          <w:rFonts w:ascii="Times New Roman" w:hAnsi="Times New Roman" w:cs="Times New Roman"/>
          <w:lang w:val="hy-AM"/>
        </w:rPr>
        <w:t>զսպող</w:t>
      </w:r>
      <w:r w:rsidR="00F35D5C" w:rsidRPr="00EF7399">
        <w:rPr>
          <w:rFonts w:ascii="Times New Roman" w:hAnsi="Times New Roman" w:cs="Times New Roman"/>
          <w:lang w:val="af-ZA"/>
        </w:rPr>
        <w:t xml:space="preserve"> </w:t>
      </w:r>
      <w:r w:rsidR="00B24875" w:rsidRPr="00EF7399">
        <w:rPr>
          <w:rFonts w:ascii="Times New Roman" w:hAnsi="Times New Roman" w:cs="Times New Roman"/>
          <w:lang w:val="af-ZA"/>
        </w:rPr>
        <w:t>ազդեցությունը:</w:t>
      </w:r>
      <w:r w:rsidR="00F35D5C" w:rsidRPr="00EF7399">
        <w:rPr>
          <w:rFonts w:ascii="Times New Roman" w:hAnsi="Times New Roman" w:cs="Times New Roman"/>
          <w:lang w:val="hy-AM"/>
        </w:rPr>
        <w:t xml:space="preserve"> </w:t>
      </w:r>
      <w:r w:rsidR="00B24875" w:rsidRPr="00EF7399">
        <w:rPr>
          <w:rFonts w:ascii="Times New Roman" w:hAnsi="Times New Roman" w:cs="Times New Roman"/>
          <w:lang w:val="af-ZA"/>
        </w:rPr>
        <w:t xml:space="preserve">Մասնավորապես, հավաքը նախօրոք արգելելը կարող է </w:t>
      </w:r>
      <w:r w:rsidR="00F35D5C" w:rsidRPr="00EF7399">
        <w:rPr>
          <w:rFonts w:ascii="Times New Roman" w:hAnsi="Times New Roman" w:cs="Times New Roman"/>
          <w:lang w:val="af-ZA"/>
        </w:rPr>
        <w:t xml:space="preserve">մասնակիցներին </w:t>
      </w:r>
      <w:r w:rsidR="00B24875" w:rsidRPr="00EF7399">
        <w:rPr>
          <w:rFonts w:ascii="Times New Roman" w:hAnsi="Times New Roman" w:cs="Times New Roman"/>
          <w:lang w:val="af-ZA"/>
        </w:rPr>
        <w:t xml:space="preserve">հետ պահել դրան մասնակցելուց </w:t>
      </w:r>
      <w:r w:rsidR="007B4F5E" w:rsidRPr="00EF7399">
        <w:rPr>
          <w:rFonts w:ascii="Times New Roman" w:hAnsi="Times New Roman" w:cs="Times New Roman"/>
          <w:lang w:val="af-ZA"/>
        </w:rPr>
        <w:t>(</w:t>
      </w:r>
      <w:hyperlink r:id="rId206" w:history="1">
        <w:r w:rsidR="00D87076" w:rsidRPr="00EF7399">
          <w:rPr>
            <w:rStyle w:val="Hyperlink"/>
            <w:rFonts w:ascii="Times New Roman" w:hAnsi="Times New Roman" w:cs="Times New Roman"/>
            <w:lang w:val="af-ZA"/>
          </w:rPr>
          <w:t>Christian Democratic People</w:t>
        </w:r>
        <w:r w:rsidR="00DF297D" w:rsidRPr="00EF7399">
          <w:rPr>
            <w:rStyle w:val="Hyperlink"/>
            <w:rFonts w:ascii="Times New Roman" w:hAnsi="Times New Roman" w:cs="Times New Roman"/>
            <w:lang w:val="af-ZA"/>
          </w:rPr>
          <w:t>’</w:t>
        </w:r>
        <w:r w:rsidR="00D87076" w:rsidRPr="00EF7399">
          <w:rPr>
            <w:rStyle w:val="Hyperlink"/>
            <w:rFonts w:ascii="Times New Roman" w:hAnsi="Times New Roman" w:cs="Times New Roman"/>
            <w:lang w:val="af-ZA"/>
          </w:rPr>
          <w:t>s Party</w:t>
        </w:r>
        <w:r w:rsidR="00873234" w:rsidRPr="00EF7399">
          <w:rPr>
            <w:rStyle w:val="Hyperlink"/>
            <w:rFonts w:ascii="Times New Roman" w:hAnsi="Times New Roman" w:cs="Times New Roman"/>
            <w:lang w:val="af-ZA"/>
          </w:rPr>
          <w:t xml:space="preserve"> v. </w:t>
        </w:r>
        <w:r w:rsidR="00D87076" w:rsidRPr="00EF7399">
          <w:rPr>
            <w:rStyle w:val="Hyperlink"/>
            <w:rFonts w:ascii="Times New Roman" w:hAnsi="Times New Roman" w:cs="Times New Roman"/>
            <w:lang w:val="af-ZA"/>
          </w:rPr>
          <w:t>Moldova</w:t>
        </w:r>
      </w:hyperlink>
      <w:r w:rsidR="00D87076" w:rsidRPr="00EF7399">
        <w:rPr>
          <w:rFonts w:ascii="Times New Roman" w:hAnsi="Times New Roman" w:cs="Times New Roman"/>
          <w:lang w:val="af-ZA"/>
        </w:rPr>
        <w:t xml:space="preserve">, </w:t>
      </w:r>
      <w:r w:rsidR="00F00CD1" w:rsidRPr="00EF7399">
        <w:rPr>
          <w:rFonts w:ascii="Times New Roman" w:hAnsi="Times New Roman" w:cs="Times New Roman"/>
          <w:lang w:val="af-ZA"/>
        </w:rPr>
        <w:t xml:space="preserve">2006, </w:t>
      </w:r>
      <w:r w:rsidR="00873234" w:rsidRPr="00EF7399">
        <w:rPr>
          <w:rFonts w:ascii="Times New Roman" w:hAnsi="Times New Roman" w:cs="Times New Roman"/>
          <w:lang w:val="af-ZA"/>
        </w:rPr>
        <w:t>§ </w:t>
      </w:r>
      <w:r w:rsidR="007B4F5E" w:rsidRPr="00EF7399">
        <w:rPr>
          <w:rFonts w:ascii="Times New Roman" w:hAnsi="Times New Roman" w:cs="Times New Roman"/>
          <w:lang w:val="af-ZA"/>
        </w:rPr>
        <w:t>77)</w:t>
      </w:r>
      <w:r w:rsidR="00B24875" w:rsidRPr="00EF7399">
        <w:rPr>
          <w:rFonts w:ascii="Times New Roman" w:hAnsi="Times New Roman" w:cs="Times New Roman"/>
          <w:lang w:val="af-ZA"/>
        </w:rPr>
        <w:t xml:space="preserve">: </w:t>
      </w:r>
      <w:r w:rsidR="003739D7" w:rsidRPr="00EF7399">
        <w:rPr>
          <w:rFonts w:ascii="Times New Roman" w:hAnsi="Times New Roman" w:cs="Times New Roman"/>
          <w:lang w:val="af-ZA"/>
        </w:rPr>
        <w:t>Ն</w:t>
      </w:r>
      <w:r w:rsidR="00B24875" w:rsidRPr="00EF7399">
        <w:rPr>
          <w:rFonts w:ascii="Times New Roman" w:hAnsi="Times New Roman" w:cs="Times New Roman"/>
          <w:lang w:val="af-ZA"/>
        </w:rPr>
        <w:t>ախ</w:t>
      </w:r>
      <w:r w:rsidR="00BB5FD4" w:rsidRPr="00EF7399">
        <w:rPr>
          <w:rFonts w:ascii="Times New Roman" w:hAnsi="Times New Roman" w:cs="Times New Roman"/>
          <w:lang w:val="af-ZA"/>
        </w:rPr>
        <w:t>օ</w:t>
      </w:r>
      <w:r w:rsidR="00B24875" w:rsidRPr="00EF7399">
        <w:rPr>
          <w:rFonts w:ascii="Times New Roman" w:hAnsi="Times New Roman" w:cs="Times New Roman"/>
          <w:lang w:val="af-ZA"/>
        </w:rPr>
        <w:t xml:space="preserve">րոք կիրառվող արգելքը կարող է </w:t>
      </w:r>
      <w:r w:rsidR="00F35D5C" w:rsidRPr="00EF7399">
        <w:rPr>
          <w:rFonts w:ascii="Times New Roman" w:hAnsi="Times New Roman" w:cs="Times New Roman"/>
          <w:lang w:val="hy-AM"/>
        </w:rPr>
        <w:t>զսպող</w:t>
      </w:r>
      <w:r w:rsidR="00F35D5C" w:rsidRPr="00EF7399">
        <w:rPr>
          <w:rFonts w:ascii="Times New Roman" w:hAnsi="Times New Roman" w:cs="Times New Roman"/>
          <w:lang w:val="af-ZA"/>
        </w:rPr>
        <w:t xml:space="preserve"> </w:t>
      </w:r>
      <w:r w:rsidR="00B24875" w:rsidRPr="00EF7399">
        <w:rPr>
          <w:rFonts w:ascii="Times New Roman" w:hAnsi="Times New Roman" w:cs="Times New Roman"/>
          <w:lang w:val="af-ZA"/>
        </w:rPr>
        <w:t xml:space="preserve">ազդեցություն ունենալ այն անձանց </w:t>
      </w:r>
      <w:r w:rsidR="00F35D5C" w:rsidRPr="00EF7399">
        <w:rPr>
          <w:rFonts w:ascii="Times New Roman" w:hAnsi="Times New Roman" w:cs="Times New Roman"/>
          <w:lang w:val="hy-AM"/>
        </w:rPr>
        <w:t>նկատմամբ</w:t>
      </w:r>
      <w:r w:rsidR="00B24875" w:rsidRPr="00EF7399">
        <w:rPr>
          <w:rFonts w:ascii="Times New Roman" w:hAnsi="Times New Roman" w:cs="Times New Roman"/>
          <w:lang w:val="af-ZA"/>
        </w:rPr>
        <w:t>, ովքեր նպատակ ունեն մասնակցել</w:t>
      </w:r>
      <w:r w:rsidR="00F35D5C" w:rsidRPr="00EF7399">
        <w:rPr>
          <w:rFonts w:ascii="Times New Roman" w:hAnsi="Times New Roman" w:cs="Times New Roman"/>
          <w:lang w:val="hy-AM"/>
        </w:rPr>
        <w:t>ու</w:t>
      </w:r>
      <w:r w:rsidR="00B24875" w:rsidRPr="00EF7399">
        <w:rPr>
          <w:rFonts w:ascii="Times New Roman" w:hAnsi="Times New Roman" w:cs="Times New Roman"/>
          <w:lang w:val="af-ZA"/>
        </w:rPr>
        <w:t xml:space="preserve"> հանրահավաքին</w:t>
      </w:r>
      <w:r w:rsidR="00F35D5C" w:rsidRPr="00EF7399">
        <w:rPr>
          <w:rFonts w:ascii="Times New Roman" w:hAnsi="Times New Roman" w:cs="Times New Roman"/>
          <w:lang w:val="hy-AM"/>
        </w:rPr>
        <w:t xml:space="preserve">, </w:t>
      </w:r>
      <w:r w:rsidR="00F35D5C" w:rsidRPr="00EF7399">
        <w:rPr>
          <w:rFonts w:ascii="Times New Roman" w:hAnsi="Times New Roman" w:cs="Times New Roman"/>
          <w:lang w:val="af-ZA"/>
        </w:rPr>
        <w:t>օրինակ</w:t>
      </w:r>
      <w:r w:rsidR="00F35D5C" w:rsidRPr="00EF7399">
        <w:rPr>
          <w:rFonts w:ascii="Times New Roman" w:hAnsi="Times New Roman" w:cs="Times New Roman"/>
          <w:lang w:val="hy-AM"/>
        </w:rPr>
        <w:t xml:space="preserve">, </w:t>
      </w:r>
      <w:r w:rsidR="003739D7" w:rsidRPr="00EF7399">
        <w:rPr>
          <w:rFonts w:ascii="Times New Roman" w:hAnsi="Times New Roman" w:cs="Times New Roman"/>
          <w:lang w:val="af-ZA"/>
        </w:rPr>
        <w:t>պայմանավորված նրանով</w:t>
      </w:r>
      <w:r w:rsidR="00F35D5C" w:rsidRPr="00EF7399">
        <w:rPr>
          <w:rFonts w:ascii="Times New Roman" w:hAnsi="Times New Roman" w:cs="Times New Roman"/>
          <w:lang w:val="hy-AM"/>
        </w:rPr>
        <w:t>,</w:t>
      </w:r>
      <w:r w:rsidR="003739D7" w:rsidRPr="00EF7399">
        <w:rPr>
          <w:rFonts w:ascii="Times New Roman" w:hAnsi="Times New Roman" w:cs="Times New Roman"/>
          <w:lang w:val="af-ZA"/>
        </w:rPr>
        <w:t xml:space="preserve"> որ</w:t>
      </w:r>
      <w:r w:rsidR="00B24875" w:rsidRPr="00EF7399">
        <w:rPr>
          <w:rFonts w:ascii="Times New Roman" w:hAnsi="Times New Roman" w:cs="Times New Roman"/>
          <w:lang w:val="af-ZA"/>
        </w:rPr>
        <w:t xml:space="preserve"> </w:t>
      </w:r>
      <w:r w:rsidR="00D83059" w:rsidRPr="00EF7399">
        <w:rPr>
          <w:rFonts w:ascii="Times New Roman" w:hAnsi="Times New Roman" w:cs="Times New Roman"/>
          <w:lang w:val="af-ZA"/>
        </w:rPr>
        <w:t xml:space="preserve">իրենք </w:t>
      </w:r>
      <w:r w:rsidR="003739D7" w:rsidRPr="00EF7399">
        <w:rPr>
          <w:rFonts w:ascii="Times New Roman" w:hAnsi="Times New Roman" w:cs="Times New Roman"/>
          <w:lang w:val="af-ZA"/>
        </w:rPr>
        <w:t xml:space="preserve">չեն ստացել պաշտոնական արտոնություն և, հետևաբար, իշխանությունները չեն երաշխավորել պաշտպանություն </w:t>
      </w:r>
      <w:r w:rsidR="00D83059" w:rsidRPr="00EF7399">
        <w:rPr>
          <w:rFonts w:ascii="Times New Roman" w:hAnsi="Times New Roman" w:cs="Times New Roman"/>
          <w:lang w:val="af-ZA"/>
        </w:rPr>
        <w:t xml:space="preserve">հնարավոր </w:t>
      </w:r>
      <w:r w:rsidR="003739D7" w:rsidRPr="00EF7399">
        <w:rPr>
          <w:rFonts w:ascii="Times New Roman" w:hAnsi="Times New Roman" w:cs="Times New Roman"/>
          <w:lang w:val="af-ZA"/>
        </w:rPr>
        <w:t>հակընդդեմ ցույցի</w:t>
      </w:r>
      <w:r w:rsidR="00F35D5C" w:rsidRPr="00EF7399">
        <w:rPr>
          <w:rFonts w:ascii="Times New Roman" w:hAnsi="Times New Roman" w:cs="Times New Roman"/>
          <w:lang w:val="hy-AM"/>
        </w:rPr>
        <w:t>՝</w:t>
      </w:r>
      <w:r w:rsidR="003739D7" w:rsidRPr="00EF7399">
        <w:rPr>
          <w:rFonts w:ascii="Times New Roman" w:hAnsi="Times New Roman" w:cs="Times New Roman"/>
          <w:lang w:val="af-ZA"/>
        </w:rPr>
        <w:t xml:space="preserve"> </w:t>
      </w:r>
      <w:r w:rsidR="00D83059" w:rsidRPr="00EF7399">
        <w:rPr>
          <w:rFonts w:ascii="Times New Roman" w:hAnsi="Times New Roman" w:cs="Times New Roman"/>
          <w:lang w:val="af-ZA"/>
        </w:rPr>
        <w:t xml:space="preserve">թշնամաբար տրամադրված </w:t>
      </w:r>
      <w:r w:rsidR="003739D7" w:rsidRPr="00EF7399">
        <w:rPr>
          <w:rFonts w:ascii="Times New Roman" w:hAnsi="Times New Roman" w:cs="Times New Roman"/>
          <w:lang w:val="af-ZA"/>
        </w:rPr>
        <w:t xml:space="preserve">մասնակիցներից, </w:t>
      </w:r>
      <w:r w:rsidR="00B24875" w:rsidRPr="00EF7399">
        <w:rPr>
          <w:rFonts w:ascii="Times New Roman" w:hAnsi="Times New Roman" w:cs="Times New Roman"/>
          <w:lang w:val="af-ZA"/>
        </w:rPr>
        <w:t>եթե նույնիսկ</w:t>
      </w:r>
      <w:r w:rsidR="00F35D5C" w:rsidRPr="00EF7399">
        <w:rPr>
          <w:rFonts w:ascii="Times New Roman" w:hAnsi="Times New Roman" w:cs="Times New Roman"/>
          <w:lang w:val="hy-AM"/>
        </w:rPr>
        <w:t xml:space="preserve"> այդ հավաքը</w:t>
      </w:r>
      <w:r w:rsidR="00B24875" w:rsidRPr="00EF7399">
        <w:rPr>
          <w:rFonts w:ascii="Times New Roman" w:hAnsi="Times New Roman" w:cs="Times New Roman"/>
          <w:lang w:val="af-ZA"/>
        </w:rPr>
        <w:t xml:space="preserve"> հաջորդիվ </w:t>
      </w:r>
      <w:r w:rsidR="003739D7" w:rsidRPr="00EF7399">
        <w:rPr>
          <w:rFonts w:ascii="Times New Roman" w:hAnsi="Times New Roman" w:cs="Times New Roman"/>
          <w:lang w:val="af-ZA"/>
        </w:rPr>
        <w:t>ընթանում է առանց իշխանությունների կողմից խոչընդոտներ առաջացնելու</w:t>
      </w:r>
      <w:r w:rsidR="007B4F5E" w:rsidRPr="00EF7399">
        <w:rPr>
          <w:rFonts w:ascii="Times New Roman" w:hAnsi="Times New Roman" w:cs="Times New Roman"/>
          <w:lang w:val="af-ZA"/>
        </w:rPr>
        <w:t xml:space="preserve"> (</w:t>
      </w:r>
      <w:hyperlink r:id="rId207" w:history="1">
        <w:r w:rsidR="005D7CE8" w:rsidRPr="00EF7399">
          <w:rPr>
            <w:rStyle w:val="Hyperlink"/>
            <w:rFonts w:ascii="Times New Roman" w:hAnsi="Times New Roman" w:cs="Times New Roman"/>
            <w:lang w:val="af-ZA"/>
          </w:rPr>
          <w:t>Bączkowski and Others</w:t>
        </w:r>
        <w:r w:rsidR="00873234" w:rsidRPr="00EF7399">
          <w:rPr>
            <w:rStyle w:val="Hyperlink"/>
            <w:rFonts w:ascii="Times New Roman" w:hAnsi="Times New Roman" w:cs="Times New Roman"/>
            <w:lang w:val="af-ZA"/>
          </w:rPr>
          <w:t xml:space="preserve"> v. </w:t>
        </w:r>
        <w:r w:rsidR="005D7CE8" w:rsidRPr="00EF7399">
          <w:rPr>
            <w:rStyle w:val="Hyperlink"/>
            <w:rFonts w:ascii="Times New Roman" w:hAnsi="Times New Roman" w:cs="Times New Roman"/>
            <w:lang w:val="af-ZA"/>
          </w:rPr>
          <w:t>Poland</w:t>
        </w:r>
      </w:hyperlink>
      <w:r w:rsidR="007B4F5E" w:rsidRPr="00EF7399">
        <w:rPr>
          <w:rFonts w:ascii="Times New Roman" w:hAnsi="Times New Roman" w:cs="Times New Roman"/>
          <w:i/>
          <w:lang w:val="af-ZA"/>
        </w:rPr>
        <w:t xml:space="preserve">, </w:t>
      </w:r>
      <w:r w:rsidR="00F00CD1" w:rsidRPr="00EF7399">
        <w:rPr>
          <w:rFonts w:ascii="Times New Roman" w:hAnsi="Times New Roman" w:cs="Times New Roman"/>
          <w:iCs/>
          <w:lang w:val="af-ZA"/>
        </w:rPr>
        <w:t xml:space="preserve">2007, </w:t>
      </w:r>
      <w:r w:rsidR="00B65B14" w:rsidRPr="00EF7399">
        <w:rPr>
          <w:rFonts w:ascii="Times New Roman" w:hAnsi="Times New Roman" w:cs="Times New Roman"/>
          <w:lang w:val="af-ZA"/>
        </w:rPr>
        <w:t>§</w:t>
      </w:r>
      <w:r w:rsidR="00873234" w:rsidRPr="00EF7399">
        <w:rPr>
          <w:rFonts w:ascii="Times New Roman" w:hAnsi="Times New Roman" w:cs="Times New Roman"/>
          <w:lang w:val="af-ZA"/>
        </w:rPr>
        <w:t>§ </w:t>
      </w:r>
      <w:r w:rsidR="007B4F5E" w:rsidRPr="00EF7399">
        <w:rPr>
          <w:rFonts w:ascii="Times New Roman" w:hAnsi="Times New Roman" w:cs="Times New Roman"/>
          <w:lang w:val="af-ZA"/>
        </w:rPr>
        <w:t>66-68</w:t>
      </w:r>
      <w:r w:rsidR="00B65B14" w:rsidRPr="00EF7399">
        <w:rPr>
          <w:rFonts w:ascii="Times New Roman" w:hAnsi="Times New Roman" w:cs="Times New Roman"/>
          <w:lang w:val="af-ZA"/>
        </w:rPr>
        <w:t>)</w:t>
      </w:r>
      <w:r w:rsidR="00D83059" w:rsidRPr="00EF7399">
        <w:rPr>
          <w:rFonts w:ascii="Times New Roman" w:hAnsi="Times New Roman" w:cs="Times New Roman"/>
          <w:lang w:val="af-ZA"/>
        </w:rPr>
        <w:t>:</w:t>
      </w:r>
      <w:r w:rsidR="00B65B14" w:rsidRPr="00EF7399">
        <w:rPr>
          <w:rFonts w:ascii="Times New Roman" w:hAnsi="Times New Roman" w:cs="Times New Roman"/>
          <w:lang w:val="af-ZA"/>
        </w:rPr>
        <w:t xml:space="preserve"> </w:t>
      </w:r>
      <w:r w:rsidR="00F35D5C" w:rsidRPr="00EF7399">
        <w:rPr>
          <w:rFonts w:ascii="Times New Roman" w:hAnsi="Times New Roman" w:cs="Times New Roman"/>
          <w:lang w:val="hy-AM"/>
        </w:rPr>
        <w:t>Զսպող</w:t>
      </w:r>
      <w:r w:rsidR="00F35D5C" w:rsidRPr="00EF7399">
        <w:rPr>
          <w:rFonts w:ascii="Times New Roman" w:hAnsi="Times New Roman" w:cs="Times New Roman"/>
          <w:lang w:val="af-ZA"/>
        </w:rPr>
        <w:t xml:space="preserve"> </w:t>
      </w:r>
      <w:r w:rsidR="00D83059" w:rsidRPr="00EF7399">
        <w:rPr>
          <w:rFonts w:ascii="Times New Roman" w:hAnsi="Times New Roman" w:cs="Times New Roman"/>
          <w:lang w:val="af-ZA"/>
        </w:rPr>
        <w:t xml:space="preserve">ազդեցությունը կարող է նաև շարունակվել բողոքի մասնակիցներին արդարացնելուց կամ նրանց նկատմամբ </w:t>
      </w:r>
      <w:r w:rsidR="0044763F" w:rsidRPr="00EF7399">
        <w:rPr>
          <w:rFonts w:ascii="Times New Roman" w:hAnsi="Times New Roman" w:cs="Times New Roman"/>
          <w:lang w:val="hy-AM"/>
        </w:rPr>
        <w:t>մեղադրանքների հրաժարվելուց</w:t>
      </w:r>
      <w:r w:rsidR="00D83059" w:rsidRPr="00EF7399">
        <w:rPr>
          <w:rFonts w:ascii="Times New Roman" w:hAnsi="Times New Roman" w:cs="Times New Roman"/>
          <w:lang w:val="af-ZA"/>
        </w:rPr>
        <w:t xml:space="preserve"> հետո, քանի որ հետապնդում</w:t>
      </w:r>
      <w:r w:rsidR="0044763F" w:rsidRPr="00EF7399">
        <w:rPr>
          <w:rFonts w:ascii="Times New Roman" w:hAnsi="Times New Roman" w:cs="Times New Roman"/>
          <w:lang w:val="hy-AM"/>
        </w:rPr>
        <w:t>ն</w:t>
      </w:r>
      <w:r w:rsidR="00D83059" w:rsidRPr="00EF7399">
        <w:rPr>
          <w:rFonts w:ascii="Times New Roman" w:hAnsi="Times New Roman" w:cs="Times New Roman"/>
          <w:lang w:val="af-ZA"/>
        </w:rPr>
        <w:t xml:space="preserve"> </w:t>
      </w:r>
      <w:r w:rsidR="0044763F" w:rsidRPr="00EF7399">
        <w:rPr>
          <w:rFonts w:ascii="Times New Roman" w:hAnsi="Times New Roman" w:cs="Times New Roman"/>
          <w:lang w:val="af-ZA"/>
        </w:rPr>
        <w:t xml:space="preserve">ինքնին </w:t>
      </w:r>
      <w:r w:rsidR="00D83059" w:rsidRPr="00EF7399">
        <w:rPr>
          <w:rFonts w:ascii="Times New Roman" w:hAnsi="Times New Roman" w:cs="Times New Roman"/>
          <w:lang w:val="af-ZA"/>
        </w:rPr>
        <w:t xml:space="preserve">կարող էր նրանց հետ պահել նման հանրահավաքներին մասնակցելուց </w:t>
      </w:r>
      <w:r w:rsidR="007B4F5E" w:rsidRPr="00EF7399">
        <w:rPr>
          <w:rFonts w:ascii="Times New Roman" w:hAnsi="Times New Roman" w:cs="Times New Roman"/>
          <w:lang w:val="af-ZA"/>
        </w:rPr>
        <w:t>(</w:t>
      </w:r>
      <w:hyperlink r:id="rId208" w:history="1">
        <w:r w:rsidR="007B4F5E" w:rsidRPr="00EF7399">
          <w:rPr>
            <w:rStyle w:val="Hyperlink"/>
            <w:rFonts w:ascii="Times New Roman" w:hAnsi="Times New Roman" w:cs="Times New Roman"/>
            <w:lang w:val="af-ZA"/>
          </w:rPr>
          <w:t>Nurettin Aldemir and Others</w:t>
        </w:r>
        <w:r w:rsidR="00873234" w:rsidRPr="00EF7399">
          <w:rPr>
            <w:rStyle w:val="Hyperlink"/>
            <w:rFonts w:ascii="Times New Roman" w:hAnsi="Times New Roman" w:cs="Times New Roman"/>
            <w:lang w:val="af-ZA"/>
          </w:rPr>
          <w:t xml:space="preserve"> v. </w:t>
        </w:r>
        <w:r w:rsidR="007B4F5E" w:rsidRPr="00EF7399">
          <w:rPr>
            <w:rStyle w:val="Hyperlink"/>
            <w:rFonts w:ascii="Times New Roman" w:hAnsi="Times New Roman" w:cs="Times New Roman"/>
            <w:lang w:val="af-ZA"/>
          </w:rPr>
          <w:t>Turkey</w:t>
        </w:r>
      </w:hyperlink>
      <w:r w:rsidR="007B4F5E" w:rsidRPr="00EF7399">
        <w:rPr>
          <w:rFonts w:ascii="Times New Roman" w:hAnsi="Times New Roman" w:cs="Times New Roman"/>
          <w:lang w:val="af-ZA"/>
        </w:rPr>
        <w:t xml:space="preserve">, </w:t>
      </w:r>
      <w:r w:rsidR="00F00CD1" w:rsidRPr="00EF7399">
        <w:rPr>
          <w:rFonts w:ascii="Times New Roman" w:hAnsi="Times New Roman" w:cs="Times New Roman"/>
          <w:lang w:val="af-ZA"/>
        </w:rPr>
        <w:t xml:space="preserve">2007, </w:t>
      </w:r>
      <w:r w:rsidR="00873234" w:rsidRPr="00EF7399">
        <w:rPr>
          <w:rFonts w:ascii="Times New Roman" w:hAnsi="Times New Roman" w:cs="Times New Roman"/>
          <w:lang w:val="af-ZA"/>
        </w:rPr>
        <w:t>§ </w:t>
      </w:r>
      <w:r w:rsidR="007B4F5E" w:rsidRPr="00EF7399">
        <w:rPr>
          <w:rFonts w:ascii="Times New Roman" w:hAnsi="Times New Roman" w:cs="Times New Roman"/>
          <w:lang w:val="af-ZA"/>
        </w:rPr>
        <w:t>34)</w:t>
      </w:r>
      <w:r w:rsidR="00D83059" w:rsidRPr="00EF7399">
        <w:rPr>
          <w:rFonts w:ascii="Times New Roman" w:hAnsi="Times New Roman" w:cs="Times New Roman"/>
          <w:lang w:val="af-ZA"/>
        </w:rPr>
        <w:t>:</w:t>
      </w:r>
    </w:p>
    <w:p w14:paraId="6985FCC4" w14:textId="0C6F8A09" w:rsidR="00034A8D" w:rsidRPr="00EF7399" w:rsidRDefault="00763E4B" w:rsidP="007B4F5E">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79</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D83059" w:rsidRPr="00EF7399">
        <w:rPr>
          <w:rFonts w:ascii="Times New Roman" w:hAnsi="Times New Roman" w:cs="Times New Roman"/>
          <w:lang w:val="af-ZA"/>
        </w:rPr>
        <w:t>Հաջորդող հարկադր</w:t>
      </w:r>
      <w:r w:rsidR="0044763F" w:rsidRPr="00EF7399">
        <w:rPr>
          <w:rFonts w:ascii="Times New Roman" w:hAnsi="Times New Roman" w:cs="Times New Roman"/>
          <w:lang w:val="hy-AM"/>
        </w:rPr>
        <w:t>ակ</w:t>
      </w:r>
      <w:r w:rsidR="00D83059" w:rsidRPr="00EF7399">
        <w:rPr>
          <w:rFonts w:ascii="Times New Roman" w:hAnsi="Times New Roman" w:cs="Times New Roman"/>
          <w:lang w:val="af-ZA"/>
        </w:rPr>
        <w:t>ան միջոցները, ինչպիսիք են</w:t>
      </w:r>
      <w:r w:rsidR="0044763F" w:rsidRPr="00EF7399">
        <w:rPr>
          <w:rFonts w:ascii="Times New Roman" w:hAnsi="Times New Roman" w:cs="Times New Roman"/>
          <w:lang w:val="hy-AM"/>
        </w:rPr>
        <w:t>՝</w:t>
      </w:r>
      <w:r w:rsidR="00D83059" w:rsidRPr="00EF7399">
        <w:rPr>
          <w:rFonts w:ascii="Times New Roman" w:hAnsi="Times New Roman" w:cs="Times New Roman"/>
          <w:lang w:val="af-ZA"/>
        </w:rPr>
        <w:t xml:space="preserve"> հավաքը ցրելու նպատակով ուժի գործադրումը, մասնակիցների ձերբակալում</w:t>
      </w:r>
      <w:r w:rsidR="0044763F" w:rsidRPr="00EF7399">
        <w:rPr>
          <w:rFonts w:ascii="Times New Roman" w:hAnsi="Times New Roman" w:cs="Times New Roman"/>
          <w:lang w:val="hy-AM"/>
        </w:rPr>
        <w:t>ներ</w:t>
      </w:r>
      <w:r w:rsidR="00D83059" w:rsidRPr="00EF7399">
        <w:rPr>
          <w:rFonts w:ascii="Times New Roman" w:hAnsi="Times New Roman" w:cs="Times New Roman"/>
          <w:lang w:val="af-ZA"/>
        </w:rPr>
        <w:t xml:space="preserve">ը, </w:t>
      </w:r>
      <w:r w:rsidR="0044763F" w:rsidRPr="00EF7399">
        <w:rPr>
          <w:rFonts w:ascii="Times New Roman" w:hAnsi="Times New Roman" w:cs="Times New Roman"/>
          <w:lang w:val="hy-AM"/>
        </w:rPr>
        <w:t>կալանավորումները</w:t>
      </w:r>
      <w:r w:rsidR="00D83059" w:rsidRPr="00EF7399">
        <w:rPr>
          <w:rFonts w:ascii="Times New Roman" w:hAnsi="Times New Roman" w:cs="Times New Roman"/>
          <w:lang w:val="af-ZA"/>
        </w:rPr>
        <w:t xml:space="preserve"> և</w:t>
      </w:r>
      <w:r w:rsidR="00E54BB7">
        <w:rPr>
          <w:rFonts w:ascii="Times New Roman" w:hAnsi="Times New Roman" w:cs="Times New Roman"/>
          <w:lang w:val="hy-AM"/>
        </w:rPr>
        <w:t xml:space="preserve"> </w:t>
      </w:r>
      <w:r w:rsidR="0044763F" w:rsidRPr="001B2612">
        <w:rPr>
          <w:rFonts w:ascii="Times New Roman" w:hAnsi="Times New Roman" w:cs="Times New Roman"/>
          <w:lang w:val="af-ZA"/>
        </w:rPr>
        <w:t>(</w:t>
      </w:r>
      <w:r w:rsidR="00D83059" w:rsidRPr="00EF7399">
        <w:rPr>
          <w:rFonts w:ascii="Times New Roman" w:hAnsi="Times New Roman" w:cs="Times New Roman"/>
          <w:lang w:val="af-ZA"/>
        </w:rPr>
        <w:t>կամ</w:t>
      </w:r>
      <w:r w:rsidR="0044763F" w:rsidRPr="00EF7399">
        <w:rPr>
          <w:rFonts w:ascii="Times New Roman" w:hAnsi="Times New Roman" w:cs="Times New Roman"/>
          <w:lang w:val="af-ZA"/>
        </w:rPr>
        <w:t>)</w:t>
      </w:r>
      <w:r w:rsidR="00D83059" w:rsidRPr="00EF7399">
        <w:rPr>
          <w:rFonts w:ascii="Times New Roman" w:hAnsi="Times New Roman" w:cs="Times New Roman"/>
          <w:lang w:val="af-ZA"/>
        </w:rPr>
        <w:t xml:space="preserve"> հետագա </w:t>
      </w:r>
      <w:r w:rsidR="00D83059" w:rsidRPr="00EF7399">
        <w:rPr>
          <w:rFonts w:ascii="Times New Roman" w:hAnsi="Times New Roman" w:cs="Times New Roman"/>
          <w:lang w:val="af-ZA"/>
        </w:rPr>
        <w:lastRenderedPageBreak/>
        <w:t xml:space="preserve">վարչական </w:t>
      </w:r>
      <w:r w:rsidR="00853498" w:rsidRPr="00EF7399">
        <w:rPr>
          <w:rFonts w:ascii="Times New Roman" w:hAnsi="Times New Roman" w:cs="Times New Roman"/>
          <w:lang w:val="af-ZA"/>
        </w:rPr>
        <w:t>պատիժները</w:t>
      </w:r>
      <w:r w:rsidR="0044763F" w:rsidRPr="00EF7399">
        <w:rPr>
          <w:rFonts w:ascii="Times New Roman" w:hAnsi="Times New Roman" w:cs="Times New Roman"/>
          <w:lang w:val="hy-AM"/>
        </w:rPr>
        <w:t>,</w:t>
      </w:r>
      <w:r w:rsidR="00853498" w:rsidRPr="00EF7399">
        <w:rPr>
          <w:rFonts w:ascii="Times New Roman" w:hAnsi="Times New Roman" w:cs="Times New Roman"/>
          <w:lang w:val="af-ZA"/>
        </w:rPr>
        <w:t xml:space="preserve"> կարող են </w:t>
      </w:r>
      <w:r w:rsidR="0044763F" w:rsidRPr="00EF7399">
        <w:rPr>
          <w:rFonts w:ascii="Times New Roman" w:hAnsi="Times New Roman" w:cs="Times New Roman"/>
          <w:lang w:val="hy-AM"/>
        </w:rPr>
        <w:t>հուսահատեցնող ազդեցություն ունենալ</w:t>
      </w:r>
      <w:r w:rsidR="00607281" w:rsidRPr="00EF7399">
        <w:rPr>
          <w:rFonts w:ascii="Times New Roman" w:hAnsi="Times New Roman" w:cs="Times New Roman"/>
          <w:lang w:val="hy-AM"/>
        </w:rPr>
        <w:t xml:space="preserve"> </w:t>
      </w:r>
      <w:r w:rsidR="00607281" w:rsidRPr="00EF7399">
        <w:rPr>
          <w:rFonts w:ascii="Times New Roman" w:hAnsi="Times New Roman" w:cs="Times New Roman"/>
          <w:lang w:val="af-ZA"/>
        </w:rPr>
        <w:t xml:space="preserve">նրանց և այլ անձանց </w:t>
      </w:r>
      <w:r w:rsidR="00607281" w:rsidRPr="00EF7399">
        <w:rPr>
          <w:rFonts w:ascii="Times New Roman" w:hAnsi="Times New Roman" w:cs="Times New Roman"/>
          <w:lang w:val="hy-AM"/>
        </w:rPr>
        <w:t>համար՝</w:t>
      </w:r>
      <w:r w:rsidR="0044763F" w:rsidRPr="00EF7399">
        <w:rPr>
          <w:rFonts w:ascii="Times New Roman" w:hAnsi="Times New Roman" w:cs="Times New Roman"/>
          <w:lang w:val="hy-AM"/>
        </w:rPr>
        <w:t xml:space="preserve"> </w:t>
      </w:r>
      <w:r w:rsidR="00853498" w:rsidRPr="00EF7399">
        <w:rPr>
          <w:rFonts w:ascii="Times New Roman" w:hAnsi="Times New Roman" w:cs="Times New Roman"/>
          <w:lang w:val="af-ZA"/>
        </w:rPr>
        <w:t>նմանօրինակ հավաքների</w:t>
      </w:r>
      <w:r w:rsidR="0044763F" w:rsidRPr="00EF7399">
        <w:rPr>
          <w:rFonts w:ascii="Times New Roman" w:hAnsi="Times New Roman" w:cs="Times New Roman"/>
          <w:lang w:val="hy-AM"/>
        </w:rPr>
        <w:t>ն</w:t>
      </w:r>
      <w:r w:rsidR="00853498" w:rsidRPr="00EF7399">
        <w:rPr>
          <w:rFonts w:ascii="Times New Roman" w:hAnsi="Times New Roman" w:cs="Times New Roman"/>
          <w:lang w:val="af-ZA"/>
        </w:rPr>
        <w:t xml:space="preserve"> ապագայում մասնակց</w:t>
      </w:r>
      <w:r w:rsidR="0044763F" w:rsidRPr="00EF7399">
        <w:rPr>
          <w:rFonts w:ascii="Times New Roman" w:hAnsi="Times New Roman" w:cs="Times New Roman"/>
          <w:lang w:val="hy-AM"/>
        </w:rPr>
        <w:t xml:space="preserve">ելու առումով։ </w:t>
      </w:r>
      <w:r w:rsidR="007B4F5E" w:rsidRPr="00EF7399">
        <w:rPr>
          <w:rFonts w:ascii="Times New Roman" w:hAnsi="Times New Roman" w:cs="Times New Roman"/>
          <w:lang w:val="af-ZA"/>
        </w:rPr>
        <w:t>(</w:t>
      </w:r>
      <w:hyperlink r:id="rId209" w:history="1">
        <w:r w:rsidR="007B4F5E" w:rsidRPr="00EF7399">
          <w:rPr>
            <w:rStyle w:val="Hyperlink"/>
            <w:rFonts w:ascii="Times New Roman" w:hAnsi="Times New Roman" w:cs="Times New Roman"/>
            <w:lang w:val="af-ZA"/>
          </w:rPr>
          <w:t>Balçık and Others</w:t>
        </w:r>
        <w:r w:rsidR="00873234" w:rsidRPr="00EF7399">
          <w:rPr>
            <w:rStyle w:val="Hyperlink"/>
            <w:rFonts w:ascii="Times New Roman" w:hAnsi="Times New Roman" w:cs="Times New Roman"/>
            <w:lang w:val="af-ZA"/>
          </w:rPr>
          <w:t xml:space="preserve"> v. </w:t>
        </w:r>
        <w:r w:rsidR="007B4F5E" w:rsidRPr="00EF7399">
          <w:rPr>
            <w:rStyle w:val="Hyperlink"/>
            <w:rFonts w:ascii="Times New Roman" w:hAnsi="Times New Roman" w:cs="Times New Roman"/>
            <w:lang w:val="af-ZA"/>
          </w:rPr>
          <w:t>Turkey</w:t>
        </w:r>
      </w:hyperlink>
      <w:r w:rsidR="007B4F5E" w:rsidRPr="00EF7399">
        <w:rPr>
          <w:rFonts w:ascii="Times New Roman" w:hAnsi="Times New Roman" w:cs="Times New Roman"/>
          <w:lang w:val="af-ZA"/>
        </w:rPr>
        <w:t xml:space="preserve">, </w:t>
      </w:r>
      <w:r w:rsidR="00F00CD1" w:rsidRPr="00EF7399">
        <w:rPr>
          <w:rFonts w:ascii="Times New Roman" w:hAnsi="Times New Roman" w:cs="Times New Roman"/>
          <w:lang w:val="af-ZA"/>
        </w:rPr>
        <w:t xml:space="preserve">2007, </w:t>
      </w:r>
      <w:r w:rsidR="00873234" w:rsidRPr="00EF7399">
        <w:rPr>
          <w:rFonts w:ascii="Times New Roman" w:hAnsi="Times New Roman" w:cs="Times New Roman"/>
          <w:lang w:val="af-ZA"/>
        </w:rPr>
        <w:t>§ </w:t>
      </w:r>
      <w:r w:rsidR="007B4F5E" w:rsidRPr="00EF7399">
        <w:rPr>
          <w:rFonts w:ascii="Times New Roman" w:hAnsi="Times New Roman" w:cs="Times New Roman"/>
          <w:lang w:val="af-ZA"/>
        </w:rPr>
        <w:t>41)</w:t>
      </w:r>
      <w:r w:rsidR="00853498" w:rsidRPr="00EF7399">
        <w:rPr>
          <w:rFonts w:ascii="Times New Roman" w:hAnsi="Times New Roman" w:cs="Times New Roman"/>
          <w:lang w:val="af-ZA"/>
        </w:rPr>
        <w:t xml:space="preserve">: </w:t>
      </w:r>
      <w:r w:rsidR="007A24D4" w:rsidRPr="00EF7399">
        <w:rPr>
          <w:rFonts w:ascii="Times New Roman" w:hAnsi="Times New Roman" w:cs="Times New Roman"/>
          <w:lang w:val="hy-AM"/>
        </w:rPr>
        <w:t>Զսպող</w:t>
      </w:r>
      <w:r w:rsidR="007A24D4" w:rsidRPr="00EF7399">
        <w:rPr>
          <w:rFonts w:ascii="Times New Roman" w:hAnsi="Times New Roman" w:cs="Times New Roman"/>
          <w:lang w:val="af-ZA"/>
        </w:rPr>
        <w:t xml:space="preserve"> </w:t>
      </w:r>
      <w:r w:rsidR="00667F02" w:rsidRPr="00EF7399">
        <w:rPr>
          <w:rFonts w:ascii="Times New Roman" w:hAnsi="Times New Roman" w:cs="Times New Roman"/>
          <w:lang w:val="af-ZA"/>
        </w:rPr>
        <w:t>ազդեցությունն ինքնաբերաբար չի վերանում, եթե անգամ հարկադր</w:t>
      </w:r>
      <w:r w:rsidR="00A628C7" w:rsidRPr="00EF7399">
        <w:rPr>
          <w:rFonts w:ascii="Times New Roman" w:hAnsi="Times New Roman" w:cs="Times New Roman"/>
          <w:lang w:val="hy-AM"/>
        </w:rPr>
        <w:t>ակ</w:t>
      </w:r>
      <w:r w:rsidR="00667F02" w:rsidRPr="00EF7399">
        <w:rPr>
          <w:rFonts w:ascii="Times New Roman" w:hAnsi="Times New Roman" w:cs="Times New Roman"/>
          <w:lang w:val="af-ZA"/>
        </w:rPr>
        <w:t>ան միջոցը բեկանվ</w:t>
      </w:r>
      <w:r w:rsidR="00A628C7" w:rsidRPr="00EF7399">
        <w:rPr>
          <w:rFonts w:ascii="Times New Roman" w:hAnsi="Times New Roman" w:cs="Times New Roman"/>
          <w:lang w:val="hy-AM"/>
        </w:rPr>
        <w:t>ել</w:t>
      </w:r>
      <w:r w:rsidR="00667F02" w:rsidRPr="00EF7399">
        <w:rPr>
          <w:rFonts w:ascii="Times New Roman" w:hAnsi="Times New Roman" w:cs="Times New Roman"/>
          <w:lang w:val="af-ZA"/>
        </w:rPr>
        <w:t xml:space="preserve"> է, օրինակ</w:t>
      </w:r>
      <w:r w:rsidR="00A628C7" w:rsidRPr="00EF7399">
        <w:rPr>
          <w:rFonts w:ascii="Times New Roman" w:hAnsi="Times New Roman" w:cs="Times New Roman"/>
          <w:lang w:val="hy-AM"/>
        </w:rPr>
        <w:t>՝</w:t>
      </w:r>
      <w:r w:rsidR="00667F02" w:rsidRPr="00EF7399">
        <w:rPr>
          <w:rFonts w:ascii="Times New Roman" w:hAnsi="Times New Roman" w:cs="Times New Roman"/>
          <w:lang w:val="af-ZA"/>
        </w:rPr>
        <w:t xml:space="preserve"> դատարանները</w:t>
      </w:r>
      <w:r w:rsidR="00F77054" w:rsidRPr="00EF7399">
        <w:rPr>
          <w:rFonts w:ascii="Times New Roman" w:hAnsi="Times New Roman" w:cs="Times New Roman"/>
          <w:lang w:val="af-ZA"/>
        </w:rPr>
        <w:t xml:space="preserve"> հետագայում չեղյալ են ճանաչել տուգանքները</w:t>
      </w:r>
      <w:r w:rsidR="00667F02" w:rsidRPr="00EF7399">
        <w:rPr>
          <w:rFonts w:ascii="Times New Roman" w:hAnsi="Times New Roman" w:cs="Times New Roman"/>
          <w:lang w:val="af-ZA"/>
        </w:rPr>
        <w:t xml:space="preserve"> </w:t>
      </w:r>
      <w:r w:rsidR="007B4F5E" w:rsidRPr="00EF7399">
        <w:rPr>
          <w:rFonts w:ascii="Times New Roman" w:hAnsi="Times New Roman" w:cs="Times New Roman"/>
          <w:lang w:val="af-ZA"/>
        </w:rPr>
        <w:t>(</w:t>
      </w:r>
      <w:hyperlink r:id="rId210" w:history="1">
        <w:r w:rsidR="003F7A5C" w:rsidRPr="00EF7399">
          <w:rPr>
            <w:rStyle w:val="Hyperlink"/>
            <w:rFonts w:ascii="Times New Roman" w:hAnsi="Times New Roman" w:cs="Times New Roman"/>
            <w:lang w:val="af-ZA"/>
          </w:rPr>
          <w:t>The United Macedonian Organisation Ilinden and Ivanov</w:t>
        </w:r>
        <w:r w:rsidR="00873234" w:rsidRPr="00EF7399">
          <w:rPr>
            <w:rStyle w:val="Hyperlink"/>
            <w:rFonts w:ascii="Times New Roman" w:hAnsi="Times New Roman" w:cs="Times New Roman"/>
            <w:lang w:val="af-ZA"/>
          </w:rPr>
          <w:t xml:space="preserve"> v. </w:t>
        </w:r>
        <w:r w:rsidR="003F7A5C" w:rsidRPr="00EF7399">
          <w:rPr>
            <w:rStyle w:val="Hyperlink"/>
            <w:rFonts w:ascii="Times New Roman" w:hAnsi="Times New Roman" w:cs="Times New Roman"/>
            <w:lang w:val="af-ZA"/>
          </w:rPr>
          <w:t>Bulgaria</w:t>
        </w:r>
      </w:hyperlink>
      <w:r w:rsidR="007B4F5E" w:rsidRPr="00EF7399">
        <w:rPr>
          <w:rFonts w:ascii="Times New Roman" w:hAnsi="Times New Roman" w:cs="Times New Roman"/>
          <w:lang w:val="af-ZA"/>
        </w:rPr>
        <w:t xml:space="preserve">, </w:t>
      </w:r>
      <w:r w:rsidR="00F00CD1" w:rsidRPr="00EF7399">
        <w:rPr>
          <w:rFonts w:ascii="Times New Roman" w:hAnsi="Times New Roman" w:cs="Times New Roman"/>
          <w:lang w:val="af-ZA"/>
        </w:rPr>
        <w:t xml:space="preserve">2005, </w:t>
      </w:r>
      <w:r w:rsidR="00873234" w:rsidRPr="00EF7399">
        <w:rPr>
          <w:rFonts w:ascii="Times New Roman" w:hAnsi="Times New Roman" w:cs="Times New Roman"/>
          <w:lang w:val="af-ZA"/>
        </w:rPr>
        <w:t>§ </w:t>
      </w:r>
      <w:r w:rsidR="007B4F5E" w:rsidRPr="00EF7399">
        <w:rPr>
          <w:rFonts w:ascii="Times New Roman" w:hAnsi="Times New Roman" w:cs="Times New Roman"/>
          <w:lang w:val="af-ZA"/>
        </w:rPr>
        <w:t>135)</w:t>
      </w:r>
      <w:r w:rsidR="00F77054" w:rsidRPr="00EF7399">
        <w:rPr>
          <w:rFonts w:ascii="Times New Roman" w:hAnsi="Times New Roman" w:cs="Times New Roman"/>
          <w:lang w:val="af-ZA"/>
        </w:rPr>
        <w:t xml:space="preserve">: </w:t>
      </w:r>
      <w:r w:rsidR="007B4F5E" w:rsidRPr="00EF7399">
        <w:rPr>
          <w:rFonts w:ascii="Times New Roman" w:hAnsi="Times New Roman" w:cs="Times New Roman"/>
          <w:lang w:val="af-ZA"/>
        </w:rPr>
        <w:t xml:space="preserve"> </w:t>
      </w:r>
      <w:r w:rsidR="00A628C7" w:rsidRPr="00EF7399">
        <w:rPr>
          <w:rFonts w:ascii="Times New Roman" w:hAnsi="Times New Roman" w:cs="Times New Roman"/>
          <w:lang w:val="hy-AM"/>
        </w:rPr>
        <w:t>Զսպող</w:t>
      </w:r>
      <w:r w:rsidR="00A628C7" w:rsidRPr="00EF7399">
        <w:rPr>
          <w:rFonts w:ascii="Times New Roman" w:hAnsi="Times New Roman" w:cs="Times New Roman"/>
          <w:lang w:val="af-ZA"/>
        </w:rPr>
        <w:t xml:space="preserve"> </w:t>
      </w:r>
      <w:r w:rsidR="00F77054" w:rsidRPr="00EF7399">
        <w:rPr>
          <w:rFonts w:ascii="Times New Roman" w:hAnsi="Times New Roman" w:cs="Times New Roman"/>
          <w:lang w:val="af-ZA"/>
        </w:rPr>
        <w:t>ազդեցությունը հաճախ առկա է քաղաքական հավաքների նկատմամբ կիրառվող միջոցներում այն իմաստով, որ դրանց ճնշումը, ընդհանուր առմամբ, կարող է հետ պահել կազմակերպիչներին և մասնակիցներին բողոքի ակցիաներ պլանավորելուց և դրանց մասնակցելուց կամ ընդդիմադիր քաղաքական գործունեությանն ակտիվորեն մասնակցելուց: Այս միջոցներ</w:t>
      </w:r>
      <w:r w:rsidR="00AE27A8" w:rsidRPr="00EF7399">
        <w:rPr>
          <w:rFonts w:ascii="Times New Roman" w:hAnsi="Times New Roman" w:cs="Times New Roman"/>
          <w:lang w:val="af-ZA"/>
        </w:rPr>
        <w:t>ը</w:t>
      </w:r>
      <w:r w:rsidR="00F77054" w:rsidRPr="00EF7399">
        <w:rPr>
          <w:rFonts w:ascii="Times New Roman" w:hAnsi="Times New Roman" w:cs="Times New Roman"/>
          <w:lang w:val="af-ZA"/>
        </w:rPr>
        <w:t xml:space="preserve"> կարող են</w:t>
      </w:r>
      <w:r w:rsidR="00AE27A8" w:rsidRPr="00EF7399">
        <w:rPr>
          <w:rFonts w:ascii="Times New Roman" w:hAnsi="Times New Roman" w:cs="Times New Roman"/>
          <w:lang w:val="af-ZA"/>
        </w:rPr>
        <w:t xml:space="preserve"> ունենալ լուրջ զսպող ներուժ և հետ պահել ընդդիմության այլ աջակիցներին և </w:t>
      </w:r>
      <w:r w:rsidR="00D317CA" w:rsidRPr="00EF7399">
        <w:rPr>
          <w:rFonts w:ascii="Times New Roman" w:hAnsi="Times New Roman" w:cs="Times New Roman"/>
          <w:lang w:val="hy-AM"/>
        </w:rPr>
        <w:t>հանրությանը</w:t>
      </w:r>
      <w:r w:rsidR="00D317CA" w:rsidRPr="00EF7399">
        <w:rPr>
          <w:rFonts w:ascii="Times New Roman" w:hAnsi="Times New Roman" w:cs="Times New Roman"/>
          <w:lang w:val="af-ZA"/>
        </w:rPr>
        <w:t xml:space="preserve"> </w:t>
      </w:r>
      <w:r w:rsidR="00AE27A8" w:rsidRPr="00EF7399">
        <w:rPr>
          <w:rFonts w:ascii="Times New Roman" w:hAnsi="Times New Roman" w:cs="Times New Roman"/>
          <w:lang w:val="af-ZA"/>
        </w:rPr>
        <w:t>ցույցերին, նաև ընդհանրապես, բաց քաղաքական բանավեճ</w:t>
      </w:r>
      <w:r w:rsidR="00D317CA" w:rsidRPr="00EF7399">
        <w:rPr>
          <w:rFonts w:ascii="Times New Roman" w:hAnsi="Times New Roman" w:cs="Times New Roman"/>
          <w:lang w:val="hy-AM"/>
        </w:rPr>
        <w:t>ե</w:t>
      </w:r>
      <w:r w:rsidR="00AE27A8" w:rsidRPr="00EF7399">
        <w:rPr>
          <w:rFonts w:ascii="Times New Roman" w:hAnsi="Times New Roman" w:cs="Times New Roman"/>
          <w:lang w:val="af-ZA"/>
        </w:rPr>
        <w:t xml:space="preserve">րին մասնակցելուց: </w:t>
      </w:r>
      <w:r w:rsidR="00D317CA" w:rsidRPr="00EF7399">
        <w:rPr>
          <w:rFonts w:ascii="Times New Roman" w:hAnsi="Times New Roman" w:cs="Times New Roman"/>
          <w:lang w:val="hy-AM"/>
        </w:rPr>
        <w:t>Զսպող</w:t>
      </w:r>
      <w:r w:rsidR="00D317CA" w:rsidRPr="00EF7399">
        <w:rPr>
          <w:rFonts w:ascii="Times New Roman" w:hAnsi="Times New Roman" w:cs="Times New Roman"/>
          <w:lang w:val="af-ZA"/>
        </w:rPr>
        <w:t xml:space="preserve"> </w:t>
      </w:r>
      <w:r w:rsidR="00AE27A8" w:rsidRPr="00EF7399">
        <w:rPr>
          <w:rFonts w:ascii="Times New Roman" w:hAnsi="Times New Roman" w:cs="Times New Roman"/>
          <w:lang w:val="af-ZA"/>
        </w:rPr>
        <w:t>ազդեցությունը կարող է ավելի մեծանալ, եթե հարկադր</w:t>
      </w:r>
      <w:r w:rsidR="00D317CA" w:rsidRPr="00EF7399">
        <w:rPr>
          <w:rFonts w:ascii="Times New Roman" w:hAnsi="Times New Roman" w:cs="Times New Roman"/>
          <w:lang w:val="hy-AM"/>
        </w:rPr>
        <w:t>ակ</w:t>
      </w:r>
      <w:r w:rsidR="00AE27A8" w:rsidRPr="00EF7399">
        <w:rPr>
          <w:rFonts w:ascii="Times New Roman" w:hAnsi="Times New Roman" w:cs="Times New Roman"/>
          <w:lang w:val="af-ZA"/>
        </w:rPr>
        <w:t>ան միջոցներ</w:t>
      </w:r>
      <w:r w:rsidR="00D317CA" w:rsidRPr="00EF7399">
        <w:rPr>
          <w:rFonts w:ascii="Times New Roman" w:hAnsi="Times New Roman" w:cs="Times New Roman"/>
          <w:lang w:val="hy-AM"/>
        </w:rPr>
        <w:t>ը</w:t>
      </w:r>
      <w:r w:rsidR="00AE27A8" w:rsidRPr="00EF7399">
        <w:rPr>
          <w:rFonts w:ascii="Times New Roman" w:hAnsi="Times New Roman" w:cs="Times New Roman"/>
          <w:lang w:val="af-ZA"/>
        </w:rPr>
        <w:t xml:space="preserve"> թիրախ</w:t>
      </w:r>
      <w:r w:rsidR="00D317CA" w:rsidRPr="00EF7399">
        <w:rPr>
          <w:rFonts w:ascii="Times New Roman" w:hAnsi="Times New Roman" w:cs="Times New Roman"/>
          <w:lang w:val="hy-AM"/>
        </w:rPr>
        <w:t>ավորում են</w:t>
      </w:r>
      <w:r w:rsidR="00AE27A8" w:rsidRPr="00EF7399">
        <w:rPr>
          <w:rFonts w:ascii="Times New Roman" w:hAnsi="Times New Roman" w:cs="Times New Roman"/>
          <w:lang w:val="af-ZA"/>
        </w:rPr>
        <w:t xml:space="preserve"> հայտնի </w:t>
      </w:r>
      <w:r w:rsidR="00D317CA" w:rsidRPr="00EF7399">
        <w:rPr>
          <w:rFonts w:ascii="Times New Roman" w:hAnsi="Times New Roman" w:cs="Times New Roman"/>
          <w:lang w:val="hy-AM"/>
        </w:rPr>
        <w:t>հանրային</w:t>
      </w:r>
      <w:r w:rsidR="00D317CA" w:rsidRPr="00EF7399">
        <w:rPr>
          <w:rFonts w:ascii="Times New Roman" w:hAnsi="Times New Roman" w:cs="Times New Roman"/>
          <w:lang w:val="af-ZA"/>
        </w:rPr>
        <w:t xml:space="preserve"> </w:t>
      </w:r>
      <w:r w:rsidR="00AE27A8" w:rsidRPr="00EF7399">
        <w:rPr>
          <w:rFonts w:ascii="Times New Roman" w:hAnsi="Times New Roman" w:cs="Times New Roman"/>
          <w:lang w:val="af-ZA"/>
        </w:rPr>
        <w:t>գործ</w:t>
      </w:r>
      <w:r w:rsidR="00D317CA" w:rsidRPr="00EF7399">
        <w:rPr>
          <w:rFonts w:ascii="Times New Roman" w:hAnsi="Times New Roman" w:cs="Times New Roman"/>
          <w:lang w:val="hy-AM"/>
        </w:rPr>
        <w:t>չի</w:t>
      </w:r>
      <w:r w:rsidR="00AE27A8" w:rsidRPr="00EF7399">
        <w:rPr>
          <w:rFonts w:ascii="Times New Roman" w:hAnsi="Times New Roman" w:cs="Times New Roman"/>
          <w:lang w:val="af-ZA"/>
        </w:rPr>
        <w:t xml:space="preserve"> և արժանանու</w:t>
      </w:r>
      <w:r w:rsidR="00D317CA" w:rsidRPr="00EF7399">
        <w:rPr>
          <w:rFonts w:ascii="Times New Roman" w:hAnsi="Times New Roman" w:cs="Times New Roman"/>
          <w:lang w:val="hy-AM"/>
        </w:rPr>
        <w:t>մ</w:t>
      </w:r>
      <w:r w:rsidR="00AE27A8" w:rsidRPr="00EF7399">
        <w:rPr>
          <w:rFonts w:ascii="Times New Roman" w:hAnsi="Times New Roman" w:cs="Times New Roman"/>
          <w:lang w:val="af-ZA"/>
        </w:rPr>
        <w:t xml:space="preserve"> լրատվամիջոցների լայն լուսաբանման </w:t>
      </w:r>
      <w:r w:rsidR="007B4F5E" w:rsidRPr="00EF7399">
        <w:rPr>
          <w:rFonts w:ascii="Times New Roman" w:hAnsi="Times New Roman" w:cs="Times New Roman"/>
          <w:lang w:val="af-ZA"/>
        </w:rPr>
        <w:t>(</w:t>
      </w:r>
      <w:hyperlink r:id="rId211" w:history="1">
        <w:r w:rsidR="007B4F5E" w:rsidRPr="00EF7399">
          <w:rPr>
            <w:rStyle w:val="Hyperlink"/>
            <w:rFonts w:ascii="Times New Roman" w:hAnsi="Times New Roman" w:cs="Times New Roman"/>
            <w:lang w:val="af-ZA"/>
          </w:rPr>
          <w:t>Nemtsov</w:t>
        </w:r>
        <w:r w:rsidR="00873234" w:rsidRPr="00EF7399">
          <w:rPr>
            <w:rStyle w:val="Hyperlink"/>
            <w:rFonts w:ascii="Times New Roman" w:hAnsi="Times New Roman" w:cs="Times New Roman"/>
            <w:lang w:val="af-ZA"/>
          </w:rPr>
          <w:t xml:space="preserve"> v. </w:t>
        </w:r>
        <w:r w:rsidR="007B4F5E" w:rsidRPr="00EF7399">
          <w:rPr>
            <w:rStyle w:val="Hyperlink"/>
            <w:rFonts w:ascii="Times New Roman" w:hAnsi="Times New Roman" w:cs="Times New Roman"/>
            <w:lang w:val="af-ZA"/>
          </w:rPr>
          <w:t>Russia</w:t>
        </w:r>
      </w:hyperlink>
      <w:r w:rsidR="007B4F5E" w:rsidRPr="00EF7399">
        <w:rPr>
          <w:rFonts w:ascii="Times New Roman" w:hAnsi="Times New Roman" w:cs="Times New Roman"/>
          <w:lang w:val="af-ZA"/>
        </w:rPr>
        <w:t xml:space="preserve">, </w:t>
      </w:r>
      <w:r w:rsidR="00F00CD1" w:rsidRPr="00EF7399">
        <w:rPr>
          <w:rFonts w:ascii="Times New Roman" w:hAnsi="Times New Roman" w:cs="Times New Roman"/>
          <w:lang w:val="af-ZA"/>
        </w:rPr>
        <w:t xml:space="preserve">2014, </w:t>
      </w:r>
      <w:r w:rsidR="007B4F5E" w:rsidRPr="00EF7399">
        <w:rPr>
          <w:rFonts w:ascii="Times New Roman" w:hAnsi="Times New Roman" w:cs="Times New Roman"/>
          <w:lang w:val="af-ZA"/>
        </w:rPr>
        <w:t>§</w:t>
      </w:r>
      <w:r w:rsidR="00873234" w:rsidRPr="00EF7399">
        <w:rPr>
          <w:rFonts w:ascii="Times New Roman" w:hAnsi="Times New Roman" w:cs="Times New Roman"/>
          <w:lang w:val="af-ZA"/>
        </w:rPr>
        <w:t>§ </w:t>
      </w:r>
      <w:r w:rsidR="007B4F5E" w:rsidRPr="00EF7399">
        <w:rPr>
          <w:rFonts w:ascii="Times New Roman" w:hAnsi="Times New Roman" w:cs="Times New Roman"/>
          <w:lang w:val="af-ZA"/>
        </w:rPr>
        <w:t>77-78)</w:t>
      </w:r>
      <w:r w:rsidR="00AE27A8" w:rsidRPr="00EF7399">
        <w:rPr>
          <w:rFonts w:ascii="Times New Roman" w:hAnsi="Times New Roman" w:cs="Times New Roman"/>
          <w:lang w:val="af-ZA"/>
        </w:rPr>
        <w:t>:</w:t>
      </w:r>
    </w:p>
    <w:p w14:paraId="543EC950" w14:textId="412FCC02" w:rsidR="00E51D7B" w:rsidRPr="00EF7399" w:rsidRDefault="003E05EA" w:rsidP="007B4F5E">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80</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0F2C70" w:rsidRPr="00EF7399">
        <w:rPr>
          <w:rFonts w:ascii="Times New Roman" w:hAnsi="Times New Roman" w:cs="Times New Roman"/>
          <w:lang w:val="af-ZA"/>
        </w:rPr>
        <w:t xml:space="preserve"> Հավաքի` որևէ բռնարարք չկատարած մասնակիցներին ձերբակալելու նպատակով ոստիկանության կողմից ուժ գործադրելը կարող է </w:t>
      </w:r>
      <w:r w:rsidR="004803CD" w:rsidRPr="00EF7399">
        <w:rPr>
          <w:rFonts w:ascii="Times New Roman" w:hAnsi="Times New Roman" w:cs="Times New Roman"/>
          <w:lang w:val="hy-AM"/>
        </w:rPr>
        <w:t>զսպող</w:t>
      </w:r>
      <w:r w:rsidR="004803CD" w:rsidRPr="00EF7399">
        <w:rPr>
          <w:rFonts w:ascii="Times New Roman" w:hAnsi="Times New Roman" w:cs="Times New Roman"/>
          <w:lang w:val="af-ZA"/>
        </w:rPr>
        <w:t xml:space="preserve"> </w:t>
      </w:r>
      <w:r w:rsidR="000F2C70" w:rsidRPr="00EF7399">
        <w:rPr>
          <w:rFonts w:ascii="Times New Roman" w:hAnsi="Times New Roman" w:cs="Times New Roman"/>
          <w:lang w:val="af-ZA"/>
        </w:rPr>
        <w:t xml:space="preserve">ազդեցություն ունենալ գանգատաբերի և այլ անձանց </w:t>
      </w:r>
      <w:r w:rsidR="004803CD" w:rsidRPr="00EF7399">
        <w:rPr>
          <w:rFonts w:ascii="Times New Roman" w:hAnsi="Times New Roman" w:cs="Times New Roman"/>
          <w:lang w:val="hy-AM"/>
        </w:rPr>
        <w:t>համար</w:t>
      </w:r>
      <w:r w:rsidR="000F2C70" w:rsidRPr="00EF7399">
        <w:rPr>
          <w:rFonts w:ascii="Times New Roman" w:hAnsi="Times New Roman" w:cs="Times New Roman"/>
          <w:lang w:val="af-ZA"/>
        </w:rPr>
        <w:t xml:space="preserve">` հետ պահելով նրանց նման հանրահավաքներին մասնակցելուց </w:t>
      </w:r>
      <w:r w:rsidR="00C74062" w:rsidRPr="00EF7399">
        <w:rPr>
          <w:rFonts w:ascii="Times New Roman" w:hAnsi="Times New Roman" w:cs="Times New Roman"/>
          <w:lang w:val="af-ZA"/>
        </w:rPr>
        <w:t>(</w:t>
      </w:r>
      <w:hyperlink r:id="rId212" w:history="1">
        <w:r w:rsidR="00481003" w:rsidRPr="00EF7399">
          <w:rPr>
            <w:rStyle w:val="Hyperlink"/>
            <w:rFonts w:ascii="Times New Roman" w:hAnsi="Times New Roman" w:cs="Times New Roman"/>
            <w:lang w:val="af-ZA"/>
          </w:rPr>
          <w:t>Zakharov and Varzhabetyan</w:t>
        </w:r>
        <w:r w:rsidR="00873234" w:rsidRPr="00EF7399">
          <w:rPr>
            <w:rStyle w:val="Hyperlink"/>
            <w:rFonts w:ascii="Times New Roman" w:hAnsi="Times New Roman" w:cs="Times New Roman"/>
            <w:lang w:val="af-ZA"/>
          </w:rPr>
          <w:t xml:space="preserve"> v. </w:t>
        </w:r>
        <w:r w:rsidR="00481003" w:rsidRPr="00EF7399">
          <w:rPr>
            <w:rStyle w:val="Hyperlink"/>
            <w:rFonts w:ascii="Times New Roman" w:hAnsi="Times New Roman" w:cs="Times New Roman"/>
            <w:lang w:val="af-ZA"/>
          </w:rPr>
          <w:t>Russia</w:t>
        </w:r>
      </w:hyperlink>
      <w:r w:rsidR="00C74062" w:rsidRPr="00EF7399">
        <w:rPr>
          <w:rFonts w:ascii="Times New Roman" w:hAnsi="Times New Roman" w:cs="Times New Roman"/>
          <w:iCs/>
          <w:lang w:val="af-ZA"/>
        </w:rPr>
        <w:t>,</w:t>
      </w:r>
      <w:r w:rsidR="00F00CD1" w:rsidRPr="00EF7399">
        <w:rPr>
          <w:rFonts w:ascii="Times New Roman" w:hAnsi="Times New Roman" w:cs="Times New Roman"/>
          <w:iCs/>
          <w:lang w:val="af-ZA"/>
        </w:rPr>
        <w:t xml:space="preserve"> 2020,</w:t>
      </w:r>
      <w:r w:rsidR="00C74062" w:rsidRPr="00EF7399">
        <w:rPr>
          <w:rFonts w:ascii="Times New Roman" w:hAnsi="Times New Roman" w:cs="Times New Roman"/>
          <w:iCs/>
          <w:lang w:val="af-ZA"/>
        </w:rPr>
        <w:t xml:space="preserve"> </w:t>
      </w:r>
      <w:r w:rsidR="00873234" w:rsidRPr="00EF7399">
        <w:rPr>
          <w:rFonts w:ascii="Times New Roman" w:hAnsi="Times New Roman" w:cs="Times New Roman"/>
          <w:iCs/>
          <w:lang w:val="af-ZA"/>
        </w:rPr>
        <w:t>§ </w:t>
      </w:r>
      <w:r w:rsidR="00C74062" w:rsidRPr="00EF7399">
        <w:rPr>
          <w:rFonts w:ascii="Times New Roman" w:hAnsi="Times New Roman" w:cs="Times New Roman"/>
          <w:iCs/>
          <w:lang w:val="af-ZA"/>
        </w:rPr>
        <w:t xml:space="preserve">90; </w:t>
      </w:r>
      <w:hyperlink r:id="rId213" w:history="1">
        <w:r w:rsidR="00C74062" w:rsidRPr="00EF7399">
          <w:rPr>
            <w:rStyle w:val="Hyperlink"/>
            <w:rFonts w:ascii="Times New Roman" w:hAnsi="Times New Roman" w:cs="Times New Roman"/>
            <w:lang w:val="af-ZA" w:eastAsia="fr-FR"/>
          </w:rPr>
          <w:t>Navalnyy and Gunko</w:t>
        </w:r>
        <w:r w:rsidR="00873234" w:rsidRPr="00EF7399">
          <w:rPr>
            <w:rStyle w:val="Hyperlink"/>
            <w:rFonts w:ascii="Times New Roman" w:hAnsi="Times New Roman" w:cs="Times New Roman"/>
            <w:lang w:val="af-ZA" w:eastAsia="fr-FR"/>
          </w:rPr>
          <w:t xml:space="preserve"> v. </w:t>
        </w:r>
        <w:r w:rsidR="00C74062" w:rsidRPr="00EF7399">
          <w:rPr>
            <w:rStyle w:val="Hyperlink"/>
            <w:rFonts w:ascii="Times New Roman" w:hAnsi="Times New Roman" w:cs="Times New Roman"/>
            <w:lang w:val="af-ZA" w:eastAsia="fr-FR"/>
          </w:rPr>
          <w:t>Russia</w:t>
        </w:r>
      </w:hyperlink>
      <w:r w:rsidR="00C74062" w:rsidRPr="00EF7399">
        <w:rPr>
          <w:rFonts w:ascii="Times New Roman" w:hAnsi="Times New Roman" w:cs="Times New Roman"/>
          <w:color w:val="000000"/>
          <w:lang w:val="af-ZA" w:eastAsia="fr-FR"/>
        </w:rPr>
        <w:t xml:space="preserve">, </w:t>
      </w:r>
      <w:r w:rsidR="00F00CD1" w:rsidRPr="00EF7399">
        <w:rPr>
          <w:rFonts w:ascii="Times New Roman" w:hAnsi="Times New Roman" w:cs="Times New Roman"/>
          <w:color w:val="000000"/>
          <w:lang w:val="af-ZA" w:eastAsia="fr-FR"/>
        </w:rPr>
        <w:t xml:space="preserve">2020, </w:t>
      </w:r>
      <w:r w:rsidR="00873234" w:rsidRPr="00EF7399">
        <w:rPr>
          <w:rFonts w:ascii="Times New Roman" w:hAnsi="Times New Roman" w:cs="Times New Roman"/>
          <w:color w:val="000000"/>
          <w:lang w:val="af-ZA" w:eastAsia="fr-FR"/>
        </w:rPr>
        <w:t>§ </w:t>
      </w:r>
      <w:r w:rsidR="00C74062" w:rsidRPr="00EF7399">
        <w:rPr>
          <w:rFonts w:ascii="Times New Roman" w:hAnsi="Times New Roman" w:cs="Times New Roman"/>
          <w:color w:val="000000"/>
          <w:lang w:val="af-ZA" w:eastAsia="fr-FR"/>
        </w:rPr>
        <w:t>88</w:t>
      </w:r>
      <w:r w:rsidR="00C74062" w:rsidRPr="00EF7399">
        <w:rPr>
          <w:rFonts w:ascii="Times New Roman" w:hAnsi="Times New Roman" w:cs="Times New Roman"/>
          <w:iCs/>
          <w:lang w:val="af-ZA"/>
        </w:rPr>
        <w:t>)</w:t>
      </w:r>
      <w:r w:rsidR="000F2C70" w:rsidRPr="00EF7399">
        <w:rPr>
          <w:rFonts w:ascii="Times New Roman" w:hAnsi="Times New Roman" w:cs="Times New Roman"/>
          <w:iCs/>
          <w:lang w:val="af-ZA"/>
        </w:rPr>
        <w:t>:</w:t>
      </w:r>
    </w:p>
    <w:p w14:paraId="07BDE14D" w14:textId="4C0D99C0" w:rsidR="007B4F5E" w:rsidRPr="00EF7399" w:rsidRDefault="000F2C70" w:rsidP="007B4F5E">
      <w:pPr>
        <w:pStyle w:val="ECHRHeading5"/>
        <w:rPr>
          <w:rFonts w:ascii="Times New Roman" w:hAnsi="Times New Roman" w:cs="Times New Roman"/>
          <w:lang w:val="af-ZA"/>
        </w:rPr>
      </w:pPr>
      <w:bookmarkStart w:id="59" w:name="_Toc159945224"/>
      <w:r w:rsidRPr="00EF7399">
        <w:rPr>
          <w:rFonts w:ascii="Times New Roman" w:hAnsi="Times New Roman" w:cs="Times New Roman"/>
          <w:lang w:val="af-ZA"/>
        </w:rPr>
        <w:t>Պատժամիջոցներ` բնույթը և խստությունը</w:t>
      </w:r>
      <w:bookmarkEnd w:id="59"/>
    </w:p>
    <w:p w14:paraId="1A78F548" w14:textId="75C796F2" w:rsidR="007B4F5E" w:rsidRPr="000A2359" w:rsidRDefault="007B4F5E" w:rsidP="007B4F5E">
      <w:pPr>
        <w:pStyle w:val="ECHRParaSpaced"/>
        <w:rPr>
          <w:rFonts w:ascii="Times New Roman" w:hAnsi="Times New Roman" w:cs="Times New Roman"/>
          <w:lang w:val="hy-AM"/>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81</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A034AF" w:rsidRPr="00EF7399">
        <w:rPr>
          <w:rFonts w:ascii="Times New Roman" w:hAnsi="Times New Roman" w:cs="Times New Roman"/>
          <w:lang w:val="hy-AM"/>
        </w:rPr>
        <w:t>Կիրառված</w:t>
      </w:r>
      <w:r w:rsidR="00A034AF" w:rsidRPr="00EF7399">
        <w:rPr>
          <w:rFonts w:ascii="Times New Roman" w:hAnsi="Times New Roman" w:cs="Times New Roman"/>
          <w:lang w:val="af-ZA"/>
        </w:rPr>
        <w:t xml:space="preserve"> պատիժների բնույթը և խստությունը գործոններ</w:t>
      </w:r>
      <w:r w:rsidR="00A034AF" w:rsidRPr="00EF7399">
        <w:rPr>
          <w:rFonts w:ascii="Times New Roman" w:hAnsi="Times New Roman" w:cs="Times New Roman"/>
          <w:lang w:val="hy-AM"/>
        </w:rPr>
        <w:t xml:space="preserve"> են, որ</w:t>
      </w:r>
      <w:r w:rsidR="00A034AF" w:rsidRPr="00EF7399">
        <w:rPr>
          <w:rFonts w:ascii="Times New Roman" w:hAnsi="Times New Roman" w:cs="Times New Roman"/>
          <w:lang w:val="af-ZA"/>
        </w:rPr>
        <w:t xml:space="preserve"> հարկ է </w:t>
      </w:r>
      <w:r w:rsidR="00A034AF" w:rsidRPr="00EF7399">
        <w:rPr>
          <w:rFonts w:ascii="Times New Roman" w:hAnsi="Times New Roman" w:cs="Times New Roman"/>
          <w:lang w:val="hy-AM"/>
        </w:rPr>
        <w:t>հաշվի</w:t>
      </w:r>
      <w:r w:rsidR="00A034AF" w:rsidRPr="00EF7399">
        <w:rPr>
          <w:rFonts w:ascii="Times New Roman" w:hAnsi="Times New Roman" w:cs="Times New Roman"/>
          <w:lang w:val="af-ZA"/>
        </w:rPr>
        <w:t xml:space="preserve"> առնել </w:t>
      </w:r>
      <w:r w:rsidR="00A034AF" w:rsidRPr="00EF7399">
        <w:rPr>
          <w:rFonts w:ascii="Times New Roman" w:hAnsi="Times New Roman" w:cs="Times New Roman"/>
          <w:lang w:val="hy-AM"/>
        </w:rPr>
        <w:t>հ</w:t>
      </w:r>
      <w:r w:rsidR="000F2C70" w:rsidRPr="00EF7399">
        <w:rPr>
          <w:rFonts w:ascii="Times New Roman" w:hAnsi="Times New Roman" w:cs="Times New Roman"/>
          <w:lang w:val="af-ZA"/>
        </w:rPr>
        <w:t>ետապնդած նպատակին միջամտության համաչափությունը գնահատել</w:t>
      </w:r>
      <w:r w:rsidR="004803CD" w:rsidRPr="00EF7399">
        <w:rPr>
          <w:rFonts w:ascii="Times New Roman" w:hAnsi="Times New Roman" w:cs="Times New Roman"/>
          <w:lang w:val="hy-AM"/>
        </w:rPr>
        <w:t>իս</w:t>
      </w:r>
      <w:r w:rsidR="00893614" w:rsidRPr="00EF7399">
        <w:rPr>
          <w:rFonts w:ascii="Times New Roman" w:hAnsi="Times New Roman" w:cs="Times New Roman"/>
          <w:lang w:val="af-ZA"/>
        </w:rPr>
        <w:t xml:space="preserve"> </w:t>
      </w:r>
      <w:r w:rsidR="0081194B" w:rsidRPr="00EF7399">
        <w:rPr>
          <w:rFonts w:ascii="Times New Roman" w:hAnsi="Times New Roman" w:cs="Times New Roman"/>
          <w:lang w:val="af-ZA"/>
        </w:rPr>
        <w:t>(</w:t>
      </w:r>
      <w:hyperlink r:id="rId214" w:history="1">
        <w:r w:rsidR="0081194B" w:rsidRPr="00EF7399">
          <w:rPr>
            <w:rStyle w:val="Hyperlink"/>
            <w:rFonts w:ascii="Times New Roman" w:hAnsi="Times New Roman" w:cs="Times New Roman"/>
            <w:lang w:val="af-ZA"/>
          </w:rPr>
          <w:t>Kudrevičius and Others</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Lithuania</w:t>
        </w:r>
      </w:hyperlink>
      <w:r w:rsidR="0081194B" w:rsidRPr="00EF7399">
        <w:rPr>
          <w:rFonts w:ascii="Times New Roman" w:hAnsi="Times New Roman" w:cs="Times New Roman"/>
          <w:i/>
          <w:lang w:val="af-ZA"/>
        </w:rPr>
        <w:t xml:space="preserve"> </w:t>
      </w:r>
      <w:r w:rsidR="0081194B" w:rsidRPr="00EF7399">
        <w:rPr>
          <w:rFonts w:ascii="Times New Roman" w:hAnsi="Times New Roman" w:cs="Times New Roman"/>
          <w:lang w:val="af-ZA"/>
        </w:rPr>
        <w:t xml:space="preserve">[GC], </w:t>
      </w:r>
      <w:r w:rsidR="00F00CD1"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146)</w:t>
      </w:r>
      <w:r w:rsidR="000F2C70" w:rsidRPr="00EF7399">
        <w:rPr>
          <w:rFonts w:ascii="Times New Roman" w:hAnsi="Times New Roman" w:cs="Times New Roman"/>
          <w:lang w:val="af-ZA"/>
        </w:rPr>
        <w:t>: Եթե ցույցի մասնակիցների նկատմամբ կիրառած պատժամիջոցները քրեական բնույթի են, ապա դրանք պահանջում են առանձնահատուկ հիմնավորում</w:t>
      </w:r>
      <w:r w:rsidR="0081194B" w:rsidRPr="00EF7399">
        <w:rPr>
          <w:rFonts w:ascii="Times New Roman" w:hAnsi="Times New Roman" w:cs="Times New Roman"/>
          <w:lang w:val="af-ZA"/>
        </w:rPr>
        <w:t xml:space="preserve"> (</w:t>
      </w:r>
      <w:hyperlink r:id="rId215" w:history="1">
        <w:r w:rsidR="0081194B" w:rsidRPr="00EF7399">
          <w:rPr>
            <w:rStyle w:val="Hyperlink"/>
            <w:rFonts w:ascii="Times New Roman" w:hAnsi="Times New Roman" w:cs="Times New Roman"/>
            <w:lang w:val="af-ZA"/>
          </w:rPr>
          <w:t>Rai and Evans</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the United Kingdom</w:t>
        </w:r>
      </w:hyperlink>
      <w:r w:rsidR="0081194B" w:rsidRPr="00EF7399">
        <w:rPr>
          <w:rFonts w:ascii="Times New Roman" w:hAnsi="Times New Roman" w:cs="Times New Roman"/>
          <w:lang w:val="af-ZA"/>
        </w:rPr>
        <w:t xml:space="preserve"> (dec.)</w:t>
      </w:r>
      <w:r w:rsidR="00FC780F" w:rsidRPr="00EF7399">
        <w:rPr>
          <w:rFonts w:ascii="Times New Roman" w:hAnsi="Times New Roman" w:cs="Times New Roman"/>
          <w:lang w:val="af-ZA"/>
        </w:rPr>
        <w:t>, 2009</w:t>
      </w:r>
      <w:r w:rsidR="0081194B" w:rsidRPr="00EF7399">
        <w:rPr>
          <w:rFonts w:ascii="Times New Roman" w:hAnsi="Times New Roman" w:cs="Times New Roman"/>
          <w:lang w:val="af-ZA"/>
        </w:rPr>
        <w:t>)</w:t>
      </w:r>
      <w:r w:rsidR="000F2C70" w:rsidRPr="00EF7399">
        <w:rPr>
          <w:rFonts w:ascii="Times New Roman" w:hAnsi="Times New Roman" w:cs="Times New Roman"/>
          <w:lang w:val="af-ZA"/>
        </w:rPr>
        <w:t xml:space="preserve">: Սկզբունքորեն, խաղաղ ցույցը </w:t>
      </w:r>
      <w:r w:rsidR="0044096E" w:rsidRPr="00EF7399">
        <w:rPr>
          <w:rFonts w:ascii="Times New Roman" w:hAnsi="Times New Roman" w:cs="Times New Roman"/>
          <w:lang w:val="af-ZA"/>
        </w:rPr>
        <w:t xml:space="preserve">չպետք է դառնա քրեական պատժի </w:t>
      </w:r>
      <w:r w:rsidR="0081194B" w:rsidRPr="00EF7399">
        <w:rPr>
          <w:rFonts w:ascii="Times New Roman" w:hAnsi="Times New Roman" w:cs="Times New Roman"/>
          <w:lang w:val="af-ZA"/>
        </w:rPr>
        <w:t>(</w:t>
      </w:r>
      <w:hyperlink r:id="rId216" w:history="1">
        <w:r w:rsidR="0081194B" w:rsidRPr="00EF7399">
          <w:rPr>
            <w:rStyle w:val="Hyperlink"/>
            <w:rFonts w:ascii="Times New Roman" w:hAnsi="Times New Roman" w:cs="Times New Roman"/>
            <w:lang w:val="af-ZA"/>
          </w:rPr>
          <w:t>Akgöl and Göl</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Turkey</w:t>
        </w:r>
      </w:hyperlink>
      <w:r w:rsidR="0081194B" w:rsidRPr="00EF7399">
        <w:rPr>
          <w:rFonts w:ascii="Times New Roman" w:hAnsi="Times New Roman" w:cs="Times New Roman"/>
          <w:lang w:val="af-ZA"/>
        </w:rPr>
        <w:t xml:space="preserve">, </w:t>
      </w:r>
      <w:r w:rsidR="00F00CD1" w:rsidRPr="00EF7399">
        <w:rPr>
          <w:rFonts w:ascii="Times New Roman" w:hAnsi="Times New Roman" w:cs="Times New Roman"/>
          <w:lang w:val="af-ZA"/>
        </w:rPr>
        <w:t xml:space="preserve">2011,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43)</w:t>
      </w:r>
      <w:r w:rsidR="0044096E" w:rsidRPr="00EF7399">
        <w:rPr>
          <w:rFonts w:ascii="Times New Roman" w:hAnsi="Times New Roman" w:cs="Times New Roman"/>
          <w:lang w:val="af-ZA"/>
        </w:rPr>
        <w:t xml:space="preserve"> և հատկապես, ազատազրկ</w:t>
      </w:r>
      <w:r w:rsidR="00A034AF" w:rsidRPr="00EF7399">
        <w:rPr>
          <w:rFonts w:ascii="Times New Roman" w:hAnsi="Times New Roman" w:cs="Times New Roman"/>
          <w:lang w:val="hy-AM"/>
        </w:rPr>
        <w:t>ման</w:t>
      </w:r>
      <w:r w:rsidR="0044096E" w:rsidRPr="00EF7399">
        <w:rPr>
          <w:rFonts w:ascii="Times New Roman" w:hAnsi="Times New Roman" w:cs="Times New Roman"/>
          <w:lang w:val="af-ZA"/>
        </w:rPr>
        <w:t xml:space="preserve"> </w:t>
      </w:r>
      <w:r w:rsidR="0081194B" w:rsidRPr="00EF7399">
        <w:rPr>
          <w:rFonts w:ascii="Times New Roman" w:hAnsi="Times New Roman" w:cs="Times New Roman"/>
          <w:lang w:val="af-ZA"/>
        </w:rPr>
        <w:t>(</w:t>
      </w:r>
      <w:hyperlink r:id="rId217" w:history="1">
        <w:r w:rsidR="0081194B" w:rsidRPr="00EF7399">
          <w:rPr>
            <w:rStyle w:val="Hyperlink"/>
            <w:rFonts w:ascii="Times New Roman" w:hAnsi="Times New Roman" w:cs="Times New Roman"/>
            <w:lang w:val="af-ZA"/>
          </w:rPr>
          <w:t>Gün and Others</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Turkey</w:t>
        </w:r>
      </w:hyperlink>
      <w:r w:rsidR="00535E5C" w:rsidRPr="00EF7399">
        <w:rPr>
          <w:rFonts w:ascii="Times New Roman" w:hAnsi="Times New Roman" w:cs="Times New Roman"/>
          <w:lang w:val="af-ZA"/>
        </w:rPr>
        <w:t xml:space="preserve">, </w:t>
      </w:r>
      <w:r w:rsidR="00F00CD1" w:rsidRPr="00EF7399">
        <w:rPr>
          <w:rFonts w:ascii="Times New Roman" w:hAnsi="Times New Roman" w:cs="Times New Roman"/>
          <w:lang w:val="af-ZA"/>
        </w:rPr>
        <w:t xml:space="preserve">2013,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83)</w:t>
      </w:r>
      <w:r w:rsidR="0044096E" w:rsidRPr="00EF7399">
        <w:rPr>
          <w:rFonts w:ascii="Times New Roman" w:hAnsi="Times New Roman" w:cs="Times New Roman"/>
          <w:lang w:val="af-ZA"/>
        </w:rPr>
        <w:t xml:space="preserve"> սպառնալիքի առարկա:</w:t>
      </w:r>
      <w:r w:rsidR="0081194B" w:rsidRPr="00EF7399">
        <w:rPr>
          <w:rFonts w:ascii="Times New Roman" w:hAnsi="Times New Roman" w:cs="Times New Roman"/>
          <w:lang w:val="af-ZA"/>
        </w:rPr>
        <w:t xml:space="preserve"> </w:t>
      </w:r>
      <w:r w:rsidR="0044096E" w:rsidRPr="00EF7399">
        <w:rPr>
          <w:rFonts w:ascii="Times New Roman" w:hAnsi="Times New Roman" w:cs="Times New Roman"/>
          <w:lang w:val="af-ZA"/>
        </w:rPr>
        <w:t>Այսպիսով, Դատարանը հատուկ ուշադ</w:t>
      </w:r>
      <w:r w:rsidR="00893614" w:rsidRPr="00EF7399">
        <w:rPr>
          <w:rFonts w:ascii="Times New Roman" w:hAnsi="Times New Roman" w:cs="Times New Roman"/>
          <w:lang w:val="af-ZA"/>
        </w:rPr>
        <w:t>րու</w:t>
      </w:r>
      <w:r w:rsidR="0044096E" w:rsidRPr="00EF7399">
        <w:rPr>
          <w:rFonts w:ascii="Times New Roman" w:hAnsi="Times New Roman" w:cs="Times New Roman"/>
          <w:lang w:val="af-ZA"/>
        </w:rPr>
        <w:t xml:space="preserve">թյամբ է քննում այն գործերը, որտեղ ոչ բռնի </w:t>
      </w:r>
      <w:r w:rsidR="009A0DED" w:rsidRPr="00EF7399">
        <w:rPr>
          <w:rFonts w:ascii="Times New Roman" w:hAnsi="Times New Roman" w:cs="Times New Roman"/>
          <w:lang w:val="af-ZA"/>
        </w:rPr>
        <w:t xml:space="preserve">վարքագծի համար </w:t>
      </w:r>
      <w:r w:rsidR="0044096E" w:rsidRPr="00EF7399">
        <w:rPr>
          <w:rFonts w:ascii="Times New Roman" w:hAnsi="Times New Roman" w:cs="Times New Roman"/>
          <w:lang w:val="af-ZA"/>
        </w:rPr>
        <w:t>ազգային իշխանությունների</w:t>
      </w:r>
      <w:r w:rsidR="009A0DED" w:rsidRPr="00EF7399">
        <w:rPr>
          <w:rFonts w:ascii="Times New Roman" w:hAnsi="Times New Roman" w:cs="Times New Roman"/>
          <w:lang w:val="af-ZA"/>
        </w:rPr>
        <w:t xml:space="preserve"> </w:t>
      </w:r>
      <w:r w:rsidR="00A034AF" w:rsidRPr="00EF7399">
        <w:rPr>
          <w:rFonts w:ascii="Times New Roman" w:hAnsi="Times New Roman" w:cs="Times New Roman"/>
          <w:lang w:val="hy-AM"/>
        </w:rPr>
        <w:t>կիրառած</w:t>
      </w:r>
      <w:r w:rsidR="00A034AF" w:rsidRPr="00EF7399">
        <w:rPr>
          <w:rFonts w:ascii="Times New Roman" w:hAnsi="Times New Roman" w:cs="Times New Roman"/>
          <w:lang w:val="af-ZA"/>
        </w:rPr>
        <w:t xml:space="preserve"> </w:t>
      </w:r>
      <w:r w:rsidR="009A0DED" w:rsidRPr="00EF7399">
        <w:rPr>
          <w:rFonts w:ascii="Times New Roman" w:hAnsi="Times New Roman" w:cs="Times New Roman"/>
          <w:lang w:val="af-ZA"/>
        </w:rPr>
        <w:t>պատժամիջոցները ներառում են</w:t>
      </w:r>
      <w:r w:rsidR="0044096E" w:rsidRPr="00EF7399">
        <w:rPr>
          <w:rFonts w:ascii="Times New Roman" w:hAnsi="Times New Roman" w:cs="Times New Roman"/>
          <w:lang w:val="af-ZA"/>
        </w:rPr>
        <w:t xml:space="preserve"> ազատազրկ</w:t>
      </w:r>
      <w:r w:rsidR="009A0DED" w:rsidRPr="00EF7399">
        <w:rPr>
          <w:rFonts w:ascii="Times New Roman" w:hAnsi="Times New Roman" w:cs="Times New Roman"/>
          <w:lang w:val="af-ZA"/>
        </w:rPr>
        <w:t>ում</w:t>
      </w:r>
      <w:r w:rsidR="00A034AF" w:rsidRPr="00EF7399">
        <w:rPr>
          <w:rFonts w:ascii="Times New Roman" w:hAnsi="Times New Roman" w:cs="Times New Roman"/>
          <w:lang w:val="hy-AM"/>
        </w:rPr>
        <w:t>ը</w:t>
      </w:r>
      <w:r w:rsidR="009A0DED" w:rsidRPr="00EF7399">
        <w:rPr>
          <w:rFonts w:ascii="Times New Roman" w:hAnsi="Times New Roman" w:cs="Times New Roman"/>
          <w:lang w:val="af-ZA"/>
        </w:rPr>
        <w:t xml:space="preserve"> </w:t>
      </w:r>
      <w:r w:rsidR="0081194B" w:rsidRPr="00EF7399">
        <w:rPr>
          <w:rFonts w:ascii="Times New Roman" w:hAnsi="Times New Roman" w:cs="Times New Roman"/>
          <w:lang w:val="af-ZA"/>
        </w:rPr>
        <w:t>(</w:t>
      </w:r>
      <w:hyperlink r:id="rId218" w:history="1">
        <w:r w:rsidR="0081194B" w:rsidRPr="00EF7399">
          <w:rPr>
            <w:rStyle w:val="Hyperlink"/>
            <w:rFonts w:ascii="Times New Roman" w:hAnsi="Times New Roman" w:cs="Times New Roman"/>
            <w:lang w:val="af-ZA"/>
          </w:rPr>
          <w:t>Taranenko</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Russia</w:t>
        </w:r>
      </w:hyperlink>
      <w:r w:rsidR="00535E5C" w:rsidRPr="00EF7399">
        <w:rPr>
          <w:rFonts w:ascii="Times New Roman" w:hAnsi="Times New Roman" w:cs="Times New Roman"/>
          <w:lang w:val="af-ZA"/>
        </w:rPr>
        <w:t xml:space="preserve">, </w:t>
      </w:r>
      <w:r w:rsidR="00FC780F"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87</w:t>
      </w:r>
      <w:r w:rsidR="00B553E9" w:rsidRPr="00EF7399">
        <w:rPr>
          <w:rFonts w:ascii="Times New Roman" w:hAnsi="Times New Roman" w:cs="Times New Roman"/>
          <w:lang w:val="af-ZA"/>
        </w:rPr>
        <w:t xml:space="preserve">; </w:t>
      </w:r>
      <w:hyperlink r:id="rId219" w:history="1">
        <w:r w:rsidR="00B553E9" w:rsidRPr="00EF7399">
          <w:rPr>
            <w:rStyle w:val="Hyperlink"/>
            <w:rFonts w:ascii="Times New Roman" w:hAnsi="Times New Roman" w:cs="Times New Roman"/>
            <w:iCs/>
            <w:lang w:val="af-ZA"/>
          </w:rPr>
          <w:t>Ekrem Can and Others</w:t>
        </w:r>
        <w:r w:rsidR="00873234" w:rsidRPr="00EF7399">
          <w:rPr>
            <w:rStyle w:val="Hyperlink"/>
            <w:rFonts w:ascii="Times New Roman" w:hAnsi="Times New Roman" w:cs="Times New Roman"/>
            <w:iCs/>
            <w:lang w:val="af-ZA"/>
          </w:rPr>
          <w:t xml:space="preserve"> v. </w:t>
        </w:r>
        <w:r w:rsidR="00B553E9" w:rsidRPr="00EF7399">
          <w:rPr>
            <w:rStyle w:val="Hyperlink"/>
            <w:rFonts w:ascii="Times New Roman" w:hAnsi="Times New Roman" w:cs="Times New Roman"/>
            <w:iCs/>
            <w:lang w:val="af-ZA"/>
          </w:rPr>
          <w:t>Turkey</w:t>
        </w:r>
      </w:hyperlink>
      <w:r w:rsidR="00B553E9" w:rsidRPr="00EF7399">
        <w:rPr>
          <w:rFonts w:ascii="Times New Roman" w:hAnsi="Times New Roman" w:cs="Times New Roman"/>
          <w:lang w:val="af-ZA"/>
        </w:rPr>
        <w:t xml:space="preserve">, 2022, </w:t>
      </w:r>
      <w:r w:rsidR="00873234" w:rsidRPr="00EF7399">
        <w:rPr>
          <w:rFonts w:ascii="Times New Roman" w:hAnsi="Times New Roman" w:cs="Times New Roman"/>
          <w:lang w:val="af-ZA"/>
        </w:rPr>
        <w:t>§ </w:t>
      </w:r>
      <w:r w:rsidR="00B553E9" w:rsidRPr="00EF7399">
        <w:rPr>
          <w:rFonts w:ascii="Times New Roman" w:hAnsi="Times New Roman" w:cs="Times New Roman"/>
          <w:lang w:val="af-ZA"/>
        </w:rPr>
        <w:t>92</w:t>
      </w:r>
      <w:r w:rsidR="0081194B" w:rsidRPr="00EF7399">
        <w:rPr>
          <w:rFonts w:ascii="Times New Roman" w:hAnsi="Times New Roman" w:cs="Times New Roman"/>
          <w:lang w:val="af-ZA"/>
        </w:rPr>
        <w:t>)</w:t>
      </w:r>
      <w:r w:rsidR="009A0DED" w:rsidRPr="00EF7399">
        <w:rPr>
          <w:rFonts w:ascii="Times New Roman" w:hAnsi="Times New Roman" w:cs="Times New Roman"/>
          <w:lang w:val="af-ZA"/>
        </w:rPr>
        <w:t>:</w:t>
      </w:r>
    </w:p>
    <w:p w14:paraId="2D668860" w14:textId="0562DA09" w:rsidR="007B4F5E" w:rsidRPr="00AE3634" w:rsidRDefault="007B4F5E" w:rsidP="007B4F5E">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82</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9A0DED" w:rsidRPr="00EF7399">
        <w:rPr>
          <w:rFonts w:ascii="Times New Roman" w:hAnsi="Times New Roman" w:cs="Times New Roman"/>
          <w:lang w:val="af-ZA"/>
        </w:rPr>
        <w:t>Այսպես, չարտոնված ցո</w:t>
      </w:r>
      <w:r w:rsidR="009A0DED" w:rsidRPr="00AE3634">
        <w:rPr>
          <w:rFonts w:ascii="Times New Roman" w:hAnsi="Times New Roman" w:cs="Times New Roman"/>
          <w:lang w:val="af-ZA"/>
        </w:rPr>
        <w:t xml:space="preserve">ւյցի մասնակցելու համար 3 եվրո տուգանքը համարվել է համաչափ պատիժ </w:t>
      </w:r>
      <w:r w:rsidR="0081194B" w:rsidRPr="00AE3634">
        <w:rPr>
          <w:rFonts w:ascii="Times New Roman" w:hAnsi="Times New Roman" w:cs="Times New Roman"/>
          <w:lang w:val="af-ZA"/>
        </w:rPr>
        <w:t>(</w:t>
      </w:r>
      <w:hyperlink r:id="rId220" w:history="1">
        <w:r w:rsidR="0081194B" w:rsidRPr="00AE3634">
          <w:rPr>
            <w:rStyle w:val="Hyperlink"/>
            <w:rFonts w:ascii="Times New Roman" w:hAnsi="Times New Roman" w:cs="Times New Roman"/>
            <w:lang w:val="af-ZA"/>
          </w:rPr>
          <w:t>Ziliberberg</w:t>
        </w:r>
        <w:r w:rsidR="00873234" w:rsidRPr="00AE3634">
          <w:rPr>
            <w:rStyle w:val="Hyperlink"/>
            <w:rFonts w:ascii="Times New Roman" w:hAnsi="Times New Roman" w:cs="Times New Roman"/>
            <w:lang w:val="af-ZA"/>
          </w:rPr>
          <w:t xml:space="preserve"> v. </w:t>
        </w:r>
        <w:r w:rsidR="0081194B" w:rsidRPr="00AE3634">
          <w:rPr>
            <w:rStyle w:val="Hyperlink"/>
            <w:rFonts w:ascii="Times New Roman" w:hAnsi="Times New Roman" w:cs="Times New Roman"/>
            <w:lang w:val="af-ZA"/>
          </w:rPr>
          <w:t>Moldova</w:t>
        </w:r>
      </w:hyperlink>
      <w:r w:rsidR="0081194B" w:rsidRPr="00AE3634">
        <w:rPr>
          <w:rFonts w:ascii="Times New Roman" w:hAnsi="Times New Roman" w:cs="Times New Roman"/>
          <w:lang w:val="af-ZA"/>
        </w:rPr>
        <w:t xml:space="preserve"> (dec.)</w:t>
      </w:r>
      <w:r w:rsidR="00FC780F" w:rsidRPr="00AE3634">
        <w:rPr>
          <w:rFonts w:ascii="Times New Roman" w:hAnsi="Times New Roman" w:cs="Times New Roman"/>
          <w:lang w:val="af-ZA"/>
        </w:rPr>
        <w:t>, 2004</w:t>
      </w:r>
      <w:r w:rsidR="0081194B" w:rsidRPr="00AE3634">
        <w:rPr>
          <w:rFonts w:ascii="Times New Roman" w:hAnsi="Times New Roman" w:cs="Times New Roman"/>
          <w:lang w:val="af-ZA"/>
        </w:rPr>
        <w:t>)</w:t>
      </w:r>
      <w:r w:rsidR="009A0DED" w:rsidRPr="00AE3634">
        <w:rPr>
          <w:rFonts w:ascii="Times New Roman" w:hAnsi="Times New Roman" w:cs="Times New Roman"/>
          <w:lang w:val="af-ZA"/>
        </w:rPr>
        <w:t>:</w:t>
      </w:r>
      <w:r w:rsidR="00A034AF" w:rsidRPr="00AE3634">
        <w:rPr>
          <w:rFonts w:ascii="Times New Roman" w:hAnsi="Times New Roman" w:cs="Times New Roman"/>
          <w:lang w:val="hy-AM"/>
        </w:rPr>
        <w:t xml:space="preserve"> Նմանապես,</w:t>
      </w:r>
      <w:r w:rsidR="009A0DED" w:rsidRPr="00AE3634">
        <w:rPr>
          <w:rFonts w:ascii="Times New Roman" w:hAnsi="Times New Roman" w:cs="Times New Roman"/>
          <w:lang w:val="af-ZA"/>
        </w:rPr>
        <w:t xml:space="preserve"> </w:t>
      </w:r>
      <w:r w:rsidR="00A034AF" w:rsidRPr="00AE3634">
        <w:rPr>
          <w:rFonts w:ascii="Times New Roman" w:hAnsi="Times New Roman" w:cs="Times New Roman"/>
          <w:lang w:val="hy-AM"/>
        </w:rPr>
        <w:t>ս</w:t>
      </w:r>
      <w:r w:rsidR="009A0DED" w:rsidRPr="00AE3634">
        <w:rPr>
          <w:rFonts w:ascii="Times New Roman" w:hAnsi="Times New Roman" w:cs="Times New Roman"/>
          <w:lang w:val="af-ZA"/>
        </w:rPr>
        <w:t xml:space="preserve">ահմանված </w:t>
      </w:r>
      <w:r w:rsidR="005362AB" w:rsidRPr="00AE3634">
        <w:rPr>
          <w:rFonts w:ascii="Times New Roman" w:hAnsi="Times New Roman" w:cs="Times New Roman"/>
          <w:lang w:val="af-ZA"/>
        </w:rPr>
        <w:t xml:space="preserve">բարձր </w:t>
      </w:r>
      <w:r w:rsidR="009A0DED" w:rsidRPr="00AE3634">
        <w:rPr>
          <w:rFonts w:ascii="Times New Roman" w:hAnsi="Times New Roman" w:cs="Times New Roman"/>
          <w:lang w:val="af-ZA"/>
        </w:rPr>
        <w:t>անվտանգ</w:t>
      </w:r>
      <w:r w:rsidR="00DA1A77" w:rsidRPr="00AE3634">
        <w:rPr>
          <w:rFonts w:ascii="Times New Roman" w:hAnsi="Times New Roman" w:cs="Times New Roman"/>
          <w:lang w:val="hy-AM"/>
        </w:rPr>
        <w:t>այի</w:t>
      </w:r>
      <w:r w:rsidR="009A0DED" w:rsidRPr="00AE3634">
        <w:rPr>
          <w:rFonts w:ascii="Times New Roman" w:hAnsi="Times New Roman" w:cs="Times New Roman"/>
          <w:lang w:val="af-ZA"/>
        </w:rPr>
        <w:t>ն գոտում ապօրինի ցույց կազմակերպելու համար մոտ 500 եվրո տուգանքը նույնպես համարվել է համաչափ</w:t>
      </w:r>
      <w:r w:rsidR="005362AB" w:rsidRPr="00AE3634">
        <w:rPr>
          <w:rFonts w:ascii="Times New Roman" w:hAnsi="Times New Roman" w:cs="Times New Roman"/>
          <w:lang w:val="af-ZA"/>
        </w:rPr>
        <w:t xml:space="preserve"> տվյալ հանգամանքներում </w:t>
      </w:r>
      <w:r w:rsidR="0081194B" w:rsidRPr="00AE3634">
        <w:rPr>
          <w:rFonts w:ascii="Times New Roman" w:hAnsi="Times New Roman" w:cs="Times New Roman"/>
          <w:lang w:val="af-ZA"/>
        </w:rPr>
        <w:t>(</w:t>
      </w:r>
      <w:hyperlink r:id="rId221" w:history="1">
        <w:r w:rsidR="0081194B" w:rsidRPr="00AE3634">
          <w:rPr>
            <w:rStyle w:val="Hyperlink"/>
            <w:rFonts w:ascii="Times New Roman" w:hAnsi="Times New Roman" w:cs="Times New Roman"/>
            <w:lang w:val="af-ZA"/>
          </w:rPr>
          <w:t>Rai and Evans</w:t>
        </w:r>
        <w:r w:rsidR="00873234" w:rsidRPr="00AE3634">
          <w:rPr>
            <w:rStyle w:val="Hyperlink"/>
            <w:rFonts w:ascii="Times New Roman" w:hAnsi="Times New Roman" w:cs="Times New Roman"/>
            <w:lang w:val="af-ZA"/>
          </w:rPr>
          <w:t xml:space="preserve"> v. </w:t>
        </w:r>
        <w:r w:rsidR="0081194B" w:rsidRPr="00AE3634">
          <w:rPr>
            <w:rStyle w:val="Hyperlink"/>
            <w:rFonts w:ascii="Times New Roman" w:hAnsi="Times New Roman" w:cs="Times New Roman"/>
            <w:lang w:val="af-ZA"/>
          </w:rPr>
          <w:t>the United Kingdom</w:t>
        </w:r>
      </w:hyperlink>
      <w:r w:rsidR="0081194B" w:rsidRPr="00AE3634">
        <w:rPr>
          <w:rFonts w:ascii="Times New Roman" w:hAnsi="Times New Roman" w:cs="Times New Roman"/>
          <w:lang w:val="af-ZA"/>
        </w:rPr>
        <w:t xml:space="preserve"> (dec.)</w:t>
      </w:r>
      <w:r w:rsidR="00FC780F" w:rsidRPr="00AE3634">
        <w:rPr>
          <w:rFonts w:ascii="Times New Roman" w:hAnsi="Times New Roman" w:cs="Times New Roman"/>
          <w:lang w:val="af-ZA"/>
        </w:rPr>
        <w:t>, 2009</w:t>
      </w:r>
      <w:r w:rsidR="0081194B" w:rsidRPr="00AE3634">
        <w:rPr>
          <w:rFonts w:ascii="Times New Roman" w:hAnsi="Times New Roman" w:cs="Times New Roman"/>
          <w:lang w:val="af-ZA"/>
        </w:rPr>
        <w:t>)</w:t>
      </w:r>
      <w:r w:rsidR="005362AB" w:rsidRPr="00AE3634">
        <w:rPr>
          <w:rFonts w:ascii="Times New Roman" w:hAnsi="Times New Roman" w:cs="Times New Roman"/>
          <w:lang w:val="af-ZA"/>
        </w:rPr>
        <w:t>:</w:t>
      </w:r>
      <w:r w:rsidR="001538C7" w:rsidRPr="00AE3634">
        <w:rPr>
          <w:lang w:val="af-ZA"/>
        </w:rPr>
        <w:t xml:space="preserve"> </w:t>
      </w:r>
      <w:r w:rsidR="00E7226F" w:rsidRPr="00AE3634">
        <w:rPr>
          <w:rFonts w:ascii="Times New Roman" w:hAnsi="Times New Roman" w:cs="Times New Roman"/>
          <w:lang w:val="af-ZA"/>
        </w:rPr>
        <w:t>Ի հակադրություն, ճանապարհ</w:t>
      </w:r>
      <w:r w:rsidR="00E7226F" w:rsidRPr="00AE3634">
        <w:rPr>
          <w:rFonts w:ascii="Times New Roman" w:hAnsi="Times New Roman" w:cs="Times New Roman"/>
          <w:lang w:val="hy-AM"/>
        </w:rPr>
        <w:t xml:space="preserve">ը բացելու </w:t>
      </w:r>
      <w:r w:rsidR="00E7226F" w:rsidRPr="00AE3634">
        <w:rPr>
          <w:rFonts w:ascii="Times New Roman" w:hAnsi="Times New Roman" w:cs="Times New Roman"/>
          <w:lang w:val="af-ZA"/>
        </w:rPr>
        <w:t>ոստիկանության հրահանգներին չենթարկվելու և խաղաղ ցույցի ժամանակ ոստիկանների վրա լոբի նետելու համար ութօրյա վարչական կալանք</w:t>
      </w:r>
      <w:r w:rsidR="00E7226F" w:rsidRPr="00AE3634">
        <w:rPr>
          <w:rFonts w:ascii="Times New Roman" w:hAnsi="Times New Roman" w:cs="Times New Roman"/>
          <w:lang w:val="hy-AM"/>
        </w:rPr>
        <w:t xml:space="preserve">ն </w:t>
      </w:r>
      <w:r w:rsidR="00E7226F" w:rsidRPr="00AE3634">
        <w:rPr>
          <w:rFonts w:ascii="Times New Roman" w:hAnsi="Times New Roman" w:cs="Times New Roman"/>
          <w:lang w:val="af-ZA"/>
        </w:rPr>
        <w:t xml:space="preserve">անհամաչափ է </w:t>
      </w:r>
      <w:r w:rsidR="00E7226F" w:rsidRPr="00AE3634">
        <w:rPr>
          <w:rFonts w:ascii="Times New Roman" w:hAnsi="Times New Roman" w:cs="Times New Roman"/>
          <w:lang w:val="hy-AM"/>
        </w:rPr>
        <w:t xml:space="preserve">համարվել </w:t>
      </w:r>
      <w:r w:rsidR="00E7226F" w:rsidRPr="00AE3634">
        <w:rPr>
          <w:rFonts w:ascii="Times New Roman" w:hAnsi="Times New Roman" w:cs="Times New Roman"/>
          <w:lang w:val="af-ZA"/>
        </w:rPr>
        <w:t>ազատ</w:t>
      </w:r>
      <w:r w:rsidR="00E7226F" w:rsidRPr="00AE3634">
        <w:rPr>
          <w:rFonts w:ascii="Times New Roman" w:hAnsi="Times New Roman" w:cs="Times New Roman"/>
          <w:lang w:val="hy-AM"/>
        </w:rPr>
        <w:t xml:space="preserve">ությունից </w:t>
      </w:r>
      <w:r w:rsidR="00E7226F" w:rsidRPr="00AE3634">
        <w:rPr>
          <w:rFonts w:ascii="Times New Roman" w:hAnsi="Times New Roman" w:cs="Times New Roman"/>
          <w:lang w:val="af-ZA"/>
        </w:rPr>
        <w:t>զրկ</w:t>
      </w:r>
      <w:r w:rsidR="00E7226F" w:rsidRPr="00AE3634">
        <w:rPr>
          <w:rFonts w:ascii="Times New Roman" w:hAnsi="Times New Roman" w:cs="Times New Roman"/>
          <w:lang w:val="hy-AM"/>
        </w:rPr>
        <w:t>ումը՝ որպես</w:t>
      </w:r>
      <w:r w:rsidR="00E7226F" w:rsidRPr="00AE3634">
        <w:rPr>
          <w:rFonts w:ascii="Times New Roman" w:hAnsi="Times New Roman" w:cs="Times New Roman"/>
          <w:lang w:val="af-ZA"/>
        </w:rPr>
        <w:t xml:space="preserve"> պատիժ հիմնավորելու համար դատարանների կողմից բավարար պատճառներ չբերելու պատճառով</w:t>
      </w:r>
      <w:r w:rsidR="00E7226F" w:rsidRPr="00AE3634">
        <w:rPr>
          <w:rFonts w:ascii="Times New Roman" w:hAnsi="Times New Roman" w:cs="Times New Roman"/>
          <w:lang w:val="hy-AM"/>
        </w:rPr>
        <w:t xml:space="preserve"> </w:t>
      </w:r>
      <w:r w:rsidR="00E7226F" w:rsidRPr="00AE3634">
        <w:rPr>
          <w:rFonts w:ascii="Times New Roman" w:hAnsi="Times New Roman" w:cs="Times New Roman"/>
          <w:lang w:val="af-ZA"/>
        </w:rPr>
        <w:t>(</w:t>
      </w:r>
      <w:hyperlink r:id="rId222" w:history="1">
        <w:r w:rsidR="00E7226F" w:rsidRPr="00AE3634">
          <w:rPr>
            <w:rStyle w:val="Hyperlink"/>
            <w:rFonts w:ascii="Times New Roman" w:hAnsi="Times New Roman" w:cs="Times New Roman"/>
            <w:lang w:val="af-ZA"/>
          </w:rPr>
          <w:t>Chkhartishvili v. Georgia</w:t>
        </w:r>
      </w:hyperlink>
      <w:r w:rsidR="00E7226F" w:rsidRPr="00AE3634">
        <w:rPr>
          <w:rFonts w:ascii="Times New Roman" w:hAnsi="Times New Roman" w:cs="Times New Roman"/>
          <w:lang w:val="af-ZA"/>
        </w:rPr>
        <w:t>, 2023, § 60):</w:t>
      </w:r>
    </w:p>
    <w:p w14:paraId="518A8DB6" w14:textId="3ECD0A30" w:rsidR="00034A8D" w:rsidRPr="001B2612" w:rsidRDefault="007B4F5E" w:rsidP="007B4F5E">
      <w:pPr>
        <w:pStyle w:val="ECHRParaSpaced"/>
        <w:rPr>
          <w:rFonts w:ascii="Times New Roman" w:hAnsi="Times New Roman" w:cs="Times New Roman"/>
          <w:lang w:val="af-ZA"/>
        </w:rPr>
      </w:pPr>
      <w:r w:rsidRPr="00AE3634">
        <w:rPr>
          <w:rFonts w:ascii="Times New Roman" w:hAnsi="Times New Roman" w:cs="Times New Roman"/>
          <w:lang w:val="af-ZA"/>
        </w:rPr>
        <w:fldChar w:fldCharType="begin"/>
      </w:r>
      <w:r w:rsidRPr="00AE3634">
        <w:rPr>
          <w:rFonts w:ascii="Times New Roman" w:hAnsi="Times New Roman" w:cs="Times New Roman"/>
          <w:lang w:val="af-ZA"/>
        </w:rPr>
        <w:instrText xml:space="preserve"> SEQ level0 \*arabic </w:instrText>
      </w:r>
      <w:r w:rsidRPr="00AE3634">
        <w:rPr>
          <w:rFonts w:ascii="Times New Roman" w:hAnsi="Times New Roman" w:cs="Times New Roman"/>
          <w:lang w:val="af-ZA"/>
        </w:rPr>
        <w:fldChar w:fldCharType="separate"/>
      </w:r>
      <w:r w:rsidR="005435E6" w:rsidRPr="00AE3634">
        <w:rPr>
          <w:rFonts w:ascii="Times New Roman" w:hAnsi="Times New Roman" w:cs="Times New Roman"/>
          <w:lang w:val="af-ZA"/>
        </w:rPr>
        <w:t>83</w:t>
      </w:r>
      <w:r w:rsidRPr="00AE3634">
        <w:rPr>
          <w:rFonts w:ascii="Times New Roman" w:hAnsi="Times New Roman" w:cs="Times New Roman"/>
          <w:lang w:val="af-ZA"/>
        </w:rPr>
        <w:fldChar w:fldCharType="end"/>
      </w:r>
      <w:r w:rsidRPr="00AE3634">
        <w:rPr>
          <w:rFonts w:ascii="Times New Roman" w:hAnsi="Times New Roman" w:cs="Times New Roman"/>
          <w:lang w:val="af-ZA"/>
        </w:rPr>
        <w:t>.  </w:t>
      </w:r>
      <w:r w:rsidR="005362AB" w:rsidRPr="00AE3634">
        <w:rPr>
          <w:rFonts w:ascii="Times New Roman" w:hAnsi="Times New Roman" w:cs="Times New Roman"/>
          <w:lang w:val="af-ZA"/>
        </w:rPr>
        <w:t>Մյուս կողմից, եթե հավաքն ընդհատվել է արտոնված չլինելու հիմքով, համաչափության</w:t>
      </w:r>
      <w:r w:rsidR="005362AB" w:rsidRPr="00EF7399">
        <w:rPr>
          <w:rFonts w:ascii="Times New Roman" w:hAnsi="Times New Roman" w:cs="Times New Roman"/>
          <w:lang w:val="af-ZA"/>
        </w:rPr>
        <w:t xml:space="preserve"> գնահատ</w:t>
      </w:r>
      <w:r w:rsidR="00735AB2" w:rsidRPr="00EF7399">
        <w:rPr>
          <w:rFonts w:ascii="Times New Roman" w:hAnsi="Times New Roman" w:cs="Times New Roman"/>
          <w:lang w:val="hy-AM"/>
        </w:rPr>
        <w:t xml:space="preserve">ումը </w:t>
      </w:r>
      <w:r w:rsidR="005362AB" w:rsidRPr="00EF7399">
        <w:rPr>
          <w:rFonts w:ascii="Times New Roman" w:hAnsi="Times New Roman" w:cs="Times New Roman"/>
          <w:lang w:val="af-ZA"/>
        </w:rPr>
        <w:t>կենտրոն</w:t>
      </w:r>
      <w:r w:rsidR="00735AB2" w:rsidRPr="00EF7399">
        <w:rPr>
          <w:rFonts w:ascii="Times New Roman" w:hAnsi="Times New Roman" w:cs="Times New Roman"/>
          <w:lang w:val="hy-AM"/>
        </w:rPr>
        <w:t>անալու է</w:t>
      </w:r>
      <w:r w:rsidR="005362AB" w:rsidRPr="00EF7399">
        <w:rPr>
          <w:rFonts w:ascii="Times New Roman" w:hAnsi="Times New Roman" w:cs="Times New Roman"/>
          <w:lang w:val="af-ZA"/>
        </w:rPr>
        <w:t xml:space="preserve"> ոչ միայն հետագա վարույթներով դրա մասնակիցների նկատմամբ կիրառված պատ</w:t>
      </w:r>
      <w:r w:rsidR="00735AB2" w:rsidRPr="00EF7399">
        <w:rPr>
          <w:rFonts w:ascii="Times New Roman" w:hAnsi="Times New Roman" w:cs="Times New Roman"/>
          <w:lang w:val="hy-AM"/>
        </w:rPr>
        <w:t>ժի</w:t>
      </w:r>
      <w:r w:rsidR="005362AB" w:rsidRPr="00EF7399">
        <w:rPr>
          <w:rFonts w:ascii="Times New Roman" w:hAnsi="Times New Roman" w:cs="Times New Roman"/>
          <w:lang w:val="af-ZA"/>
        </w:rPr>
        <w:t>, այլև հավաքի վայրում իշխանությունների գործելակերպ</w:t>
      </w:r>
      <w:r w:rsidR="00735AB2" w:rsidRPr="00EF7399">
        <w:rPr>
          <w:rFonts w:ascii="Times New Roman" w:hAnsi="Times New Roman" w:cs="Times New Roman"/>
          <w:lang w:val="hy-AM"/>
        </w:rPr>
        <w:t>ի վրա</w:t>
      </w:r>
      <w:r w:rsidR="005362AB" w:rsidRPr="00EF7399">
        <w:rPr>
          <w:rFonts w:ascii="Times New Roman" w:hAnsi="Times New Roman" w:cs="Times New Roman"/>
          <w:lang w:val="af-ZA"/>
        </w:rPr>
        <w:t xml:space="preserve">: Դատարանը պետք է </w:t>
      </w:r>
      <w:r w:rsidR="004A7368" w:rsidRPr="00EF7399">
        <w:rPr>
          <w:rFonts w:ascii="Times New Roman" w:hAnsi="Times New Roman" w:cs="Times New Roman"/>
          <w:lang w:val="af-ZA"/>
        </w:rPr>
        <w:t>համոզվի, որ</w:t>
      </w:r>
      <w:r w:rsidR="005362AB" w:rsidRPr="00EF7399">
        <w:rPr>
          <w:rFonts w:ascii="Times New Roman" w:hAnsi="Times New Roman" w:cs="Times New Roman"/>
          <w:lang w:val="af-ZA"/>
        </w:rPr>
        <w:t xml:space="preserve"> ներպետական օրենսդրությամբ իշխանություններին տրված հայեցողությունից օգտվելու ընթացքում դրանք գործել են հավաքների ազատության իրավունքի էությանը համահունչ և, եթե վերաբերելի է, </w:t>
      </w:r>
      <w:r w:rsidR="004A7368" w:rsidRPr="00EF7399">
        <w:rPr>
          <w:rFonts w:ascii="Times New Roman" w:hAnsi="Times New Roman" w:cs="Times New Roman"/>
          <w:lang w:val="af-ZA"/>
        </w:rPr>
        <w:t xml:space="preserve">պատշաճ գիտակցել են հանրային հետաքրքրություն </w:t>
      </w:r>
      <w:r w:rsidR="007C3FF6" w:rsidRPr="00EF7399">
        <w:rPr>
          <w:rFonts w:ascii="Times New Roman" w:hAnsi="Times New Roman" w:cs="Times New Roman"/>
          <w:lang w:val="hy-AM"/>
        </w:rPr>
        <w:t>ներկայացնող</w:t>
      </w:r>
      <w:r w:rsidR="007C3FF6" w:rsidRPr="00EF7399">
        <w:rPr>
          <w:rFonts w:ascii="Times New Roman" w:hAnsi="Times New Roman" w:cs="Times New Roman"/>
          <w:lang w:val="af-ZA"/>
        </w:rPr>
        <w:t xml:space="preserve"> </w:t>
      </w:r>
      <w:r w:rsidR="004A7368" w:rsidRPr="00EF7399">
        <w:rPr>
          <w:rFonts w:ascii="Times New Roman" w:hAnsi="Times New Roman" w:cs="Times New Roman"/>
          <w:lang w:val="af-ZA"/>
        </w:rPr>
        <w:t>հարցերի վերաբերյալ քաղաքական խոսքի, բանավեճի և նման հարցերի վերաբերյալ կարծիքների խաղաղ արտահայտման համար Կոնվենցիայով նախատեսված արտոնյալ պաշտպանությունը:</w:t>
      </w:r>
      <w:r w:rsidR="0081194B" w:rsidRPr="00EF7399">
        <w:rPr>
          <w:rFonts w:ascii="Times New Roman" w:hAnsi="Times New Roman" w:cs="Times New Roman"/>
          <w:lang w:val="af-ZA"/>
        </w:rPr>
        <w:t xml:space="preserve"> </w:t>
      </w:r>
      <w:hyperlink r:id="rId223" w:history="1">
        <w:r w:rsidR="0081194B" w:rsidRPr="00EF7399">
          <w:rPr>
            <w:rStyle w:val="Hyperlink"/>
            <w:rFonts w:ascii="Times New Roman" w:hAnsi="Times New Roman" w:cs="Times New Roman"/>
            <w:lang w:val="af-ZA"/>
          </w:rPr>
          <w:t>Navalnyy</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Russia</w:t>
        </w:r>
      </w:hyperlink>
      <w:r w:rsidR="0081194B" w:rsidRPr="00EF7399">
        <w:rPr>
          <w:rFonts w:ascii="Times New Roman" w:hAnsi="Times New Roman" w:cs="Times New Roman"/>
          <w:lang w:val="af-ZA"/>
        </w:rPr>
        <w:t xml:space="preserve"> [G</w:t>
      </w:r>
      <w:r w:rsidR="00C9687C" w:rsidRPr="00EF7399">
        <w:rPr>
          <w:rFonts w:ascii="Times New Roman" w:hAnsi="Times New Roman" w:cs="Times New Roman"/>
          <w:lang w:val="af-ZA"/>
        </w:rPr>
        <w:t xml:space="preserve">C], </w:t>
      </w:r>
      <w:r w:rsidR="00F00CD1" w:rsidRPr="00EF7399">
        <w:rPr>
          <w:rFonts w:ascii="Times New Roman" w:hAnsi="Times New Roman" w:cs="Times New Roman"/>
          <w:lang w:val="af-ZA"/>
        </w:rPr>
        <w:t>2018</w:t>
      </w:r>
      <w:r w:rsidR="004F411C" w:rsidRPr="00EF7399">
        <w:rPr>
          <w:rFonts w:ascii="Times New Roman" w:hAnsi="Times New Roman" w:cs="Times New Roman"/>
          <w:lang w:val="af-ZA"/>
        </w:rPr>
        <w:t xml:space="preserve"> թվականի գործով Դատարանը</w:t>
      </w:r>
      <w:r w:rsidR="007C3FF6" w:rsidRPr="00EF7399">
        <w:rPr>
          <w:rFonts w:ascii="Times New Roman" w:hAnsi="Times New Roman" w:cs="Times New Roman"/>
          <w:lang w:val="hy-AM"/>
        </w:rPr>
        <w:t>,</w:t>
      </w:r>
      <w:r w:rsidR="004F411C" w:rsidRPr="00EF7399">
        <w:rPr>
          <w:rFonts w:ascii="Times New Roman" w:hAnsi="Times New Roman" w:cs="Times New Roman"/>
          <w:lang w:val="af-ZA"/>
        </w:rPr>
        <w:t xml:space="preserve"> եզրակաց</w:t>
      </w:r>
      <w:r w:rsidR="007C3FF6" w:rsidRPr="00EF7399">
        <w:rPr>
          <w:rFonts w:ascii="Times New Roman" w:hAnsi="Times New Roman" w:cs="Times New Roman"/>
          <w:lang w:val="hy-AM"/>
        </w:rPr>
        <w:t>նելով</w:t>
      </w:r>
      <w:r w:rsidR="004F411C" w:rsidRPr="00EF7399">
        <w:rPr>
          <w:rFonts w:ascii="Times New Roman" w:hAnsi="Times New Roman" w:cs="Times New Roman"/>
          <w:lang w:val="af-ZA"/>
        </w:rPr>
        <w:t>, որ ոստիկանության</w:t>
      </w:r>
      <w:r w:rsidR="007C3FF6" w:rsidRPr="00EF7399">
        <w:rPr>
          <w:rFonts w:ascii="Times New Roman" w:hAnsi="Times New Roman" w:cs="Times New Roman"/>
          <w:lang w:val="hy-AM"/>
        </w:rPr>
        <w:t xml:space="preserve"> կողմից ցուցարարներին</w:t>
      </w:r>
      <w:r w:rsidR="004F411C" w:rsidRPr="00EF7399">
        <w:rPr>
          <w:rFonts w:ascii="Times New Roman" w:hAnsi="Times New Roman" w:cs="Times New Roman"/>
          <w:lang w:val="af-ZA"/>
        </w:rPr>
        <w:t xml:space="preserve"> ցրելու ձևը խախտել էր 11-րդ հոդվածը</w:t>
      </w:r>
      <w:r w:rsidR="007C3FF6" w:rsidRPr="00EF7399">
        <w:rPr>
          <w:rFonts w:ascii="Times New Roman" w:hAnsi="Times New Roman" w:cs="Times New Roman"/>
          <w:lang w:val="hy-AM"/>
        </w:rPr>
        <w:t xml:space="preserve">, </w:t>
      </w:r>
      <w:r w:rsidR="004F411C" w:rsidRPr="00EF7399">
        <w:rPr>
          <w:rFonts w:ascii="Times New Roman" w:hAnsi="Times New Roman" w:cs="Times New Roman"/>
          <w:lang w:val="af-ZA"/>
        </w:rPr>
        <w:t>գտել</w:t>
      </w:r>
      <w:r w:rsidR="007C3FF6" w:rsidRPr="00EF7399">
        <w:rPr>
          <w:rFonts w:ascii="Times New Roman" w:hAnsi="Times New Roman" w:cs="Times New Roman"/>
          <w:lang w:val="hy-AM"/>
        </w:rPr>
        <w:t xml:space="preserve"> է</w:t>
      </w:r>
      <w:r w:rsidR="004F411C" w:rsidRPr="00EF7399">
        <w:rPr>
          <w:rFonts w:ascii="Times New Roman" w:hAnsi="Times New Roman" w:cs="Times New Roman"/>
          <w:lang w:val="af-ZA"/>
        </w:rPr>
        <w:t>, որ այդ հանգամանքներում էական չէր</w:t>
      </w:r>
      <w:r w:rsidR="007C3FF6" w:rsidRPr="00EF7399">
        <w:rPr>
          <w:rFonts w:ascii="Times New Roman" w:hAnsi="Times New Roman" w:cs="Times New Roman"/>
          <w:lang w:val="hy-AM"/>
        </w:rPr>
        <w:t>՝</w:t>
      </w:r>
      <w:r w:rsidR="0016062D" w:rsidRPr="00EF7399">
        <w:rPr>
          <w:rFonts w:ascii="Times New Roman" w:hAnsi="Times New Roman" w:cs="Times New Roman"/>
          <w:lang w:val="af-ZA"/>
        </w:rPr>
        <w:t xml:space="preserve"> </w:t>
      </w:r>
      <w:r w:rsidR="004F411C" w:rsidRPr="00EF7399">
        <w:rPr>
          <w:rFonts w:ascii="Times New Roman" w:hAnsi="Times New Roman" w:cs="Times New Roman"/>
          <w:lang w:val="af-ZA"/>
        </w:rPr>
        <w:t>25 եվրո տուգանքը համապատասխանում էր հանրային միջոցառումներ</w:t>
      </w:r>
      <w:r w:rsidR="0016062D" w:rsidRPr="00EF7399">
        <w:rPr>
          <w:rFonts w:ascii="Times New Roman" w:hAnsi="Times New Roman" w:cs="Times New Roman"/>
          <w:lang w:val="af-ZA"/>
        </w:rPr>
        <w:t>ի</w:t>
      </w:r>
      <w:r w:rsidR="007C3FF6" w:rsidRPr="00EF7399">
        <w:rPr>
          <w:rFonts w:ascii="Times New Roman" w:hAnsi="Times New Roman" w:cs="Times New Roman"/>
          <w:lang w:val="hy-AM"/>
        </w:rPr>
        <w:t>ն</w:t>
      </w:r>
      <w:r w:rsidR="004F411C" w:rsidRPr="00EF7399">
        <w:rPr>
          <w:rFonts w:ascii="Times New Roman" w:hAnsi="Times New Roman" w:cs="Times New Roman"/>
          <w:lang w:val="af-ZA"/>
        </w:rPr>
        <w:t xml:space="preserve"> </w:t>
      </w:r>
      <w:r w:rsidR="0016062D" w:rsidRPr="00EF7399">
        <w:rPr>
          <w:rFonts w:ascii="Times New Roman" w:hAnsi="Times New Roman" w:cs="Times New Roman"/>
          <w:lang w:val="af-ZA"/>
        </w:rPr>
        <w:t>վարքա</w:t>
      </w:r>
      <w:r w:rsidR="007C3FF6" w:rsidRPr="00EF7399">
        <w:rPr>
          <w:rFonts w:ascii="Times New Roman" w:hAnsi="Times New Roman" w:cs="Times New Roman"/>
          <w:lang w:val="hy-AM"/>
        </w:rPr>
        <w:t xml:space="preserve">գծի </w:t>
      </w:r>
      <w:r w:rsidR="004F411C" w:rsidRPr="00EF7399">
        <w:rPr>
          <w:rFonts w:ascii="Times New Roman" w:hAnsi="Times New Roman" w:cs="Times New Roman"/>
          <w:lang w:val="af-ZA"/>
        </w:rPr>
        <w:t>կանոններ</w:t>
      </w:r>
      <w:r w:rsidR="0016062D" w:rsidRPr="00EF7399">
        <w:rPr>
          <w:rFonts w:ascii="Times New Roman" w:hAnsi="Times New Roman" w:cs="Times New Roman"/>
          <w:lang w:val="af-ZA"/>
        </w:rPr>
        <w:t>ի խախտմանը</w:t>
      </w:r>
      <w:r w:rsidR="007C3FF6" w:rsidRPr="00EF7399">
        <w:rPr>
          <w:rFonts w:ascii="Times New Roman" w:hAnsi="Times New Roman" w:cs="Times New Roman"/>
          <w:lang w:val="hy-AM"/>
        </w:rPr>
        <w:t xml:space="preserve">, թե </w:t>
      </w:r>
      <w:r w:rsidR="0016062D" w:rsidRPr="00EF7399">
        <w:rPr>
          <w:rFonts w:ascii="Times New Roman" w:hAnsi="Times New Roman" w:cs="Times New Roman"/>
          <w:lang w:val="af-ZA"/>
        </w:rPr>
        <w:t xml:space="preserve">ոչ </w:t>
      </w:r>
      <w:r w:rsidR="0081194B" w:rsidRPr="00EF7399">
        <w:rPr>
          <w:rFonts w:ascii="Times New Roman" w:hAnsi="Times New Roman" w:cs="Times New Roman"/>
          <w:lang w:val="af-ZA"/>
        </w:rPr>
        <w:t>(</w:t>
      </w:r>
      <w:r w:rsidR="00873234" w:rsidRPr="00EF7399">
        <w:rPr>
          <w:rFonts w:ascii="Times New Roman" w:hAnsi="Times New Roman" w:cs="Times New Roman"/>
          <w:lang w:val="af-ZA"/>
        </w:rPr>
        <w:t>§ </w:t>
      </w:r>
      <w:r w:rsidR="0081194B" w:rsidRPr="00EF7399">
        <w:rPr>
          <w:rFonts w:ascii="Times New Roman" w:hAnsi="Times New Roman" w:cs="Times New Roman"/>
          <w:lang w:val="af-ZA"/>
        </w:rPr>
        <w:t>133)</w:t>
      </w:r>
      <w:r w:rsidR="0016062D" w:rsidRPr="00EF7399">
        <w:rPr>
          <w:rFonts w:ascii="Times New Roman" w:hAnsi="Times New Roman" w:cs="Times New Roman"/>
          <w:lang w:val="af-ZA"/>
        </w:rPr>
        <w:t>:</w:t>
      </w:r>
      <w:r w:rsidR="00735AB2" w:rsidRPr="00EF7399">
        <w:rPr>
          <w:rFonts w:ascii="Times New Roman" w:hAnsi="Times New Roman" w:cs="Times New Roman"/>
          <w:lang w:val="hy-AM"/>
        </w:rPr>
        <w:t xml:space="preserve"> </w:t>
      </w:r>
      <w:r w:rsidR="00CB3E1F" w:rsidRPr="001B2612">
        <w:rPr>
          <w:rFonts w:ascii="Times New Roman" w:hAnsi="Times New Roman" w:cs="Times New Roman"/>
          <w:lang w:val="af-ZA"/>
        </w:rPr>
        <w:t xml:space="preserve"> </w:t>
      </w:r>
    </w:p>
    <w:p w14:paraId="4B6B59DB" w14:textId="6697FDC7" w:rsidR="007B4F5E" w:rsidRPr="00EF7399" w:rsidRDefault="0016062D" w:rsidP="007B4F5E">
      <w:pPr>
        <w:pStyle w:val="ECHRHeading5"/>
        <w:rPr>
          <w:rFonts w:ascii="Times New Roman" w:hAnsi="Times New Roman" w:cs="Times New Roman"/>
          <w:lang w:val="af-ZA"/>
        </w:rPr>
      </w:pPr>
      <w:bookmarkStart w:id="60" w:name="_Toc159945225"/>
      <w:r w:rsidRPr="00EF7399">
        <w:rPr>
          <w:rFonts w:ascii="Times New Roman" w:hAnsi="Times New Roman" w:cs="Times New Roman"/>
          <w:lang w:val="af-ZA"/>
        </w:rPr>
        <w:lastRenderedPageBreak/>
        <w:t>Ցրում և ուժի գործադրում</w:t>
      </w:r>
      <w:bookmarkEnd w:id="60"/>
    </w:p>
    <w:p w14:paraId="7062FF1F" w14:textId="086DDEE6" w:rsidR="007B4F5E" w:rsidRPr="00EF7399" w:rsidRDefault="007B4F5E" w:rsidP="007B4F5E">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84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6062D" w:rsidRPr="00EF7399">
        <w:rPr>
          <w:rFonts w:ascii="Times New Roman" w:hAnsi="Times New Roman" w:cs="Times New Roman"/>
          <w:lang w:val="af-ZA"/>
        </w:rPr>
        <w:t xml:space="preserve">Հավաքը ցրելու որոշումը պետք է հիմնավորվի վերաբերելի և բավարար </w:t>
      </w:r>
      <w:r w:rsidR="00223EC7" w:rsidRPr="00EF7399">
        <w:rPr>
          <w:rFonts w:ascii="Times New Roman" w:hAnsi="Times New Roman" w:cs="Times New Roman"/>
          <w:lang w:val="hy-AM"/>
        </w:rPr>
        <w:t>պատճառաբանություններով</w:t>
      </w:r>
      <w:r w:rsidR="00223EC7"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224" w:history="1">
        <w:r w:rsidRPr="00EF7399">
          <w:rPr>
            <w:rStyle w:val="Hyperlink"/>
            <w:rFonts w:ascii="Times New Roman" w:hAnsi="Times New Roman" w:cs="Times New Roman"/>
            <w:lang w:val="af-ZA"/>
          </w:rPr>
          <w:t>Ibrahimov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Azerbaijan</w:t>
        </w:r>
      </w:hyperlink>
      <w:r w:rsidRPr="00EF7399">
        <w:rPr>
          <w:rFonts w:ascii="Times New Roman" w:hAnsi="Times New Roman" w:cs="Times New Roman"/>
          <w:lang w:val="af-ZA"/>
        </w:rPr>
        <w:t xml:space="preserve">, </w:t>
      </w:r>
      <w:r w:rsidR="00F00CD1" w:rsidRPr="00EF7399">
        <w:rPr>
          <w:rFonts w:ascii="Times New Roman" w:hAnsi="Times New Roman" w:cs="Times New Roman"/>
          <w:lang w:val="af-ZA"/>
        </w:rPr>
        <w:t xml:space="preserve">2016, </w:t>
      </w:r>
      <w:r w:rsidR="00873234" w:rsidRPr="00EF7399">
        <w:rPr>
          <w:rFonts w:ascii="Times New Roman" w:hAnsi="Times New Roman" w:cs="Times New Roman"/>
          <w:lang w:val="af-ZA"/>
        </w:rPr>
        <w:t>§ </w:t>
      </w:r>
      <w:r w:rsidRPr="00EF7399">
        <w:rPr>
          <w:rFonts w:ascii="Times New Roman" w:hAnsi="Times New Roman" w:cs="Times New Roman"/>
          <w:lang w:val="af-ZA"/>
        </w:rPr>
        <w:t>80</w:t>
      </w:r>
      <w:r w:rsidR="006D6611" w:rsidRPr="00EF7399">
        <w:rPr>
          <w:rFonts w:ascii="Times New Roman" w:hAnsi="Times New Roman" w:cs="Times New Roman"/>
          <w:lang w:val="af-ZA"/>
        </w:rPr>
        <w:t xml:space="preserve">; </w:t>
      </w:r>
      <w:hyperlink r:id="rId225" w:history="1">
        <w:r w:rsidR="006D6611" w:rsidRPr="00EF7399">
          <w:rPr>
            <w:rStyle w:val="Hyperlink"/>
            <w:rFonts w:ascii="Times New Roman" w:hAnsi="Times New Roman" w:cs="Times New Roman"/>
            <w:iCs/>
            <w:lang w:val="af-ZA"/>
          </w:rPr>
          <w:t>Laguna Guzman</w:t>
        </w:r>
        <w:r w:rsidR="00873234" w:rsidRPr="00EF7399">
          <w:rPr>
            <w:rStyle w:val="Hyperlink"/>
            <w:rFonts w:ascii="Times New Roman" w:hAnsi="Times New Roman" w:cs="Times New Roman"/>
            <w:iCs/>
            <w:lang w:val="af-ZA"/>
          </w:rPr>
          <w:t xml:space="preserve"> v. </w:t>
        </w:r>
        <w:r w:rsidR="006016B3" w:rsidRPr="00EF7399">
          <w:rPr>
            <w:rStyle w:val="Hyperlink"/>
            <w:rFonts w:ascii="Times New Roman" w:hAnsi="Times New Roman" w:cs="Times New Roman"/>
            <w:iCs/>
            <w:lang w:val="af-ZA"/>
          </w:rPr>
          <w:t>Spain</w:t>
        </w:r>
      </w:hyperlink>
      <w:r w:rsidR="006D6611" w:rsidRPr="00EF7399">
        <w:rPr>
          <w:rFonts w:ascii="Times New Roman" w:hAnsi="Times New Roman" w:cs="Times New Roman"/>
          <w:lang w:val="af-ZA"/>
        </w:rPr>
        <w:t xml:space="preserve">, </w:t>
      </w:r>
      <w:r w:rsidR="00FC780F" w:rsidRPr="00EF7399">
        <w:rPr>
          <w:rFonts w:ascii="Times New Roman" w:hAnsi="Times New Roman" w:cs="Times New Roman"/>
          <w:lang w:val="af-ZA"/>
        </w:rPr>
        <w:t xml:space="preserve">2020, </w:t>
      </w:r>
      <w:r w:rsidR="00873234" w:rsidRPr="00EF7399">
        <w:rPr>
          <w:rFonts w:ascii="Times New Roman" w:hAnsi="Times New Roman" w:cs="Times New Roman"/>
          <w:lang w:val="af-ZA"/>
        </w:rPr>
        <w:t>§ </w:t>
      </w:r>
      <w:r w:rsidR="006D6611" w:rsidRPr="00EF7399">
        <w:rPr>
          <w:rFonts w:ascii="Times New Roman" w:hAnsi="Times New Roman" w:cs="Times New Roman"/>
          <w:lang w:val="af-ZA"/>
        </w:rPr>
        <w:t>51</w:t>
      </w:r>
      <w:r w:rsidRPr="00EF7399">
        <w:rPr>
          <w:rFonts w:ascii="Times New Roman" w:hAnsi="Times New Roman" w:cs="Times New Roman"/>
          <w:lang w:val="af-ZA"/>
        </w:rPr>
        <w:t>)</w:t>
      </w:r>
      <w:r w:rsidR="0016062D" w:rsidRPr="00EF7399">
        <w:rPr>
          <w:rFonts w:ascii="Times New Roman" w:hAnsi="Times New Roman" w:cs="Times New Roman"/>
          <w:lang w:val="af-ZA"/>
        </w:rPr>
        <w:t>: Հավաք ան</w:t>
      </w:r>
      <w:r w:rsidR="00223EC7" w:rsidRPr="00EF7399">
        <w:rPr>
          <w:rFonts w:ascii="Times New Roman" w:hAnsi="Times New Roman" w:cs="Times New Roman"/>
          <w:lang w:val="hy-AM"/>
        </w:rPr>
        <w:t>ց</w:t>
      </w:r>
      <w:r w:rsidR="0016062D" w:rsidRPr="00EF7399">
        <w:rPr>
          <w:rFonts w:ascii="Times New Roman" w:hAnsi="Times New Roman" w:cs="Times New Roman"/>
          <w:lang w:val="af-ZA"/>
        </w:rPr>
        <w:t xml:space="preserve">կացնելու </w:t>
      </w:r>
      <w:r w:rsidR="00223EC7" w:rsidRPr="00EF7399">
        <w:rPr>
          <w:rFonts w:ascii="Times New Roman" w:hAnsi="Times New Roman" w:cs="Times New Roman"/>
          <w:lang w:val="hy-AM"/>
        </w:rPr>
        <w:t>ձևական</w:t>
      </w:r>
      <w:r w:rsidR="00223EC7" w:rsidRPr="00EF7399">
        <w:rPr>
          <w:rFonts w:ascii="Times New Roman" w:hAnsi="Times New Roman" w:cs="Times New Roman"/>
          <w:lang w:val="af-ZA"/>
        </w:rPr>
        <w:t xml:space="preserve"> </w:t>
      </w:r>
      <w:r w:rsidR="0016062D" w:rsidRPr="00EF7399">
        <w:rPr>
          <w:rFonts w:ascii="Times New Roman" w:hAnsi="Times New Roman" w:cs="Times New Roman"/>
          <w:lang w:val="af-ZA"/>
        </w:rPr>
        <w:t>պահանջներին չհամապատասխանելը բավարար հիմք չէ այն ցրելու համար</w:t>
      </w:r>
      <w:r w:rsidRPr="00EF7399">
        <w:rPr>
          <w:rFonts w:ascii="Times New Roman" w:hAnsi="Times New Roman" w:cs="Times New Roman"/>
          <w:lang w:val="af-ZA"/>
        </w:rPr>
        <w:t xml:space="preserve"> </w:t>
      </w:r>
      <w:r w:rsidR="00D00A70" w:rsidRPr="00EF7399">
        <w:rPr>
          <w:rFonts w:ascii="Times New Roman" w:hAnsi="Times New Roman" w:cs="Times New Roman"/>
          <w:lang w:val="af-ZA"/>
        </w:rPr>
        <w:t>(</w:t>
      </w:r>
      <w:r w:rsidR="0016062D" w:rsidRPr="00EF7399">
        <w:rPr>
          <w:rFonts w:ascii="Times New Roman" w:hAnsi="Times New Roman" w:cs="Times New Roman"/>
          <w:lang w:val="af-ZA"/>
        </w:rPr>
        <w:t>տե՛ս</w:t>
      </w:r>
      <w:r w:rsidR="00D00A70" w:rsidRPr="00EF7399">
        <w:rPr>
          <w:rFonts w:ascii="Times New Roman" w:hAnsi="Times New Roman" w:cs="Times New Roman"/>
          <w:lang w:val="af-ZA"/>
        </w:rPr>
        <w:t xml:space="preserve"> </w:t>
      </w:r>
      <w:r w:rsidR="0016062D" w:rsidRPr="00EF7399">
        <w:rPr>
          <w:rFonts w:ascii="Times New Roman" w:hAnsi="Times New Roman" w:cs="Times New Roman"/>
          <w:lang w:val="af-ZA"/>
        </w:rPr>
        <w:t>բաժին</w:t>
      </w:r>
      <w:r w:rsidR="00D00A70" w:rsidRPr="00EF7399">
        <w:rPr>
          <w:rFonts w:ascii="Times New Roman" w:hAnsi="Times New Roman" w:cs="Times New Roman"/>
          <w:lang w:val="af-ZA"/>
        </w:rPr>
        <w:t xml:space="preserve"> </w:t>
      </w:r>
      <w:r w:rsidR="009A66BC">
        <w:rPr>
          <w:rFonts w:ascii="Times New Roman" w:hAnsi="Times New Roman" w:cs="Times New Roman"/>
          <w:lang w:val="hy-AM"/>
        </w:rPr>
        <w:t>Զ</w:t>
      </w:r>
      <w:r w:rsidR="00D00A70" w:rsidRPr="00EF7399">
        <w:rPr>
          <w:rFonts w:ascii="Times New Roman" w:hAnsi="Times New Roman" w:cs="Times New Roman"/>
          <w:lang w:val="af-ZA"/>
        </w:rPr>
        <w:t xml:space="preserve"> (2</w:t>
      </w:r>
      <w:r w:rsidRPr="00EF7399">
        <w:rPr>
          <w:rFonts w:ascii="Times New Roman" w:hAnsi="Times New Roman" w:cs="Times New Roman"/>
          <w:lang w:val="af-ZA"/>
        </w:rPr>
        <w:t>)</w:t>
      </w:r>
      <w:r w:rsidR="0016062D" w:rsidRPr="00EF7399">
        <w:rPr>
          <w:rFonts w:ascii="Times New Roman" w:hAnsi="Times New Roman" w:cs="Times New Roman"/>
          <w:lang w:val="af-ZA"/>
        </w:rPr>
        <w:t>.</w:t>
      </w:r>
      <w:r w:rsidRPr="00EF7399">
        <w:rPr>
          <w:rFonts w:ascii="Times New Roman" w:hAnsi="Times New Roman" w:cs="Times New Roman"/>
          <w:lang w:val="af-ZA"/>
        </w:rPr>
        <w:t xml:space="preserve"> </w:t>
      </w:r>
      <w:r w:rsidR="0016062D" w:rsidRPr="00EF7399">
        <w:rPr>
          <w:rFonts w:ascii="Times New Roman" w:hAnsi="Times New Roman" w:cs="Times New Roman"/>
          <w:lang w:val="af-ZA"/>
        </w:rPr>
        <w:t>Ա</w:t>
      </w:r>
      <w:r w:rsidR="009A66BC">
        <w:rPr>
          <w:rFonts w:ascii="Times New Roman" w:hAnsi="Times New Roman" w:cs="Times New Roman"/>
          <w:lang w:val="hy-AM"/>
        </w:rPr>
        <w:t>նօրինական</w:t>
      </w:r>
      <w:r w:rsidR="0016062D" w:rsidRPr="00EF7399">
        <w:rPr>
          <w:rFonts w:ascii="Times New Roman" w:hAnsi="Times New Roman" w:cs="Times New Roman"/>
          <w:lang w:val="af-ZA"/>
        </w:rPr>
        <w:t xml:space="preserve"> հավաք</w:t>
      </w:r>
      <w:r w:rsidRPr="00EF7399">
        <w:rPr>
          <w:rFonts w:ascii="Times New Roman" w:hAnsi="Times New Roman" w:cs="Times New Roman"/>
          <w:lang w:val="af-ZA"/>
        </w:rPr>
        <w:t>)</w:t>
      </w:r>
      <w:r w:rsidR="0016062D" w:rsidRPr="00EF7399">
        <w:rPr>
          <w:rFonts w:ascii="Times New Roman" w:hAnsi="Times New Roman" w:cs="Times New Roman"/>
          <w:lang w:val="af-ZA"/>
        </w:rPr>
        <w:t>:</w:t>
      </w:r>
    </w:p>
    <w:p w14:paraId="20E23CED" w14:textId="6EA84E81" w:rsidR="007B4F5E" w:rsidRPr="00EF7399" w:rsidRDefault="007B4F5E" w:rsidP="007B4F5E">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85</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051AF2" w:rsidRPr="00EF7399">
        <w:rPr>
          <w:rFonts w:ascii="Times New Roman" w:hAnsi="Times New Roman" w:cs="Times New Roman"/>
          <w:lang w:val="af-ZA"/>
        </w:rPr>
        <w:t>Միջամտությունը հ</w:t>
      </w:r>
      <w:r w:rsidR="0016062D" w:rsidRPr="00EF7399">
        <w:rPr>
          <w:rFonts w:ascii="Times New Roman" w:hAnsi="Times New Roman" w:cs="Times New Roman"/>
          <w:lang w:val="af-ZA"/>
        </w:rPr>
        <w:t>ավաքների ազատությանը</w:t>
      </w:r>
      <w:r w:rsidR="008F622C" w:rsidRPr="00EF7399">
        <w:rPr>
          <w:rFonts w:ascii="Times New Roman" w:hAnsi="Times New Roman" w:cs="Times New Roman"/>
          <w:lang w:val="hy-AM"/>
        </w:rPr>
        <w:t>, ներառյալ՝</w:t>
      </w:r>
      <w:r w:rsidR="00051AF2" w:rsidRPr="00EF7399">
        <w:rPr>
          <w:rFonts w:ascii="Times New Roman" w:hAnsi="Times New Roman" w:cs="Times New Roman"/>
          <w:lang w:val="af-ZA"/>
        </w:rPr>
        <w:t xml:space="preserve"> դրա</w:t>
      </w:r>
      <w:r w:rsidR="0016062D" w:rsidRPr="00EF7399">
        <w:rPr>
          <w:rFonts w:ascii="Times New Roman" w:hAnsi="Times New Roman" w:cs="Times New Roman"/>
          <w:lang w:val="af-ZA"/>
        </w:rPr>
        <w:t xml:space="preserve"> ընդհատ</w:t>
      </w:r>
      <w:r w:rsidR="00051AF2" w:rsidRPr="00EF7399">
        <w:rPr>
          <w:rFonts w:ascii="Times New Roman" w:hAnsi="Times New Roman" w:cs="Times New Roman"/>
          <w:lang w:val="af-ZA"/>
        </w:rPr>
        <w:t>ումը</w:t>
      </w:r>
      <w:r w:rsidR="0016062D" w:rsidRPr="00EF7399">
        <w:rPr>
          <w:rFonts w:ascii="Times New Roman" w:hAnsi="Times New Roman" w:cs="Times New Roman"/>
          <w:lang w:val="af-ZA"/>
        </w:rPr>
        <w:t>, ցր</w:t>
      </w:r>
      <w:r w:rsidR="00051AF2" w:rsidRPr="00EF7399">
        <w:rPr>
          <w:rFonts w:ascii="Times New Roman" w:hAnsi="Times New Roman" w:cs="Times New Roman"/>
          <w:lang w:val="af-ZA"/>
        </w:rPr>
        <w:t>ումը</w:t>
      </w:r>
      <w:r w:rsidR="0016062D" w:rsidRPr="00EF7399">
        <w:rPr>
          <w:rFonts w:ascii="Times New Roman" w:hAnsi="Times New Roman" w:cs="Times New Roman"/>
          <w:lang w:val="af-ZA"/>
        </w:rPr>
        <w:t xml:space="preserve"> կամ մասնակիցների ձերբակալ</w:t>
      </w:r>
      <w:r w:rsidR="00051AF2" w:rsidRPr="00EF7399">
        <w:rPr>
          <w:rFonts w:ascii="Times New Roman" w:hAnsi="Times New Roman" w:cs="Times New Roman"/>
          <w:lang w:val="af-ZA"/>
        </w:rPr>
        <w:t>ումը</w:t>
      </w:r>
      <w:r w:rsidR="0016062D" w:rsidRPr="00EF7399">
        <w:rPr>
          <w:rFonts w:ascii="Times New Roman" w:hAnsi="Times New Roman" w:cs="Times New Roman"/>
          <w:lang w:val="af-ZA"/>
        </w:rPr>
        <w:t xml:space="preserve"> </w:t>
      </w:r>
      <w:r w:rsidR="00051AF2" w:rsidRPr="00EF7399">
        <w:rPr>
          <w:rFonts w:ascii="Times New Roman" w:hAnsi="Times New Roman" w:cs="Times New Roman"/>
          <w:lang w:val="af-ZA"/>
        </w:rPr>
        <w:t>կարող է հիմնավորվել միայն կոնկրետ և հստակ էական հիմքերով, ինչպիսիք են</w:t>
      </w:r>
      <w:r w:rsidR="008F622C" w:rsidRPr="00EF7399">
        <w:rPr>
          <w:rFonts w:ascii="Times New Roman" w:hAnsi="Times New Roman" w:cs="Times New Roman"/>
          <w:lang w:val="hy-AM"/>
        </w:rPr>
        <w:t>՝</w:t>
      </w:r>
      <w:r w:rsidR="00051AF2" w:rsidRPr="00EF7399">
        <w:rPr>
          <w:rFonts w:ascii="Times New Roman" w:hAnsi="Times New Roman" w:cs="Times New Roman"/>
          <w:lang w:val="af-ZA"/>
        </w:rPr>
        <w:t xml:space="preserve"> օրենքով նախատեսված լուրջ վտանգները </w:t>
      </w:r>
      <w:r w:rsidR="0081194B" w:rsidRPr="00EF7399">
        <w:rPr>
          <w:rFonts w:ascii="Times New Roman" w:hAnsi="Times New Roman" w:cs="Times New Roman"/>
          <w:lang w:val="af-ZA"/>
        </w:rPr>
        <w:t>(</w:t>
      </w:r>
      <w:hyperlink r:id="rId226" w:history="1">
        <w:r w:rsidR="0081194B" w:rsidRPr="00EF7399">
          <w:rPr>
            <w:rStyle w:val="Hyperlink"/>
            <w:rFonts w:ascii="Times New Roman" w:hAnsi="Times New Roman" w:cs="Times New Roman"/>
            <w:lang w:val="af-ZA"/>
          </w:rPr>
          <w:t>Navalnyy</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Russia</w:t>
        </w:r>
      </w:hyperlink>
      <w:r w:rsidR="008C5976" w:rsidRPr="00EF7399">
        <w:rPr>
          <w:rFonts w:ascii="Times New Roman" w:hAnsi="Times New Roman" w:cs="Times New Roman"/>
          <w:lang w:val="af-ZA"/>
        </w:rPr>
        <w:t xml:space="preserve"> [GC], </w:t>
      </w:r>
      <w:r w:rsidR="00FC780F" w:rsidRPr="00EF7399">
        <w:rPr>
          <w:rFonts w:ascii="Times New Roman" w:hAnsi="Times New Roman" w:cs="Times New Roman"/>
          <w:lang w:val="af-ZA"/>
        </w:rPr>
        <w:t xml:space="preserve">2018, </w:t>
      </w:r>
      <w:r w:rsidR="00873234" w:rsidRPr="00EF7399">
        <w:rPr>
          <w:rFonts w:ascii="Times New Roman" w:hAnsi="Times New Roman" w:cs="Times New Roman"/>
          <w:lang w:val="af-ZA"/>
        </w:rPr>
        <w:t>§ </w:t>
      </w:r>
      <w:r w:rsidR="008C5976" w:rsidRPr="00EF7399">
        <w:rPr>
          <w:rFonts w:ascii="Times New Roman" w:hAnsi="Times New Roman" w:cs="Times New Roman"/>
          <w:lang w:val="af-ZA"/>
        </w:rPr>
        <w:t>137</w:t>
      </w:r>
      <w:r w:rsidR="009522F5" w:rsidRPr="00EF7399">
        <w:rPr>
          <w:rFonts w:ascii="Times New Roman" w:hAnsi="Times New Roman" w:cs="Times New Roman"/>
          <w:lang w:val="af-ZA"/>
        </w:rPr>
        <w:t>)</w:t>
      </w:r>
      <w:r w:rsidR="00051AF2" w:rsidRPr="00EF7399">
        <w:rPr>
          <w:rFonts w:ascii="Times New Roman" w:hAnsi="Times New Roman" w:cs="Times New Roman"/>
          <w:lang w:val="af-ZA"/>
        </w:rPr>
        <w:t xml:space="preserve"> և միայն այն բանից հետո, երբ մասնակիցներին բավարար հնարավորություն է տրվել արտահայտել</w:t>
      </w:r>
      <w:r w:rsidR="008F622C" w:rsidRPr="00EF7399">
        <w:rPr>
          <w:rFonts w:ascii="Times New Roman" w:hAnsi="Times New Roman" w:cs="Times New Roman"/>
          <w:lang w:val="hy-AM"/>
        </w:rPr>
        <w:t>ու</w:t>
      </w:r>
      <w:r w:rsidR="00051AF2" w:rsidRPr="00EF7399">
        <w:rPr>
          <w:rFonts w:ascii="Times New Roman" w:hAnsi="Times New Roman" w:cs="Times New Roman"/>
          <w:lang w:val="af-ZA"/>
        </w:rPr>
        <w:t xml:space="preserve"> </w:t>
      </w:r>
      <w:r w:rsidR="006E17E3" w:rsidRPr="00EF7399">
        <w:rPr>
          <w:rFonts w:ascii="Times New Roman" w:hAnsi="Times New Roman" w:cs="Times New Roman"/>
          <w:lang w:val="af-ZA"/>
        </w:rPr>
        <w:t>իրենց տեսակետ</w:t>
      </w:r>
      <w:r w:rsidR="008F622C" w:rsidRPr="00EF7399">
        <w:rPr>
          <w:rFonts w:ascii="Times New Roman" w:hAnsi="Times New Roman" w:cs="Times New Roman"/>
          <w:lang w:val="hy-AM"/>
        </w:rPr>
        <w:t>ն</w:t>
      </w:r>
      <w:r w:rsidR="006E17E3" w:rsidRPr="00EF7399">
        <w:rPr>
          <w:rFonts w:ascii="Times New Roman" w:hAnsi="Times New Roman" w:cs="Times New Roman"/>
          <w:lang w:val="af-ZA"/>
        </w:rPr>
        <w:t xml:space="preserve">երը </w:t>
      </w:r>
      <w:r w:rsidR="0081194B" w:rsidRPr="00EF7399">
        <w:rPr>
          <w:rFonts w:ascii="Times New Roman" w:hAnsi="Times New Roman" w:cs="Times New Roman"/>
          <w:lang w:val="af-ZA"/>
        </w:rPr>
        <w:t>(</w:t>
      </w:r>
      <w:hyperlink r:id="rId227" w:anchor="{%22itemid%22:[%22001-88775%22]}" w:history="1">
        <w:r w:rsidR="0081194B" w:rsidRPr="00EF7399">
          <w:rPr>
            <w:rStyle w:val="Hyperlink"/>
            <w:rFonts w:ascii="Times New Roman" w:hAnsi="Times New Roman" w:cs="Times New Roman"/>
            <w:lang w:val="af-ZA"/>
          </w:rPr>
          <w:t>Éva Molnár</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Hungary</w:t>
        </w:r>
      </w:hyperlink>
      <w:r w:rsidR="0081194B" w:rsidRPr="00EF7399">
        <w:rPr>
          <w:rFonts w:ascii="Times New Roman" w:hAnsi="Times New Roman" w:cs="Times New Roman"/>
          <w:lang w:val="af-ZA"/>
        </w:rPr>
        <w:t xml:space="preserve">, </w:t>
      </w:r>
      <w:r w:rsidR="00FC780F" w:rsidRPr="00EF7399">
        <w:rPr>
          <w:rFonts w:ascii="Times New Roman" w:hAnsi="Times New Roman" w:cs="Times New Roman"/>
          <w:lang w:val="af-ZA"/>
        </w:rPr>
        <w:t xml:space="preserve">2008, </w:t>
      </w:r>
      <w:r w:rsidR="0081194B" w:rsidRPr="00EF7399">
        <w:rPr>
          <w:rFonts w:ascii="Times New Roman" w:hAnsi="Times New Roman" w:cs="Times New Roman"/>
          <w:lang w:val="af-ZA"/>
        </w:rPr>
        <w:t>§</w:t>
      </w:r>
      <w:r w:rsidR="00873234" w:rsidRPr="00EF7399">
        <w:rPr>
          <w:rFonts w:ascii="Times New Roman" w:hAnsi="Times New Roman" w:cs="Times New Roman"/>
          <w:lang w:val="af-ZA"/>
        </w:rPr>
        <w:t>§ </w:t>
      </w:r>
      <w:r w:rsidR="0081194B" w:rsidRPr="00EF7399">
        <w:rPr>
          <w:rFonts w:ascii="Times New Roman" w:hAnsi="Times New Roman" w:cs="Times New Roman"/>
          <w:lang w:val="af-ZA"/>
        </w:rPr>
        <w:t xml:space="preserve">42 </w:t>
      </w:r>
      <w:r w:rsidR="006E17E3" w:rsidRPr="00EF7399">
        <w:rPr>
          <w:rFonts w:ascii="Times New Roman" w:hAnsi="Times New Roman" w:cs="Times New Roman"/>
          <w:lang w:val="af-ZA"/>
        </w:rPr>
        <w:t>և</w:t>
      </w:r>
      <w:r w:rsidR="0081194B" w:rsidRPr="00EF7399">
        <w:rPr>
          <w:rFonts w:ascii="Times New Roman" w:hAnsi="Times New Roman" w:cs="Times New Roman"/>
          <w:lang w:val="af-ZA"/>
        </w:rPr>
        <w:t xml:space="preserve"> 43)</w:t>
      </w:r>
      <w:r w:rsidR="006E17E3" w:rsidRPr="00EF7399">
        <w:rPr>
          <w:rFonts w:ascii="Times New Roman" w:hAnsi="Times New Roman" w:cs="Times New Roman"/>
          <w:lang w:val="af-ZA"/>
        </w:rPr>
        <w:t>:</w:t>
      </w:r>
    </w:p>
    <w:p w14:paraId="224822E5" w14:textId="5A062045" w:rsidR="007B4F5E" w:rsidRPr="00EF7399" w:rsidRDefault="007B4F5E" w:rsidP="007B4F5E">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86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6E17E3" w:rsidRPr="00EF7399">
        <w:rPr>
          <w:rFonts w:ascii="Times New Roman" w:hAnsi="Times New Roman" w:cs="Times New Roman"/>
          <w:lang w:val="af-ZA"/>
        </w:rPr>
        <w:t xml:space="preserve">Անկախ </w:t>
      </w:r>
      <w:r w:rsidR="00A9563A" w:rsidRPr="00EF7399">
        <w:rPr>
          <w:rFonts w:ascii="Times New Roman" w:hAnsi="Times New Roman" w:cs="Times New Roman"/>
          <w:lang w:val="af-ZA"/>
        </w:rPr>
        <w:t>այն հանգամանքից</w:t>
      </w:r>
      <w:r w:rsidR="008F622C" w:rsidRPr="00EF7399">
        <w:rPr>
          <w:rFonts w:ascii="Times New Roman" w:hAnsi="Times New Roman" w:cs="Times New Roman"/>
          <w:lang w:val="hy-AM"/>
        </w:rPr>
        <w:t>՝</w:t>
      </w:r>
      <w:r w:rsidR="00A9563A" w:rsidRPr="00EF7399">
        <w:rPr>
          <w:rFonts w:ascii="Times New Roman" w:hAnsi="Times New Roman" w:cs="Times New Roman"/>
          <w:lang w:val="af-ZA"/>
        </w:rPr>
        <w:t xml:space="preserve"> ոստիկանությունը միջամտում է</w:t>
      </w:r>
      <w:r w:rsidR="008F622C" w:rsidRPr="00EF7399">
        <w:rPr>
          <w:rFonts w:ascii="Times New Roman" w:hAnsi="Times New Roman" w:cs="Times New Roman"/>
          <w:lang w:val="hy-AM"/>
        </w:rPr>
        <w:t>՝</w:t>
      </w:r>
      <w:r w:rsidR="00A9563A" w:rsidRPr="00EF7399">
        <w:rPr>
          <w:rFonts w:ascii="Times New Roman" w:hAnsi="Times New Roman" w:cs="Times New Roman"/>
          <w:lang w:val="af-ZA"/>
        </w:rPr>
        <w:t xml:space="preserve"> արձագանքելով հավաքի հետևանքով բնականոն կյանքի խաթարմանը, օրինակ` երթև</w:t>
      </w:r>
      <w:r w:rsidR="008F622C" w:rsidRPr="00EF7399">
        <w:rPr>
          <w:rFonts w:ascii="Times New Roman" w:hAnsi="Times New Roman" w:cs="Times New Roman"/>
          <w:lang w:val="hy-AM"/>
        </w:rPr>
        <w:t>ե</w:t>
      </w:r>
      <w:r w:rsidR="00A9563A" w:rsidRPr="00EF7399">
        <w:rPr>
          <w:rFonts w:ascii="Times New Roman" w:hAnsi="Times New Roman" w:cs="Times New Roman"/>
          <w:lang w:val="af-ZA"/>
        </w:rPr>
        <w:t xml:space="preserve">կությանը խոչընդոտելուն, </w:t>
      </w:r>
      <w:r w:rsidR="008F622C" w:rsidRPr="00EF7399">
        <w:rPr>
          <w:rFonts w:ascii="Times New Roman" w:hAnsi="Times New Roman" w:cs="Times New Roman"/>
          <w:lang w:val="hy-AM"/>
        </w:rPr>
        <w:t>թե</w:t>
      </w:r>
      <w:r w:rsidR="008F622C" w:rsidRPr="00EF7399">
        <w:rPr>
          <w:rFonts w:ascii="Times New Roman" w:hAnsi="Times New Roman" w:cs="Times New Roman"/>
          <w:lang w:val="af-ZA"/>
        </w:rPr>
        <w:t xml:space="preserve"> </w:t>
      </w:r>
      <w:r w:rsidR="00A9563A" w:rsidRPr="00EF7399">
        <w:rPr>
          <w:rFonts w:ascii="Times New Roman" w:hAnsi="Times New Roman" w:cs="Times New Roman"/>
          <w:lang w:val="af-ZA"/>
        </w:rPr>
        <w:t>մասնակիցների բռնարարքները</w:t>
      </w:r>
      <w:r w:rsidR="00EA3CBE" w:rsidRPr="00EF7399">
        <w:rPr>
          <w:rFonts w:ascii="Times New Roman" w:hAnsi="Times New Roman" w:cs="Times New Roman"/>
          <w:lang w:val="af-ZA"/>
        </w:rPr>
        <w:t xml:space="preserve"> զսպելու</w:t>
      </w:r>
      <w:r w:rsidR="00A9563A" w:rsidRPr="00EF7399">
        <w:rPr>
          <w:rFonts w:ascii="Times New Roman" w:hAnsi="Times New Roman" w:cs="Times New Roman"/>
          <w:lang w:val="af-ZA"/>
        </w:rPr>
        <w:t xml:space="preserve"> </w:t>
      </w:r>
      <w:r w:rsidR="00EA3CBE" w:rsidRPr="00EF7399">
        <w:rPr>
          <w:rFonts w:ascii="Times New Roman" w:hAnsi="Times New Roman" w:cs="Times New Roman"/>
          <w:lang w:val="af-ZA"/>
        </w:rPr>
        <w:t>նպատակով`</w:t>
      </w:r>
      <w:r w:rsidR="009C7FB7" w:rsidRPr="00EF7399">
        <w:rPr>
          <w:rFonts w:ascii="Times New Roman" w:hAnsi="Times New Roman" w:cs="Times New Roman"/>
          <w:lang w:val="hy-AM"/>
        </w:rPr>
        <w:t xml:space="preserve"> </w:t>
      </w:r>
      <w:r w:rsidR="00EA3CBE" w:rsidRPr="00EF7399">
        <w:rPr>
          <w:rFonts w:ascii="Times New Roman" w:hAnsi="Times New Roman" w:cs="Times New Roman"/>
          <w:lang w:val="af-ZA"/>
        </w:rPr>
        <w:t xml:space="preserve">ուժի գործադրումը պետք է համաչափ լինի անկարգությունները կանխելու և այլ անձանց իրավունքները պաշտպանելու իրավաչափ նպատակներին </w:t>
      </w:r>
      <w:r w:rsidRPr="00EF7399">
        <w:rPr>
          <w:rFonts w:ascii="Times New Roman" w:hAnsi="Times New Roman" w:cs="Times New Roman"/>
          <w:lang w:val="af-ZA"/>
        </w:rPr>
        <w:t>(</w:t>
      </w:r>
      <w:hyperlink r:id="rId228" w:history="1">
        <w:r w:rsidRPr="00EF7399">
          <w:rPr>
            <w:rStyle w:val="Hyperlink"/>
            <w:rFonts w:ascii="Times New Roman" w:hAnsi="Times New Roman" w:cs="Times New Roman"/>
            <w:lang w:val="af-ZA"/>
          </w:rPr>
          <w:t>Oya Ataman</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w:t>
      </w:r>
      <w:r w:rsidR="00FC780F" w:rsidRPr="00EF7399">
        <w:rPr>
          <w:rFonts w:ascii="Times New Roman" w:hAnsi="Times New Roman" w:cs="Times New Roman"/>
          <w:lang w:val="af-ZA"/>
        </w:rPr>
        <w:t xml:space="preserve">2006,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41-43</w:t>
      </w:r>
      <w:r w:rsidR="00273C0F" w:rsidRPr="00EF7399">
        <w:rPr>
          <w:rFonts w:ascii="Times New Roman" w:hAnsi="Times New Roman" w:cs="Times New Roman"/>
          <w:lang w:val="af-ZA"/>
        </w:rPr>
        <w:t xml:space="preserve">; </w:t>
      </w:r>
      <w:hyperlink r:id="rId229" w:history="1">
        <w:r w:rsidR="00273C0F" w:rsidRPr="00EF7399">
          <w:rPr>
            <w:rStyle w:val="Hyperlink"/>
            <w:rFonts w:ascii="Times New Roman" w:hAnsi="Times New Roman" w:cs="Times New Roman"/>
            <w:iCs/>
            <w:lang w:val="af-ZA"/>
          </w:rPr>
          <w:t>Laguna Guzman</w:t>
        </w:r>
        <w:r w:rsidR="00873234" w:rsidRPr="00EF7399">
          <w:rPr>
            <w:rStyle w:val="Hyperlink"/>
            <w:rFonts w:ascii="Times New Roman" w:hAnsi="Times New Roman" w:cs="Times New Roman"/>
            <w:iCs/>
            <w:lang w:val="af-ZA"/>
          </w:rPr>
          <w:t xml:space="preserve"> v. </w:t>
        </w:r>
        <w:r w:rsidR="006016B3" w:rsidRPr="00EF7399">
          <w:rPr>
            <w:rStyle w:val="Hyperlink"/>
            <w:rFonts w:ascii="Times New Roman" w:hAnsi="Times New Roman" w:cs="Times New Roman"/>
            <w:iCs/>
            <w:lang w:val="af-ZA"/>
          </w:rPr>
          <w:t>Spain</w:t>
        </w:r>
      </w:hyperlink>
      <w:r w:rsidR="00273C0F" w:rsidRPr="00EF7399">
        <w:rPr>
          <w:rFonts w:ascii="Times New Roman" w:hAnsi="Times New Roman" w:cs="Times New Roman"/>
          <w:lang w:val="af-ZA"/>
        </w:rPr>
        <w:t xml:space="preserve">, </w:t>
      </w:r>
      <w:r w:rsidR="00FC780F" w:rsidRPr="00EF7399">
        <w:rPr>
          <w:rFonts w:ascii="Times New Roman" w:hAnsi="Times New Roman" w:cs="Times New Roman"/>
          <w:lang w:val="af-ZA"/>
        </w:rPr>
        <w:t xml:space="preserve">2020, </w:t>
      </w:r>
      <w:r w:rsidR="00873234" w:rsidRPr="00EF7399">
        <w:rPr>
          <w:rFonts w:ascii="Times New Roman" w:hAnsi="Times New Roman" w:cs="Times New Roman"/>
          <w:lang w:val="af-ZA"/>
        </w:rPr>
        <w:t>§ </w:t>
      </w:r>
      <w:r w:rsidR="00273C0F" w:rsidRPr="00EF7399">
        <w:rPr>
          <w:rFonts w:ascii="Times New Roman" w:hAnsi="Times New Roman" w:cs="Times New Roman"/>
          <w:lang w:val="af-ZA"/>
        </w:rPr>
        <w:t>54</w:t>
      </w:r>
      <w:r w:rsidRPr="00EF7399">
        <w:rPr>
          <w:rFonts w:ascii="Times New Roman" w:hAnsi="Times New Roman" w:cs="Times New Roman"/>
          <w:lang w:val="af-ZA"/>
        </w:rPr>
        <w:t>)</w:t>
      </w:r>
      <w:r w:rsidR="00EA3CBE" w:rsidRPr="00EF7399">
        <w:rPr>
          <w:rFonts w:ascii="Times New Roman" w:hAnsi="Times New Roman" w:cs="Times New Roman"/>
          <w:lang w:val="af-ZA"/>
        </w:rPr>
        <w:t>:</w:t>
      </w:r>
    </w:p>
    <w:p w14:paraId="446F7A04" w14:textId="75757BDA" w:rsidR="00C74062" w:rsidRPr="00EF7399" w:rsidRDefault="006016B3" w:rsidP="007B4F5E">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87</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070AD7" w:rsidRPr="00EF7399">
        <w:rPr>
          <w:rFonts w:ascii="Times New Roman" w:hAnsi="Times New Roman" w:cs="Times New Roman"/>
          <w:lang w:val="hy-AM"/>
        </w:rPr>
        <w:t>Գնահատականն առ այն</w:t>
      </w:r>
      <w:r w:rsidR="004629C3" w:rsidRPr="00EF7399">
        <w:rPr>
          <w:rFonts w:ascii="Times New Roman" w:hAnsi="Times New Roman" w:cs="Times New Roman"/>
          <w:lang w:val="af-ZA"/>
        </w:rPr>
        <w:t>, որ գ</w:t>
      </w:r>
      <w:r w:rsidR="00985191" w:rsidRPr="00EF7399">
        <w:rPr>
          <w:rFonts w:ascii="Times New Roman" w:hAnsi="Times New Roman" w:cs="Times New Roman"/>
          <w:lang w:val="af-ZA"/>
        </w:rPr>
        <w:t>անգատաբերների նկատմամբ ուժի գործադրումը եղել է ոչ անհրաժեշտ և անհամաչափ</w:t>
      </w:r>
      <w:r w:rsidR="00070AD7" w:rsidRPr="00EF7399">
        <w:rPr>
          <w:rFonts w:ascii="Times New Roman" w:hAnsi="Times New Roman" w:cs="Times New Roman"/>
          <w:lang w:val="hy-AM"/>
        </w:rPr>
        <w:t xml:space="preserve"> և</w:t>
      </w:r>
      <w:r w:rsidR="00E84C09" w:rsidRPr="00EF7399">
        <w:rPr>
          <w:rFonts w:ascii="Times New Roman" w:hAnsi="Times New Roman" w:cs="Times New Roman"/>
          <w:lang w:val="af-ZA"/>
        </w:rPr>
        <w:t xml:space="preserve"> </w:t>
      </w:r>
      <w:r w:rsidR="00070AD7" w:rsidRPr="00EF7399">
        <w:rPr>
          <w:rFonts w:ascii="Times New Roman" w:hAnsi="Times New Roman" w:cs="Times New Roman"/>
          <w:lang w:val="hy-AM"/>
        </w:rPr>
        <w:t>այդպիսով</w:t>
      </w:r>
      <w:r w:rsidR="00070AD7" w:rsidRPr="00EF7399">
        <w:rPr>
          <w:rFonts w:ascii="Times New Roman" w:hAnsi="Times New Roman" w:cs="Times New Roman"/>
          <w:lang w:val="af-ZA"/>
        </w:rPr>
        <w:t xml:space="preserve"> </w:t>
      </w:r>
      <w:r w:rsidR="00E84C09" w:rsidRPr="00EF7399">
        <w:rPr>
          <w:rFonts w:ascii="Times New Roman" w:hAnsi="Times New Roman" w:cs="Times New Roman"/>
          <w:lang w:val="af-ZA"/>
        </w:rPr>
        <w:t>հակասել է Կոնվենցիայի 3-րդ հոդվածին</w:t>
      </w:r>
      <w:r w:rsidR="004629C3" w:rsidRPr="00EF7399">
        <w:rPr>
          <w:rFonts w:ascii="Times New Roman" w:hAnsi="Times New Roman" w:cs="Times New Roman"/>
          <w:lang w:val="af-ZA"/>
        </w:rPr>
        <w:t>, կարող է հանգեցնել եզրակացության, որ Կոնվենցիայի 11-րդ հոդվածի 2-րդ մասի իմաստով այն «անհրաժեշտ չի եղել ժողովրդավարական հասարակությունում»</w:t>
      </w:r>
      <w:r w:rsidR="00E84C09" w:rsidRPr="00EF7399">
        <w:rPr>
          <w:rFonts w:ascii="Times New Roman" w:hAnsi="Times New Roman" w:cs="Times New Roman"/>
          <w:lang w:val="af-ZA"/>
        </w:rPr>
        <w:t xml:space="preserve"> </w:t>
      </w:r>
      <w:r w:rsidR="00CB54B8" w:rsidRPr="00EF7399">
        <w:rPr>
          <w:rFonts w:ascii="Times New Roman" w:hAnsi="Times New Roman" w:cs="Times New Roman"/>
          <w:lang w:val="af-ZA"/>
        </w:rPr>
        <w:t>(</w:t>
      </w:r>
      <w:hyperlink r:id="rId230" w:history="1">
        <w:r w:rsidR="00CB54B8" w:rsidRPr="00EF7399">
          <w:rPr>
            <w:rStyle w:val="Hyperlink"/>
            <w:rFonts w:ascii="Times New Roman" w:hAnsi="Times New Roman" w:cs="Times New Roman"/>
            <w:iCs/>
            <w:lang w:val="af-ZA"/>
          </w:rPr>
          <w:t>Zakharov and Varzhabetyan</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Russia</w:t>
        </w:r>
      </w:hyperlink>
      <w:r w:rsidR="00CB54B8" w:rsidRPr="00EF7399">
        <w:rPr>
          <w:rFonts w:ascii="Times New Roman" w:hAnsi="Times New Roman" w:cs="Times New Roman"/>
          <w:lang w:val="af-ZA"/>
        </w:rPr>
        <w:t xml:space="preserve">, </w:t>
      </w:r>
      <w:r w:rsidR="00FC780F" w:rsidRPr="00EF7399">
        <w:rPr>
          <w:rFonts w:ascii="Times New Roman" w:hAnsi="Times New Roman" w:cs="Times New Roman"/>
          <w:lang w:val="af-ZA"/>
        </w:rPr>
        <w:t xml:space="preserve">2020, </w:t>
      </w:r>
      <w:r w:rsidR="00873234" w:rsidRPr="00EF7399">
        <w:rPr>
          <w:rFonts w:ascii="Times New Roman" w:hAnsi="Times New Roman" w:cs="Times New Roman"/>
          <w:lang w:val="af-ZA"/>
        </w:rPr>
        <w:t>§ </w:t>
      </w:r>
      <w:r w:rsidR="00CB54B8" w:rsidRPr="00EF7399">
        <w:rPr>
          <w:rFonts w:ascii="Times New Roman" w:hAnsi="Times New Roman" w:cs="Times New Roman"/>
          <w:lang w:val="af-ZA"/>
        </w:rPr>
        <w:t>90)</w:t>
      </w:r>
      <w:r w:rsidR="004629C3" w:rsidRPr="00EF7399">
        <w:rPr>
          <w:rFonts w:ascii="Times New Roman" w:hAnsi="Times New Roman" w:cs="Times New Roman"/>
          <w:lang w:val="af-ZA"/>
        </w:rPr>
        <w:t>:</w:t>
      </w:r>
    </w:p>
    <w:p w14:paraId="03A8C898" w14:textId="0DC8AF96" w:rsidR="007B4F5E" w:rsidRPr="00EF7399" w:rsidRDefault="007B4F5E" w:rsidP="007B4F5E">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88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4629C3" w:rsidRPr="00EF7399">
        <w:rPr>
          <w:rFonts w:ascii="Times New Roman" w:hAnsi="Times New Roman" w:cs="Times New Roman"/>
          <w:lang w:val="af-ZA"/>
        </w:rPr>
        <w:t>Հավաքը ցրելու այնպիսի միջոցների կիրառումը, ինչպիսիք են</w:t>
      </w:r>
      <w:r w:rsidR="00595A4A" w:rsidRPr="00EF7399">
        <w:rPr>
          <w:rFonts w:ascii="Times New Roman" w:hAnsi="Times New Roman" w:cs="Times New Roman"/>
          <w:lang w:val="hy-AM"/>
        </w:rPr>
        <w:t>՝</w:t>
      </w:r>
      <w:r w:rsidR="004629C3" w:rsidRPr="00EF7399">
        <w:rPr>
          <w:rFonts w:ascii="Times New Roman" w:hAnsi="Times New Roman" w:cs="Times New Roman"/>
          <w:lang w:val="af-ZA"/>
        </w:rPr>
        <w:t xml:space="preserve"> ջրաշիթերի և արցունքաբեր գազի օգտագործումը ցույցի մասնակիցների դեմ կամ նրանց ուղղությամբ զրահապատ մեքենաներ վարելը</w:t>
      </w:r>
      <w:r w:rsidR="00595A4A" w:rsidRPr="00EF7399">
        <w:rPr>
          <w:rFonts w:ascii="Times New Roman" w:hAnsi="Times New Roman" w:cs="Times New Roman"/>
          <w:lang w:val="hy-AM"/>
        </w:rPr>
        <w:t>,</w:t>
      </w:r>
      <w:r w:rsidR="004629C3" w:rsidRPr="00EF7399">
        <w:rPr>
          <w:rFonts w:ascii="Times New Roman" w:hAnsi="Times New Roman" w:cs="Times New Roman"/>
          <w:lang w:val="af-ZA"/>
        </w:rPr>
        <w:t xml:space="preserve"> պահանջում </w:t>
      </w:r>
      <w:r w:rsidR="00595A4A" w:rsidRPr="00EF7399">
        <w:rPr>
          <w:rFonts w:ascii="Times New Roman" w:hAnsi="Times New Roman" w:cs="Times New Roman"/>
          <w:lang w:val="hy-AM"/>
        </w:rPr>
        <w:t>է</w:t>
      </w:r>
      <w:r w:rsidR="004629C3" w:rsidRPr="00EF7399">
        <w:rPr>
          <w:rFonts w:ascii="Times New Roman" w:hAnsi="Times New Roman" w:cs="Times New Roman"/>
          <w:lang w:val="af-ZA"/>
        </w:rPr>
        <w:t xml:space="preserve"> հատուկ հիմնավորում </w:t>
      </w:r>
      <w:r w:rsidRPr="00EF7399">
        <w:rPr>
          <w:rFonts w:ascii="Times New Roman" w:hAnsi="Times New Roman" w:cs="Times New Roman"/>
          <w:lang w:val="af-ZA"/>
        </w:rPr>
        <w:t>(</w:t>
      </w:r>
      <w:hyperlink r:id="rId231" w:history="1">
        <w:r w:rsidRPr="00EF7399">
          <w:rPr>
            <w:rStyle w:val="Hyperlink"/>
            <w:rFonts w:ascii="Times New Roman" w:hAnsi="Times New Roman" w:cs="Times New Roman"/>
            <w:lang w:val="af-ZA"/>
          </w:rPr>
          <w:t>Eğitim ve Bilim Emekçileri Sendikası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w:t>
      </w:r>
      <w:r w:rsidR="00FC780F" w:rsidRPr="00EF7399">
        <w:rPr>
          <w:rFonts w:ascii="Times New Roman" w:hAnsi="Times New Roman" w:cs="Times New Roman"/>
          <w:lang w:val="af-ZA"/>
        </w:rPr>
        <w:t xml:space="preserve">2016, </w:t>
      </w:r>
      <w:r w:rsidR="00873234" w:rsidRPr="00EF7399">
        <w:rPr>
          <w:rFonts w:ascii="Times New Roman" w:hAnsi="Times New Roman" w:cs="Times New Roman"/>
          <w:lang w:val="af-ZA"/>
        </w:rPr>
        <w:t>§ </w:t>
      </w:r>
      <w:r w:rsidRPr="00EF7399">
        <w:rPr>
          <w:rFonts w:ascii="Times New Roman" w:hAnsi="Times New Roman" w:cs="Times New Roman"/>
          <w:lang w:val="af-ZA"/>
        </w:rPr>
        <w:t>108)</w:t>
      </w:r>
      <w:r w:rsidR="004629C3" w:rsidRPr="00EF7399">
        <w:rPr>
          <w:rFonts w:ascii="Times New Roman" w:hAnsi="Times New Roman" w:cs="Times New Roman"/>
          <w:lang w:val="af-ZA"/>
        </w:rPr>
        <w:t xml:space="preserve">: Հատկապես դժվար է հիմնավորել </w:t>
      </w:r>
      <w:r w:rsidR="00D2003D" w:rsidRPr="00EF7399">
        <w:rPr>
          <w:rFonts w:ascii="Times New Roman" w:hAnsi="Times New Roman" w:cs="Times New Roman"/>
          <w:lang w:val="af-ZA"/>
        </w:rPr>
        <w:t xml:space="preserve">հավաքը </w:t>
      </w:r>
      <w:r w:rsidR="004629C3" w:rsidRPr="00EF7399">
        <w:rPr>
          <w:rFonts w:ascii="Times New Roman" w:hAnsi="Times New Roman" w:cs="Times New Roman"/>
          <w:lang w:val="af-ZA"/>
        </w:rPr>
        <w:t>ցր</w:t>
      </w:r>
      <w:r w:rsidR="00D2003D" w:rsidRPr="00EF7399">
        <w:rPr>
          <w:rFonts w:ascii="Times New Roman" w:hAnsi="Times New Roman" w:cs="Times New Roman"/>
          <w:lang w:val="af-ZA"/>
        </w:rPr>
        <w:t>ելու</w:t>
      </w:r>
      <w:r w:rsidR="004629C3" w:rsidRPr="00EF7399">
        <w:rPr>
          <w:rFonts w:ascii="Times New Roman" w:hAnsi="Times New Roman" w:cs="Times New Roman"/>
          <w:lang w:val="af-ZA"/>
        </w:rPr>
        <w:t xml:space="preserve"> </w:t>
      </w:r>
      <w:r w:rsidR="00D2003D" w:rsidRPr="00EF7399">
        <w:rPr>
          <w:rFonts w:ascii="Times New Roman" w:hAnsi="Times New Roman" w:cs="Times New Roman"/>
          <w:lang w:val="af-ZA"/>
        </w:rPr>
        <w:t>համար</w:t>
      </w:r>
      <w:r w:rsidR="00595A4A" w:rsidRPr="00EF7399">
        <w:rPr>
          <w:rFonts w:ascii="Times New Roman" w:hAnsi="Times New Roman" w:cs="Times New Roman"/>
          <w:lang w:val="hy-AM"/>
        </w:rPr>
        <w:t xml:space="preserve"> </w:t>
      </w:r>
      <w:r w:rsidR="00595A4A" w:rsidRPr="00EF7399">
        <w:rPr>
          <w:rFonts w:ascii="Times New Roman" w:hAnsi="Times New Roman" w:cs="Times New Roman"/>
          <w:lang w:val="af-ZA"/>
        </w:rPr>
        <w:t>միջոցների</w:t>
      </w:r>
      <w:r w:rsidR="00595A4A" w:rsidRPr="00EF7399">
        <w:rPr>
          <w:rFonts w:ascii="Times New Roman" w:hAnsi="Times New Roman" w:cs="Times New Roman"/>
          <w:lang w:val="hy-AM"/>
        </w:rPr>
        <w:t>, ինչպիսին է՝</w:t>
      </w:r>
      <w:r w:rsidR="00D2003D" w:rsidRPr="00EF7399">
        <w:rPr>
          <w:rFonts w:ascii="Times New Roman" w:hAnsi="Times New Roman" w:cs="Times New Roman"/>
          <w:lang w:val="af-ZA"/>
        </w:rPr>
        <w:t xml:space="preserve"> արցունքաբեր գազով նռնակների օգտագործումն այն պայմաններում, երբ հնարավոր չէ ցույցի մասնակիցներին տարբերել դրա հետ առնչություն չունեցող անցորդներից </w:t>
      </w:r>
      <w:r w:rsidRPr="00EF7399">
        <w:rPr>
          <w:rFonts w:ascii="Times New Roman" w:hAnsi="Times New Roman" w:cs="Times New Roman"/>
          <w:lang w:val="af-ZA"/>
        </w:rPr>
        <w:t>(</w:t>
      </w:r>
      <w:hyperlink r:id="rId232" w:history="1">
        <w:r w:rsidRPr="00EF7399">
          <w:rPr>
            <w:rStyle w:val="Hyperlink"/>
            <w:rFonts w:ascii="Times New Roman" w:hAnsi="Times New Roman" w:cs="Times New Roman"/>
            <w:iCs/>
            <w:lang w:val="af-ZA"/>
          </w:rPr>
          <w:t>Süleyman Çelebi and Others</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Turkey (no. 2)</w:t>
        </w:r>
      </w:hyperlink>
      <w:r w:rsidRPr="00EF7399">
        <w:rPr>
          <w:rFonts w:ascii="Times New Roman" w:hAnsi="Times New Roman" w:cs="Times New Roman"/>
          <w:lang w:val="af-ZA"/>
        </w:rPr>
        <w:t xml:space="preserve">, </w:t>
      </w:r>
      <w:r w:rsidR="00FC780F" w:rsidRPr="00EF7399">
        <w:rPr>
          <w:rFonts w:ascii="Times New Roman" w:hAnsi="Times New Roman" w:cs="Times New Roman"/>
          <w:lang w:val="af-ZA"/>
        </w:rPr>
        <w:t xml:space="preserve">2017, </w:t>
      </w:r>
      <w:r w:rsidR="00873234" w:rsidRPr="00EF7399">
        <w:rPr>
          <w:rFonts w:ascii="Times New Roman" w:hAnsi="Times New Roman" w:cs="Times New Roman"/>
          <w:lang w:val="af-ZA"/>
        </w:rPr>
        <w:t>§ </w:t>
      </w:r>
      <w:r w:rsidRPr="00EF7399">
        <w:rPr>
          <w:rFonts w:ascii="Times New Roman" w:hAnsi="Times New Roman" w:cs="Times New Roman"/>
          <w:lang w:val="af-ZA"/>
        </w:rPr>
        <w:t>111)</w:t>
      </w:r>
      <w:r w:rsidR="00D2003D" w:rsidRPr="00EF7399">
        <w:rPr>
          <w:rFonts w:ascii="Times New Roman" w:hAnsi="Times New Roman" w:cs="Times New Roman"/>
          <w:lang w:val="af-ZA"/>
        </w:rPr>
        <w:t>: Ավելին, հավաքը ցրելու համար ուժի գործադրումը որոշ հանգամանքներում</w:t>
      </w:r>
      <w:r w:rsidRPr="00EF7399">
        <w:rPr>
          <w:rFonts w:ascii="Times New Roman" w:hAnsi="Times New Roman" w:cs="Times New Roman"/>
          <w:lang w:val="af-ZA"/>
        </w:rPr>
        <w:t xml:space="preserve"> </w:t>
      </w:r>
      <w:r w:rsidR="00D2003D" w:rsidRPr="00EF7399">
        <w:rPr>
          <w:rFonts w:ascii="Times New Roman" w:hAnsi="Times New Roman" w:cs="Times New Roman"/>
          <w:lang w:val="af-ZA"/>
        </w:rPr>
        <w:t xml:space="preserve">կարող է համարվել անմարդկային և նվաստացնող վերաբերմունք, որը հակասում է Կոնվենցիայի 3-րդ հոդվածին </w:t>
      </w:r>
      <w:r w:rsidRPr="00EF7399">
        <w:rPr>
          <w:rFonts w:ascii="Times New Roman" w:hAnsi="Times New Roman" w:cs="Times New Roman"/>
          <w:lang w:val="af-ZA"/>
        </w:rPr>
        <w:t>(</w:t>
      </w:r>
      <w:hyperlink r:id="rId233" w:history="1">
        <w:r w:rsidRPr="00EF7399">
          <w:rPr>
            <w:rStyle w:val="Hyperlink"/>
            <w:rFonts w:ascii="Times New Roman" w:hAnsi="Times New Roman" w:cs="Times New Roman"/>
            <w:lang w:val="af-ZA"/>
          </w:rPr>
          <w:t>ibid</w:t>
        </w:r>
      </w:hyperlink>
      <w:r w:rsidRPr="00EF7399">
        <w:rPr>
          <w:rFonts w:ascii="Times New Roman" w:hAnsi="Times New Roman" w:cs="Times New Roman"/>
          <w:lang w:val="af-ZA"/>
        </w:rPr>
        <w:t>.</w:t>
      </w:r>
      <w:r w:rsidR="00D23E6E" w:rsidRPr="00EF7399">
        <w:rPr>
          <w:rFonts w:ascii="Times New Roman" w:hAnsi="Times New Roman" w:cs="Times New Roman"/>
          <w:lang w:val="af-ZA"/>
        </w:rPr>
        <w:t>,</w:t>
      </w:r>
      <w:r w:rsidRPr="00EF7399">
        <w:rPr>
          <w:rFonts w:ascii="Times New Roman" w:hAnsi="Times New Roman" w:cs="Times New Roman"/>
          <w:lang w:val="af-ZA"/>
        </w:rPr>
        <w:t xml:space="preserve"> </w:t>
      </w:r>
      <w:r w:rsidR="00873234" w:rsidRPr="00EF7399">
        <w:rPr>
          <w:rFonts w:ascii="Times New Roman" w:hAnsi="Times New Roman" w:cs="Times New Roman"/>
          <w:lang w:val="af-ZA"/>
        </w:rPr>
        <w:t>§ </w:t>
      </w:r>
      <w:r w:rsidRPr="00EF7399">
        <w:rPr>
          <w:rFonts w:ascii="Times New Roman" w:hAnsi="Times New Roman" w:cs="Times New Roman"/>
          <w:lang w:val="af-ZA"/>
        </w:rPr>
        <w:t>79)</w:t>
      </w:r>
      <w:r w:rsidR="00D2003D" w:rsidRPr="00EF7399">
        <w:rPr>
          <w:rFonts w:ascii="Times New Roman" w:hAnsi="Times New Roman" w:cs="Times New Roman"/>
          <w:lang w:val="af-ZA"/>
        </w:rPr>
        <w:t xml:space="preserve">: </w:t>
      </w:r>
      <w:r w:rsidR="001C2D4A" w:rsidRPr="00EF7399">
        <w:rPr>
          <w:rFonts w:ascii="Times New Roman" w:hAnsi="Times New Roman" w:cs="Times New Roman"/>
          <w:lang w:val="af-ZA"/>
        </w:rPr>
        <w:t>Մասնավորապես, ա</w:t>
      </w:r>
      <w:r w:rsidR="00D2003D" w:rsidRPr="00EF7399">
        <w:rPr>
          <w:rFonts w:ascii="Times New Roman" w:hAnsi="Times New Roman" w:cs="Times New Roman"/>
          <w:lang w:val="af-ZA"/>
        </w:rPr>
        <w:t xml:space="preserve">րցունքաբեր գազի </w:t>
      </w:r>
      <w:r w:rsidR="001C2D4A" w:rsidRPr="00EF7399">
        <w:rPr>
          <w:rFonts w:ascii="Times New Roman" w:hAnsi="Times New Roman" w:cs="Times New Roman"/>
          <w:lang w:val="af-ZA"/>
        </w:rPr>
        <w:t>կիրառումը</w:t>
      </w:r>
      <w:r w:rsidR="00D2003D" w:rsidRPr="00EF7399">
        <w:rPr>
          <w:rFonts w:ascii="Times New Roman" w:hAnsi="Times New Roman" w:cs="Times New Roman"/>
          <w:lang w:val="af-ZA"/>
        </w:rPr>
        <w:t xml:space="preserve"> պետք է ենթարկվի հստակ սահմանված կանոնների, ինչպես նաև պետք է լինի իրավապահների </w:t>
      </w:r>
      <w:r w:rsidR="00002C08" w:rsidRPr="00EF7399">
        <w:rPr>
          <w:rFonts w:ascii="Times New Roman" w:hAnsi="Times New Roman" w:cs="Times New Roman"/>
          <w:lang w:val="af-ZA"/>
        </w:rPr>
        <w:t>համարժեք պատրաստությ</w:t>
      </w:r>
      <w:r w:rsidR="00C14F84" w:rsidRPr="00EF7399">
        <w:rPr>
          <w:rFonts w:ascii="Times New Roman" w:hAnsi="Times New Roman" w:cs="Times New Roman"/>
          <w:lang w:val="af-ZA"/>
        </w:rPr>
        <w:t>ունը</w:t>
      </w:r>
      <w:r w:rsidR="002A44DD" w:rsidRPr="00EF7399">
        <w:rPr>
          <w:rFonts w:ascii="Times New Roman" w:hAnsi="Times New Roman" w:cs="Times New Roman"/>
          <w:lang w:val="af-ZA"/>
        </w:rPr>
        <w:t xml:space="preserve">, ցույցերի ընթացքում </w:t>
      </w:r>
      <w:r w:rsidR="00595A4A" w:rsidRPr="00EF7399">
        <w:rPr>
          <w:rFonts w:ascii="Times New Roman" w:hAnsi="Times New Roman" w:cs="Times New Roman"/>
          <w:lang w:val="hy-AM"/>
        </w:rPr>
        <w:t>անձնակազմի</w:t>
      </w:r>
      <w:r w:rsidR="00595A4A" w:rsidRPr="00EF7399">
        <w:rPr>
          <w:rFonts w:ascii="Times New Roman" w:hAnsi="Times New Roman" w:cs="Times New Roman"/>
          <w:lang w:val="af-ZA"/>
        </w:rPr>
        <w:t xml:space="preserve"> </w:t>
      </w:r>
      <w:r w:rsidR="002A44DD" w:rsidRPr="00EF7399">
        <w:rPr>
          <w:rFonts w:ascii="Times New Roman" w:hAnsi="Times New Roman" w:cs="Times New Roman"/>
          <w:lang w:val="af-ZA"/>
        </w:rPr>
        <w:t>նկատմամբ հսկողությ</w:t>
      </w:r>
      <w:r w:rsidR="00C14F84" w:rsidRPr="00EF7399">
        <w:rPr>
          <w:rFonts w:ascii="Times New Roman" w:hAnsi="Times New Roman" w:cs="Times New Roman"/>
          <w:lang w:val="af-ZA"/>
        </w:rPr>
        <w:t>ու</w:t>
      </w:r>
      <w:r w:rsidR="002A44DD" w:rsidRPr="00EF7399">
        <w:rPr>
          <w:rFonts w:ascii="Times New Roman" w:hAnsi="Times New Roman" w:cs="Times New Roman"/>
          <w:lang w:val="af-ZA"/>
        </w:rPr>
        <w:t>ն</w:t>
      </w:r>
      <w:r w:rsidR="00C14F84" w:rsidRPr="00EF7399">
        <w:rPr>
          <w:rFonts w:ascii="Times New Roman" w:hAnsi="Times New Roman" w:cs="Times New Roman"/>
          <w:lang w:val="af-ZA"/>
        </w:rPr>
        <w:t>ը</w:t>
      </w:r>
      <w:r w:rsidR="002A44DD" w:rsidRPr="00EF7399">
        <w:rPr>
          <w:rFonts w:ascii="Times New Roman" w:hAnsi="Times New Roman" w:cs="Times New Roman"/>
          <w:lang w:val="af-ZA"/>
        </w:rPr>
        <w:t xml:space="preserve"> և վերահսկողությ</w:t>
      </w:r>
      <w:r w:rsidR="00C14F84" w:rsidRPr="00EF7399">
        <w:rPr>
          <w:rFonts w:ascii="Times New Roman" w:hAnsi="Times New Roman" w:cs="Times New Roman"/>
          <w:lang w:val="af-ZA"/>
        </w:rPr>
        <w:t>ու</w:t>
      </w:r>
      <w:r w:rsidR="002A44DD" w:rsidRPr="00EF7399">
        <w:rPr>
          <w:rFonts w:ascii="Times New Roman" w:hAnsi="Times New Roman" w:cs="Times New Roman"/>
          <w:lang w:val="af-ZA"/>
        </w:rPr>
        <w:t>ն</w:t>
      </w:r>
      <w:r w:rsidR="00C14F84" w:rsidRPr="00EF7399">
        <w:rPr>
          <w:rFonts w:ascii="Times New Roman" w:hAnsi="Times New Roman" w:cs="Times New Roman"/>
          <w:lang w:val="af-ZA"/>
        </w:rPr>
        <w:t>ը, հավաքից հետո (</w:t>
      </w:r>
      <w:r w:rsidR="00C14F84" w:rsidRPr="00EF7399">
        <w:rPr>
          <w:rFonts w:ascii="Times New Roman" w:hAnsi="Times New Roman" w:cs="Times New Roman"/>
          <w:i/>
          <w:iCs/>
          <w:lang w:val="af-ZA"/>
        </w:rPr>
        <w:t>ex post facto</w:t>
      </w:r>
      <w:r w:rsidR="00C14F84" w:rsidRPr="00EF7399">
        <w:rPr>
          <w:rFonts w:ascii="Times New Roman" w:hAnsi="Times New Roman" w:cs="Times New Roman"/>
          <w:lang w:val="af-ZA"/>
        </w:rPr>
        <w:t>) ուժի գործադրման</w:t>
      </w:r>
      <w:r w:rsidR="001C2D4A" w:rsidRPr="00EF7399">
        <w:rPr>
          <w:rFonts w:ascii="Times New Roman" w:hAnsi="Times New Roman" w:cs="Times New Roman"/>
          <w:lang w:val="af-ZA"/>
        </w:rPr>
        <w:t>,</w:t>
      </w:r>
      <w:r w:rsidR="00C14F84" w:rsidRPr="00EF7399">
        <w:rPr>
          <w:rFonts w:ascii="Times New Roman" w:hAnsi="Times New Roman" w:cs="Times New Roman"/>
          <w:lang w:val="af-ZA"/>
        </w:rPr>
        <w:t xml:space="preserve"> </w:t>
      </w:r>
      <w:r w:rsidR="001C2D4A" w:rsidRPr="00EF7399">
        <w:rPr>
          <w:rFonts w:ascii="Times New Roman" w:hAnsi="Times New Roman" w:cs="Times New Roman"/>
          <w:lang w:val="af-ZA"/>
        </w:rPr>
        <w:t xml:space="preserve">հատկապես այն անձանց դեմ, ովքեր ցույց չեն տվել բռնի դիմադրություն, </w:t>
      </w:r>
      <w:r w:rsidR="00C14F84" w:rsidRPr="00EF7399">
        <w:rPr>
          <w:rFonts w:ascii="Times New Roman" w:hAnsi="Times New Roman" w:cs="Times New Roman"/>
          <w:lang w:val="af-ZA"/>
        </w:rPr>
        <w:t>անհրաժեշտության, համաչափության և ողջամտության</w:t>
      </w:r>
      <w:r w:rsidR="00D2003D" w:rsidRPr="00EF7399">
        <w:rPr>
          <w:rFonts w:ascii="Times New Roman" w:hAnsi="Times New Roman" w:cs="Times New Roman"/>
          <w:lang w:val="af-ZA"/>
        </w:rPr>
        <w:t xml:space="preserve"> </w:t>
      </w:r>
      <w:r w:rsidR="00C14F84" w:rsidRPr="00EF7399">
        <w:rPr>
          <w:rFonts w:ascii="Times New Roman" w:hAnsi="Times New Roman" w:cs="Times New Roman"/>
          <w:lang w:val="af-ZA"/>
        </w:rPr>
        <w:t xml:space="preserve">արդյունավետ </w:t>
      </w:r>
      <w:r w:rsidR="001C6F00" w:rsidRPr="00EF7399">
        <w:rPr>
          <w:rFonts w:ascii="Times New Roman" w:hAnsi="Times New Roman" w:cs="Times New Roman"/>
          <w:lang w:val="hy-AM"/>
        </w:rPr>
        <w:t>վերանայումը</w:t>
      </w:r>
      <w:r w:rsidR="001C6F00" w:rsidRPr="00EF7399">
        <w:rPr>
          <w:rFonts w:ascii="Times New Roman" w:hAnsi="Times New Roman" w:cs="Times New Roman"/>
          <w:lang w:val="af-ZA"/>
        </w:rPr>
        <w:t xml:space="preserve"> </w:t>
      </w:r>
      <w:r w:rsidR="001C2D4A" w:rsidRPr="00EF7399">
        <w:rPr>
          <w:rFonts w:ascii="Times New Roman" w:hAnsi="Times New Roman" w:cs="Times New Roman"/>
          <w:lang w:val="af-ZA"/>
        </w:rPr>
        <w:t xml:space="preserve">երաշխավորող համակարգ </w:t>
      </w:r>
      <w:r w:rsidRPr="00EF7399">
        <w:rPr>
          <w:rFonts w:ascii="Times New Roman" w:hAnsi="Times New Roman" w:cs="Times New Roman"/>
          <w:lang w:val="af-ZA"/>
        </w:rPr>
        <w:t>(</w:t>
      </w:r>
      <w:hyperlink r:id="rId234" w:history="1">
        <w:r w:rsidRPr="00EF7399">
          <w:rPr>
            <w:rStyle w:val="Hyperlink"/>
            <w:rFonts w:ascii="Times New Roman" w:hAnsi="Times New Roman" w:cs="Times New Roman"/>
            <w:lang w:val="af-ZA"/>
          </w:rPr>
          <w:t>İzci</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w:t>
      </w:r>
      <w:r w:rsidR="00FC780F" w:rsidRPr="00EF7399">
        <w:rPr>
          <w:rFonts w:ascii="Times New Roman" w:hAnsi="Times New Roman" w:cs="Times New Roman"/>
          <w:lang w:val="af-ZA"/>
        </w:rPr>
        <w:t xml:space="preserve">2013, </w:t>
      </w:r>
      <w:r w:rsidR="00873234" w:rsidRPr="00EF7399">
        <w:rPr>
          <w:rFonts w:ascii="Times New Roman" w:hAnsi="Times New Roman" w:cs="Times New Roman"/>
          <w:lang w:val="af-ZA"/>
        </w:rPr>
        <w:t>§ </w:t>
      </w:r>
      <w:r w:rsidRPr="00EF7399">
        <w:rPr>
          <w:rFonts w:ascii="Times New Roman" w:hAnsi="Times New Roman" w:cs="Times New Roman"/>
          <w:lang w:val="af-ZA"/>
        </w:rPr>
        <w:t>99)</w:t>
      </w:r>
      <w:r w:rsidR="001C2D4A" w:rsidRPr="00EF7399">
        <w:rPr>
          <w:rFonts w:ascii="Times New Roman" w:hAnsi="Times New Roman" w:cs="Times New Roman"/>
          <w:lang w:val="af-ZA"/>
        </w:rPr>
        <w:t>:</w:t>
      </w:r>
    </w:p>
    <w:p w14:paraId="7D241A39" w14:textId="526BB92E" w:rsidR="00CB54B8" w:rsidRPr="00EF7399" w:rsidRDefault="006016B3" w:rsidP="007B4F5E">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89</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C2D4A" w:rsidRPr="00EF7399">
        <w:rPr>
          <w:rFonts w:ascii="Times New Roman" w:hAnsi="Times New Roman" w:cs="Times New Roman"/>
          <w:lang w:val="af-ZA"/>
        </w:rPr>
        <w:t xml:space="preserve">Բողոքի ակցիայի մասնակիցների և իրավապահ մարմինների ծառայողների միջև </w:t>
      </w:r>
      <w:r w:rsidR="00D24CF9" w:rsidRPr="00EF7399">
        <w:rPr>
          <w:rFonts w:ascii="Times New Roman" w:hAnsi="Times New Roman" w:cs="Times New Roman"/>
          <w:lang w:val="af-ZA"/>
        </w:rPr>
        <w:t>խոշոր ընդհարման դեպքում, երբ երկու կողմերն էլ գործադրել են բռնություն, իշխանությոններից պահանջվում է սեփական նախաձեռնությամբ կատարել քննություն և</w:t>
      </w:r>
      <w:r w:rsidR="006141FF" w:rsidRPr="00EF7399">
        <w:rPr>
          <w:rFonts w:ascii="Times New Roman" w:hAnsi="Times New Roman" w:cs="Times New Roman"/>
          <w:lang w:val="af-ZA"/>
        </w:rPr>
        <w:t xml:space="preserve"> մանրամասն ուսումնասիրել</w:t>
      </w:r>
      <w:r w:rsidR="00D24CF9" w:rsidRPr="00EF7399">
        <w:rPr>
          <w:rFonts w:ascii="Times New Roman" w:hAnsi="Times New Roman" w:cs="Times New Roman"/>
          <w:lang w:val="af-ZA"/>
        </w:rPr>
        <w:t xml:space="preserve"> </w:t>
      </w:r>
      <w:r w:rsidR="006141FF" w:rsidRPr="00EF7399">
        <w:rPr>
          <w:rFonts w:ascii="Times New Roman" w:hAnsi="Times New Roman" w:cs="Times New Roman"/>
          <w:lang w:val="af-ZA"/>
        </w:rPr>
        <w:t xml:space="preserve">ոչ միայն բռնարարքներ կատարած բողոքի ակցիայի մասնակիցների գործողությունները, այլև իրավապահ մարմինների ներկայացուցիչների բռնի գործողությունները </w:t>
      </w:r>
      <w:r w:rsidR="00CB54B8" w:rsidRPr="00EF7399">
        <w:rPr>
          <w:rFonts w:ascii="Times New Roman" w:hAnsi="Times New Roman" w:cs="Times New Roman"/>
          <w:lang w:val="af-ZA"/>
        </w:rPr>
        <w:t>(</w:t>
      </w:r>
      <w:hyperlink r:id="rId235" w:history="1">
        <w:r w:rsidR="00CB54B8" w:rsidRPr="00EF7399">
          <w:rPr>
            <w:rStyle w:val="Hyperlink"/>
            <w:rFonts w:ascii="Times New Roman" w:hAnsi="Times New Roman" w:cs="Times New Roman"/>
            <w:iCs/>
            <w:lang w:val="af-ZA"/>
          </w:rPr>
          <w:t>Zakharov and Varzhabetyan</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Russia</w:t>
        </w:r>
      </w:hyperlink>
      <w:r w:rsidR="00CB54B8" w:rsidRPr="00EF7399">
        <w:rPr>
          <w:rFonts w:ascii="Times New Roman" w:hAnsi="Times New Roman" w:cs="Times New Roman"/>
          <w:lang w:val="af-ZA"/>
        </w:rPr>
        <w:t xml:space="preserve">, </w:t>
      </w:r>
      <w:r w:rsidR="00FC780F" w:rsidRPr="00EF7399">
        <w:rPr>
          <w:rFonts w:ascii="Times New Roman" w:hAnsi="Times New Roman" w:cs="Times New Roman"/>
          <w:lang w:val="af-ZA"/>
        </w:rPr>
        <w:t xml:space="preserve">2020, </w:t>
      </w:r>
      <w:r w:rsidR="00CB54B8" w:rsidRPr="00EF7399">
        <w:rPr>
          <w:rFonts w:ascii="Times New Roman" w:hAnsi="Times New Roman" w:cs="Times New Roman"/>
          <w:lang w:val="af-ZA"/>
        </w:rPr>
        <w:t>§</w:t>
      </w:r>
      <w:r w:rsidR="00873234" w:rsidRPr="00EF7399">
        <w:rPr>
          <w:rFonts w:ascii="Times New Roman" w:hAnsi="Times New Roman" w:cs="Times New Roman"/>
          <w:lang w:val="af-ZA"/>
        </w:rPr>
        <w:t>§ </w:t>
      </w:r>
      <w:r w:rsidR="00CB54B8" w:rsidRPr="00EF7399">
        <w:rPr>
          <w:rFonts w:ascii="Times New Roman" w:hAnsi="Times New Roman" w:cs="Times New Roman"/>
          <w:lang w:val="af-ZA"/>
        </w:rPr>
        <w:t>53-55)</w:t>
      </w:r>
      <w:r w:rsidR="00CB54B8" w:rsidRPr="00EF7399">
        <w:rPr>
          <w:rStyle w:val="FootnoteReference"/>
          <w:rFonts w:ascii="Times New Roman" w:hAnsi="Times New Roman" w:cs="Times New Roman"/>
          <w:lang w:val="af-ZA"/>
        </w:rPr>
        <w:footnoteReference w:id="5"/>
      </w:r>
      <w:r w:rsidR="006141FF" w:rsidRPr="00EF7399">
        <w:rPr>
          <w:rFonts w:ascii="Times New Roman" w:hAnsi="Times New Roman" w:cs="Times New Roman"/>
          <w:lang w:val="af-ZA"/>
        </w:rPr>
        <w:t>:</w:t>
      </w:r>
    </w:p>
    <w:p w14:paraId="6D0F06F3" w14:textId="00B078DF" w:rsidR="007B4F5E" w:rsidRPr="00EF7399" w:rsidRDefault="00A83DAB" w:rsidP="00A83DAB">
      <w:pPr>
        <w:pStyle w:val="ECHRHeading2"/>
        <w:numPr>
          <w:ilvl w:val="0"/>
          <w:numId w:val="0"/>
        </w:numPr>
        <w:rPr>
          <w:rFonts w:ascii="Times New Roman" w:hAnsi="Times New Roman" w:cs="Times New Roman"/>
          <w:lang w:val="af-ZA"/>
        </w:rPr>
      </w:pPr>
      <w:bookmarkStart w:id="61" w:name="Prior_notification_authorisation_procedu"/>
      <w:bookmarkStart w:id="62" w:name="_Toc159945226"/>
      <w:r>
        <w:rPr>
          <w:rFonts w:ascii="Times New Roman" w:hAnsi="Times New Roman" w:cs="Times New Roman"/>
          <w:lang w:val="hy-AM"/>
        </w:rPr>
        <w:t xml:space="preserve">Զ․ </w:t>
      </w:r>
      <w:r w:rsidR="006141FF" w:rsidRPr="00EF7399">
        <w:rPr>
          <w:rFonts w:ascii="Times New Roman" w:hAnsi="Times New Roman" w:cs="Times New Roman"/>
          <w:lang w:val="af-ZA"/>
        </w:rPr>
        <w:t>Նախ</w:t>
      </w:r>
      <w:r w:rsidR="00BD2762" w:rsidRPr="00EF7399">
        <w:rPr>
          <w:rFonts w:ascii="Times New Roman" w:hAnsi="Times New Roman" w:cs="Times New Roman"/>
          <w:lang w:val="af-ZA"/>
        </w:rPr>
        <w:t>նական</w:t>
      </w:r>
      <w:r w:rsidR="006141FF" w:rsidRPr="00EF7399">
        <w:rPr>
          <w:rFonts w:ascii="Times New Roman" w:hAnsi="Times New Roman" w:cs="Times New Roman"/>
          <w:lang w:val="af-ZA"/>
        </w:rPr>
        <w:t xml:space="preserve"> իրազեկման և արտոնման </w:t>
      </w:r>
      <w:r w:rsidR="001C6F00" w:rsidRPr="00EF7399">
        <w:rPr>
          <w:rFonts w:ascii="Times New Roman" w:hAnsi="Times New Roman" w:cs="Times New Roman"/>
          <w:lang w:val="hy-AM"/>
        </w:rPr>
        <w:t>ընթացա</w:t>
      </w:r>
      <w:r w:rsidR="006141FF" w:rsidRPr="00EF7399">
        <w:rPr>
          <w:rFonts w:ascii="Times New Roman" w:hAnsi="Times New Roman" w:cs="Times New Roman"/>
          <w:lang w:val="af-ZA"/>
        </w:rPr>
        <w:t>կարգերը</w:t>
      </w:r>
      <w:bookmarkEnd w:id="61"/>
      <w:bookmarkEnd w:id="62"/>
    </w:p>
    <w:p w14:paraId="748A770F" w14:textId="4626BD8D" w:rsidR="00034A8D" w:rsidRPr="00EF7399" w:rsidRDefault="007B4F5E" w:rsidP="00A3262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90</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C6F00" w:rsidRPr="00EF7399">
        <w:rPr>
          <w:rFonts w:ascii="Times New Roman" w:hAnsi="Times New Roman" w:cs="Times New Roman"/>
          <w:lang w:val="hy-AM"/>
        </w:rPr>
        <w:t>Ս</w:t>
      </w:r>
      <w:r w:rsidR="001C6F00" w:rsidRPr="00EF7399">
        <w:rPr>
          <w:rFonts w:ascii="Times New Roman" w:hAnsi="Times New Roman" w:cs="Times New Roman"/>
          <w:lang w:val="af-ZA"/>
        </w:rPr>
        <w:t>կզբունքորեն չի հակասում 11-րդ հոդվածի ոգուն</w:t>
      </w:r>
      <w:r w:rsidR="001C6F00" w:rsidRPr="00EF7399">
        <w:rPr>
          <w:rFonts w:ascii="Times New Roman" w:hAnsi="Times New Roman" w:cs="Times New Roman"/>
          <w:lang w:val="hy-AM"/>
        </w:rPr>
        <w:t>, եթե</w:t>
      </w:r>
      <w:r w:rsidR="001C6F00" w:rsidRPr="00EF7399">
        <w:rPr>
          <w:rFonts w:ascii="Times New Roman" w:hAnsi="Times New Roman" w:cs="Times New Roman"/>
          <w:lang w:val="af-ZA"/>
        </w:rPr>
        <w:t xml:space="preserve"> </w:t>
      </w:r>
      <w:r w:rsidR="00BD2762" w:rsidRPr="00EF7399">
        <w:rPr>
          <w:rFonts w:ascii="Times New Roman" w:hAnsi="Times New Roman" w:cs="Times New Roman"/>
          <w:lang w:val="af-ZA"/>
        </w:rPr>
        <w:t>Բարձր Պայմանավորվող կողմը հասարակական կարգի պահպանության և ազգային անվտանգության նկատառումներով սահման</w:t>
      </w:r>
      <w:r w:rsidR="001C6F00" w:rsidRPr="00EF7399">
        <w:rPr>
          <w:rFonts w:ascii="Times New Roman" w:hAnsi="Times New Roman" w:cs="Times New Roman"/>
          <w:lang w:val="hy-AM"/>
        </w:rPr>
        <w:t>ի</w:t>
      </w:r>
      <w:r w:rsidR="00BD2762" w:rsidRPr="00EF7399">
        <w:rPr>
          <w:rFonts w:ascii="Times New Roman" w:hAnsi="Times New Roman" w:cs="Times New Roman"/>
          <w:lang w:val="af-ZA"/>
        </w:rPr>
        <w:t xml:space="preserve"> հավաքների կազմակերպումն արտոնելու պահանջ</w:t>
      </w:r>
      <w:r w:rsidR="001C6F00" w:rsidRPr="00EF7399">
        <w:rPr>
          <w:rFonts w:ascii="Times New Roman" w:hAnsi="Times New Roman" w:cs="Times New Roman"/>
          <w:lang w:val="hy-AM"/>
        </w:rPr>
        <w:t xml:space="preserve"> </w:t>
      </w:r>
      <w:r w:rsidR="0081194B" w:rsidRPr="00EF7399">
        <w:rPr>
          <w:rFonts w:ascii="Times New Roman" w:hAnsi="Times New Roman" w:cs="Times New Roman"/>
          <w:lang w:val="af-ZA"/>
        </w:rPr>
        <w:t>(</w:t>
      </w:r>
      <w:hyperlink r:id="rId236" w:history="1">
        <w:r w:rsidR="0081194B" w:rsidRPr="00EF7399">
          <w:rPr>
            <w:rStyle w:val="Hyperlink"/>
            <w:rFonts w:ascii="Times New Roman" w:hAnsi="Times New Roman" w:cs="Times New Roman"/>
            <w:lang w:val="af-ZA"/>
          </w:rPr>
          <w:t>Kudrevičius and Others</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Lithuania</w:t>
        </w:r>
      </w:hyperlink>
      <w:r w:rsidR="0081194B" w:rsidRPr="00EF7399">
        <w:rPr>
          <w:rFonts w:ascii="Times New Roman" w:hAnsi="Times New Roman" w:cs="Times New Roman"/>
          <w:i/>
          <w:lang w:val="af-ZA"/>
        </w:rPr>
        <w:t xml:space="preserve"> </w:t>
      </w:r>
      <w:r w:rsidR="0081194B" w:rsidRPr="00EF7399">
        <w:rPr>
          <w:rFonts w:ascii="Times New Roman" w:hAnsi="Times New Roman" w:cs="Times New Roman"/>
          <w:lang w:val="af-ZA"/>
        </w:rPr>
        <w:t xml:space="preserve">[GC], </w:t>
      </w:r>
      <w:r w:rsidR="00FC780F"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 xml:space="preserve">147, </w:t>
      </w:r>
      <w:r w:rsidR="00BD2762" w:rsidRPr="00EF7399">
        <w:rPr>
          <w:rFonts w:ascii="Times New Roman" w:hAnsi="Times New Roman" w:cs="Times New Roman"/>
          <w:lang w:val="af-ZA"/>
        </w:rPr>
        <w:t>լրացուցիչ հղումներով</w:t>
      </w:r>
      <w:r w:rsidR="008F70F4" w:rsidRPr="00EF7399">
        <w:rPr>
          <w:rFonts w:ascii="Times New Roman" w:hAnsi="Times New Roman" w:cs="Times New Roman"/>
          <w:lang w:val="af-ZA"/>
        </w:rPr>
        <w:t xml:space="preserve">; </w:t>
      </w:r>
      <w:hyperlink r:id="rId237" w:history="1">
        <w:r w:rsidR="008F70F4" w:rsidRPr="00EF7399">
          <w:rPr>
            <w:rStyle w:val="Hyperlink"/>
            <w:rFonts w:ascii="Times New Roman" w:hAnsi="Times New Roman" w:cs="Times New Roman"/>
            <w:lang w:val="af-ZA"/>
          </w:rPr>
          <w:t>Oya Ataman</w:t>
        </w:r>
        <w:r w:rsidR="00873234" w:rsidRPr="00EF7399">
          <w:rPr>
            <w:rStyle w:val="Hyperlink"/>
            <w:rFonts w:ascii="Times New Roman" w:hAnsi="Times New Roman" w:cs="Times New Roman"/>
            <w:lang w:val="af-ZA"/>
          </w:rPr>
          <w:t xml:space="preserve"> v. </w:t>
        </w:r>
        <w:r w:rsidR="008F70F4" w:rsidRPr="00EF7399">
          <w:rPr>
            <w:rStyle w:val="Hyperlink"/>
            <w:rFonts w:ascii="Times New Roman" w:hAnsi="Times New Roman" w:cs="Times New Roman"/>
            <w:lang w:val="af-ZA"/>
          </w:rPr>
          <w:t>Turkey</w:t>
        </w:r>
      </w:hyperlink>
      <w:r w:rsidR="008F70F4" w:rsidRPr="00EF7399">
        <w:rPr>
          <w:rFonts w:ascii="Times New Roman" w:hAnsi="Times New Roman" w:cs="Times New Roman"/>
          <w:lang w:val="af-ZA"/>
        </w:rPr>
        <w:t xml:space="preserve">, </w:t>
      </w:r>
      <w:r w:rsidR="00FC780F" w:rsidRPr="00EF7399">
        <w:rPr>
          <w:rFonts w:ascii="Times New Roman" w:hAnsi="Times New Roman" w:cs="Times New Roman"/>
          <w:lang w:val="af-ZA"/>
        </w:rPr>
        <w:t xml:space="preserve">2006, </w:t>
      </w:r>
      <w:r w:rsidR="00873234" w:rsidRPr="00EF7399">
        <w:rPr>
          <w:rFonts w:ascii="Times New Roman" w:hAnsi="Times New Roman" w:cs="Times New Roman"/>
          <w:lang w:val="af-ZA"/>
        </w:rPr>
        <w:t>§ </w:t>
      </w:r>
      <w:r w:rsidR="008F70F4" w:rsidRPr="00EF7399">
        <w:rPr>
          <w:rFonts w:ascii="Times New Roman" w:hAnsi="Times New Roman" w:cs="Times New Roman"/>
          <w:lang w:val="af-ZA"/>
        </w:rPr>
        <w:t>37</w:t>
      </w:r>
      <w:r w:rsidR="0081194B" w:rsidRPr="00EF7399">
        <w:rPr>
          <w:rFonts w:ascii="Times New Roman" w:hAnsi="Times New Roman" w:cs="Times New Roman"/>
          <w:lang w:val="af-ZA"/>
        </w:rPr>
        <w:t>)</w:t>
      </w:r>
      <w:r w:rsidR="00BD2762" w:rsidRPr="00EF7399">
        <w:rPr>
          <w:rFonts w:ascii="Times New Roman" w:hAnsi="Times New Roman" w:cs="Times New Roman"/>
          <w:lang w:val="af-ZA"/>
        </w:rPr>
        <w:t>:</w:t>
      </w:r>
    </w:p>
    <w:p w14:paraId="7F06721B" w14:textId="6B400110" w:rsidR="007B4F5E" w:rsidRPr="00E44946" w:rsidRDefault="00BD2762" w:rsidP="00E44946">
      <w:pPr>
        <w:pStyle w:val="ECHRHeading3"/>
        <w:numPr>
          <w:ilvl w:val="2"/>
          <w:numId w:val="54"/>
        </w:numPr>
        <w:rPr>
          <w:rFonts w:ascii="Times New Roman" w:hAnsi="Times New Roman" w:cs="Times New Roman"/>
          <w:lang w:val="af-ZA"/>
        </w:rPr>
      </w:pPr>
      <w:bookmarkStart w:id="63" w:name="_Toc159945227"/>
      <w:r w:rsidRPr="00E44946">
        <w:rPr>
          <w:rFonts w:ascii="Times New Roman" w:hAnsi="Times New Roman" w:cs="Times New Roman"/>
          <w:lang w:val="af-ZA"/>
        </w:rPr>
        <w:lastRenderedPageBreak/>
        <w:t xml:space="preserve">Նախնական իրազեկման և արտոնման </w:t>
      </w:r>
      <w:r w:rsidR="001C6F00" w:rsidRPr="00E44946">
        <w:rPr>
          <w:rFonts w:ascii="Times New Roman" w:hAnsi="Times New Roman" w:cs="Times New Roman"/>
          <w:lang w:val="hy-AM"/>
        </w:rPr>
        <w:t>ընթացա</w:t>
      </w:r>
      <w:r w:rsidRPr="00E44946">
        <w:rPr>
          <w:rFonts w:ascii="Times New Roman" w:hAnsi="Times New Roman" w:cs="Times New Roman"/>
          <w:lang w:val="af-ZA"/>
        </w:rPr>
        <w:t>կարգերի նպատակը</w:t>
      </w:r>
      <w:bookmarkEnd w:id="63"/>
    </w:p>
    <w:p w14:paraId="35547929" w14:textId="1D9D4681" w:rsidR="007B4F5E" w:rsidRPr="00EF7399" w:rsidRDefault="00261064" w:rsidP="007B4F5E">
      <w:pPr>
        <w:spacing w:before="120" w:after="120"/>
        <w:jc w:val="both"/>
        <w:rPr>
          <w:rFonts w:ascii="Times New Roman" w:hAnsi="Times New Roman" w:cs="Times New Roman"/>
          <w:lang w:eastAsia="fr-FR"/>
        </w:rPr>
      </w:pPr>
      <w:r w:rsidRPr="00EF7399">
        <w:rPr>
          <w:rFonts w:ascii="Times New Roman" w:hAnsi="Times New Roman" w:cs="Times New Roman"/>
        </w:rPr>
        <w:fldChar w:fldCharType="begin"/>
      </w:r>
      <w:r w:rsidRPr="00EF7399">
        <w:rPr>
          <w:rFonts w:ascii="Times New Roman" w:hAnsi="Times New Roman" w:cs="Times New Roman"/>
        </w:rPr>
        <w:instrText xml:space="preserve"> SEQ level0 \*arabic </w:instrText>
      </w:r>
      <w:r w:rsidRPr="00EF7399">
        <w:rPr>
          <w:rFonts w:ascii="Times New Roman" w:hAnsi="Times New Roman" w:cs="Times New Roman"/>
        </w:rPr>
        <w:fldChar w:fldCharType="separate"/>
      </w:r>
      <w:r w:rsidR="005435E6" w:rsidRPr="00EF7399">
        <w:rPr>
          <w:rFonts w:ascii="Times New Roman" w:hAnsi="Times New Roman" w:cs="Times New Roman"/>
        </w:rPr>
        <w:t>91</w:t>
      </w:r>
      <w:r w:rsidRPr="00EF7399">
        <w:rPr>
          <w:rFonts w:ascii="Times New Roman" w:hAnsi="Times New Roman" w:cs="Times New Roman"/>
        </w:rPr>
        <w:fldChar w:fldCharType="end"/>
      </w:r>
      <w:r w:rsidR="007B4F5E" w:rsidRPr="00EF7399">
        <w:rPr>
          <w:rFonts w:ascii="Times New Roman" w:hAnsi="Times New Roman" w:cs="Times New Roman"/>
        </w:rPr>
        <w:t>.  </w:t>
      </w:r>
      <w:r w:rsidR="00BD2762" w:rsidRPr="00EF7399">
        <w:rPr>
          <w:rFonts w:ascii="Times New Roman" w:hAnsi="Times New Roman" w:cs="Times New Roman"/>
        </w:rPr>
        <w:t xml:space="preserve">Հանրային միջոցառման մասին իրազեկման և նույնիսկ դրա արտոնման </w:t>
      </w:r>
      <w:r w:rsidR="00AA26BF" w:rsidRPr="00EF7399">
        <w:rPr>
          <w:rFonts w:ascii="Times New Roman" w:hAnsi="Times New Roman" w:cs="Times New Roman"/>
          <w:lang w:val="hy-AM"/>
        </w:rPr>
        <w:t>ընթացա</w:t>
      </w:r>
      <w:r w:rsidR="00BD2762" w:rsidRPr="00EF7399">
        <w:rPr>
          <w:rFonts w:ascii="Times New Roman" w:hAnsi="Times New Roman" w:cs="Times New Roman"/>
        </w:rPr>
        <w:t>կարգերը</w:t>
      </w:r>
      <w:r w:rsidR="00CA36D4" w:rsidRPr="00EF7399">
        <w:rPr>
          <w:rFonts w:ascii="Times New Roman" w:hAnsi="Times New Roman" w:cs="Times New Roman"/>
        </w:rPr>
        <w:t>,</w:t>
      </w:r>
      <w:r w:rsidR="00BD2762" w:rsidRPr="00EF7399">
        <w:rPr>
          <w:rFonts w:ascii="Times New Roman" w:hAnsi="Times New Roman" w:cs="Times New Roman"/>
        </w:rPr>
        <w:t xml:space="preserve"> </w:t>
      </w:r>
      <w:r w:rsidR="00CA36D4" w:rsidRPr="00EF7399">
        <w:rPr>
          <w:rFonts w:ascii="Times New Roman" w:hAnsi="Times New Roman" w:cs="Times New Roman"/>
        </w:rPr>
        <w:t xml:space="preserve">սովորաբար, չեն ոտնահարում Կոնվենցիայի 11-րդ հոդվածով ամրագրված իրավունքի բուն էությունը, քանի դեռ այդ </w:t>
      </w:r>
      <w:r w:rsidR="00AA26BF" w:rsidRPr="00EF7399">
        <w:rPr>
          <w:rFonts w:ascii="Times New Roman" w:hAnsi="Times New Roman" w:cs="Times New Roman"/>
          <w:lang w:val="hy-AM"/>
        </w:rPr>
        <w:t>ընթացա</w:t>
      </w:r>
      <w:r w:rsidR="00CA36D4" w:rsidRPr="00EF7399">
        <w:rPr>
          <w:rFonts w:ascii="Times New Roman" w:hAnsi="Times New Roman" w:cs="Times New Roman"/>
        </w:rPr>
        <w:t xml:space="preserve">կարգերի նպատակն է հնարավորություն </w:t>
      </w:r>
      <w:r w:rsidR="00224017" w:rsidRPr="00EF7399">
        <w:rPr>
          <w:rFonts w:ascii="Times New Roman" w:hAnsi="Times New Roman" w:cs="Times New Roman"/>
        </w:rPr>
        <w:t>տալ</w:t>
      </w:r>
      <w:r w:rsidR="00CA36D4" w:rsidRPr="00EF7399">
        <w:rPr>
          <w:rFonts w:ascii="Times New Roman" w:hAnsi="Times New Roman" w:cs="Times New Roman"/>
        </w:rPr>
        <w:t xml:space="preserve"> իշխանություններին </w:t>
      </w:r>
      <w:r w:rsidR="00224017" w:rsidRPr="00EF7399">
        <w:rPr>
          <w:rFonts w:ascii="Times New Roman" w:hAnsi="Times New Roman" w:cs="Times New Roman"/>
        </w:rPr>
        <w:t xml:space="preserve">ողջամիտ և պատշաճ միջոցներ ձեռնարկել հավաքի, հանրահավաքի կամ որևէ այլ հավաքույթի սահուն ընթացքը երաշխավորելու համար </w:t>
      </w:r>
      <w:r w:rsidR="0081194B" w:rsidRPr="00EF7399">
        <w:rPr>
          <w:rFonts w:ascii="Times New Roman" w:hAnsi="Times New Roman" w:cs="Times New Roman"/>
          <w:lang w:eastAsia="fr-FR"/>
        </w:rPr>
        <w:t>(</w:t>
      </w:r>
      <w:hyperlink r:id="rId238" w:history="1">
        <w:r w:rsidR="0081194B" w:rsidRPr="00EF7399">
          <w:rPr>
            <w:rStyle w:val="Hyperlink"/>
            <w:rFonts w:ascii="Times New Roman" w:hAnsi="Times New Roman" w:cs="Times New Roman"/>
            <w:lang w:val="af-ZA" w:eastAsia="fr-FR"/>
          </w:rPr>
          <w:t>Sergey Kuznetsov</w:t>
        </w:r>
        <w:r w:rsidR="00873234" w:rsidRPr="00EF7399">
          <w:rPr>
            <w:rStyle w:val="Hyperlink"/>
            <w:rFonts w:ascii="Times New Roman" w:hAnsi="Times New Roman" w:cs="Times New Roman"/>
            <w:lang w:val="af-ZA" w:eastAsia="fr-FR"/>
          </w:rPr>
          <w:t xml:space="preserve"> v. </w:t>
        </w:r>
        <w:r w:rsidR="0081194B" w:rsidRPr="00EF7399">
          <w:rPr>
            <w:rStyle w:val="Hyperlink"/>
            <w:rFonts w:ascii="Times New Roman" w:hAnsi="Times New Roman" w:cs="Times New Roman"/>
            <w:lang w:val="af-ZA" w:eastAsia="fr-FR"/>
          </w:rPr>
          <w:t>Russia</w:t>
        </w:r>
      </w:hyperlink>
      <w:r w:rsidR="0081194B" w:rsidRPr="00EF7399">
        <w:rPr>
          <w:rFonts w:ascii="Times New Roman" w:hAnsi="Times New Roman" w:cs="Times New Roman"/>
          <w:lang w:eastAsia="fr-FR"/>
        </w:rPr>
        <w:t xml:space="preserve">, </w:t>
      </w:r>
      <w:r w:rsidR="00FC780F" w:rsidRPr="00EF7399">
        <w:rPr>
          <w:rFonts w:ascii="Times New Roman" w:hAnsi="Times New Roman" w:cs="Times New Roman"/>
          <w:lang w:eastAsia="fr-FR"/>
        </w:rPr>
        <w:t xml:space="preserve">2008, </w:t>
      </w:r>
      <w:r w:rsidR="00873234" w:rsidRPr="00EF7399">
        <w:rPr>
          <w:rFonts w:ascii="Times New Roman" w:hAnsi="Times New Roman" w:cs="Times New Roman"/>
          <w:lang w:eastAsia="fr-FR"/>
        </w:rPr>
        <w:t>§ </w:t>
      </w:r>
      <w:r w:rsidR="0081194B" w:rsidRPr="00EF7399">
        <w:rPr>
          <w:rFonts w:ascii="Times New Roman" w:hAnsi="Times New Roman" w:cs="Times New Roman"/>
          <w:lang w:eastAsia="fr-FR"/>
        </w:rPr>
        <w:t>42)</w:t>
      </w:r>
      <w:r w:rsidR="00224017" w:rsidRPr="00EF7399">
        <w:rPr>
          <w:rFonts w:ascii="Times New Roman" w:hAnsi="Times New Roman" w:cs="Times New Roman"/>
          <w:lang w:eastAsia="fr-FR"/>
        </w:rPr>
        <w:t>: Հանրային հավաք</w:t>
      </w:r>
      <w:r w:rsidR="00AA26BF" w:rsidRPr="00EF7399">
        <w:rPr>
          <w:rFonts w:ascii="Times New Roman" w:hAnsi="Times New Roman" w:cs="Times New Roman"/>
          <w:lang w:val="hy-AM" w:eastAsia="fr-FR"/>
        </w:rPr>
        <w:t>ույթ</w:t>
      </w:r>
      <w:r w:rsidR="00224017" w:rsidRPr="00EF7399">
        <w:rPr>
          <w:rFonts w:ascii="Times New Roman" w:hAnsi="Times New Roman" w:cs="Times New Roman"/>
          <w:lang w:eastAsia="fr-FR"/>
        </w:rPr>
        <w:t xml:space="preserve">ների կազմակերպիչները պետք է </w:t>
      </w:r>
      <w:r w:rsidR="00AA26BF" w:rsidRPr="00EF7399">
        <w:rPr>
          <w:rFonts w:ascii="Times New Roman" w:hAnsi="Times New Roman" w:cs="Times New Roman"/>
          <w:lang w:val="hy-AM" w:eastAsia="fr-FR"/>
        </w:rPr>
        <w:t>ենթարկվեն</w:t>
      </w:r>
      <w:r w:rsidR="00AA26BF" w:rsidRPr="00EF7399">
        <w:rPr>
          <w:rFonts w:ascii="Times New Roman" w:hAnsi="Times New Roman" w:cs="Times New Roman"/>
          <w:lang w:eastAsia="fr-FR"/>
        </w:rPr>
        <w:t xml:space="preserve"> </w:t>
      </w:r>
      <w:r w:rsidR="00224017" w:rsidRPr="00EF7399">
        <w:rPr>
          <w:rFonts w:ascii="Times New Roman" w:hAnsi="Times New Roman" w:cs="Times New Roman"/>
          <w:lang w:eastAsia="fr-FR"/>
        </w:rPr>
        <w:t xml:space="preserve">այդ գործընթացը կարգավորող կանոններին` </w:t>
      </w:r>
      <w:r w:rsidR="00AA26BF" w:rsidRPr="00EF7399">
        <w:rPr>
          <w:rFonts w:ascii="Times New Roman" w:hAnsi="Times New Roman" w:cs="Times New Roman"/>
          <w:lang w:val="hy-AM" w:eastAsia="fr-FR"/>
        </w:rPr>
        <w:t>հետևելով</w:t>
      </w:r>
      <w:r w:rsidR="00AA26BF" w:rsidRPr="00EF7399">
        <w:rPr>
          <w:rFonts w:ascii="Times New Roman" w:hAnsi="Times New Roman" w:cs="Times New Roman"/>
          <w:lang w:eastAsia="fr-FR"/>
        </w:rPr>
        <w:t xml:space="preserve"> </w:t>
      </w:r>
      <w:r w:rsidR="00224017" w:rsidRPr="00EF7399">
        <w:rPr>
          <w:rFonts w:ascii="Times New Roman" w:hAnsi="Times New Roman" w:cs="Times New Roman"/>
          <w:lang w:eastAsia="fr-FR"/>
        </w:rPr>
        <w:t xml:space="preserve">գործող կարգավորումներին </w:t>
      </w:r>
      <w:r w:rsidR="0081194B" w:rsidRPr="00EF7399">
        <w:rPr>
          <w:rFonts w:ascii="Times New Roman" w:hAnsi="Times New Roman" w:cs="Times New Roman"/>
          <w:lang w:eastAsia="fr-FR"/>
        </w:rPr>
        <w:t>(</w:t>
      </w:r>
      <w:hyperlink r:id="rId239" w:history="1">
        <w:r w:rsidR="0081194B" w:rsidRPr="00EF7399">
          <w:rPr>
            <w:rStyle w:val="Hyperlink"/>
            <w:rFonts w:ascii="Times New Roman" w:hAnsi="Times New Roman" w:cs="Times New Roman"/>
            <w:lang w:val="af-ZA" w:eastAsia="fr-FR"/>
          </w:rPr>
          <w:t>Primov and Others</w:t>
        </w:r>
        <w:r w:rsidR="00873234" w:rsidRPr="00EF7399">
          <w:rPr>
            <w:rStyle w:val="Hyperlink"/>
            <w:rFonts w:ascii="Times New Roman" w:hAnsi="Times New Roman" w:cs="Times New Roman"/>
            <w:lang w:val="af-ZA" w:eastAsia="fr-FR"/>
          </w:rPr>
          <w:t xml:space="preserve"> v. </w:t>
        </w:r>
        <w:r w:rsidR="0081194B" w:rsidRPr="00EF7399">
          <w:rPr>
            <w:rStyle w:val="Hyperlink"/>
            <w:rFonts w:ascii="Times New Roman" w:hAnsi="Times New Roman" w:cs="Times New Roman"/>
            <w:lang w:val="af-ZA" w:eastAsia="fr-FR"/>
          </w:rPr>
          <w:t>Russia</w:t>
        </w:r>
      </w:hyperlink>
      <w:r w:rsidR="0081194B" w:rsidRPr="00EF7399">
        <w:rPr>
          <w:rFonts w:ascii="Times New Roman" w:hAnsi="Times New Roman" w:cs="Times New Roman"/>
          <w:lang w:eastAsia="fr-FR"/>
        </w:rPr>
        <w:t xml:space="preserve">, </w:t>
      </w:r>
      <w:r w:rsidR="00FC780F" w:rsidRPr="00EF7399">
        <w:rPr>
          <w:rFonts w:ascii="Times New Roman" w:hAnsi="Times New Roman" w:cs="Times New Roman"/>
          <w:lang w:eastAsia="fr-FR"/>
        </w:rPr>
        <w:t xml:space="preserve">2014, </w:t>
      </w:r>
      <w:r w:rsidR="00873234" w:rsidRPr="00EF7399">
        <w:rPr>
          <w:rFonts w:ascii="Times New Roman" w:hAnsi="Times New Roman" w:cs="Times New Roman"/>
          <w:lang w:eastAsia="fr-FR"/>
        </w:rPr>
        <w:t>§ </w:t>
      </w:r>
      <w:r w:rsidR="0081194B" w:rsidRPr="00EF7399">
        <w:rPr>
          <w:rFonts w:ascii="Times New Roman" w:hAnsi="Times New Roman" w:cs="Times New Roman"/>
          <w:lang w:eastAsia="fr-FR"/>
        </w:rPr>
        <w:t>117)</w:t>
      </w:r>
      <w:r w:rsidR="00224017" w:rsidRPr="00EF7399">
        <w:rPr>
          <w:rFonts w:ascii="Times New Roman" w:hAnsi="Times New Roman" w:cs="Times New Roman"/>
          <w:lang w:eastAsia="fr-FR"/>
        </w:rPr>
        <w:t>:</w:t>
      </w:r>
    </w:p>
    <w:p w14:paraId="04B8DD69" w14:textId="38CBF6C6" w:rsidR="007B4F5E" w:rsidRPr="00EF7399" w:rsidRDefault="007B4F5E" w:rsidP="007B4F5E">
      <w:pPr>
        <w:spacing w:before="120" w:after="120"/>
        <w:jc w:val="both"/>
        <w:rPr>
          <w:rFonts w:ascii="Times New Roman" w:hAnsi="Times New Roman" w:cs="Times New Roman"/>
        </w:rPr>
      </w:pPr>
      <w:r w:rsidRPr="00EF7399">
        <w:rPr>
          <w:rFonts w:ascii="Times New Roman" w:hAnsi="Times New Roman" w:cs="Times New Roman"/>
          <w:lang w:eastAsia="fr-FR"/>
        </w:rPr>
        <w:fldChar w:fldCharType="begin"/>
      </w:r>
      <w:r w:rsidRPr="00EF7399">
        <w:rPr>
          <w:rFonts w:ascii="Times New Roman" w:hAnsi="Times New Roman" w:cs="Times New Roman"/>
          <w:lang w:eastAsia="fr-FR"/>
        </w:rPr>
        <w:instrText xml:space="preserve"> SEQ level0 \*arabic </w:instrText>
      </w:r>
      <w:r w:rsidRPr="00EF7399">
        <w:rPr>
          <w:rFonts w:ascii="Times New Roman" w:hAnsi="Times New Roman" w:cs="Times New Roman"/>
          <w:lang w:eastAsia="fr-FR"/>
        </w:rPr>
        <w:fldChar w:fldCharType="separate"/>
      </w:r>
      <w:r w:rsidR="005435E6" w:rsidRPr="00EF7399">
        <w:rPr>
          <w:rFonts w:ascii="Times New Roman" w:hAnsi="Times New Roman" w:cs="Times New Roman"/>
          <w:lang w:eastAsia="fr-FR"/>
        </w:rPr>
        <w:t>92</w:t>
      </w:r>
      <w:r w:rsidRPr="00EF7399">
        <w:rPr>
          <w:rFonts w:ascii="Times New Roman" w:hAnsi="Times New Roman" w:cs="Times New Roman"/>
          <w:lang w:eastAsia="fr-FR"/>
        </w:rPr>
        <w:fldChar w:fldCharType="end"/>
      </w:r>
      <w:r w:rsidRPr="00EF7399">
        <w:rPr>
          <w:rFonts w:ascii="Times New Roman" w:hAnsi="Times New Roman" w:cs="Times New Roman"/>
          <w:lang w:eastAsia="fr-FR"/>
        </w:rPr>
        <w:t>.  </w:t>
      </w:r>
      <w:r w:rsidR="00224017" w:rsidRPr="00EF7399">
        <w:rPr>
          <w:rFonts w:ascii="Times New Roman" w:hAnsi="Times New Roman" w:cs="Times New Roman"/>
          <w:lang w:eastAsia="fr-FR"/>
        </w:rPr>
        <w:t xml:space="preserve">Արտոնություն տալու </w:t>
      </w:r>
      <w:r w:rsidR="00AA26BF" w:rsidRPr="00EF7399">
        <w:rPr>
          <w:rFonts w:ascii="Times New Roman" w:hAnsi="Times New Roman" w:cs="Times New Roman"/>
          <w:lang w:val="hy-AM" w:eastAsia="fr-FR"/>
        </w:rPr>
        <w:t>ընթացա</w:t>
      </w:r>
      <w:r w:rsidR="00224017" w:rsidRPr="00EF7399">
        <w:rPr>
          <w:rFonts w:ascii="Times New Roman" w:hAnsi="Times New Roman" w:cs="Times New Roman"/>
          <w:lang w:eastAsia="fr-FR"/>
        </w:rPr>
        <w:t>կարգը համապատասխանում է 11-րդ հոդվածի 1-ին մասի պահանջներին միայն այն դեպքում, ե</w:t>
      </w:r>
      <w:r w:rsidR="00AA26BF" w:rsidRPr="00EF7399">
        <w:rPr>
          <w:rFonts w:ascii="Times New Roman" w:hAnsi="Times New Roman" w:cs="Times New Roman"/>
          <w:lang w:val="hy-AM" w:eastAsia="fr-FR"/>
        </w:rPr>
        <w:t>րբ</w:t>
      </w:r>
      <w:r w:rsidR="00224017" w:rsidRPr="00EF7399">
        <w:rPr>
          <w:rFonts w:ascii="Times New Roman" w:hAnsi="Times New Roman" w:cs="Times New Roman"/>
          <w:lang w:eastAsia="fr-FR"/>
        </w:rPr>
        <w:t xml:space="preserve"> դրա նպատակն է</w:t>
      </w:r>
      <w:r w:rsidR="00AA26BF" w:rsidRPr="00EF7399">
        <w:rPr>
          <w:rFonts w:ascii="Times New Roman" w:hAnsi="Times New Roman" w:cs="Times New Roman"/>
          <w:lang w:val="hy-AM" w:eastAsia="fr-FR"/>
        </w:rPr>
        <w:t>՝</w:t>
      </w:r>
      <w:r w:rsidR="00224017" w:rsidRPr="00EF7399">
        <w:rPr>
          <w:rFonts w:ascii="Times New Roman" w:hAnsi="Times New Roman" w:cs="Times New Roman"/>
          <w:lang w:eastAsia="fr-FR"/>
        </w:rPr>
        <w:t xml:space="preserve"> հնարավորություն տալ իշխանություններին ապահովել</w:t>
      </w:r>
      <w:r w:rsidR="00AA26BF" w:rsidRPr="00EF7399">
        <w:rPr>
          <w:rFonts w:ascii="Times New Roman" w:hAnsi="Times New Roman" w:cs="Times New Roman"/>
          <w:lang w:val="hy-AM" w:eastAsia="fr-FR"/>
        </w:rPr>
        <w:t>ու</w:t>
      </w:r>
      <w:r w:rsidR="00224017" w:rsidRPr="00EF7399">
        <w:rPr>
          <w:rFonts w:ascii="Times New Roman" w:hAnsi="Times New Roman" w:cs="Times New Roman"/>
          <w:lang w:eastAsia="fr-FR"/>
        </w:rPr>
        <w:t xml:space="preserve"> հավաքի խաղաղ բնույթը</w:t>
      </w:r>
      <w:r w:rsidR="00AA26BF" w:rsidRPr="00EF7399">
        <w:rPr>
          <w:rFonts w:ascii="Times New Roman" w:hAnsi="Times New Roman" w:cs="Times New Roman"/>
          <w:lang w:val="hy-AM" w:eastAsia="fr-FR"/>
        </w:rPr>
        <w:t>,</w:t>
      </w:r>
      <w:r w:rsidR="00224017" w:rsidRPr="00EF7399">
        <w:rPr>
          <w:rFonts w:ascii="Times New Roman" w:hAnsi="Times New Roman" w:cs="Times New Roman"/>
          <w:lang w:eastAsia="fr-FR"/>
        </w:rPr>
        <w:t xml:space="preserve"> և հետևաբար,</w:t>
      </w:r>
      <w:r w:rsidR="00837AC3" w:rsidRPr="00EF7399">
        <w:rPr>
          <w:rFonts w:ascii="Times New Roman" w:hAnsi="Times New Roman" w:cs="Times New Roman"/>
          <w:lang w:eastAsia="fr-FR"/>
        </w:rPr>
        <w:t xml:space="preserve"> որպես այդպիսին</w:t>
      </w:r>
      <w:r w:rsidR="00AA26BF" w:rsidRPr="00EF7399">
        <w:rPr>
          <w:rFonts w:ascii="Times New Roman" w:hAnsi="Times New Roman" w:cs="Times New Roman"/>
          <w:lang w:val="hy-AM" w:eastAsia="fr-FR"/>
        </w:rPr>
        <w:t>,</w:t>
      </w:r>
      <w:r w:rsidR="00224017" w:rsidRPr="00EF7399">
        <w:rPr>
          <w:rFonts w:ascii="Times New Roman" w:hAnsi="Times New Roman" w:cs="Times New Roman"/>
          <w:lang w:eastAsia="fr-FR"/>
        </w:rPr>
        <w:t xml:space="preserve"> չի միջամտո</w:t>
      </w:r>
      <w:r w:rsidR="00837AC3" w:rsidRPr="00EF7399">
        <w:rPr>
          <w:rFonts w:ascii="Times New Roman" w:hAnsi="Times New Roman" w:cs="Times New Roman"/>
          <w:lang w:eastAsia="fr-FR"/>
        </w:rPr>
        <w:t>ւմ իրավունքի իրա</w:t>
      </w:r>
      <w:r w:rsidR="00AA26BF" w:rsidRPr="00EF7399">
        <w:rPr>
          <w:rFonts w:ascii="Times New Roman" w:hAnsi="Times New Roman" w:cs="Times New Roman"/>
          <w:lang w:val="hy-AM" w:eastAsia="fr-FR"/>
        </w:rPr>
        <w:t>ց</w:t>
      </w:r>
      <w:r w:rsidR="00837AC3" w:rsidRPr="00EF7399">
        <w:rPr>
          <w:rFonts w:ascii="Times New Roman" w:hAnsi="Times New Roman" w:cs="Times New Roman"/>
          <w:lang w:eastAsia="fr-FR"/>
        </w:rPr>
        <w:t xml:space="preserve">մանը </w:t>
      </w:r>
      <w:r w:rsidRPr="00EF7399">
        <w:rPr>
          <w:rFonts w:ascii="Times New Roman" w:hAnsi="Times New Roman" w:cs="Times New Roman"/>
          <w:lang w:eastAsia="fr-FR"/>
        </w:rPr>
        <w:t>(</w:t>
      </w:r>
      <w:hyperlink r:id="rId240" w:history="1">
        <w:r w:rsidRPr="00EF7399">
          <w:rPr>
            <w:rStyle w:val="Hyperlink"/>
            <w:rFonts w:ascii="Times New Roman" w:hAnsi="Times New Roman" w:cs="Times New Roman"/>
            <w:lang w:val="af-ZA"/>
          </w:rPr>
          <w:t>Ziliberberg</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Moldova</w:t>
        </w:r>
      </w:hyperlink>
      <w:r w:rsidRPr="00EF7399">
        <w:rPr>
          <w:rFonts w:ascii="Times New Roman" w:hAnsi="Times New Roman" w:cs="Times New Roman"/>
        </w:rPr>
        <w:t xml:space="preserve"> (dec.)</w:t>
      </w:r>
      <w:r w:rsidR="00FC780F" w:rsidRPr="00EF7399">
        <w:rPr>
          <w:rFonts w:ascii="Times New Roman" w:hAnsi="Times New Roman" w:cs="Times New Roman"/>
        </w:rPr>
        <w:t>, 2004</w:t>
      </w:r>
      <w:r w:rsidRPr="00EF7399">
        <w:rPr>
          <w:rFonts w:ascii="Times New Roman" w:hAnsi="Times New Roman" w:cs="Times New Roman"/>
        </w:rPr>
        <w:t>)</w:t>
      </w:r>
      <w:r w:rsidR="00837AC3" w:rsidRPr="00EF7399">
        <w:rPr>
          <w:rFonts w:ascii="Times New Roman" w:hAnsi="Times New Roman" w:cs="Times New Roman"/>
        </w:rPr>
        <w:t>:</w:t>
      </w:r>
    </w:p>
    <w:p w14:paraId="4312AB82" w14:textId="130C1670" w:rsidR="007B4F5E" w:rsidRPr="00EF7399" w:rsidRDefault="007B4F5E" w:rsidP="007B4F5E">
      <w:pPr>
        <w:spacing w:before="120" w:after="120"/>
        <w:jc w:val="both"/>
        <w:rPr>
          <w:rFonts w:ascii="Times New Roman" w:hAnsi="Times New Roman" w:cs="Times New Roman"/>
        </w:rPr>
      </w:pPr>
      <w:r w:rsidRPr="00EF7399">
        <w:rPr>
          <w:rFonts w:ascii="Times New Roman" w:hAnsi="Times New Roman" w:cs="Times New Roman"/>
        </w:rPr>
        <w:fldChar w:fldCharType="begin"/>
      </w:r>
      <w:r w:rsidRPr="00EF7399">
        <w:rPr>
          <w:rFonts w:ascii="Times New Roman" w:hAnsi="Times New Roman" w:cs="Times New Roman"/>
        </w:rPr>
        <w:instrText xml:space="preserve"> SEQ level0 \*arabic </w:instrText>
      </w:r>
      <w:r w:rsidRPr="00EF7399">
        <w:rPr>
          <w:rFonts w:ascii="Times New Roman" w:hAnsi="Times New Roman" w:cs="Times New Roman"/>
        </w:rPr>
        <w:fldChar w:fldCharType="separate"/>
      </w:r>
      <w:r w:rsidR="005435E6" w:rsidRPr="00EF7399">
        <w:rPr>
          <w:rFonts w:ascii="Times New Roman" w:hAnsi="Times New Roman" w:cs="Times New Roman"/>
        </w:rPr>
        <w:t>93</w:t>
      </w:r>
      <w:r w:rsidRPr="00EF7399">
        <w:rPr>
          <w:rFonts w:ascii="Times New Roman" w:hAnsi="Times New Roman" w:cs="Times New Roman"/>
        </w:rPr>
        <w:fldChar w:fldCharType="end"/>
      </w:r>
      <w:r w:rsidRPr="00EF7399">
        <w:rPr>
          <w:rFonts w:ascii="Times New Roman" w:hAnsi="Times New Roman" w:cs="Times New Roman"/>
        </w:rPr>
        <w:t>.  </w:t>
      </w:r>
      <w:r w:rsidR="000D5CCA" w:rsidRPr="00EF7399">
        <w:rPr>
          <w:rFonts w:ascii="Times New Roman" w:hAnsi="Times New Roman" w:cs="Times New Roman"/>
        </w:rPr>
        <w:t>Նախնական իրազեկման նպատակն է ոչ միայն հավասարակշռել հավաքների իրավունքն այլ անձանց իրավունքների և օրինական շահերի (ներառյալ` տեղաշարժի ազատությ</w:t>
      </w:r>
      <w:r w:rsidR="00F712A9" w:rsidRPr="00EF7399">
        <w:rPr>
          <w:rFonts w:ascii="Times New Roman" w:hAnsi="Times New Roman" w:cs="Times New Roman"/>
          <w:lang w:val="hy-AM"/>
        </w:rPr>
        <w:t>ան</w:t>
      </w:r>
      <w:r w:rsidR="000D5CCA" w:rsidRPr="00EF7399">
        <w:rPr>
          <w:rFonts w:ascii="Times New Roman" w:hAnsi="Times New Roman" w:cs="Times New Roman"/>
        </w:rPr>
        <w:t>) հետ, այլև կանխել անկարգությունները և հանցագործությունները: Իրար հակասող այս շահերը հավասարակշռելու նպատակով նախնական վարչական ընթացակարգեր սահման</w:t>
      </w:r>
      <w:r w:rsidR="00E3037A" w:rsidRPr="00EF7399">
        <w:rPr>
          <w:rFonts w:ascii="Times New Roman" w:hAnsi="Times New Roman" w:cs="Times New Roman"/>
        </w:rPr>
        <w:t>ելը</w:t>
      </w:r>
      <w:r w:rsidR="000D5CCA" w:rsidRPr="00EF7399">
        <w:rPr>
          <w:rFonts w:ascii="Times New Roman" w:hAnsi="Times New Roman" w:cs="Times New Roman"/>
        </w:rPr>
        <w:t xml:space="preserve"> տարածված պրակտիկա է անդ</w:t>
      </w:r>
      <w:r w:rsidR="00E3037A" w:rsidRPr="00EF7399">
        <w:rPr>
          <w:rFonts w:ascii="Times New Roman" w:hAnsi="Times New Roman" w:cs="Times New Roman"/>
        </w:rPr>
        <w:t>ամ պետություններում, երբ կազմակերպվում է հանրային ցույց</w:t>
      </w:r>
      <w:r w:rsidR="000D5CCA" w:rsidRPr="00EF7399">
        <w:rPr>
          <w:rFonts w:ascii="Times New Roman" w:hAnsi="Times New Roman" w:cs="Times New Roman"/>
        </w:rPr>
        <w:t xml:space="preserve">  </w:t>
      </w:r>
      <w:r w:rsidR="0081194B" w:rsidRPr="00EF7399">
        <w:rPr>
          <w:rFonts w:ascii="Times New Roman" w:hAnsi="Times New Roman" w:cs="Times New Roman"/>
        </w:rPr>
        <w:t>(</w:t>
      </w:r>
      <w:hyperlink r:id="rId241" w:anchor="{%22itemid%22:[%22001-88775%22]}" w:history="1">
        <w:r w:rsidR="0081194B" w:rsidRPr="009C6058">
          <w:rPr>
            <w:rStyle w:val="Hyperlink"/>
            <w:rFonts w:ascii="Times New Roman" w:hAnsi="Times New Roman" w:cs="Times New Roman"/>
            <w:lang w:val="af-ZA"/>
          </w:rPr>
          <w:t>Éva Molnár</w:t>
        </w:r>
        <w:r w:rsidR="00873234" w:rsidRPr="009C6058">
          <w:rPr>
            <w:rStyle w:val="Hyperlink"/>
            <w:rFonts w:ascii="Times New Roman" w:hAnsi="Times New Roman" w:cs="Times New Roman"/>
            <w:lang w:val="af-ZA"/>
          </w:rPr>
          <w:t xml:space="preserve"> v. </w:t>
        </w:r>
        <w:r w:rsidR="0081194B" w:rsidRPr="009C6058">
          <w:rPr>
            <w:rStyle w:val="Hyperlink"/>
            <w:rFonts w:ascii="Times New Roman" w:hAnsi="Times New Roman" w:cs="Times New Roman"/>
            <w:lang w:val="af-ZA"/>
          </w:rPr>
          <w:t>Hungary</w:t>
        </w:r>
      </w:hyperlink>
      <w:r w:rsidR="0081194B" w:rsidRPr="00EF7399">
        <w:rPr>
          <w:rFonts w:ascii="Times New Roman" w:hAnsi="Times New Roman" w:cs="Times New Roman"/>
        </w:rPr>
        <w:t xml:space="preserve">, </w:t>
      </w:r>
      <w:r w:rsidR="00FC780F" w:rsidRPr="00EF7399">
        <w:rPr>
          <w:rFonts w:ascii="Times New Roman" w:hAnsi="Times New Roman" w:cs="Times New Roman"/>
        </w:rPr>
        <w:t xml:space="preserve">2008, </w:t>
      </w:r>
      <w:r w:rsidR="00873234" w:rsidRPr="00EF7399">
        <w:rPr>
          <w:rFonts w:ascii="Times New Roman" w:hAnsi="Times New Roman" w:cs="Times New Roman"/>
        </w:rPr>
        <w:t>§ </w:t>
      </w:r>
      <w:r w:rsidR="0081194B" w:rsidRPr="00EF7399">
        <w:rPr>
          <w:rFonts w:ascii="Times New Roman" w:hAnsi="Times New Roman" w:cs="Times New Roman"/>
        </w:rPr>
        <w:t xml:space="preserve">37; </w:t>
      </w:r>
      <w:hyperlink r:id="rId242" w:history="1">
        <w:r w:rsidR="0081194B" w:rsidRPr="00EF7399">
          <w:rPr>
            <w:rStyle w:val="Hyperlink"/>
            <w:rFonts w:ascii="Times New Roman" w:hAnsi="Times New Roman" w:cs="Times New Roman"/>
            <w:lang w:val="af-ZA"/>
          </w:rPr>
          <w:t>Berladir and Others</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Russia</w:t>
        </w:r>
      </w:hyperlink>
      <w:r w:rsidR="0081194B" w:rsidRPr="00EF7399">
        <w:rPr>
          <w:rFonts w:ascii="Times New Roman" w:hAnsi="Times New Roman" w:cs="Times New Roman"/>
        </w:rPr>
        <w:t xml:space="preserve">, </w:t>
      </w:r>
      <w:r w:rsidR="00FC780F" w:rsidRPr="00EF7399">
        <w:rPr>
          <w:rFonts w:ascii="Times New Roman" w:hAnsi="Times New Roman" w:cs="Times New Roman"/>
        </w:rPr>
        <w:t xml:space="preserve">2012, </w:t>
      </w:r>
      <w:r w:rsidR="00873234" w:rsidRPr="00EF7399">
        <w:rPr>
          <w:rFonts w:ascii="Times New Roman" w:hAnsi="Times New Roman" w:cs="Times New Roman"/>
        </w:rPr>
        <w:t>§ </w:t>
      </w:r>
      <w:r w:rsidR="0081194B" w:rsidRPr="00EF7399">
        <w:rPr>
          <w:rFonts w:ascii="Times New Roman" w:hAnsi="Times New Roman" w:cs="Times New Roman"/>
        </w:rPr>
        <w:t>42)</w:t>
      </w:r>
      <w:r w:rsidR="00E3037A" w:rsidRPr="00EF7399">
        <w:rPr>
          <w:rFonts w:ascii="Times New Roman" w:hAnsi="Times New Roman" w:cs="Times New Roman"/>
        </w:rPr>
        <w:t>: Կարևոր է, որ միավորումները և ցույցերի այլ կազմակերպիչները` որպես ժողովրդավարական գործ</w:t>
      </w:r>
      <w:r w:rsidR="005129C1" w:rsidRPr="00EF7399">
        <w:rPr>
          <w:rFonts w:ascii="Times New Roman" w:hAnsi="Times New Roman" w:cs="Times New Roman"/>
          <w:lang w:val="hy-AM"/>
        </w:rPr>
        <w:t>ը</w:t>
      </w:r>
      <w:r w:rsidR="00E3037A" w:rsidRPr="00EF7399">
        <w:rPr>
          <w:rFonts w:ascii="Times New Roman" w:hAnsi="Times New Roman" w:cs="Times New Roman"/>
        </w:rPr>
        <w:t>նթաց</w:t>
      </w:r>
      <w:r w:rsidR="005129C1" w:rsidRPr="00EF7399">
        <w:rPr>
          <w:rFonts w:ascii="Times New Roman" w:hAnsi="Times New Roman" w:cs="Times New Roman"/>
          <w:lang w:val="hy-AM"/>
        </w:rPr>
        <w:t xml:space="preserve">ի </w:t>
      </w:r>
      <w:r w:rsidR="005129C1" w:rsidRPr="00EF7399">
        <w:rPr>
          <w:rFonts w:ascii="Times New Roman" w:hAnsi="Times New Roman" w:cs="Times New Roman"/>
        </w:rPr>
        <w:t>դերակատարներ</w:t>
      </w:r>
      <w:r w:rsidR="00E3037A" w:rsidRPr="00EF7399">
        <w:rPr>
          <w:rFonts w:ascii="Times New Roman" w:hAnsi="Times New Roman" w:cs="Times New Roman"/>
        </w:rPr>
        <w:t xml:space="preserve">, </w:t>
      </w:r>
      <w:r w:rsidR="005129C1" w:rsidRPr="00EF7399">
        <w:rPr>
          <w:rFonts w:ascii="Times New Roman" w:hAnsi="Times New Roman" w:cs="Times New Roman"/>
          <w:lang w:val="hy-AM" w:eastAsia="fr-FR"/>
        </w:rPr>
        <w:t>ենթարկվեն</w:t>
      </w:r>
      <w:r w:rsidR="005129C1" w:rsidRPr="00EF7399">
        <w:rPr>
          <w:rFonts w:ascii="Times New Roman" w:hAnsi="Times New Roman" w:cs="Times New Roman"/>
          <w:lang w:eastAsia="fr-FR"/>
        </w:rPr>
        <w:t xml:space="preserve"> </w:t>
      </w:r>
      <w:r w:rsidR="00E3037A" w:rsidRPr="00EF7399">
        <w:rPr>
          <w:rFonts w:ascii="Times New Roman" w:hAnsi="Times New Roman" w:cs="Times New Roman"/>
          <w:lang w:eastAsia="fr-FR"/>
        </w:rPr>
        <w:t xml:space="preserve">այդ գործընթացը կարգավորող կանոններին` </w:t>
      </w:r>
      <w:r w:rsidR="005129C1" w:rsidRPr="00EF7399">
        <w:rPr>
          <w:rFonts w:ascii="Times New Roman" w:hAnsi="Times New Roman" w:cs="Times New Roman"/>
          <w:lang w:val="hy-AM" w:eastAsia="fr-FR"/>
        </w:rPr>
        <w:t>հետևելով</w:t>
      </w:r>
      <w:r w:rsidR="005129C1" w:rsidRPr="00EF7399">
        <w:rPr>
          <w:rFonts w:ascii="Times New Roman" w:hAnsi="Times New Roman" w:cs="Times New Roman"/>
          <w:lang w:eastAsia="fr-FR"/>
        </w:rPr>
        <w:t xml:space="preserve"> </w:t>
      </w:r>
      <w:r w:rsidR="00E3037A" w:rsidRPr="00EF7399">
        <w:rPr>
          <w:rFonts w:ascii="Times New Roman" w:hAnsi="Times New Roman" w:cs="Times New Roman"/>
          <w:lang w:eastAsia="fr-FR"/>
        </w:rPr>
        <w:t>գործող կարգավորումներին</w:t>
      </w:r>
      <w:r w:rsidR="00E3037A" w:rsidRPr="00EF7399">
        <w:rPr>
          <w:rFonts w:ascii="Times New Roman" w:hAnsi="Times New Roman" w:cs="Times New Roman"/>
        </w:rPr>
        <w:t xml:space="preserve">: Սակայն նման կարգավորումները չպետք է </w:t>
      </w:r>
      <w:r w:rsidR="005129C1" w:rsidRPr="00EF7399">
        <w:rPr>
          <w:rFonts w:ascii="Times New Roman" w:hAnsi="Times New Roman" w:cs="Times New Roman"/>
          <w:lang w:val="hy-AM"/>
        </w:rPr>
        <w:t>պարունակեն</w:t>
      </w:r>
      <w:r w:rsidR="005129C1" w:rsidRPr="00EF7399">
        <w:rPr>
          <w:rFonts w:ascii="Times New Roman" w:hAnsi="Times New Roman" w:cs="Times New Roman"/>
        </w:rPr>
        <w:t xml:space="preserve"> </w:t>
      </w:r>
      <w:r w:rsidR="00E3037A" w:rsidRPr="00EF7399">
        <w:rPr>
          <w:rFonts w:ascii="Times New Roman" w:hAnsi="Times New Roman" w:cs="Times New Roman"/>
        </w:rPr>
        <w:t xml:space="preserve">թաքնված խոչընդոտ Կոնվենցիայով պաշտպանված խաղաղ հավաքների ազատության համար </w:t>
      </w:r>
      <w:r w:rsidR="0081194B" w:rsidRPr="00EF7399">
        <w:rPr>
          <w:rFonts w:ascii="Times New Roman" w:hAnsi="Times New Roman" w:cs="Times New Roman"/>
        </w:rPr>
        <w:t>(</w:t>
      </w:r>
      <w:hyperlink r:id="rId243" w:history="1">
        <w:r w:rsidR="0081194B" w:rsidRPr="00EF7399">
          <w:rPr>
            <w:rStyle w:val="Hyperlink"/>
            <w:rFonts w:ascii="Times New Roman" w:hAnsi="Times New Roman" w:cs="Times New Roman"/>
            <w:lang w:val="af-ZA"/>
          </w:rPr>
          <w:t>Oya Ataman</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Turkey</w:t>
        </w:r>
      </w:hyperlink>
      <w:r w:rsidR="0081194B" w:rsidRPr="00EF7399">
        <w:rPr>
          <w:rFonts w:ascii="Times New Roman" w:hAnsi="Times New Roman" w:cs="Times New Roman"/>
        </w:rPr>
        <w:t xml:space="preserve">, </w:t>
      </w:r>
      <w:r w:rsidR="00FC780F" w:rsidRPr="00EF7399">
        <w:rPr>
          <w:rFonts w:ascii="Times New Roman" w:hAnsi="Times New Roman" w:cs="Times New Roman"/>
        </w:rPr>
        <w:t xml:space="preserve">2006, </w:t>
      </w:r>
      <w:r w:rsidR="00873234" w:rsidRPr="00EF7399">
        <w:rPr>
          <w:rFonts w:ascii="Times New Roman" w:hAnsi="Times New Roman" w:cs="Times New Roman"/>
        </w:rPr>
        <w:t>§ </w:t>
      </w:r>
      <w:r w:rsidR="0081194B" w:rsidRPr="00EF7399">
        <w:rPr>
          <w:rFonts w:ascii="Times New Roman" w:hAnsi="Times New Roman" w:cs="Times New Roman"/>
        </w:rPr>
        <w:t xml:space="preserve">38; </w:t>
      </w:r>
      <w:hyperlink r:id="rId244" w:anchor="{%22itemid%22:[%22001-112101%22]}" w:history="1">
        <w:r w:rsidR="0081194B" w:rsidRPr="000416F3">
          <w:rPr>
            <w:rStyle w:val="Hyperlink"/>
            <w:rFonts w:ascii="Times New Roman" w:hAnsi="Times New Roman" w:cs="Times New Roman"/>
            <w:lang w:val="af-ZA"/>
          </w:rPr>
          <w:t>Berladir and Others</w:t>
        </w:r>
        <w:r w:rsidR="00873234" w:rsidRPr="000416F3">
          <w:rPr>
            <w:rStyle w:val="Hyperlink"/>
            <w:rFonts w:ascii="Times New Roman" w:hAnsi="Times New Roman" w:cs="Times New Roman"/>
            <w:lang w:val="af-ZA"/>
          </w:rPr>
          <w:t xml:space="preserve"> v. </w:t>
        </w:r>
        <w:r w:rsidR="0081194B" w:rsidRPr="000416F3">
          <w:rPr>
            <w:rStyle w:val="Hyperlink"/>
            <w:rFonts w:ascii="Times New Roman" w:hAnsi="Times New Roman" w:cs="Times New Roman"/>
            <w:lang w:val="af-ZA"/>
          </w:rPr>
          <w:t>Russia</w:t>
        </w:r>
      </w:hyperlink>
      <w:r w:rsidR="0081194B" w:rsidRPr="00EF7399">
        <w:rPr>
          <w:rFonts w:ascii="Times New Roman" w:hAnsi="Times New Roman" w:cs="Times New Roman"/>
        </w:rPr>
        <w:t xml:space="preserve">, </w:t>
      </w:r>
      <w:r w:rsidR="00FC780F" w:rsidRPr="00EF7399">
        <w:rPr>
          <w:rFonts w:ascii="Times New Roman" w:hAnsi="Times New Roman" w:cs="Times New Roman"/>
        </w:rPr>
        <w:t xml:space="preserve">2012, </w:t>
      </w:r>
      <w:r w:rsidR="00873234" w:rsidRPr="00EF7399">
        <w:rPr>
          <w:rFonts w:ascii="Times New Roman" w:hAnsi="Times New Roman" w:cs="Times New Roman"/>
        </w:rPr>
        <w:t>§ </w:t>
      </w:r>
      <w:r w:rsidR="0081194B" w:rsidRPr="00EF7399">
        <w:rPr>
          <w:rFonts w:ascii="Times New Roman" w:hAnsi="Times New Roman" w:cs="Times New Roman"/>
        </w:rPr>
        <w:t>39)</w:t>
      </w:r>
      <w:r w:rsidR="00E3037A" w:rsidRPr="00EF7399">
        <w:rPr>
          <w:rFonts w:ascii="Times New Roman" w:hAnsi="Times New Roman" w:cs="Times New Roman"/>
        </w:rPr>
        <w:t>:</w:t>
      </w:r>
    </w:p>
    <w:bookmarkStart w:id="64" w:name="Para87_the_contacting_states"/>
    <w:p w14:paraId="3E4A7411" w14:textId="07B693D0" w:rsidR="00034A8D" w:rsidRPr="00EF7399" w:rsidRDefault="007B4F5E" w:rsidP="007B4F5E">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94</w:t>
      </w:r>
      <w:r w:rsidRPr="00EF7399">
        <w:rPr>
          <w:rFonts w:ascii="Times New Roman" w:hAnsi="Times New Roman" w:cs="Times New Roman"/>
          <w:lang w:val="af-ZA"/>
        </w:rPr>
        <w:fldChar w:fldCharType="end"/>
      </w:r>
      <w:bookmarkEnd w:id="64"/>
      <w:r w:rsidRPr="00EF7399">
        <w:rPr>
          <w:rFonts w:ascii="Times New Roman" w:hAnsi="Times New Roman" w:cs="Times New Roman"/>
          <w:lang w:val="af-ZA"/>
        </w:rPr>
        <w:t>.  </w:t>
      </w:r>
      <w:r w:rsidR="001F46BC" w:rsidRPr="00EF7399">
        <w:rPr>
          <w:rFonts w:ascii="Times New Roman" w:hAnsi="Times New Roman" w:cs="Times New Roman"/>
          <w:lang w:val="af-ZA"/>
        </w:rPr>
        <w:t xml:space="preserve">Պայմանավորվող կողմերը </w:t>
      </w:r>
      <w:r w:rsidR="00FE4300" w:rsidRPr="00EF7399">
        <w:rPr>
          <w:rFonts w:ascii="Times New Roman" w:hAnsi="Times New Roman" w:cs="Times New Roman"/>
          <w:lang w:val="af-ZA"/>
        </w:rPr>
        <w:t xml:space="preserve">հասարակական անվտանգության նկատառումներով </w:t>
      </w:r>
      <w:r w:rsidR="001F46BC" w:rsidRPr="00EF7399">
        <w:rPr>
          <w:rFonts w:ascii="Times New Roman" w:hAnsi="Times New Roman" w:cs="Times New Roman"/>
          <w:lang w:val="af-ZA"/>
        </w:rPr>
        <w:t xml:space="preserve"> </w:t>
      </w:r>
      <w:r w:rsidR="005129C1" w:rsidRPr="00EF7399">
        <w:rPr>
          <w:rFonts w:ascii="Times New Roman" w:hAnsi="Times New Roman" w:cs="Times New Roman"/>
          <w:lang w:val="af-ZA"/>
        </w:rPr>
        <w:t xml:space="preserve">կարող են կիրառել </w:t>
      </w:r>
      <w:r w:rsidR="00FE4300" w:rsidRPr="00EF7399">
        <w:rPr>
          <w:rFonts w:ascii="Times New Roman" w:hAnsi="Times New Roman" w:cs="Times New Roman"/>
          <w:lang w:val="af-ZA"/>
        </w:rPr>
        <w:t>կոնկրետ վայրում ցույցի անցկացման</w:t>
      </w:r>
      <w:r w:rsidR="001F46BC" w:rsidRPr="00EF7399">
        <w:rPr>
          <w:rFonts w:ascii="Times New Roman" w:hAnsi="Times New Roman" w:cs="Times New Roman"/>
          <w:lang w:val="af-ZA"/>
        </w:rPr>
        <w:t xml:space="preserve"> </w:t>
      </w:r>
      <w:r w:rsidR="00FE4300" w:rsidRPr="00EF7399">
        <w:rPr>
          <w:rFonts w:ascii="Times New Roman" w:hAnsi="Times New Roman" w:cs="Times New Roman"/>
          <w:lang w:val="af-ZA"/>
        </w:rPr>
        <w:t xml:space="preserve">սահմանափակումներ </w:t>
      </w:r>
      <w:r w:rsidRPr="00EF7399">
        <w:rPr>
          <w:rFonts w:ascii="Times New Roman" w:hAnsi="Times New Roman" w:cs="Times New Roman"/>
          <w:lang w:val="af-ZA"/>
        </w:rPr>
        <w:t>(</w:t>
      </w:r>
      <w:hyperlink r:id="rId245" w:history="1">
        <w:r w:rsidRPr="00EF7399">
          <w:rPr>
            <w:rStyle w:val="Hyperlink"/>
            <w:rFonts w:ascii="Times New Roman" w:hAnsi="Times New Roman" w:cs="Times New Roman"/>
            <w:lang w:val="af-ZA"/>
          </w:rPr>
          <w:t>Malofeyeva</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Russia</w:t>
        </w:r>
      </w:hyperlink>
      <w:r w:rsidRPr="00EF7399">
        <w:rPr>
          <w:rFonts w:ascii="Times New Roman" w:hAnsi="Times New Roman" w:cs="Times New Roman"/>
          <w:lang w:val="af-ZA"/>
        </w:rPr>
        <w:t xml:space="preserve">, </w:t>
      </w:r>
      <w:r w:rsidR="00FC780F" w:rsidRPr="00EF7399">
        <w:rPr>
          <w:rFonts w:ascii="Times New Roman" w:hAnsi="Times New Roman" w:cs="Times New Roman"/>
          <w:lang w:val="af-ZA"/>
        </w:rPr>
        <w:t xml:space="preserve">2013,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136; </w:t>
      </w:r>
      <w:hyperlink r:id="rId246" w:history="1">
        <w:r w:rsidRPr="00EF7399">
          <w:rPr>
            <w:rStyle w:val="Hyperlink"/>
            <w:rFonts w:ascii="Times New Roman" w:hAnsi="Times New Roman" w:cs="Times New Roman"/>
            <w:lang w:val="af-ZA"/>
          </w:rPr>
          <w:t>Disk and Kesk</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w:t>
      </w:r>
      <w:r w:rsidR="00847302" w:rsidRPr="00EF7399">
        <w:rPr>
          <w:rFonts w:ascii="Times New Roman" w:hAnsi="Times New Roman" w:cs="Times New Roman"/>
          <w:lang w:val="af-ZA"/>
        </w:rPr>
        <w:t xml:space="preserve">2012,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29; </w:t>
      </w:r>
      <w:r w:rsidR="00FE4300" w:rsidRPr="00EF7399">
        <w:rPr>
          <w:rFonts w:ascii="Times New Roman" w:hAnsi="Times New Roman" w:cs="Times New Roman"/>
          <w:lang w:val="af-ZA"/>
        </w:rPr>
        <w:t>տե՛ս նաև</w:t>
      </w:r>
      <w:r w:rsidRPr="00EF7399">
        <w:rPr>
          <w:rFonts w:ascii="Times New Roman" w:hAnsi="Times New Roman" w:cs="Times New Roman"/>
          <w:lang w:val="af-ZA"/>
        </w:rPr>
        <w:t xml:space="preserve"> </w:t>
      </w:r>
      <w:r w:rsidR="00FE4300" w:rsidRPr="00EF7399">
        <w:rPr>
          <w:rFonts w:ascii="Times New Roman" w:hAnsi="Times New Roman" w:cs="Times New Roman"/>
          <w:lang w:val="af-ZA"/>
        </w:rPr>
        <w:t>«</w:t>
      </w:r>
      <w:r w:rsidR="002903DE" w:rsidRPr="00EF7399">
        <w:rPr>
          <w:rFonts w:ascii="Times New Roman" w:hAnsi="Times New Roman" w:cs="Times New Roman"/>
          <w:lang w:val="af-ZA"/>
        </w:rPr>
        <w:fldChar w:fldCharType="begin"/>
      </w:r>
      <w:r w:rsidR="002903DE" w:rsidRPr="00EF7399">
        <w:rPr>
          <w:rFonts w:ascii="Times New Roman" w:hAnsi="Times New Roman" w:cs="Times New Roman"/>
          <w:lang w:val="af-ZA"/>
        </w:rPr>
        <w:instrText xml:space="preserve"> REF Freedom_forum \h </w:instrText>
      </w:r>
      <w:r w:rsidR="00B40BA9" w:rsidRPr="00EF7399">
        <w:rPr>
          <w:rFonts w:ascii="Times New Roman" w:hAnsi="Times New Roman" w:cs="Times New Roman"/>
          <w:lang w:val="af-ZA"/>
        </w:rPr>
        <w:instrText xml:space="preserve"> \* MERGEFORMAT </w:instrText>
      </w:r>
      <w:r w:rsidR="002903DE" w:rsidRPr="00EF7399">
        <w:rPr>
          <w:rFonts w:ascii="Times New Roman" w:hAnsi="Times New Roman" w:cs="Times New Roman"/>
          <w:lang w:val="af-ZA"/>
        </w:rPr>
      </w:r>
      <w:r w:rsidR="002903DE" w:rsidRPr="00EF7399">
        <w:rPr>
          <w:rFonts w:ascii="Times New Roman" w:hAnsi="Times New Roman" w:cs="Times New Roman"/>
          <w:lang w:val="af-ZA"/>
        </w:rPr>
        <w:fldChar w:fldCharType="separate"/>
      </w:r>
      <w:r w:rsidR="00FE4300" w:rsidRPr="00EF7399">
        <w:rPr>
          <w:rFonts w:ascii="Times New Roman" w:hAnsi="Times New Roman" w:cs="Times New Roman"/>
          <w:lang w:val="af-ZA"/>
        </w:rPr>
        <w:t>Հավաքի վայրի ազատություն</w:t>
      </w:r>
      <w:r w:rsidR="002903DE" w:rsidRPr="00EF7399">
        <w:rPr>
          <w:rFonts w:ascii="Times New Roman" w:hAnsi="Times New Roman" w:cs="Times New Roman"/>
          <w:lang w:val="af-ZA"/>
        </w:rPr>
        <w:fldChar w:fldCharType="end"/>
      </w:r>
      <w:r w:rsidR="00051B54">
        <w:rPr>
          <w:rFonts w:ascii="Times New Roman" w:hAnsi="Times New Roman" w:cs="Times New Roman"/>
          <w:lang w:val="hy-AM"/>
        </w:rPr>
        <w:t>ը</w:t>
      </w:r>
      <w:r w:rsidR="00FE4300" w:rsidRPr="00EF7399">
        <w:rPr>
          <w:rFonts w:ascii="Times New Roman" w:hAnsi="Times New Roman" w:cs="Times New Roman"/>
          <w:lang w:val="af-ZA"/>
        </w:rPr>
        <w:t>» բաժինը</w:t>
      </w:r>
      <w:r w:rsidRPr="00EF7399">
        <w:rPr>
          <w:rFonts w:ascii="Times New Roman" w:hAnsi="Times New Roman" w:cs="Times New Roman"/>
          <w:lang w:val="af-ZA"/>
        </w:rPr>
        <w:t>)</w:t>
      </w:r>
      <w:r w:rsidR="00FE4300" w:rsidRPr="00EF7399">
        <w:rPr>
          <w:rFonts w:ascii="Times New Roman" w:hAnsi="Times New Roman" w:cs="Times New Roman"/>
          <w:lang w:val="af-ZA"/>
        </w:rPr>
        <w:t>:</w:t>
      </w:r>
    </w:p>
    <w:p w14:paraId="495381D9" w14:textId="75F795E4" w:rsidR="007B4F5E" w:rsidRPr="00EF7399" w:rsidRDefault="00BC1E85" w:rsidP="00BB0C75">
      <w:pPr>
        <w:pStyle w:val="ECHRHeading3"/>
        <w:rPr>
          <w:rFonts w:ascii="Times New Roman" w:hAnsi="Times New Roman" w:cs="Times New Roman"/>
          <w:lang w:val="af-ZA"/>
        </w:rPr>
      </w:pPr>
      <w:bookmarkStart w:id="65" w:name="Unlawful_assembly"/>
      <w:bookmarkStart w:id="66" w:name="_Toc159945228"/>
      <w:r w:rsidRPr="00EF7399">
        <w:rPr>
          <w:rFonts w:ascii="Times New Roman" w:hAnsi="Times New Roman" w:cs="Times New Roman"/>
          <w:lang w:val="af-ZA"/>
        </w:rPr>
        <w:t>Ա</w:t>
      </w:r>
      <w:r w:rsidR="002A27D6" w:rsidRPr="00EF7399">
        <w:rPr>
          <w:rFonts w:ascii="Times New Roman" w:hAnsi="Times New Roman" w:cs="Times New Roman"/>
          <w:lang w:val="af-ZA"/>
        </w:rPr>
        <w:t>նօրինական</w:t>
      </w:r>
      <w:r w:rsidRPr="00EF7399">
        <w:rPr>
          <w:rFonts w:ascii="Times New Roman" w:hAnsi="Times New Roman" w:cs="Times New Roman"/>
          <w:lang w:val="af-ZA"/>
        </w:rPr>
        <w:t xml:space="preserve"> հավաք</w:t>
      </w:r>
      <w:bookmarkEnd w:id="65"/>
      <w:bookmarkEnd w:id="66"/>
    </w:p>
    <w:p w14:paraId="23A93B39" w14:textId="7E8DE120" w:rsidR="00535E5C" w:rsidRPr="00EF7399" w:rsidRDefault="0036651F" w:rsidP="007B4F5E">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95</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FE4300" w:rsidRPr="00EF7399">
        <w:rPr>
          <w:rFonts w:ascii="Times New Roman" w:hAnsi="Times New Roman" w:cs="Times New Roman"/>
          <w:lang w:val="af-ZA"/>
        </w:rPr>
        <w:t>Քանի որ պետությունն</w:t>
      </w:r>
      <w:r w:rsidR="001779F9" w:rsidRPr="00EF7399">
        <w:rPr>
          <w:rFonts w:ascii="Times New Roman" w:hAnsi="Times New Roman" w:cs="Times New Roman"/>
          <w:lang w:val="af-ZA"/>
        </w:rPr>
        <w:t>երն</w:t>
      </w:r>
      <w:r w:rsidR="00FE4300" w:rsidRPr="00EF7399">
        <w:rPr>
          <w:rFonts w:ascii="Times New Roman" w:hAnsi="Times New Roman" w:cs="Times New Roman"/>
          <w:lang w:val="af-ZA"/>
        </w:rPr>
        <w:t xml:space="preserve"> իրավունք ուն</w:t>
      </w:r>
      <w:r w:rsidR="001779F9" w:rsidRPr="00EF7399">
        <w:rPr>
          <w:rFonts w:ascii="Times New Roman" w:hAnsi="Times New Roman" w:cs="Times New Roman"/>
          <w:lang w:val="af-ZA"/>
        </w:rPr>
        <w:t>են</w:t>
      </w:r>
      <w:r w:rsidR="00FE4300" w:rsidRPr="00EF7399">
        <w:rPr>
          <w:rFonts w:ascii="Times New Roman" w:hAnsi="Times New Roman" w:cs="Times New Roman"/>
          <w:lang w:val="af-ZA"/>
        </w:rPr>
        <w:t xml:space="preserve"> </w:t>
      </w:r>
      <w:r w:rsidR="001779F9" w:rsidRPr="00EF7399">
        <w:rPr>
          <w:rFonts w:ascii="Times New Roman" w:hAnsi="Times New Roman" w:cs="Times New Roman"/>
          <w:lang w:val="af-ZA"/>
        </w:rPr>
        <w:t xml:space="preserve">սահմանել </w:t>
      </w:r>
      <w:r w:rsidR="00681EC7" w:rsidRPr="00EF7399">
        <w:rPr>
          <w:rFonts w:ascii="Times New Roman" w:hAnsi="Times New Roman" w:cs="Times New Roman"/>
          <w:lang w:val="af-ZA"/>
        </w:rPr>
        <w:t>արտոնությ</w:t>
      </w:r>
      <w:r w:rsidR="001779F9" w:rsidRPr="00EF7399">
        <w:rPr>
          <w:rFonts w:ascii="Times New Roman" w:hAnsi="Times New Roman" w:cs="Times New Roman"/>
          <w:lang w:val="af-ZA"/>
        </w:rPr>
        <w:t>ու</w:t>
      </w:r>
      <w:r w:rsidR="00681EC7" w:rsidRPr="00EF7399">
        <w:rPr>
          <w:rFonts w:ascii="Times New Roman" w:hAnsi="Times New Roman" w:cs="Times New Roman"/>
          <w:lang w:val="af-ZA"/>
        </w:rPr>
        <w:t>ն</w:t>
      </w:r>
      <w:r w:rsidR="001779F9" w:rsidRPr="00EF7399">
        <w:rPr>
          <w:rFonts w:ascii="Times New Roman" w:hAnsi="Times New Roman" w:cs="Times New Roman"/>
          <w:lang w:val="af-ZA"/>
        </w:rPr>
        <w:t xml:space="preserve"> ստանալու պահանջ</w:t>
      </w:r>
      <w:r w:rsidR="008B4DDA" w:rsidRPr="00EF7399">
        <w:rPr>
          <w:rFonts w:ascii="Times New Roman" w:hAnsi="Times New Roman" w:cs="Times New Roman"/>
          <w:lang w:val="hy-AM"/>
        </w:rPr>
        <w:t>,</w:t>
      </w:r>
      <w:r w:rsidR="001779F9" w:rsidRPr="00EF7399">
        <w:rPr>
          <w:rFonts w:ascii="Times New Roman" w:hAnsi="Times New Roman" w:cs="Times New Roman"/>
          <w:lang w:val="af-ZA"/>
        </w:rPr>
        <w:t xml:space="preserve"> դրանք պետք է ունենան պահանջին չհամապատասխանող ցույցերի մասնակիցների նկատմամբ պատժամիջոցներ կիրառելու իրավասություն: Արտոնման համակարգը </w:t>
      </w:r>
      <w:r w:rsidR="000222C7" w:rsidRPr="00EF7399">
        <w:rPr>
          <w:rFonts w:ascii="Times New Roman" w:hAnsi="Times New Roman" w:cs="Times New Roman"/>
          <w:lang w:val="hy-AM"/>
        </w:rPr>
        <w:t>կդառնա պատրանքային</w:t>
      </w:r>
      <w:r w:rsidR="001779F9" w:rsidRPr="00EF7399">
        <w:rPr>
          <w:rFonts w:ascii="Times New Roman" w:hAnsi="Times New Roman" w:cs="Times New Roman"/>
          <w:lang w:val="af-ZA"/>
        </w:rPr>
        <w:t xml:space="preserve">, եթե 11-րդ հոդվածն արգելեր պատժամիջոցները նշված արտոնությունները չստանալու համար: </w:t>
      </w:r>
      <w:r w:rsidR="00AC659C" w:rsidRPr="00EF7399">
        <w:rPr>
          <w:rFonts w:ascii="Times New Roman" w:hAnsi="Times New Roman" w:cs="Times New Roman"/>
          <w:lang w:val="af-ZA"/>
        </w:rPr>
        <w:t xml:space="preserve">Հետևաբար, չարտոնված ցույցի մասնակցելու համար պատժամիջոց կիրառելը համապատասխանում է 11-րդ հոդվածի երաշխիքներին </w:t>
      </w:r>
      <w:r w:rsidR="007B4F5E" w:rsidRPr="00EF7399">
        <w:rPr>
          <w:rFonts w:ascii="Times New Roman" w:hAnsi="Times New Roman" w:cs="Times New Roman"/>
          <w:lang w:val="af-ZA"/>
        </w:rPr>
        <w:t>(</w:t>
      </w:r>
      <w:hyperlink r:id="rId247" w:history="1">
        <w:r w:rsidR="007B4F5E" w:rsidRPr="00EF7399">
          <w:rPr>
            <w:rStyle w:val="Hyperlink"/>
            <w:rFonts w:ascii="Times New Roman" w:hAnsi="Times New Roman" w:cs="Times New Roman"/>
            <w:lang w:val="af-ZA"/>
          </w:rPr>
          <w:t>Ziliberberg</w:t>
        </w:r>
        <w:r w:rsidR="00873234" w:rsidRPr="00EF7399">
          <w:rPr>
            <w:rStyle w:val="Hyperlink"/>
            <w:rFonts w:ascii="Times New Roman" w:hAnsi="Times New Roman" w:cs="Times New Roman"/>
            <w:lang w:val="af-ZA"/>
          </w:rPr>
          <w:t xml:space="preserve"> v. </w:t>
        </w:r>
        <w:r w:rsidR="007B4F5E" w:rsidRPr="00EF7399">
          <w:rPr>
            <w:rStyle w:val="Hyperlink"/>
            <w:rFonts w:ascii="Times New Roman" w:hAnsi="Times New Roman" w:cs="Times New Roman"/>
            <w:lang w:val="af-ZA"/>
          </w:rPr>
          <w:t>Moldova</w:t>
        </w:r>
      </w:hyperlink>
      <w:r w:rsidR="00D23E6E" w:rsidRPr="00EF7399">
        <w:rPr>
          <w:rFonts w:ascii="Times New Roman" w:hAnsi="Times New Roman" w:cs="Times New Roman"/>
          <w:lang w:val="af-ZA"/>
        </w:rPr>
        <w:t xml:space="preserve"> (dec.)</w:t>
      </w:r>
      <w:r w:rsidR="00847302" w:rsidRPr="00EF7399">
        <w:rPr>
          <w:rFonts w:ascii="Times New Roman" w:hAnsi="Times New Roman" w:cs="Times New Roman"/>
          <w:lang w:val="af-ZA"/>
        </w:rPr>
        <w:t>, 2004</w:t>
      </w:r>
      <w:r w:rsidR="00D23E6E" w:rsidRPr="00EF7399">
        <w:rPr>
          <w:rFonts w:ascii="Times New Roman" w:hAnsi="Times New Roman" w:cs="Times New Roman"/>
          <w:lang w:val="af-ZA"/>
        </w:rPr>
        <w:t>)</w:t>
      </w:r>
      <w:r w:rsidR="00886128" w:rsidRPr="00EF7399">
        <w:rPr>
          <w:rFonts w:ascii="Times New Roman" w:hAnsi="Times New Roman" w:cs="Times New Roman"/>
          <w:lang w:val="hy-AM"/>
        </w:rPr>
        <w:t>՝</w:t>
      </w:r>
      <w:r w:rsidR="00AC659C" w:rsidRPr="00EF7399">
        <w:rPr>
          <w:rFonts w:ascii="Times New Roman" w:hAnsi="Times New Roman" w:cs="Times New Roman"/>
          <w:lang w:val="af-ZA"/>
        </w:rPr>
        <w:t xml:space="preserve"> պայմանով, որ պատժամիջոցը նախատեսված է օրենքով և համաչափ է: </w:t>
      </w:r>
    </w:p>
    <w:p w14:paraId="2E51C7EF" w14:textId="6E89EB72" w:rsidR="00535E5C" w:rsidRPr="00EF7399" w:rsidRDefault="007B4F5E" w:rsidP="007B4F5E">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96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AC659C" w:rsidRPr="00EF7399">
        <w:rPr>
          <w:rFonts w:ascii="Times New Roman" w:hAnsi="Times New Roman" w:cs="Times New Roman"/>
          <w:lang w:val="af-ZA"/>
        </w:rPr>
        <w:t>Իրազեկման կամ արտոնություն ստանալու պահանջը չկատարելը, հատկացված ժամանակից երկար մնալը կամ հատկացված տարածքից դուրս գալը</w:t>
      </w:r>
      <w:r w:rsidR="00E20F66" w:rsidRPr="00EF7399">
        <w:rPr>
          <w:rFonts w:ascii="Times New Roman" w:hAnsi="Times New Roman" w:cs="Times New Roman"/>
          <w:lang w:val="af-ZA"/>
        </w:rPr>
        <w:t xml:space="preserve"> կարող են հավաքն «անօրինական» համարելու</w:t>
      </w:r>
      <w:r w:rsidR="00AC659C" w:rsidRPr="00EF7399">
        <w:rPr>
          <w:rFonts w:ascii="Times New Roman" w:hAnsi="Times New Roman" w:cs="Times New Roman"/>
          <w:lang w:val="af-ZA"/>
        </w:rPr>
        <w:t xml:space="preserve"> </w:t>
      </w:r>
      <w:r w:rsidR="00E20F66" w:rsidRPr="00EF7399">
        <w:rPr>
          <w:rFonts w:ascii="Times New Roman" w:hAnsi="Times New Roman" w:cs="Times New Roman"/>
          <w:lang w:val="af-ZA"/>
        </w:rPr>
        <w:t xml:space="preserve">հիմքեր լինեն: «Անօրինական» հավաքի սահմանումը, ի տարբերություն իշխանությունների կողմից «արգելված» հավաքի, հիմնվում է </w:t>
      </w:r>
      <w:r w:rsidR="00AA7DEF" w:rsidRPr="00EF7399">
        <w:rPr>
          <w:rFonts w:ascii="Times New Roman" w:hAnsi="Times New Roman" w:cs="Times New Roman"/>
          <w:lang w:val="hy-AM"/>
        </w:rPr>
        <w:t>ձևական</w:t>
      </w:r>
      <w:r w:rsidR="00AA7DEF" w:rsidRPr="00EF7399">
        <w:rPr>
          <w:rFonts w:ascii="Times New Roman" w:hAnsi="Times New Roman" w:cs="Times New Roman"/>
          <w:lang w:val="af-ZA"/>
        </w:rPr>
        <w:t xml:space="preserve"> </w:t>
      </w:r>
      <w:r w:rsidR="00E20F66" w:rsidRPr="00EF7399">
        <w:rPr>
          <w:rFonts w:ascii="Times New Roman" w:hAnsi="Times New Roman" w:cs="Times New Roman"/>
          <w:lang w:val="af-ZA"/>
        </w:rPr>
        <w:t>պահանջները չկատարելու վրա: «</w:t>
      </w:r>
      <w:r w:rsidR="00AA7DEF" w:rsidRPr="00EF7399">
        <w:rPr>
          <w:rFonts w:ascii="Times New Roman" w:hAnsi="Times New Roman" w:cs="Times New Roman"/>
          <w:lang w:val="hy-AM"/>
        </w:rPr>
        <w:t>Ց</w:t>
      </w:r>
      <w:r w:rsidR="00E20F66" w:rsidRPr="00EF7399">
        <w:rPr>
          <w:rFonts w:ascii="Times New Roman" w:hAnsi="Times New Roman" w:cs="Times New Roman"/>
          <w:lang w:val="af-ZA"/>
        </w:rPr>
        <w:t>ույց, որը չի արգելվել» հասկացություն</w:t>
      </w:r>
      <w:r w:rsidR="00AA7DEF" w:rsidRPr="00EF7399">
        <w:rPr>
          <w:rFonts w:ascii="Times New Roman" w:hAnsi="Times New Roman" w:cs="Times New Roman"/>
          <w:lang w:val="hy-AM"/>
        </w:rPr>
        <w:t>ն օ</w:t>
      </w:r>
      <w:r w:rsidR="00AA7DEF" w:rsidRPr="00EF7399">
        <w:rPr>
          <w:rFonts w:ascii="Times New Roman" w:hAnsi="Times New Roman" w:cs="Times New Roman"/>
          <w:lang w:val="af-ZA"/>
        </w:rPr>
        <w:t>գտագործվել է</w:t>
      </w:r>
      <w:r w:rsidR="00E20F66" w:rsidRPr="00EF7399">
        <w:rPr>
          <w:rFonts w:ascii="Times New Roman" w:hAnsi="Times New Roman" w:cs="Times New Roman"/>
          <w:lang w:val="af-ZA"/>
        </w:rPr>
        <w:t>, թեև այն չի նույնացվել «օրինական» կամ «արտոնված» ցույցի</w:t>
      </w:r>
      <w:r w:rsidR="00AA7DEF" w:rsidRPr="00EF7399">
        <w:rPr>
          <w:rFonts w:ascii="Times New Roman" w:hAnsi="Times New Roman" w:cs="Times New Roman"/>
          <w:lang w:val="hy-AM"/>
        </w:rPr>
        <w:t>ն</w:t>
      </w:r>
      <w:r w:rsidR="00E20F66" w:rsidRPr="00EF7399">
        <w:rPr>
          <w:rFonts w:ascii="Times New Roman" w:hAnsi="Times New Roman" w:cs="Times New Roman"/>
          <w:lang w:val="af-ZA"/>
        </w:rPr>
        <w:t xml:space="preserve"> </w:t>
      </w:r>
      <w:r w:rsidR="0081194B" w:rsidRPr="00EF7399">
        <w:rPr>
          <w:rFonts w:ascii="Times New Roman" w:hAnsi="Times New Roman" w:cs="Times New Roman"/>
          <w:lang w:val="af-ZA"/>
        </w:rPr>
        <w:t>(</w:t>
      </w:r>
      <w:hyperlink r:id="rId248" w:history="1">
        <w:r w:rsidR="0081194B" w:rsidRPr="00EF7399">
          <w:rPr>
            <w:rStyle w:val="Hyperlink"/>
            <w:rFonts w:ascii="Times New Roman" w:hAnsi="Times New Roman" w:cs="Times New Roman"/>
            <w:lang w:val="af-ZA"/>
          </w:rPr>
          <w:t>Kudrevičius and Others</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Lithuania</w:t>
        </w:r>
      </w:hyperlink>
      <w:r w:rsidR="0081194B" w:rsidRPr="00EF7399">
        <w:rPr>
          <w:rFonts w:ascii="Times New Roman" w:hAnsi="Times New Roman" w:cs="Times New Roman"/>
          <w:i/>
          <w:lang w:val="af-ZA"/>
        </w:rPr>
        <w:t xml:space="preserve"> </w:t>
      </w:r>
      <w:r w:rsidR="0081194B" w:rsidRPr="00EF7399">
        <w:rPr>
          <w:rFonts w:ascii="Times New Roman" w:hAnsi="Times New Roman" w:cs="Times New Roman"/>
          <w:lang w:val="af-ZA"/>
        </w:rPr>
        <w:t xml:space="preserve">[GC],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149)</w:t>
      </w:r>
      <w:r w:rsidR="00E20F66" w:rsidRPr="00EF7399">
        <w:rPr>
          <w:rFonts w:ascii="Times New Roman" w:hAnsi="Times New Roman" w:cs="Times New Roman"/>
          <w:lang w:val="af-ZA"/>
        </w:rPr>
        <w:t>:</w:t>
      </w:r>
    </w:p>
    <w:p w14:paraId="126FE794" w14:textId="04778792" w:rsidR="007B4F5E" w:rsidRPr="00EF7399" w:rsidRDefault="00070A20" w:rsidP="007B4F5E">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97</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81194B" w:rsidRPr="00EF7399">
        <w:rPr>
          <w:rFonts w:ascii="Times New Roman" w:hAnsi="Times New Roman" w:cs="Times New Roman"/>
          <w:lang w:val="af-ZA"/>
        </w:rPr>
        <w:t> </w:t>
      </w:r>
      <w:r w:rsidR="00087971" w:rsidRPr="00EF7399">
        <w:rPr>
          <w:rFonts w:ascii="Times New Roman" w:hAnsi="Times New Roman" w:cs="Times New Roman"/>
          <w:lang w:val="af-ZA"/>
        </w:rPr>
        <w:t>Հ</w:t>
      </w:r>
      <w:r w:rsidR="00E20F66" w:rsidRPr="00EF7399">
        <w:rPr>
          <w:rFonts w:ascii="Times New Roman" w:hAnsi="Times New Roman" w:cs="Times New Roman"/>
          <w:lang w:val="af-ZA"/>
        </w:rPr>
        <w:t>ակաօրինական իրավիճակը, օրինակ` ցույցի ան</w:t>
      </w:r>
      <w:r w:rsidR="00AA7DEF" w:rsidRPr="00EF7399">
        <w:rPr>
          <w:rFonts w:ascii="Times New Roman" w:hAnsi="Times New Roman" w:cs="Times New Roman"/>
          <w:lang w:val="hy-AM"/>
        </w:rPr>
        <w:t>ց</w:t>
      </w:r>
      <w:r w:rsidR="00E20F66" w:rsidRPr="00EF7399">
        <w:rPr>
          <w:rFonts w:ascii="Times New Roman" w:hAnsi="Times New Roman" w:cs="Times New Roman"/>
          <w:lang w:val="af-ZA"/>
        </w:rPr>
        <w:t>կացումն առանց նախօրոք ստացված արտոնության,</w:t>
      </w:r>
      <w:r w:rsidR="00087971" w:rsidRPr="00EF7399">
        <w:rPr>
          <w:rFonts w:ascii="Times New Roman" w:hAnsi="Times New Roman" w:cs="Times New Roman"/>
          <w:lang w:val="af-ZA"/>
        </w:rPr>
        <w:t xml:space="preserve"> </w:t>
      </w:r>
      <w:r w:rsidR="00643BCF" w:rsidRPr="00EF7399">
        <w:rPr>
          <w:rFonts w:ascii="Times New Roman" w:hAnsi="Times New Roman" w:cs="Times New Roman"/>
          <w:lang w:val="hy-AM"/>
        </w:rPr>
        <w:t>անհրաժեշտաբար</w:t>
      </w:r>
      <w:r w:rsidR="00087971" w:rsidRPr="00EF7399">
        <w:rPr>
          <w:rFonts w:ascii="Times New Roman" w:hAnsi="Times New Roman" w:cs="Times New Roman"/>
          <w:lang w:val="af-ZA"/>
        </w:rPr>
        <w:t xml:space="preserve"> չի</w:t>
      </w:r>
      <w:r w:rsidR="00E20F66" w:rsidRPr="00EF7399">
        <w:rPr>
          <w:rFonts w:ascii="Times New Roman" w:hAnsi="Times New Roman" w:cs="Times New Roman"/>
          <w:lang w:val="af-ZA"/>
        </w:rPr>
        <w:t xml:space="preserve"> հիմնավոր</w:t>
      </w:r>
      <w:r w:rsidR="00087971" w:rsidRPr="00EF7399">
        <w:rPr>
          <w:rFonts w:ascii="Times New Roman" w:hAnsi="Times New Roman" w:cs="Times New Roman"/>
          <w:lang w:val="af-ZA"/>
        </w:rPr>
        <w:t xml:space="preserve">ում միջամտությունը հավաքների ազատությանը: Թեև հանրային հավաքները կանոնակարգող կանոնները, օրինակ` նախնական իրազեկման համակարգը, կենսական նշանակություն ունեն հանրային միջոցառումների սահուն անցկացման համար, քանի որ դրանց շնորհիվ </w:t>
      </w:r>
      <w:r w:rsidR="00BE4CE1" w:rsidRPr="00EF7399">
        <w:rPr>
          <w:rFonts w:ascii="Times New Roman" w:hAnsi="Times New Roman" w:cs="Times New Roman"/>
          <w:lang w:val="af-ZA"/>
        </w:rPr>
        <w:t xml:space="preserve">իշխանությունները նվազեցնում են երթևեկության խաթարումները և ձեռնարկում անվտանգային այլ միջոցներ, </w:t>
      </w:r>
      <w:r w:rsidR="00643BCF" w:rsidRPr="00EF7399">
        <w:rPr>
          <w:rFonts w:ascii="Times New Roman" w:hAnsi="Times New Roman" w:cs="Times New Roman"/>
          <w:lang w:val="hy-AM"/>
        </w:rPr>
        <w:t>դրանց կիրառումը</w:t>
      </w:r>
      <w:r w:rsidR="00BE4CE1" w:rsidRPr="00EF7399">
        <w:rPr>
          <w:rFonts w:ascii="Times New Roman" w:hAnsi="Times New Roman" w:cs="Times New Roman"/>
          <w:lang w:val="af-ZA"/>
        </w:rPr>
        <w:t xml:space="preserve"> </w:t>
      </w:r>
      <w:r w:rsidR="00BE4CE1" w:rsidRPr="00EF7399">
        <w:rPr>
          <w:rFonts w:ascii="Times New Roman" w:hAnsi="Times New Roman" w:cs="Times New Roman"/>
          <w:lang w:val="af-ZA"/>
        </w:rPr>
        <w:lastRenderedPageBreak/>
        <w:t xml:space="preserve">չի կարող դառնալ ինքնանպատակ </w:t>
      </w:r>
      <w:r w:rsidR="0081194B" w:rsidRPr="00EF7399">
        <w:rPr>
          <w:rFonts w:ascii="Times New Roman" w:hAnsi="Times New Roman" w:cs="Times New Roman"/>
          <w:lang w:val="af-ZA"/>
        </w:rPr>
        <w:t>(</w:t>
      </w:r>
      <w:hyperlink r:id="rId249" w:history="1">
        <w:r w:rsidR="0081194B" w:rsidRPr="00EF7399">
          <w:rPr>
            <w:rStyle w:val="Hyperlink"/>
            <w:rFonts w:ascii="Times New Roman" w:hAnsi="Times New Roman" w:cs="Times New Roman"/>
            <w:lang w:val="af-ZA"/>
          </w:rPr>
          <w:t>Cisse</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France</w:t>
        </w:r>
      </w:hyperlink>
      <w:r w:rsidR="0081194B" w:rsidRPr="00EF7399">
        <w:rPr>
          <w:rFonts w:ascii="Times New Roman" w:hAnsi="Times New Roman" w:cs="Times New Roman"/>
          <w:lang w:val="af-ZA"/>
        </w:rPr>
        <w:t xml:space="preserve">, </w:t>
      </w:r>
      <w:r w:rsidR="00847302" w:rsidRPr="00EF7399">
        <w:rPr>
          <w:rFonts w:ascii="Times New Roman" w:hAnsi="Times New Roman" w:cs="Times New Roman"/>
          <w:lang w:val="af-ZA"/>
        </w:rPr>
        <w:t xml:space="preserve">2002,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 xml:space="preserve">50; </w:t>
      </w:r>
      <w:hyperlink r:id="rId250" w:history="1">
        <w:r w:rsidR="00D23E6E" w:rsidRPr="00EF7399">
          <w:rPr>
            <w:rStyle w:val="Hyperlink"/>
            <w:rFonts w:ascii="Times New Roman" w:hAnsi="Times New Roman" w:cs="Times New Roman"/>
            <w:lang w:val="af-ZA"/>
          </w:rPr>
          <w:t>Oya Ataman</w:t>
        </w:r>
        <w:r w:rsidR="00873234" w:rsidRPr="00EF7399">
          <w:rPr>
            <w:rStyle w:val="Hyperlink"/>
            <w:rFonts w:ascii="Times New Roman" w:hAnsi="Times New Roman" w:cs="Times New Roman"/>
            <w:lang w:val="af-ZA"/>
          </w:rPr>
          <w:t xml:space="preserve"> v. </w:t>
        </w:r>
        <w:r w:rsidR="00D23E6E" w:rsidRPr="00EF7399">
          <w:rPr>
            <w:rStyle w:val="Hyperlink"/>
            <w:rFonts w:ascii="Times New Roman" w:hAnsi="Times New Roman" w:cs="Times New Roman"/>
            <w:lang w:val="af-ZA"/>
          </w:rPr>
          <w:t>Turkey</w:t>
        </w:r>
      </w:hyperlink>
      <w:r w:rsidR="0081194B" w:rsidRPr="00EF7399">
        <w:rPr>
          <w:rFonts w:ascii="Times New Roman" w:hAnsi="Times New Roman" w:cs="Times New Roman"/>
          <w:lang w:val="af-ZA"/>
        </w:rPr>
        <w:t xml:space="preserve">, </w:t>
      </w:r>
      <w:r w:rsidR="00847302" w:rsidRPr="00EF7399">
        <w:rPr>
          <w:rFonts w:ascii="Times New Roman" w:hAnsi="Times New Roman" w:cs="Times New Roman"/>
          <w:lang w:val="af-ZA"/>
        </w:rPr>
        <w:t xml:space="preserve">2006, </w:t>
      </w:r>
      <w:r w:rsidR="0081194B" w:rsidRPr="00EF7399">
        <w:rPr>
          <w:rFonts w:ascii="Times New Roman" w:hAnsi="Times New Roman" w:cs="Times New Roman"/>
          <w:lang w:val="af-ZA"/>
        </w:rPr>
        <w:t>§</w:t>
      </w:r>
      <w:r w:rsidR="00873234" w:rsidRPr="00EF7399">
        <w:rPr>
          <w:rFonts w:ascii="Times New Roman" w:hAnsi="Times New Roman" w:cs="Times New Roman"/>
          <w:lang w:val="af-ZA"/>
        </w:rPr>
        <w:t>§ </w:t>
      </w:r>
      <w:r w:rsidR="0081194B" w:rsidRPr="00EF7399">
        <w:rPr>
          <w:rFonts w:ascii="Times New Roman" w:hAnsi="Times New Roman" w:cs="Times New Roman"/>
          <w:lang w:val="af-ZA"/>
        </w:rPr>
        <w:t>37-39;</w:t>
      </w:r>
      <w:r w:rsidR="0081194B" w:rsidRPr="00EF7399">
        <w:rPr>
          <w:rFonts w:ascii="Times New Roman" w:hAnsi="Times New Roman" w:cs="Times New Roman"/>
          <w:i/>
          <w:lang w:val="af-ZA"/>
        </w:rPr>
        <w:t xml:space="preserve"> </w:t>
      </w:r>
      <w:hyperlink r:id="rId251" w:history="1">
        <w:r w:rsidR="0081194B" w:rsidRPr="00EF7399">
          <w:rPr>
            <w:rStyle w:val="Hyperlink"/>
            <w:rFonts w:ascii="Times New Roman" w:hAnsi="Times New Roman" w:cs="Times New Roman"/>
            <w:lang w:val="af-ZA"/>
          </w:rPr>
          <w:t>Gafgaz Mammadov</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Azerbaijan</w:t>
        </w:r>
      </w:hyperlink>
      <w:r w:rsidR="005D7CE8" w:rsidRPr="00EF7399">
        <w:rPr>
          <w:rFonts w:ascii="Times New Roman" w:hAnsi="Times New Roman" w:cs="Times New Roman"/>
          <w:lang w:val="af-ZA"/>
        </w:rPr>
        <w:t xml:space="preserve">, </w:t>
      </w:r>
      <w:r w:rsidR="00D33965"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005D7CE8" w:rsidRPr="00EF7399">
        <w:rPr>
          <w:rFonts w:ascii="Times New Roman" w:hAnsi="Times New Roman" w:cs="Times New Roman"/>
          <w:lang w:val="af-ZA"/>
        </w:rPr>
        <w:t>59</w:t>
      </w:r>
      <w:r w:rsidR="0081194B" w:rsidRPr="00EF7399">
        <w:rPr>
          <w:rFonts w:ascii="Times New Roman" w:hAnsi="Times New Roman" w:cs="Times New Roman"/>
          <w:lang w:val="af-ZA"/>
        </w:rPr>
        <w:t>)</w:t>
      </w:r>
      <w:r w:rsidR="00BE4CE1" w:rsidRPr="00EF7399">
        <w:rPr>
          <w:rFonts w:ascii="Times New Roman" w:hAnsi="Times New Roman" w:cs="Times New Roman"/>
          <w:lang w:val="af-ZA"/>
        </w:rPr>
        <w:t>:</w:t>
      </w:r>
    </w:p>
    <w:p w14:paraId="6A13E4BE" w14:textId="1019C18F" w:rsidR="007B4F5E" w:rsidRPr="001B2612" w:rsidRDefault="007B4F5E" w:rsidP="007B4F5E">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98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262A5C" w:rsidRPr="00EF7399">
        <w:rPr>
          <w:rFonts w:ascii="Times New Roman" w:hAnsi="Times New Roman" w:cs="Times New Roman"/>
          <w:lang w:val="af-ZA"/>
        </w:rPr>
        <w:t>Մասնավորապես, երբ կարգազանց ցուցարարները</w:t>
      </w:r>
      <w:r w:rsidR="00D77C13" w:rsidRPr="00EF7399">
        <w:rPr>
          <w:rFonts w:ascii="Times New Roman" w:hAnsi="Times New Roman" w:cs="Times New Roman"/>
          <w:lang w:val="hy-AM"/>
        </w:rPr>
        <w:t xml:space="preserve"> չեն ներգրավվում</w:t>
      </w:r>
      <w:r w:rsidR="00262A5C" w:rsidRPr="00EF7399">
        <w:rPr>
          <w:rFonts w:ascii="Times New Roman" w:hAnsi="Times New Roman" w:cs="Times New Roman"/>
          <w:lang w:val="af-ZA"/>
        </w:rPr>
        <w:t xml:space="preserve"> բռնարարքներ</w:t>
      </w:r>
      <w:r w:rsidR="00D77C13" w:rsidRPr="00EF7399">
        <w:rPr>
          <w:rFonts w:ascii="Times New Roman" w:hAnsi="Times New Roman" w:cs="Times New Roman"/>
          <w:lang w:val="hy-AM"/>
        </w:rPr>
        <w:t>ի կատարմանը,</w:t>
      </w:r>
      <w:r w:rsidR="00262A5C" w:rsidRPr="00EF7399">
        <w:rPr>
          <w:rFonts w:ascii="Times New Roman" w:hAnsi="Times New Roman" w:cs="Times New Roman"/>
          <w:lang w:val="af-ZA"/>
        </w:rPr>
        <w:t xml:space="preserve"> Դատարանը պահանջել է պետական իշխանություններից</w:t>
      </w:r>
      <w:r w:rsidR="00D77C13" w:rsidRPr="00EF7399">
        <w:rPr>
          <w:rFonts w:ascii="Times New Roman" w:hAnsi="Times New Roman" w:cs="Times New Roman"/>
          <w:lang w:val="hy-AM"/>
        </w:rPr>
        <w:t>՝ ցուցաբերել</w:t>
      </w:r>
      <w:r w:rsidR="00262A5C" w:rsidRPr="00EF7399">
        <w:rPr>
          <w:rFonts w:ascii="Times New Roman" w:hAnsi="Times New Roman" w:cs="Times New Roman"/>
          <w:lang w:val="af-ZA"/>
        </w:rPr>
        <w:t xml:space="preserve"> որոշակի հանդուրժ</w:t>
      </w:r>
      <w:r w:rsidR="00D77C13" w:rsidRPr="00EF7399">
        <w:rPr>
          <w:rFonts w:ascii="Times New Roman" w:hAnsi="Times New Roman" w:cs="Times New Roman"/>
          <w:lang w:val="hy-AM"/>
        </w:rPr>
        <w:t>ո</w:t>
      </w:r>
      <w:r w:rsidR="00262A5C" w:rsidRPr="00EF7399">
        <w:rPr>
          <w:rFonts w:ascii="Times New Roman" w:hAnsi="Times New Roman" w:cs="Times New Roman"/>
          <w:lang w:val="af-ZA"/>
        </w:rPr>
        <w:t>ղականություն խաղաղ հավաքների նկատմամբ</w:t>
      </w:r>
      <w:r w:rsidR="00D77C13" w:rsidRPr="00EF7399">
        <w:rPr>
          <w:rFonts w:ascii="Times New Roman" w:hAnsi="Times New Roman" w:cs="Times New Roman"/>
          <w:lang w:val="hy-AM"/>
        </w:rPr>
        <w:t>, որպեսզի</w:t>
      </w:r>
      <w:r w:rsidR="00262A5C" w:rsidRPr="00EF7399">
        <w:rPr>
          <w:rFonts w:ascii="Times New Roman" w:hAnsi="Times New Roman" w:cs="Times New Roman"/>
          <w:lang w:val="af-ZA"/>
        </w:rPr>
        <w:t xml:space="preserve"> Կոնվենցիայի 11-րդ հոդվածով երաշխավորված հավաքների ազատություն</w:t>
      </w:r>
      <w:r w:rsidR="00D77C13" w:rsidRPr="00EF7399">
        <w:rPr>
          <w:rFonts w:ascii="Times New Roman" w:hAnsi="Times New Roman" w:cs="Times New Roman"/>
          <w:lang w:val="hy-AM"/>
        </w:rPr>
        <w:t xml:space="preserve">ն </w:t>
      </w:r>
      <w:r w:rsidR="00D77C13" w:rsidRPr="00EF7399">
        <w:rPr>
          <w:rFonts w:ascii="Times New Roman" w:hAnsi="Times New Roman" w:cs="Times New Roman"/>
          <w:lang w:val="af-ZA"/>
        </w:rPr>
        <w:t>ամբողջությամբ չիմաստազրկ</w:t>
      </w:r>
      <w:r w:rsidR="00D77C13" w:rsidRPr="00EF7399">
        <w:rPr>
          <w:rFonts w:ascii="Times New Roman" w:hAnsi="Times New Roman" w:cs="Times New Roman"/>
          <w:lang w:val="hy-AM"/>
        </w:rPr>
        <w:t>վի</w:t>
      </w:r>
      <w:r w:rsidR="00262A5C" w:rsidRPr="00EF7399">
        <w:rPr>
          <w:rFonts w:ascii="Times New Roman" w:hAnsi="Times New Roman" w:cs="Times New Roman"/>
          <w:lang w:val="af-ZA"/>
        </w:rPr>
        <w:t xml:space="preserve"> </w:t>
      </w:r>
      <w:r w:rsidR="0081194B" w:rsidRPr="00EF7399">
        <w:rPr>
          <w:rFonts w:ascii="Times New Roman" w:hAnsi="Times New Roman" w:cs="Times New Roman"/>
          <w:lang w:val="af-ZA"/>
        </w:rPr>
        <w:t>(</w:t>
      </w:r>
      <w:hyperlink r:id="rId252" w:history="1">
        <w:r w:rsidR="00A27B35" w:rsidRPr="00EF7399">
          <w:rPr>
            <w:rStyle w:val="Hyperlink"/>
            <w:rFonts w:ascii="Times New Roman" w:hAnsi="Times New Roman" w:cs="Times New Roman"/>
            <w:lang w:val="af-ZA"/>
          </w:rPr>
          <w:t>Kudrevičius and Others</w:t>
        </w:r>
        <w:r w:rsidR="00873234" w:rsidRPr="00EF7399">
          <w:rPr>
            <w:rStyle w:val="Hyperlink"/>
            <w:rFonts w:ascii="Times New Roman" w:hAnsi="Times New Roman" w:cs="Times New Roman"/>
            <w:lang w:val="af-ZA"/>
          </w:rPr>
          <w:t xml:space="preserve"> v. </w:t>
        </w:r>
        <w:r w:rsidR="00A27B35" w:rsidRPr="00EF7399">
          <w:rPr>
            <w:rStyle w:val="Hyperlink"/>
            <w:rFonts w:ascii="Times New Roman" w:hAnsi="Times New Roman" w:cs="Times New Roman"/>
            <w:lang w:val="af-ZA"/>
          </w:rPr>
          <w:t>Lithuania</w:t>
        </w:r>
      </w:hyperlink>
      <w:r w:rsidR="00A27B35" w:rsidRPr="00EF7399">
        <w:rPr>
          <w:rFonts w:ascii="Times New Roman" w:hAnsi="Times New Roman" w:cs="Times New Roman"/>
          <w:i/>
          <w:lang w:val="af-ZA"/>
        </w:rPr>
        <w:t xml:space="preserve"> </w:t>
      </w:r>
      <w:r w:rsidR="00A27B35" w:rsidRPr="00EF7399">
        <w:rPr>
          <w:rFonts w:ascii="Times New Roman" w:hAnsi="Times New Roman" w:cs="Times New Roman"/>
          <w:lang w:val="af-ZA"/>
        </w:rPr>
        <w:t xml:space="preserve">[GC], </w:t>
      </w:r>
      <w:r w:rsidR="00FC780F"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00A27B35" w:rsidRPr="00EF7399">
        <w:rPr>
          <w:rFonts w:ascii="Times New Roman" w:hAnsi="Times New Roman" w:cs="Times New Roman"/>
          <w:lang w:val="af-ZA"/>
        </w:rPr>
        <w:t xml:space="preserve">150; </w:t>
      </w:r>
      <w:hyperlink r:id="rId253" w:history="1">
        <w:r w:rsidR="00D23E6E" w:rsidRPr="00EF7399">
          <w:rPr>
            <w:rStyle w:val="Hyperlink"/>
            <w:rFonts w:ascii="Times New Roman" w:hAnsi="Times New Roman" w:cs="Times New Roman"/>
            <w:lang w:val="af-ZA"/>
          </w:rPr>
          <w:t>Oya Ataman</w:t>
        </w:r>
        <w:r w:rsidR="00873234" w:rsidRPr="00EF7399">
          <w:rPr>
            <w:rStyle w:val="Hyperlink"/>
            <w:rFonts w:ascii="Times New Roman" w:hAnsi="Times New Roman" w:cs="Times New Roman"/>
            <w:lang w:val="af-ZA"/>
          </w:rPr>
          <w:t xml:space="preserve"> v. </w:t>
        </w:r>
        <w:r w:rsidR="00D23E6E" w:rsidRPr="00EF7399">
          <w:rPr>
            <w:rStyle w:val="Hyperlink"/>
            <w:rFonts w:ascii="Times New Roman" w:hAnsi="Times New Roman" w:cs="Times New Roman"/>
            <w:lang w:val="af-ZA"/>
          </w:rPr>
          <w:t>Turkey</w:t>
        </w:r>
      </w:hyperlink>
      <w:r w:rsidR="00D23E6E" w:rsidRPr="00EF7399">
        <w:rPr>
          <w:rFonts w:ascii="Times New Roman" w:hAnsi="Times New Roman" w:cs="Times New Roman"/>
          <w:lang w:val="af-ZA"/>
        </w:rPr>
        <w:t>,</w:t>
      </w:r>
      <w:r w:rsidR="0081194B" w:rsidRPr="00EF7399">
        <w:rPr>
          <w:rFonts w:ascii="Times New Roman" w:hAnsi="Times New Roman" w:cs="Times New Roman"/>
          <w:lang w:val="af-ZA"/>
        </w:rPr>
        <w:t xml:space="preserve"> </w:t>
      </w:r>
      <w:r w:rsidR="00FC780F" w:rsidRPr="00EF7399">
        <w:rPr>
          <w:rFonts w:ascii="Times New Roman" w:hAnsi="Times New Roman" w:cs="Times New Roman"/>
          <w:lang w:val="af-ZA"/>
        </w:rPr>
        <w:t xml:space="preserve">2006, </w:t>
      </w:r>
      <w:r w:rsidR="0081194B" w:rsidRPr="00EF7399">
        <w:rPr>
          <w:rFonts w:ascii="Times New Roman" w:hAnsi="Times New Roman" w:cs="Times New Roman"/>
          <w:lang w:val="af-ZA"/>
        </w:rPr>
        <w:t>§</w:t>
      </w:r>
      <w:r w:rsidR="00873234" w:rsidRPr="00EF7399">
        <w:rPr>
          <w:rFonts w:ascii="Times New Roman" w:hAnsi="Times New Roman" w:cs="Times New Roman"/>
          <w:lang w:val="af-ZA"/>
        </w:rPr>
        <w:t>§ </w:t>
      </w:r>
      <w:r w:rsidR="0081194B" w:rsidRPr="00EF7399">
        <w:rPr>
          <w:rFonts w:ascii="Times New Roman" w:hAnsi="Times New Roman" w:cs="Times New Roman"/>
          <w:lang w:val="af-ZA"/>
        </w:rPr>
        <w:t xml:space="preserve">41-42; </w:t>
      </w:r>
      <w:hyperlink r:id="rId254" w:history="1">
        <w:r w:rsidR="0081194B" w:rsidRPr="00EF7399">
          <w:rPr>
            <w:rStyle w:val="Hyperlink"/>
            <w:rFonts w:ascii="Times New Roman" w:hAnsi="Times New Roman" w:cs="Times New Roman"/>
            <w:lang w:val="af-ZA"/>
          </w:rPr>
          <w:t>Bukta and Others</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Hungary</w:t>
        </w:r>
      </w:hyperlink>
      <w:r w:rsidR="0081194B" w:rsidRPr="00EF7399">
        <w:rPr>
          <w:rFonts w:ascii="Times New Roman" w:hAnsi="Times New Roman" w:cs="Times New Roman"/>
          <w:lang w:val="af-ZA"/>
        </w:rPr>
        <w:t xml:space="preserve">, </w:t>
      </w:r>
      <w:r w:rsidR="00847302" w:rsidRPr="00EF7399">
        <w:rPr>
          <w:rFonts w:ascii="Times New Roman" w:hAnsi="Times New Roman" w:cs="Times New Roman"/>
          <w:lang w:val="af-ZA"/>
        </w:rPr>
        <w:t xml:space="preserve">2007,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 xml:space="preserve">34; </w:t>
      </w:r>
      <w:hyperlink r:id="rId255" w:history="1">
        <w:r w:rsidR="0081194B" w:rsidRPr="00EF7399">
          <w:rPr>
            <w:rStyle w:val="Hyperlink"/>
            <w:rFonts w:ascii="Times New Roman" w:hAnsi="Times New Roman" w:cs="Times New Roman"/>
            <w:lang w:val="af-ZA"/>
          </w:rPr>
          <w:t>Navalnyy and Yashin</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Russia</w:t>
        </w:r>
      </w:hyperlink>
      <w:r w:rsidR="0081194B" w:rsidRPr="00EF7399">
        <w:rPr>
          <w:rFonts w:ascii="Times New Roman" w:hAnsi="Times New Roman" w:cs="Times New Roman"/>
          <w:i/>
          <w:lang w:val="af-ZA"/>
        </w:rPr>
        <w:t>,</w:t>
      </w:r>
      <w:r w:rsidR="0081194B" w:rsidRPr="00EF7399">
        <w:rPr>
          <w:rFonts w:ascii="Times New Roman" w:hAnsi="Times New Roman" w:cs="Times New Roman"/>
          <w:lang w:val="af-ZA"/>
        </w:rPr>
        <w:t xml:space="preserve"> </w:t>
      </w:r>
      <w:r w:rsidR="00FC780F"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63)</w:t>
      </w:r>
      <w:r w:rsidR="00262A5C" w:rsidRPr="00EF7399">
        <w:rPr>
          <w:rFonts w:ascii="Times New Roman" w:hAnsi="Times New Roman" w:cs="Times New Roman"/>
          <w:lang w:val="af-ZA"/>
        </w:rPr>
        <w:t>:</w:t>
      </w:r>
    </w:p>
    <w:p w14:paraId="183B2DE9" w14:textId="50AF7210" w:rsidR="007B4F5E" w:rsidRPr="00EF7399" w:rsidRDefault="007B4F5E" w:rsidP="007B4F5E">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99</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262A5C" w:rsidRPr="00EF7399">
        <w:rPr>
          <w:rFonts w:ascii="Times New Roman" w:hAnsi="Times New Roman" w:cs="Times New Roman"/>
          <w:lang w:val="af-ZA"/>
        </w:rPr>
        <w:t xml:space="preserve">Հետևաբար, նախնական արտոնության բացակայությունը և </w:t>
      </w:r>
      <w:r w:rsidR="00CF4157" w:rsidRPr="00EF7399">
        <w:rPr>
          <w:rFonts w:ascii="Times New Roman" w:hAnsi="Times New Roman" w:cs="Times New Roman"/>
          <w:lang w:val="af-ZA"/>
        </w:rPr>
        <w:t>գործողության</w:t>
      </w:r>
      <w:r w:rsidR="00D77C13" w:rsidRPr="00EF7399">
        <w:rPr>
          <w:rFonts w:ascii="Times New Roman" w:hAnsi="Times New Roman" w:cs="Times New Roman"/>
          <w:lang w:val="hy-AM"/>
        </w:rPr>
        <w:t>՝</w:t>
      </w:r>
      <w:r w:rsidR="00CF4157" w:rsidRPr="00EF7399">
        <w:rPr>
          <w:rFonts w:ascii="Times New Roman" w:hAnsi="Times New Roman" w:cs="Times New Roman"/>
          <w:lang w:val="af-ZA"/>
        </w:rPr>
        <w:t xml:space="preserve"> դրանից բխող </w:t>
      </w:r>
      <w:r w:rsidR="00262A5C" w:rsidRPr="00EF7399">
        <w:rPr>
          <w:rFonts w:ascii="Times New Roman" w:hAnsi="Times New Roman" w:cs="Times New Roman"/>
          <w:lang w:val="af-ZA"/>
        </w:rPr>
        <w:t>«անօրինականությունը</w:t>
      </w:r>
      <w:r w:rsidR="00CF4157" w:rsidRPr="00EF7399">
        <w:rPr>
          <w:rFonts w:ascii="Times New Roman" w:hAnsi="Times New Roman" w:cs="Times New Roman"/>
          <w:lang w:val="af-ZA"/>
        </w:rPr>
        <w:t xml:space="preserve">» չեն տալիս իշխանություններին </w:t>
      </w:r>
      <w:r w:rsidR="00CF4157" w:rsidRPr="00EF7399">
        <w:rPr>
          <w:rFonts w:ascii="Times New Roman" w:hAnsi="Times New Roman" w:cs="Times New Roman"/>
          <w:i/>
          <w:lang w:val="af-ZA"/>
        </w:rPr>
        <w:t>carte blanche</w:t>
      </w:r>
      <w:r w:rsidR="00CF4157" w:rsidRPr="00EF7399">
        <w:rPr>
          <w:rFonts w:ascii="Times New Roman" w:hAnsi="Times New Roman" w:cs="Times New Roman"/>
          <w:lang w:val="af-ZA"/>
        </w:rPr>
        <w:t xml:space="preserve">, քանի որ </w:t>
      </w:r>
      <w:r w:rsidR="00D77C13" w:rsidRPr="00EF7399">
        <w:rPr>
          <w:rFonts w:ascii="Times New Roman" w:hAnsi="Times New Roman" w:cs="Times New Roman"/>
          <w:lang w:val="hy-AM"/>
        </w:rPr>
        <w:t>դ</w:t>
      </w:r>
      <w:r w:rsidR="00CF4157" w:rsidRPr="00EF7399">
        <w:rPr>
          <w:rFonts w:ascii="Times New Roman" w:hAnsi="Times New Roman" w:cs="Times New Roman"/>
          <w:lang w:val="af-ZA"/>
        </w:rPr>
        <w:t xml:space="preserve">րանք դեռևս սահմանափակված են 11-րդ հոդվածի համաչափության պահանջով </w:t>
      </w:r>
      <w:r w:rsidR="0081194B" w:rsidRPr="00EF7399">
        <w:rPr>
          <w:rFonts w:ascii="Times New Roman" w:hAnsi="Times New Roman" w:cs="Times New Roman"/>
          <w:lang w:val="af-ZA"/>
        </w:rPr>
        <w:t>(</w:t>
      </w:r>
      <w:hyperlink r:id="rId256" w:history="1">
        <w:r w:rsidR="0081194B" w:rsidRPr="00EF7399">
          <w:rPr>
            <w:rStyle w:val="Hyperlink"/>
            <w:rFonts w:ascii="Times New Roman" w:hAnsi="Times New Roman" w:cs="Times New Roman"/>
            <w:lang w:val="af-ZA"/>
          </w:rPr>
          <w:t>Primov and Others</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Russia</w:t>
        </w:r>
      </w:hyperlink>
      <w:r w:rsidR="0081194B" w:rsidRPr="00EF7399">
        <w:rPr>
          <w:rFonts w:ascii="Times New Roman" w:hAnsi="Times New Roman" w:cs="Times New Roman"/>
          <w:lang w:val="af-ZA"/>
        </w:rPr>
        <w:t xml:space="preserve">, </w:t>
      </w:r>
      <w:r w:rsidR="00FC780F"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119)</w:t>
      </w:r>
      <w:r w:rsidR="00CF4157" w:rsidRPr="00EF7399">
        <w:rPr>
          <w:rFonts w:ascii="Times New Roman" w:hAnsi="Times New Roman" w:cs="Times New Roman"/>
          <w:lang w:val="af-ZA"/>
        </w:rPr>
        <w:t>: Ա</w:t>
      </w:r>
      <w:r w:rsidR="00500098" w:rsidRPr="00EF7399">
        <w:rPr>
          <w:rFonts w:ascii="Times New Roman" w:hAnsi="Times New Roman" w:cs="Times New Roman"/>
          <w:lang w:val="hy-AM"/>
        </w:rPr>
        <w:t>յսպիսով, ա</w:t>
      </w:r>
      <w:r w:rsidR="00CF4157" w:rsidRPr="00EF7399">
        <w:rPr>
          <w:rFonts w:ascii="Times New Roman" w:hAnsi="Times New Roman" w:cs="Times New Roman"/>
          <w:lang w:val="af-ZA"/>
        </w:rPr>
        <w:t>ռա</w:t>
      </w:r>
      <w:r w:rsidR="00500098" w:rsidRPr="00EF7399">
        <w:rPr>
          <w:rFonts w:ascii="Times New Roman" w:hAnsi="Times New Roman" w:cs="Times New Roman"/>
          <w:lang w:val="hy-AM"/>
        </w:rPr>
        <w:t>ջ</w:t>
      </w:r>
      <w:r w:rsidR="00CF4157" w:rsidRPr="00EF7399">
        <w:rPr>
          <w:rFonts w:ascii="Times New Roman" w:hAnsi="Times New Roman" w:cs="Times New Roman"/>
          <w:lang w:val="af-ZA"/>
        </w:rPr>
        <w:t xml:space="preserve">ին հերթին </w:t>
      </w:r>
      <w:r w:rsidR="00500098" w:rsidRPr="00EF7399">
        <w:rPr>
          <w:rFonts w:ascii="Times New Roman" w:hAnsi="Times New Roman" w:cs="Times New Roman"/>
          <w:lang w:val="hy-AM"/>
        </w:rPr>
        <w:t>պետք</w:t>
      </w:r>
      <w:r w:rsidR="00500098" w:rsidRPr="00EF7399">
        <w:rPr>
          <w:rFonts w:ascii="Times New Roman" w:hAnsi="Times New Roman" w:cs="Times New Roman"/>
          <w:lang w:val="af-ZA"/>
        </w:rPr>
        <w:t xml:space="preserve"> </w:t>
      </w:r>
      <w:r w:rsidR="00CF4157" w:rsidRPr="00EF7399">
        <w:rPr>
          <w:rFonts w:ascii="Times New Roman" w:hAnsi="Times New Roman" w:cs="Times New Roman"/>
          <w:lang w:val="af-ZA"/>
        </w:rPr>
        <w:t>է պարզել</w:t>
      </w:r>
      <w:r w:rsidR="00500098" w:rsidRPr="00EF7399">
        <w:rPr>
          <w:rFonts w:ascii="Times New Roman" w:hAnsi="Times New Roman" w:cs="Times New Roman"/>
          <w:lang w:val="hy-AM"/>
        </w:rPr>
        <w:t>, թե</w:t>
      </w:r>
      <w:r w:rsidR="00CF4157" w:rsidRPr="00EF7399">
        <w:rPr>
          <w:rFonts w:ascii="Times New Roman" w:hAnsi="Times New Roman" w:cs="Times New Roman"/>
          <w:lang w:val="af-ZA"/>
        </w:rPr>
        <w:t xml:space="preserve"> </w:t>
      </w:r>
      <w:r w:rsidR="00500098" w:rsidRPr="00EF7399">
        <w:rPr>
          <w:rFonts w:ascii="Times New Roman" w:hAnsi="Times New Roman" w:cs="Times New Roman"/>
          <w:lang w:val="af-ZA"/>
        </w:rPr>
        <w:t>ցույց</w:t>
      </w:r>
      <w:r w:rsidR="00500098" w:rsidRPr="00EF7399">
        <w:rPr>
          <w:rFonts w:ascii="Times New Roman" w:hAnsi="Times New Roman" w:cs="Times New Roman"/>
          <w:lang w:val="hy-AM"/>
        </w:rPr>
        <w:t>ն</w:t>
      </w:r>
      <w:r w:rsidR="00500098" w:rsidRPr="00EF7399">
        <w:rPr>
          <w:rFonts w:ascii="Times New Roman" w:hAnsi="Times New Roman" w:cs="Times New Roman"/>
          <w:lang w:val="af-ZA"/>
        </w:rPr>
        <w:t xml:space="preserve"> </w:t>
      </w:r>
      <w:r w:rsidR="00CF4157" w:rsidRPr="00EF7399">
        <w:rPr>
          <w:rFonts w:ascii="Times New Roman" w:hAnsi="Times New Roman" w:cs="Times New Roman"/>
          <w:lang w:val="af-ZA"/>
        </w:rPr>
        <w:t>ինչու չի արտոնվել, ինչ հանրային շահ է եղել</w:t>
      </w:r>
      <w:r w:rsidR="00500098" w:rsidRPr="00EF7399">
        <w:rPr>
          <w:rFonts w:ascii="Times New Roman" w:hAnsi="Times New Roman" w:cs="Times New Roman"/>
          <w:lang w:val="hy-AM"/>
        </w:rPr>
        <w:t>,</w:t>
      </w:r>
      <w:r w:rsidR="00CF4157" w:rsidRPr="00EF7399">
        <w:rPr>
          <w:rFonts w:ascii="Times New Roman" w:hAnsi="Times New Roman" w:cs="Times New Roman"/>
          <w:lang w:val="af-ZA"/>
        </w:rPr>
        <w:t xml:space="preserve"> և ինչ վտանգներ է ներկայացրել ցույցը: Բողոքի ցույցի մասնակիցներին զսպելու, նրանց որոշակի վայրում պահելու կամ ցույցը ցրելու համար ոստիկանության գործադրած մեթոդը նույնպես կարևոր գործոն է, երբ գնահատվում է միջամտության համաչափությունը </w:t>
      </w:r>
      <w:r w:rsidR="0081194B" w:rsidRPr="00EF7399">
        <w:rPr>
          <w:rFonts w:ascii="Times New Roman" w:hAnsi="Times New Roman" w:cs="Times New Roman"/>
          <w:lang w:val="af-ZA"/>
        </w:rPr>
        <w:t>(</w:t>
      </w:r>
      <w:hyperlink r:id="rId257" w:history="1">
        <w:r w:rsidR="0081194B" w:rsidRPr="00EF7399">
          <w:rPr>
            <w:rStyle w:val="Hyperlink"/>
            <w:rFonts w:ascii="Times New Roman" w:hAnsi="Times New Roman" w:cs="Times New Roman"/>
            <w:lang w:val="af-ZA"/>
          </w:rPr>
          <w:t>ibid</w:t>
        </w:r>
      </w:hyperlink>
      <w:r w:rsidR="0081194B" w:rsidRPr="00EF7399">
        <w:rPr>
          <w:rFonts w:ascii="Times New Roman" w:hAnsi="Times New Roman" w:cs="Times New Roman"/>
          <w:lang w:val="af-ZA"/>
        </w:rPr>
        <w:t>.)</w:t>
      </w:r>
      <w:r w:rsidR="00CF4157" w:rsidRPr="00EF7399">
        <w:rPr>
          <w:rFonts w:ascii="Times New Roman" w:hAnsi="Times New Roman" w:cs="Times New Roman"/>
          <w:lang w:val="af-ZA"/>
        </w:rPr>
        <w:t>: Քաղաքական հանրահավաք ցրելու որոշումը պետք է հիմնված լինի</w:t>
      </w:r>
      <w:r w:rsidR="00175C88" w:rsidRPr="00EF7399">
        <w:rPr>
          <w:rFonts w:ascii="Times New Roman" w:hAnsi="Times New Roman" w:cs="Times New Roman"/>
          <w:lang w:val="af-ZA"/>
        </w:rPr>
        <w:t xml:space="preserve"> պատշաճ </w:t>
      </w:r>
      <w:r w:rsidR="00045E66" w:rsidRPr="00EF7399">
        <w:rPr>
          <w:rFonts w:ascii="Times New Roman" w:hAnsi="Times New Roman" w:cs="Times New Roman"/>
          <w:lang w:val="hy-AM"/>
        </w:rPr>
        <w:t>գիտակցման</w:t>
      </w:r>
      <w:r w:rsidR="00045E66" w:rsidRPr="00EF7399">
        <w:rPr>
          <w:rFonts w:ascii="Times New Roman" w:hAnsi="Times New Roman" w:cs="Times New Roman"/>
          <w:lang w:val="af-ZA"/>
        </w:rPr>
        <w:t xml:space="preserve"> </w:t>
      </w:r>
      <w:r w:rsidR="00175C88" w:rsidRPr="00EF7399">
        <w:rPr>
          <w:rFonts w:ascii="Times New Roman" w:hAnsi="Times New Roman" w:cs="Times New Roman"/>
          <w:lang w:val="af-ZA"/>
        </w:rPr>
        <w:t>վրա, որ</w:t>
      </w:r>
      <w:r w:rsidR="00CF4157" w:rsidRPr="00EF7399">
        <w:rPr>
          <w:rFonts w:ascii="Times New Roman" w:hAnsi="Times New Roman" w:cs="Times New Roman"/>
          <w:lang w:val="af-ZA"/>
        </w:rPr>
        <w:t xml:space="preserve"> </w:t>
      </w:r>
      <w:r w:rsidR="00175C88" w:rsidRPr="00EF7399">
        <w:rPr>
          <w:rFonts w:ascii="Times New Roman" w:hAnsi="Times New Roman" w:cs="Times New Roman"/>
          <w:lang w:val="af-ZA"/>
        </w:rPr>
        <w:t>Կոնվենցիան նախատեսում է արտոնյալ պաշտպանություն հանրային հետաքրքրություն ունեցող հարցերի վերաբերյալ քաղաքական խոսքի և բանավեճի, նաև նման հարցերի վերաբերյալ կարծիքների խաղաղ արտահայտման համար, իսկ իշխանություններն ունեն քաղաքական խոսքը սահմանափակելու հայեցողությ</w:t>
      </w:r>
      <w:r w:rsidR="00045E66" w:rsidRPr="00EF7399">
        <w:rPr>
          <w:rFonts w:ascii="Times New Roman" w:hAnsi="Times New Roman" w:cs="Times New Roman"/>
          <w:lang w:val="hy-AM"/>
        </w:rPr>
        <w:t>ա</w:t>
      </w:r>
      <w:r w:rsidR="00175C88" w:rsidRPr="00EF7399">
        <w:rPr>
          <w:rFonts w:ascii="Times New Roman" w:hAnsi="Times New Roman" w:cs="Times New Roman"/>
          <w:lang w:val="af-ZA"/>
        </w:rPr>
        <w:t>ն</w:t>
      </w:r>
      <w:r w:rsidR="00045E66" w:rsidRPr="00EF7399">
        <w:rPr>
          <w:rFonts w:ascii="Times New Roman" w:hAnsi="Times New Roman" w:cs="Times New Roman"/>
          <w:lang w:val="hy-AM"/>
        </w:rPr>
        <w:t xml:space="preserve"> </w:t>
      </w:r>
      <w:r w:rsidR="00045E66" w:rsidRPr="00EF7399">
        <w:rPr>
          <w:rFonts w:ascii="Times New Roman" w:hAnsi="Times New Roman" w:cs="Times New Roman"/>
          <w:lang w:val="af-ZA"/>
        </w:rPr>
        <w:t>նեղ</w:t>
      </w:r>
      <w:r w:rsidR="00045E66" w:rsidRPr="00EF7399">
        <w:rPr>
          <w:rFonts w:ascii="Times New Roman" w:hAnsi="Times New Roman" w:cs="Times New Roman"/>
          <w:lang w:val="hy-AM"/>
        </w:rPr>
        <w:t xml:space="preserve"> շրջանակ</w:t>
      </w:r>
      <w:r w:rsidR="00175C88" w:rsidRPr="00EF7399">
        <w:rPr>
          <w:rFonts w:ascii="Times New Roman" w:hAnsi="Times New Roman" w:cs="Times New Roman"/>
          <w:lang w:val="af-ZA"/>
        </w:rPr>
        <w:t xml:space="preserve"> </w:t>
      </w:r>
      <w:r w:rsidR="0081194B" w:rsidRPr="00EF7399">
        <w:rPr>
          <w:rFonts w:ascii="Times New Roman" w:hAnsi="Times New Roman" w:cs="Times New Roman"/>
          <w:lang w:val="af-ZA"/>
        </w:rPr>
        <w:t>(</w:t>
      </w:r>
      <w:hyperlink r:id="rId258" w:history="1">
        <w:r w:rsidR="0081194B" w:rsidRPr="00EF7399">
          <w:rPr>
            <w:rStyle w:val="Hyperlink"/>
            <w:rFonts w:ascii="Times New Roman" w:hAnsi="Times New Roman" w:cs="Times New Roman"/>
            <w:lang w:val="af-ZA"/>
          </w:rPr>
          <w:t>Navalnyy</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Russia</w:t>
        </w:r>
      </w:hyperlink>
      <w:r w:rsidR="0081194B" w:rsidRPr="00EF7399">
        <w:rPr>
          <w:rFonts w:ascii="Times New Roman" w:hAnsi="Times New Roman" w:cs="Times New Roman"/>
          <w:lang w:val="af-ZA"/>
        </w:rPr>
        <w:t xml:space="preserve"> [GC], </w:t>
      </w:r>
      <w:r w:rsidR="00847302" w:rsidRPr="00EF7399">
        <w:rPr>
          <w:rFonts w:ascii="Times New Roman" w:hAnsi="Times New Roman" w:cs="Times New Roman"/>
          <w:lang w:val="af-ZA"/>
        </w:rPr>
        <w:t xml:space="preserve">2018,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13</w:t>
      </w:r>
      <w:r w:rsidR="00D36F39" w:rsidRPr="00EF7399">
        <w:rPr>
          <w:rFonts w:ascii="Times New Roman" w:hAnsi="Times New Roman" w:cs="Times New Roman"/>
          <w:lang w:val="af-ZA"/>
        </w:rPr>
        <w:t>3</w:t>
      </w:r>
      <w:r w:rsidR="0081194B" w:rsidRPr="00EF7399">
        <w:rPr>
          <w:rFonts w:ascii="Times New Roman" w:hAnsi="Times New Roman" w:cs="Times New Roman"/>
          <w:lang w:val="af-ZA"/>
        </w:rPr>
        <w:t>)</w:t>
      </w:r>
      <w:r w:rsidR="00175C88" w:rsidRPr="00EF7399">
        <w:rPr>
          <w:rFonts w:ascii="Times New Roman" w:hAnsi="Times New Roman" w:cs="Times New Roman"/>
          <w:lang w:val="af-ZA"/>
        </w:rPr>
        <w:t>:</w:t>
      </w:r>
    </w:p>
    <w:p w14:paraId="315CF1CD" w14:textId="0A9206A8" w:rsidR="007B4F5E" w:rsidRPr="00EF7399" w:rsidRDefault="007B4F5E" w:rsidP="007B4F5E">
      <w:pPr>
        <w:pStyle w:val="ECHRParaSpaced"/>
        <w:rPr>
          <w:rFonts w:ascii="Times New Roman" w:hAnsi="Times New Roman" w:cs="Times New Roman"/>
          <w:i/>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100</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F569D5" w:rsidRPr="00EF7399">
        <w:rPr>
          <w:rFonts w:ascii="Times New Roman" w:hAnsi="Times New Roman" w:cs="Times New Roman"/>
          <w:lang w:val="af-ZA"/>
        </w:rPr>
        <w:t xml:space="preserve"> </w:t>
      </w:r>
      <w:r w:rsidR="009F1DAB" w:rsidRPr="00EF7399">
        <w:rPr>
          <w:rFonts w:ascii="Times New Roman" w:hAnsi="Times New Roman" w:cs="Times New Roman"/>
          <w:lang w:val="hy-AM"/>
        </w:rPr>
        <w:t>Պ</w:t>
      </w:r>
      <w:r w:rsidR="009F1DAB" w:rsidRPr="00EF7399">
        <w:rPr>
          <w:rFonts w:ascii="Times New Roman" w:hAnsi="Times New Roman" w:cs="Times New Roman"/>
          <w:lang w:val="af-ZA"/>
        </w:rPr>
        <w:t>ահանջ</w:t>
      </w:r>
      <w:r w:rsidR="009F1DAB" w:rsidRPr="00EF7399">
        <w:rPr>
          <w:rFonts w:ascii="Times New Roman" w:hAnsi="Times New Roman" w:cs="Times New Roman"/>
          <w:lang w:val="hy-AM"/>
        </w:rPr>
        <w:t>ն առ այն, որ</w:t>
      </w:r>
      <w:r w:rsidR="009F1DAB" w:rsidRPr="00EF7399">
        <w:rPr>
          <w:rFonts w:ascii="Times New Roman" w:hAnsi="Times New Roman" w:cs="Times New Roman"/>
          <w:lang w:val="af-ZA"/>
        </w:rPr>
        <w:t xml:space="preserve"> իշխանություններ</w:t>
      </w:r>
      <w:r w:rsidR="009F1DAB" w:rsidRPr="00EF7399">
        <w:rPr>
          <w:rFonts w:ascii="Times New Roman" w:hAnsi="Times New Roman" w:cs="Times New Roman"/>
          <w:lang w:val="hy-AM"/>
        </w:rPr>
        <w:t>ը պետք է ցուցաբերեն</w:t>
      </w:r>
      <w:r w:rsidR="009F1DAB" w:rsidRPr="00EF7399">
        <w:rPr>
          <w:rFonts w:ascii="Times New Roman" w:hAnsi="Times New Roman" w:cs="Times New Roman"/>
          <w:lang w:val="af-ZA"/>
        </w:rPr>
        <w:t xml:space="preserve"> </w:t>
      </w:r>
      <w:r w:rsidR="00F569D5" w:rsidRPr="00EF7399">
        <w:rPr>
          <w:rFonts w:ascii="Times New Roman" w:hAnsi="Times New Roman" w:cs="Times New Roman"/>
          <w:lang w:val="af-ZA"/>
        </w:rPr>
        <w:t xml:space="preserve">որոշակի </w:t>
      </w:r>
      <w:r w:rsidR="009F1DAB" w:rsidRPr="00EF7399">
        <w:rPr>
          <w:rFonts w:ascii="Times New Roman" w:hAnsi="Times New Roman" w:cs="Times New Roman"/>
          <w:lang w:val="hy-AM"/>
        </w:rPr>
        <w:t>աստիճանի</w:t>
      </w:r>
      <w:r w:rsidR="009F1DAB" w:rsidRPr="00EF7399">
        <w:rPr>
          <w:rFonts w:ascii="Times New Roman" w:hAnsi="Times New Roman" w:cs="Times New Roman"/>
          <w:lang w:val="af-ZA"/>
        </w:rPr>
        <w:t xml:space="preserve"> </w:t>
      </w:r>
      <w:r w:rsidR="00F569D5" w:rsidRPr="00EF7399">
        <w:rPr>
          <w:rFonts w:ascii="Times New Roman" w:hAnsi="Times New Roman" w:cs="Times New Roman"/>
          <w:lang w:val="af-ZA"/>
        </w:rPr>
        <w:t xml:space="preserve">հանդուրժողականություն </w:t>
      </w:r>
      <w:r w:rsidR="009F1DAB" w:rsidRPr="00EF7399">
        <w:rPr>
          <w:rFonts w:ascii="Times New Roman" w:hAnsi="Times New Roman" w:cs="Times New Roman"/>
          <w:lang w:val="af-ZA"/>
        </w:rPr>
        <w:t>«</w:t>
      </w:r>
      <w:r w:rsidR="009F1DAB" w:rsidRPr="00EF7399">
        <w:rPr>
          <w:rFonts w:ascii="Times New Roman" w:hAnsi="Times New Roman" w:cs="Times New Roman"/>
          <w:lang w:val="hy-AM"/>
        </w:rPr>
        <w:t>ա</w:t>
      </w:r>
      <w:r w:rsidR="009F1DAB" w:rsidRPr="00EF7399">
        <w:rPr>
          <w:rFonts w:ascii="Times New Roman" w:hAnsi="Times New Roman" w:cs="Times New Roman"/>
          <w:lang w:val="af-ZA"/>
        </w:rPr>
        <w:t>նօրինական» խաղաղ հավաքների նկատմամբ</w:t>
      </w:r>
      <w:r w:rsidR="00F569D5" w:rsidRPr="00EF7399">
        <w:rPr>
          <w:rFonts w:ascii="Times New Roman" w:hAnsi="Times New Roman" w:cs="Times New Roman"/>
          <w:lang w:val="af-ZA"/>
        </w:rPr>
        <w:t xml:space="preserve">, պետք է տարածվի այն դեպքերի վրա, երբ ցույցն անցել է  հանրային վայրում` անվտանգությանը սպառնացող կամ անկարգության վտանգի բացակայությամբ </w:t>
      </w:r>
      <w:r w:rsidR="0081194B" w:rsidRPr="00EF7399">
        <w:rPr>
          <w:rFonts w:ascii="Times New Roman" w:hAnsi="Times New Roman" w:cs="Times New Roman"/>
          <w:lang w:val="af-ZA"/>
        </w:rPr>
        <w:t>(</w:t>
      </w:r>
      <w:hyperlink r:id="rId259" w:history="1">
        <w:r w:rsidR="0081194B" w:rsidRPr="00EF7399">
          <w:rPr>
            <w:rStyle w:val="Hyperlink"/>
            <w:rFonts w:ascii="Times New Roman" w:hAnsi="Times New Roman" w:cs="Times New Roman"/>
            <w:lang w:val="af-ZA"/>
          </w:rPr>
          <w:t>Fáber</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Hungary</w:t>
        </w:r>
      </w:hyperlink>
      <w:r w:rsidR="0081194B" w:rsidRPr="00EF7399">
        <w:rPr>
          <w:rFonts w:ascii="Times New Roman" w:hAnsi="Times New Roman" w:cs="Times New Roman"/>
          <w:lang w:val="af-ZA"/>
        </w:rPr>
        <w:t>,</w:t>
      </w:r>
      <w:r w:rsidR="00847302" w:rsidRPr="00EF7399">
        <w:rPr>
          <w:rFonts w:ascii="Times New Roman" w:hAnsi="Times New Roman" w:cs="Times New Roman"/>
          <w:lang w:val="af-ZA"/>
        </w:rPr>
        <w:t xml:space="preserve"> 2012,</w:t>
      </w:r>
      <w:r w:rsidR="0081194B" w:rsidRPr="00EF7399">
        <w:rPr>
          <w:rFonts w:ascii="Times New Roman" w:hAnsi="Times New Roman" w:cs="Times New Roman"/>
          <w:lang w:val="af-ZA"/>
        </w:rPr>
        <w:t xml:space="preserve">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47),</w:t>
      </w:r>
      <w:r w:rsidR="00C4453A" w:rsidRPr="00EF7399">
        <w:rPr>
          <w:rFonts w:ascii="Times New Roman" w:hAnsi="Times New Roman" w:cs="Times New Roman"/>
          <w:lang w:val="af-ZA"/>
        </w:rPr>
        <w:t xml:space="preserve"> եթե բողոքի ակցիայի մասնակիցների պատճառած անհարմարությունները չեն գերազանցել հասարակական կարգի ոչ էական խախտումների այն մակարդակը, որն ի հայտ է գալիս հանրային վայրում հավաքների ազատության իրավունքի բնականոն իրա</w:t>
      </w:r>
      <w:r w:rsidR="009F1DAB" w:rsidRPr="00EF7399">
        <w:rPr>
          <w:rFonts w:ascii="Times New Roman" w:hAnsi="Times New Roman" w:cs="Times New Roman"/>
          <w:lang w:val="hy-AM"/>
        </w:rPr>
        <w:t>ցմ</w:t>
      </w:r>
      <w:r w:rsidR="00C4453A" w:rsidRPr="00EF7399">
        <w:rPr>
          <w:rFonts w:ascii="Times New Roman" w:hAnsi="Times New Roman" w:cs="Times New Roman"/>
          <w:lang w:val="af-ZA"/>
        </w:rPr>
        <w:t>ան արդյու</w:t>
      </w:r>
      <w:r w:rsidR="009F1DAB" w:rsidRPr="00EF7399">
        <w:rPr>
          <w:rFonts w:ascii="Times New Roman" w:hAnsi="Times New Roman" w:cs="Times New Roman"/>
          <w:lang w:val="hy-AM"/>
        </w:rPr>
        <w:t>ն</w:t>
      </w:r>
      <w:r w:rsidR="00C4453A" w:rsidRPr="00EF7399">
        <w:rPr>
          <w:rFonts w:ascii="Times New Roman" w:hAnsi="Times New Roman" w:cs="Times New Roman"/>
          <w:lang w:val="af-ZA"/>
        </w:rPr>
        <w:t xml:space="preserve">քում </w:t>
      </w:r>
      <w:r w:rsidR="0081194B" w:rsidRPr="00EF7399">
        <w:rPr>
          <w:rFonts w:ascii="Times New Roman" w:hAnsi="Times New Roman" w:cs="Times New Roman"/>
          <w:lang w:val="af-ZA"/>
        </w:rPr>
        <w:t>(</w:t>
      </w:r>
      <w:hyperlink r:id="rId260" w:history="1">
        <w:r w:rsidR="0081194B" w:rsidRPr="00EF7399">
          <w:rPr>
            <w:rStyle w:val="Hyperlink"/>
            <w:rFonts w:ascii="Times New Roman" w:hAnsi="Times New Roman" w:cs="Times New Roman"/>
            <w:lang w:val="af-ZA"/>
          </w:rPr>
          <w:t>Navalnyy</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Russia</w:t>
        </w:r>
      </w:hyperlink>
      <w:r w:rsidR="008E501D" w:rsidRPr="00EF7399">
        <w:rPr>
          <w:rFonts w:ascii="Times New Roman" w:hAnsi="Times New Roman" w:cs="Times New Roman"/>
          <w:lang w:val="af-ZA"/>
        </w:rPr>
        <w:t xml:space="preserve"> [GC], </w:t>
      </w:r>
      <w:r w:rsidR="00847302" w:rsidRPr="00EF7399">
        <w:rPr>
          <w:rFonts w:ascii="Times New Roman" w:hAnsi="Times New Roman" w:cs="Times New Roman"/>
          <w:lang w:val="af-ZA"/>
        </w:rPr>
        <w:t xml:space="preserve">2018,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1</w:t>
      </w:r>
      <w:r w:rsidR="00D36F39" w:rsidRPr="00EF7399">
        <w:rPr>
          <w:rFonts w:ascii="Times New Roman" w:hAnsi="Times New Roman" w:cs="Times New Roman"/>
          <w:lang w:val="af-ZA"/>
        </w:rPr>
        <w:t>31</w:t>
      </w:r>
      <w:r w:rsidR="0081194B" w:rsidRPr="00EF7399">
        <w:rPr>
          <w:rFonts w:ascii="Times New Roman" w:hAnsi="Times New Roman" w:cs="Times New Roman"/>
          <w:lang w:val="af-ZA"/>
        </w:rPr>
        <w:t>-13</w:t>
      </w:r>
      <w:r w:rsidR="00D36F39" w:rsidRPr="00EF7399">
        <w:rPr>
          <w:rFonts w:ascii="Times New Roman" w:hAnsi="Times New Roman" w:cs="Times New Roman"/>
          <w:lang w:val="af-ZA"/>
        </w:rPr>
        <w:t>2</w:t>
      </w:r>
      <w:r w:rsidR="0081194B" w:rsidRPr="00EF7399">
        <w:rPr>
          <w:rFonts w:ascii="Times New Roman" w:hAnsi="Times New Roman" w:cs="Times New Roman"/>
          <w:lang w:val="af-ZA"/>
        </w:rPr>
        <w:t>)</w:t>
      </w:r>
      <w:r w:rsidR="00C4453A" w:rsidRPr="00EF7399">
        <w:rPr>
          <w:rFonts w:ascii="Times New Roman" w:hAnsi="Times New Roman" w:cs="Times New Roman"/>
          <w:lang w:val="af-ZA"/>
        </w:rPr>
        <w:t xml:space="preserve">: Ավելին, այն պետք է տարածվի այն հավաքների վրա, որոնք </w:t>
      </w:r>
      <w:r w:rsidR="001A6940" w:rsidRPr="00EF7399">
        <w:rPr>
          <w:rFonts w:ascii="Times New Roman" w:hAnsi="Times New Roman" w:cs="Times New Roman"/>
          <w:lang w:val="af-ZA"/>
        </w:rPr>
        <w:t>առաջացրել</w:t>
      </w:r>
      <w:r w:rsidR="00C4453A" w:rsidRPr="00EF7399">
        <w:rPr>
          <w:rFonts w:ascii="Times New Roman" w:hAnsi="Times New Roman" w:cs="Times New Roman"/>
          <w:lang w:val="af-ZA"/>
        </w:rPr>
        <w:t xml:space="preserve"> են բնականոն կյանքի</w:t>
      </w:r>
      <w:r w:rsidR="001A6940" w:rsidRPr="00EF7399">
        <w:rPr>
          <w:rFonts w:ascii="Times New Roman" w:hAnsi="Times New Roman" w:cs="Times New Roman"/>
          <w:lang w:val="af-ZA"/>
        </w:rPr>
        <w:t>, այդ թվում` երթևեկության</w:t>
      </w:r>
      <w:r w:rsidR="00C4453A" w:rsidRPr="00EF7399">
        <w:rPr>
          <w:rFonts w:ascii="Times New Roman" w:hAnsi="Times New Roman" w:cs="Times New Roman"/>
          <w:lang w:val="af-ZA"/>
        </w:rPr>
        <w:t xml:space="preserve"> որոշակի աստիճանի խաթար</w:t>
      </w:r>
      <w:r w:rsidR="001A6940" w:rsidRPr="00EF7399">
        <w:rPr>
          <w:rFonts w:ascii="Times New Roman" w:hAnsi="Times New Roman" w:cs="Times New Roman"/>
          <w:lang w:val="af-ZA"/>
        </w:rPr>
        <w:t xml:space="preserve">ումներ </w:t>
      </w:r>
      <w:r w:rsidR="0081194B" w:rsidRPr="00EF7399">
        <w:rPr>
          <w:rFonts w:ascii="Times New Roman" w:hAnsi="Times New Roman" w:cs="Times New Roman"/>
          <w:lang w:val="af-ZA"/>
        </w:rPr>
        <w:t>(</w:t>
      </w:r>
      <w:hyperlink r:id="rId261" w:history="1">
        <w:r w:rsidR="00847302" w:rsidRPr="00EF7399">
          <w:rPr>
            <w:rStyle w:val="Hyperlink"/>
            <w:rFonts w:ascii="Times New Roman" w:hAnsi="Times New Roman" w:cs="Times New Roman"/>
            <w:lang w:val="af-ZA"/>
          </w:rPr>
          <w:t>Kudrevičius and Others</w:t>
        </w:r>
        <w:r w:rsidR="00873234" w:rsidRPr="00EF7399">
          <w:rPr>
            <w:rStyle w:val="Hyperlink"/>
            <w:rFonts w:ascii="Times New Roman" w:hAnsi="Times New Roman" w:cs="Times New Roman"/>
            <w:lang w:val="af-ZA"/>
          </w:rPr>
          <w:t xml:space="preserve"> v. </w:t>
        </w:r>
        <w:r w:rsidR="00847302" w:rsidRPr="00EF7399">
          <w:rPr>
            <w:rStyle w:val="Hyperlink"/>
            <w:rFonts w:ascii="Times New Roman" w:hAnsi="Times New Roman" w:cs="Times New Roman"/>
            <w:lang w:val="af-ZA"/>
          </w:rPr>
          <w:t>Lithuania</w:t>
        </w:r>
      </w:hyperlink>
      <w:r w:rsidR="00847302" w:rsidRPr="00EF7399">
        <w:rPr>
          <w:rFonts w:ascii="Times New Roman" w:hAnsi="Times New Roman" w:cs="Times New Roman"/>
          <w:i/>
          <w:lang w:val="af-ZA"/>
        </w:rPr>
        <w:t xml:space="preserve"> </w:t>
      </w:r>
      <w:r w:rsidR="00847302" w:rsidRPr="00EF7399">
        <w:rPr>
          <w:rFonts w:ascii="Times New Roman" w:hAnsi="Times New Roman" w:cs="Times New Roman"/>
          <w:lang w:val="af-ZA"/>
        </w:rPr>
        <w:t xml:space="preserve">[GC], 2015,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 xml:space="preserve">155; </w:t>
      </w:r>
      <w:hyperlink r:id="rId262" w:history="1">
        <w:r w:rsidR="0081194B" w:rsidRPr="00EF7399">
          <w:rPr>
            <w:rStyle w:val="Hyperlink"/>
            <w:rFonts w:ascii="Times New Roman" w:hAnsi="Times New Roman" w:cs="Times New Roman"/>
            <w:lang w:val="af-ZA"/>
          </w:rPr>
          <w:t>Malofeyeva</w:t>
        </w:r>
      </w:hyperlink>
      <w:r w:rsidR="0081194B" w:rsidRPr="00EF7399">
        <w:rPr>
          <w:rFonts w:ascii="Times New Roman" w:hAnsi="Times New Roman" w:cs="Times New Roman"/>
          <w:lang w:val="af-ZA"/>
        </w:rPr>
        <w:t xml:space="preserve">, </w:t>
      </w:r>
      <w:r w:rsidR="00847302" w:rsidRPr="00EF7399">
        <w:rPr>
          <w:rFonts w:ascii="Times New Roman" w:hAnsi="Times New Roman" w:cs="Times New Roman"/>
          <w:lang w:val="af-ZA"/>
        </w:rPr>
        <w:t xml:space="preserve">2013, </w:t>
      </w:r>
      <w:r w:rsidR="0081194B" w:rsidRPr="00EF7399">
        <w:rPr>
          <w:rFonts w:ascii="Times New Roman" w:hAnsi="Times New Roman" w:cs="Times New Roman"/>
          <w:lang w:val="af-ZA"/>
        </w:rPr>
        <w:t>§</w:t>
      </w:r>
      <w:r w:rsidR="00873234" w:rsidRPr="00EF7399">
        <w:rPr>
          <w:rFonts w:ascii="Times New Roman" w:hAnsi="Times New Roman" w:cs="Times New Roman"/>
          <w:lang w:val="af-ZA"/>
        </w:rPr>
        <w:t>§ </w:t>
      </w:r>
      <w:r w:rsidR="0081194B" w:rsidRPr="00EF7399">
        <w:rPr>
          <w:rFonts w:ascii="Times New Roman" w:hAnsi="Times New Roman" w:cs="Times New Roman"/>
          <w:lang w:val="af-ZA"/>
        </w:rPr>
        <w:t>136</w:t>
      </w:r>
      <w:r w:rsidR="0081194B" w:rsidRPr="00EF7399">
        <w:rPr>
          <w:rFonts w:ascii="Times New Roman" w:hAnsi="Times New Roman" w:cs="Times New Roman"/>
          <w:lang w:val="af-ZA"/>
        </w:rPr>
        <w:noBreakHyphen/>
        <w:t>37)</w:t>
      </w:r>
      <w:r w:rsidR="001A6940" w:rsidRPr="00EF7399">
        <w:rPr>
          <w:rFonts w:ascii="Times New Roman" w:hAnsi="Times New Roman" w:cs="Times New Roman"/>
          <w:lang w:val="af-ZA"/>
        </w:rPr>
        <w:t>:</w:t>
      </w:r>
      <w:r w:rsidR="0081194B" w:rsidRPr="00EF7399">
        <w:rPr>
          <w:rFonts w:ascii="Times New Roman" w:hAnsi="Times New Roman" w:cs="Times New Roman"/>
          <w:lang w:val="af-ZA"/>
        </w:rPr>
        <w:t xml:space="preserve"> </w:t>
      </w:r>
      <w:r w:rsidR="001A6940" w:rsidRPr="00EF7399">
        <w:rPr>
          <w:rFonts w:ascii="Times New Roman" w:hAnsi="Times New Roman" w:cs="Times New Roman"/>
          <w:lang w:val="af-ZA"/>
        </w:rPr>
        <w:t xml:space="preserve">Չկանոնակարգված հավաքի նկատմամբ ակնկալվող հանդուրժողականության սահմանները կախված են կոնկրետ հանգամանքներից, այդ թվում` հասարակության համար դրա առաջացրած անհարմարությունների տևողությունից և աստիճանից, ինչպես նաև այն հանգամանքից, թե արդյոք դրա մասնակիցներին տրվել է բավարար ժամանակ սեփական տեսակետներն արտահայտելու և, համապատասխան հրահանգ ստանալուց հետո, հավաքի վայրը լքելու համար </w:t>
      </w:r>
      <w:r w:rsidR="0081194B" w:rsidRPr="00EF7399">
        <w:rPr>
          <w:rFonts w:ascii="Times New Roman" w:hAnsi="Times New Roman" w:cs="Times New Roman"/>
          <w:lang w:val="af-ZA"/>
        </w:rPr>
        <w:t>(</w:t>
      </w:r>
      <w:hyperlink r:id="rId263" w:history="1">
        <w:r w:rsidR="0081194B" w:rsidRPr="00EF7399">
          <w:rPr>
            <w:rStyle w:val="Hyperlink"/>
            <w:rFonts w:ascii="Times New Roman" w:hAnsi="Times New Roman" w:cs="Times New Roman"/>
            <w:lang w:val="af-ZA"/>
          </w:rPr>
          <w:t>Frumkin</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Russia</w:t>
        </w:r>
      </w:hyperlink>
      <w:r w:rsidR="0081194B" w:rsidRPr="00EF7399">
        <w:rPr>
          <w:rFonts w:ascii="Times New Roman" w:hAnsi="Times New Roman" w:cs="Times New Roman"/>
          <w:lang w:val="af-ZA"/>
        </w:rPr>
        <w:t xml:space="preserve">, </w:t>
      </w:r>
      <w:r w:rsidR="00847302" w:rsidRPr="00EF7399">
        <w:rPr>
          <w:rFonts w:ascii="Times New Roman" w:hAnsi="Times New Roman" w:cs="Times New Roman"/>
          <w:lang w:val="af-ZA"/>
        </w:rPr>
        <w:t xml:space="preserve">2016,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97)</w:t>
      </w:r>
      <w:r w:rsidR="001A6940" w:rsidRPr="00EF7399">
        <w:rPr>
          <w:rFonts w:ascii="Times New Roman" w:hAnsi="Times New Roman" w:cs="Times New Roman"/>
          <w:lang w:val="af-ZA"/>
        </w:rPr>
        <w:t>:</w:t>
      </w:r>
    </w:p>
    <w:p w14:paraId="55B51B1D" w14:textId="20F223C3" w:rsidR="007B4F5E" w:rsidRPr="00EF7399" w:rsidRDefault="007B4F5E" w:rsidP="007B4F5E">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101</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A6940" w:rsidRPr="00EF7399">
        <w:rPr>
          <w:rFonts w:ascii="Times New Roman" w:hAnsi="Times New Roman" w:cs="Times New Roman"/>
          <w:lang w:val="af-ZA"/>
        </w:rPr>
        <w:t xml:space="preserve">Հավաքի առաջացրած փաստացի անհարմարության գնահատումն ավելի է կարևորվում  </w:t>
      </w:r>
      <w:r w:rsidR="003C2EF4" w:rsidRPr="00EF7399">
        <w:rPr>
          <w:rFonts w:ascii="Times New Roman" w:hAnsi="Times New Roman" w:cs="Times New Roman"/>
          <w:lang w:val="af-ZA"/>
        </w:rPr>
        <w:t xml:space="preserve">անորոշ իրավիճակներում, ինչպիսիք են, օրինակ, հավաքները, որոնք հստակ չեն ընկնում ներպետական կարգավորումների </w:t>
      </w:r>
      <w:r w:rsidR="00A2146D" w:rsidRPr="00EF7399">
        <w:rPr>
          <w:rFonts w:ascii="Times New Roman" w:hAnsi="Times New Roman" w:cs="Times New Roman"/>
          <w:lang w:val="hy-AM"/>
        </w:rPr>
        <w:t>ներքո</w:t>
      </w:r>
      <w:r w:rsidR="003C2EF4" w:rsidRPr="00EF7399">
        <w:rPr>
          <w:rFonts w:ascii="Times New Roman" w:hAnsi="Times New Roman" w:cs="Times New Roman"/>
          <w:lang w:val="af-ZA"/>
        </w:rPr>
        <w:t>: Եթե</w:t>
      </w:r>
      <w:r w:rsidR="00A2146D" w:rsidRPr="00EF7399">
        <w:rPr>
          <w:rFonts w:ascii="Times New Roman" w:hAnsi="Times New Roman" w:cs="Times New Roman"/>
          <w:lang w:val="hy-AM"/>
        </w:rPr>
        <w:t xml:space="preserve"> առկա է</w:t>
      </w:r>
      <w:r w:rsidR="003C2EF4" w:rsidRPr="00EF7399">
        <w:rPr>
          <w:rFonts w:ascii="Times New Roman" w:hAnsi="Times New Roman" w:cs="Times New Roman"/>
          <w:lang w:val="af-ZA"/>
        </w:rPr>
        <w:t xml:space="preserve"> կասկած</w:t>
      </w:r>
      <w:r w:rsidR="00A2146D" w:rsidRPr="00EF7399">
        <w:rPr>
          <w:rFonts w:ascii="Times New Roman" w:hAnsi="Times New Roman" w:cs="Times New Roman"/>
          <w:lang w:val="hy-AM"/>
        </w:rPr>
        <w:t>, թե</w:t>
      </w:r>
      <w:r w:rsidR="003C2EF4" w:rsidRPr="00EF7399">
        <w:rPr>
          <w:rFonts w:ascii="Times New Roman" w:hAnsi="Times New Roman" w:cs="Times New Roman"/>
          <w:lang w:val="af-ZA"/>
        </w:rPr>
        <w:t xml:space="preserve"> արդյոք </w:t>
      </w:r>
      <w:r w:rsidR="00074B5A" w:rsidRPr="00EF7399">
        <w:rPr>
          <w:rFonts w:ascii="Times New Roman" w:hAnsi="Times New Roman" w:cs="Times New Roman"/>
          <w:lang w:val="af-ZA"/>
        </w:rPr>
        <w:t>տվյալ</w:t>
      </w:r>
      <w:r w:rsidR="003C2EF4" w:rsidRPr="00EF7399">
        <w:rPr>
          <w:rFonts w:ascii="Times New Roman" w:hAnsi="Times New Roman" w:cs="Times New Roman"/>
          <w:lang w:val="af-ZA"/>
        </w:rPr>
        <w:t xml:space="preserve"> միջոցառումը հավաքի </w:t>
      </w:r>
      <w:r w:rsidR="00A2146D" w:rsidRPr="00EF7399">
        <w:rPr>
          <w:rFonts w:ascii="Times New Roman" w:hAnsi="Times New Roman" w:cs="Times New Roman"/>
          <w:lang w:val="hy-AM"/>
        </w:rPr>
        <w:t>որևէ</w:t>
      </w:r>
      <w:r w:rsidR="003C2EF4" w:rsidRPr="00EF7399">
        <w:rPr>
          <w:rFonts w:ascii="Times New Roman" w:hAnsi="Times New Roman" w:cs="Times New Roman"/>
          <w:lang w:val="af-ZA"/>
        </w:rPr>
        <w:t xml:space="preserve"> տեսակ</w:t>
      </w:r>
      <w:r w:rsidR="00A2146D" w:rsidRPr="00EF7399">
        <w:rPr>
          <w:rFonts w:ascii="Times New Roman" w:hAnsi="Times New Roman" w:cs="Times New Roman"/>
          <w:lang w:val="hy-AM"/>
        </w:rPr>
        <w:t xml:space="preserve"> է</w:t>
      </w:r>
      <w:r w:rsidR="003C2EF4" w:rsidRPr="00EF7399">
        <w:rPr>
          <w:rFonts w:ascii="Times New Roman" w:hAnsi="Times New Roman" w:cs="Times New Roman"/>
          <w:lang w:val="af-ZA"/>
        </w:rPr>
        <w:t xml:space="preserve">, որը ներպետական օրենսդրությամբ պահանջում է իրազեկում կամ արտոնություն, </w:t>
      </w:r>
      <w:r w:rsidR="00D93583" w:rsidRPr="00EF7399">
        <w:rPr>
          <w:rFonts w:ascii="Times New Roman" w:hAnsi="Times New Roman" w:cs="Times New Roman"/>
          <w:lang w:val="af-ZA"/>
        </w:rPr>
        <w:t xml:space="preserve">ապա </w:t>
      </w:r>
      <w:r w:rsidR="003C2EF4" w:rsidRPr="00EF7399">
        <w:rPr>
          <w:rFonts w:ascii="Times New Roman" w:hAnsi="Times New Roman" w:cs="Times New Roman"/>
          <w:lang w:val="af-ZA"/>
        </w:rPr>
        <w:t>իշխանությունները պետք է որդեգրե</w:t>
      </w:r>
      <w:r w:rsidR="00D93583" w:rsidRPr="00EF7399">
        <w:rPr>
          <w:rFonts w:ascii="Times New Roman" w:hAnsi="Times New Roman" w:cs="Times New Roman"/>
          <w:lang w:val="af-ZA"/>
        </w:rPr>
        <w:t>ն</w:t>
      </w:r>
      <w:r w:rsidR="003C2EF4" w:rsidRPr="00EF7399">
        <w:rPr>
          <w:rFonts w:ascii="Times New Roman" w:hAnsi="Times New Roman" w:cs="Times New Roman"/>
          <w:lang w:val="af-ZA"/>
        </w:rPr>
        <w:t xml:space="preserve"> միջոցներ, որո</w:t>
      </w:r>
      <w:r w:rsidR="00D93583" w:rsidRPr="00EF7399">
        <w:rPr>
          <w:rFonts w:ascii="Times New Roman" w:hAnsi="Times New Roman" w:cs="Times New Roman"/>
          <w:lang w:val="af-ZA"/>
        </w:rPr>
        <w:t>նք</w:t>
      </w:r>
      <w:r w:rsidR="003C2EF4" w:rsidRPr="00EF7399">
        <w:rPr>
          <w:rFonts w:ascii="Times New Roman" w:hAnsi="Times New Roman" w:cs="Times New Roman"/>
          <w:lang w:val="af-ZA"/>
        </w:rPr>
        <w:t xml:space="preserve"> </w:t>
      </w:r>
      <w:r w:rsidR="007E3881" w:rsidRPr="00EF7399">
        <w:rPr>
          <w:rFonts w:ascii="Times New Roman" w:hAnsi="Times New Roman" w:cs="Times New Roman"/>
          <w:lang w:val="hy-AM"/>
        </w:rPr>
        <w:t>հիմնված կլինեն</w:t>
      </w:r>
      <w:r w:rsidR="007E3881" w:rsidRPr="00EF7399">
        <w:rPr>
          <w:rFonts w:ascii="Times New Roman" w:hAnsi="Times New Roman" w:cs="Times New Roman"/>
          <w:lang w:val="af-ZA"/>
        </w:rPr>
        <w:t xml:space="preserve"> </w:t>
      </w:r>
      <w:r w:rsidR="007E3881" w:rsidRPr="00EF7399">
        <w:rPr>
          <w:rFonts w:ascii="Times New Roman" w:hAnsi="Times New Roman" w:cs="Times New Roman"/>
          <w:lang w:val="hy-AM"/>
        </w:rPr>
        <w:t>խնդրո առարկա</w:t>
      </w:r>
      <w:r w:rsidR="007E3881" w:rsidRPr="00EF7399">
        <w:rPr>
          <w:rFonts w:ascii="Times New Roman" w:hAnsi="Times New Roman" w:cs="Times New Roman"/>
          <w:lang w:val="af-ZA"/>
        </w:rPr>
        <w:t xml:space="preserve"> վարքագծի առաջացրած անհարմարության աստիճանի</w:t>
      </w:r>
      <w:r w:rsidR="007E3881" w:rsidRPr="00EF7399">
        <w:rPr>
          <w:rFonts w:ascii="Times New Roman" w:hAnsi="Times New Roman" w:cs="Times New Roman"/>
          <w:lang w:val="hy-AM"/>
        </w:rPr>
        <w:t>, այլ ոչ թե</w:t>
      </w:r>
      <w:r w:rsidR="003C2EF4" w:rsidRPr="00EF7399">
        <w:rPr>
          <w:rFonts w:ascii="Times New Roman" w:hAnsi="Times New Roman" w:cs="Times New Roman"/>
          <w:lang w:val="af-ZA"/>
        </w:rPr>
        <w:t xml:space="preserve"> </w:t>
      </w:r>
      <w:r w:rsidR="007E3881" w:rsidRPr="00EF7399">
        <w:rPr>
          <w:rFonts w:ascii="Times New Roman" w:hAnsi="Times New Roman" w:cs="Times New Roman"/>
          <w:lang w:val="hy-AM"/>
        </w:rPr>
        <w:t>ձևական</w:t>
      </w:r>
      <w:r w:rsidR="007E3881" w:rsidRPr="00EF7399">
        <w:rPr>
          <w:rFonts w:ascii="Times New Roman" w:hAnsi="Times New Roman" w:cs="Times New Roman"/>
          <w:lang w:val="af-ZA"/>
        </w:rPr>
        <w:t xml:space="preserve"> </w:t>
      </w:r>
      <w:r w:rsidR="003C2EF4" w:rsidRPr="00EF7399">
        <w:rPr>
          <w:rFonts w:ascii="Times New Roman" w:hAnsi="Times New Roman" w:cs="Times New Roman"/>
          <w:lang w:val="af-ZA"/>
        </w:rPr>
        <w:t>հիմքերի</w:t>
      </w:r>
      <w:r w:rsidR="007E3881" w:rsidRPr="00EF7399">
        <w:rPr>
          <w:rFonts w:ascii="Times New Roman" w:hAnsi="Times New Roman" w:cs="Times New Roman"/>
          <w:lang w:val="hy-AM"/>
        </w:rPr>
        <w:t xml:space="preserve"> վրա</w:t>
      </w:r>
      <w:r w:rsidR="003C2EF4" w:rsidRPr="00EF7399">
        <w:rPr>
          <w:rFonts w:ascii="Times New Roman" w:hAnsi="Times New Roman" w:cs="Times New Roman"/>
          <w:lang w:val="af-ZA"/>
        </w:rPr>
        <w:t xml:space="preserve">, </w:t>
      </w:r>
      <w:r w:rsidR="00074B5A" w:rsidRPr="00EF7399">
        <w:rPr>
          <w:rFonts w:ascii="Times New Roman" w:hAnsi="Times New Roman" w:cs="Times New Roman"/>
          <w:lang w:val="af-ZA"/>
        </w:rPr>
        <w:t>ինչպիսի</w:t>
      </w:r>
      <w:r w:rsidR="00D93583" w:rsidRPr="00EF7399">
        <w:rPr>
          <w:rFonts w:ascii="Times New Roman" w:hAnsi="Times New Roman" w:cs="Times New Roman"/>
          <w:lang w:val="af-ZA"/>
        </w:rPr>
        <w:t>նն է, օրինակ,</w:t>
      </w:r>
      <w:r w:rsidR="00074B5A" w:rsidRPr="00EF7399">
        <w:rPr>
          <w:rFonts w:ascii="Times New Roman" w:hAnsi="Times New Roman" w:cs="Times New Roman"/>
          <w:lang w:val="af-ZA"/>
        </w:rPr>
        <w:t xml:space="preserve"> իրազեկման </w:t>
      </w:r>
      <w:r w:rsidR="007E3881" w:rsidRPr="00EF7399">
        <w:rPr>
          <w:rFonts w:ascii="Times New Roman" w:hAnsi="Times New Roman" w:cs="Times New Roman"/>
          <w:lang w:val="hy-AM"/>
        </w:rPr>
        <w:t>ընթացա</w:t>
      </w:r>
      <w:r w:rsidR="00074B5A" w:rsidRPr="00EF7399">
        <w:rPr>
          <w:rFonts w:ascii="Times New Roman" w:hAnsi="Times New Roman" w:cs="Times New Roman"/>
          <w:lang w:val="af-ZA"/>
        </w:rPr>
        <w:t>կարգը չպահպանել</w:t>
      </w:r>
      <w:r w:rsidR="007E3881" w:rsidRPr="00EF7399">
        <w:rPr>
          <w:rFonts w:ascii="Times New Roman" w:hAnsi="Times New Roman" w:cs="Times New Roman"/>
          <w:lang w:val="hy-AM"/>
        </w:rPr>
        <w:t>ը</w:t>
      </w:r>
      <w:r w:rsidR="00D93583" w:rsidRPr="00EF7399">
        <w:rPr>
          <w:rFonts w:ascii="Times New Roman" w:hAnsi="Times New Roman" w:cs="Times New Roman"/>
          <w:lang w:val="af-ZA"/>
        </w:rPr>
        <w:t>:</w:t>
      </w:r>
      <w:r w:rsidR="002A27D6" w:rsidRPr="00EF7399">
        <w:rPr>
          <w:rFonts w:ascii="Times New Roman" w:hAnsi="Times New Roman" w:cs="Times New Roman"/>
          <w:lang w:val="af-ZA"/>
        </w:rPr>
        <w:t xml:space="preserve"> Միջամտությունը հավաքների ազատությանը</w:t>
      </w:r>
      <w:r w:rsidR="007E3881" w:rsidRPr="00EF7399">
        <w:rPr>
          <w:rFonts w:ascii="Times New Roman" w:hAnsi="Times New Roman" w:cs="Times New Roman"/>
          <w:lang w:val="hy-AM"/>
        </w:rPr>
        <w:t>, ներառյալ՝</w:t>
      </w:r>
      <w:r w:rsidR="002A27D6" w:rsidRPr="00EF7399">
        <w:rPr>
          <w:rFonts w:ascii="Times New Roman" w:hAnsi="Times New Roman" w:cs="Times New Roman"/>
          <w:lang w:val="af-ZA"/>
        </w:rPr>
        <w:t xml:space="preserve"> դրանց ընդհատումը, ցրումը կամ մասնակիցների ձերբակալումը</w:t>
      </w:r>
      <w:r w:rsidR="007E3881" w:rsidRPr="00EF7399">
        <w:rPr>
          <w:rFonts w:ascii="Times New Roman" w:hAnsi="Times New Roman" w:cs="Times New Roman"/>
          <w:lang w:val="hy-AM"/>
        </w:rPr>
        <w:t>,</w:t>
      </w:r>
      <w:r w:rsidR="002A27D6" w:rsidRPr="00EF7399">
        <w:rPr>
          <w:rFonts w:ascii="Times New Roman" w:hAnsi="Times New Roman" w:cs="Times New Roman"/>
          <w:lang w:val="af-ZA"/>
        </w:rPr>
        <w:t xml:space="preserve"> կարող է հիմնավորվել միայն կոնկրետ և հստակ էական հիմքերով, ինչպիսիք են</w:t>
      </w:r>
      <w:r w:rsidR="007E3881" w:rsidRPr="00EF7399">
        <w:rPr>
          <w:rFonts w:ascii="Times New Roman" w:hAnsi="Times New Roman" w:cs="Times New Roman"/>
          <w:lang w:val="hy-AM"/>
        </w:rPr>
        <w:t>՝</w:t>
      </w:r>
      <w:r w:rsidR="002A27D6" w:rsidRPr="00EF7399">
        <w:rPr>
          <w:rFonts w:ascii="Times New Roman" w:hAnsi="Times New Roman" w:cs="Times New Roman"/>
          <w:lang w:val="af-ZA"/>
        </w:rPr>
        <w:t xml:space="preserve"> օրենքով նախատեսված լուրջ վտանգները </w:t>
      </w:r>
      <w:r w:rsidR="0081194B" w:rsidRPr="00EF7399">
        <w:rPr>
          <w:rFonts w:ascii="Times New Roman" w:hAnsi="Times New Roman" w:cs="Times New Roman"/>
          <w:lang w:val="af-ZA"/>
        </w:rPr>
        <w:t>(</w:t>
      </w:r>
      <w:hyperlink r:id="rId264" w:history="1">
        <w:r w:rsidR="0081194B" w:rsidRPr="00EF7399">
          <w:rPr>
            <w:rStyle w:val="Hyperlink"/>
            <w:rFonts w:ascii="Times New Roman" w:hAnsi="Times New Roman" w:cs="Times New Roman"/>
            <w:lang w:val="af-ZA"/>
          </w:rPr>
          <w:t>Navalnyy</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Russia</w:t>
        </w:r>
      </w:hyperlink>
      <w:r w:rsidR="0081194B" w:rsidRPr="00EF7399">
        <w:rPr>
          <w:rFonts w:ascii="Times New Roman" w:hAnsi="Times New Roman" w:cs="Times New Roman"/>
          <w:lang w:val="af-ZA"/>
        </w:rPr>
        <w:t xml:space="preserve"> [GC], </w:t>
      </w:r>
      <w:r w:rsidR="00847302" w:rsidRPr="00EF7399">
        <w:rPr>
          <w:rFonts w:ascii="Times New Roman" w:hAnsi="Times New Roman" w:cs="Times New Roman"/>
          <w:lang w:val="af-ZA"/>
        </w:rPr>
        <w:t xml:space="preserve">2018,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13</w:t>
      </w:r>
      <w:r w:rsidR="00D36F39" w:rsidRPr="00EF7399">
        <w:rPr>
          <w:rFonts w:ascii="Times New Roman" w:hAnsi="Times New Roman" w:cs="Times New Roman"/>
          <w:lang w:val="af-ZA"/>
        </w:rPr>
        <w:t>6</w:t>
      </w:r>
      <w:r w:rsidR="0081194B" w:rsidRPr="00EF7399">
        <w:rPr>
          <w:rFonts w:ascii="Times New Roman" w:hAnsi="Times New Roman" w:cs="Times New Roman"/>
          <w:lang w:val="af-ZA"/>
        </w:rPr>
        <w:t>)</w:t>
      </w:r>
      <w:r w:rsidR="002A27D6" w:rsidRPr="00EF7399">
        <w:rPr>
          <w:rFonts w:ascii="Times New Roman" w:hAnsi="Times New Roman" w:cs="Times New Roman"/>
          <w:lang w:val="af-ZA"/>
        </w:rPr>
        <w:t>:</w:t>
      </w:r>
    </w:p>
    <w:p w14:paraId="1FDE18FB" w14:textId="2F5D90DE" w:rsidR="00BA4A98" w:rsidRPr="00EF7399" w:rsidRDefault="002A27D6" w:rsidP="00BB0C75">
      <w:pPr>
        <w:pStyle w:val="ECHRHeading3"/>
        <w:rPr>
          <w:rFonts w:ascii="Times New Roman" w:hAnsi="Times New Roman" w:cs="Times New Roman"/>
          <w:lang w:val="af-ZA"/>
        </w:rPr>
      </w:pPr>
      <w:bookmarkStart w:id="67" w:name="_Toc159945229"/>
      <w:r w:rsidRPr="00EF7399">
        <w:rPr>
          <w:rFonts w:ascii="Times New Roman" w:hAnsi="Times New Roman" w:cs="Times New Roman"/>
          <w:lang w:val="af-ZA"/>
        </w:rPr>
        <w:t>Ինքնաբուխ հավաք</w:t>
      </w:r>
      <w:bookmarkEnd w:id="67"/>
    </w:p>
    <w:p w14:paraId="267108D0" w14:textId="3C9DA9A7" w:rsidR="00BA4A98" w:rsidRPr="00EF7399" w:rsidRDefault="0036651F" w:rsidP="00BA4A98">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102</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AE4422" w:rsidRPr="00EF7399">
        <w:rPr>
          <w:rFonts w:ascii="Times New Roman" w:hAnsi="Times New Roman" w:cs="Times New Roman"/>
          <w:lang w:val="hy-AM"/>
        </w:rPr>
        <w:t>Առանձնահատուկ</w:t>
      </w:r>
      <w:r w:rsidR="00AE4422" w:rsidRPr="00EF7399">
        <w:rPr>
          <w:rFonts w:ascii="Times New Roman" w:hAnsi="Times New Roman" w:cs="Times New Roman"/>
          <w:lang w:val="af-ZA"/>
        </w:rPr>
        <w:t xml:space="preserve"> հանգամանքներո</w:t>
      </w:r>
      <w:r w:rsidR="00AE4422" w:rsidRPr="00EF7399">
        <w:rPr>
          <w:rFonts w:ascii="Times New Roman" w:hAnsi="Times New Roman" w:cs="Times New Roman"/>
          <w:lang w:val="hy-AM"/>
        </w:rPr>
        <w:t>ւմ, երբ</w:t>
      </w:r>
      <w:r w:rsidR="00AE4422" w:rsidRPr="00EF7399">
        <w:rPr>
          <w:rFonts w:ascii="Times New Roman" w:hAnsi="Times New Roman" w:cs="Times New Roman"/>
          <w:lang w:val="af-ZA"/>
        </w:rPr>
        <w:t xml:space="preserve"> </w:t>
      </w:r>
      <w:r w:rsidR="00AE4422" w:rsidRPr="00EF7399">
        <w:rPr>
          <w:rFonts w:ascii="Times New Roman" w:hAnsi="Times New Roman" w:cs="Times New Roman"/>
          <w:lang w:val="hy-AM"/>
        </w:rPr>
        <w:t>ի</w:t>
      </w:r>
      <w:r w:rsidR="00741315" w:rsidRPr="00EF7399">
        <w:rPr>
          <w:rFonts w:ascii="Times New Roman" w:hAnsi="Times New Roman" w:cs="Times New Roman"/>
          <w:lang w:val="af-ZA"/>
        </w:rPr>
        <w:t>նքնաբուխ ցույց</w:t>
      </w:r>
      <w:r w:rsidR="00AE4422" w:rsidRPr="00EF7399">
        <w:rPr>
          <w:rFonts w:ascii="Times New Roman" w:hAnsi="Times New Roman" w:cs="Times New Roman"/>
          <w:lang w:val="hy-AM"/>
        </w:rPr>
        <w:t xml:space="preserve">ը կարող է արդարացված լինել, </w:t>
      </w:r>
      <w:r w:rsidR="002A27D6" w:rsidRPr="00EF7399">
        <w:rPr>
          <w:rFonts w:ascii="Times New Roman" w:hAnsi="Times New Roman" w:cs="Times New Roman"/>
          <w:lang w:val="af-ZA"/>
        </w:rPr>
        <w:t>օրինակ</w:t>
      </w:r>
      <w:r w:rsidR="00AE4422" w:rsidRPr="00EF7399">
        <w:rPr>
          <w:rFonts w:ascii="Times New Roman" w:hAnsi="Times New Roman" w:cs="Times New Roman"/>
          <w:lang w:val="hy-AM"/>
        </w:rPr>
        <w:t>,</w:t>
      </w:r>
      <w:r w:rsidR="002A27D6" w:rsidRPr="00EF7399">
        <w:rPr>
          <w:rFonts w:ascii="Times New Roman" w:hAnsi="Times New Roman" w:cs="Times New Roman"/>
          <w:lang w:val="af-ZA"/>
        </w:rPr>
        <w:t xml:space="preserve"> </w:t>
      </w:r>
      <w:r w:rsidR="00AE4422" w:rsidRPr="00EF7399">
        <w:rPr>
          <w:rFonts w:ascii="Times New Roman" w:hAnsi="Times New Roman" w:cs="Times New Roman"/>
          <w:lang w:val="hy-AM"/>
        </w:rPr>
        <w:t xml:space="preserve">պայմանավորված </w:t>
      </w:r>
      <w:r w:rsidR="002A27D6" w:rsidRPr="00EF7399">
        <w:rPr>
          <w:rFonts w:ascii="Times New Roman" w:hAnsi="Times New Roman" w:cs="Times New Roman"/>
          <w:lang w:val="af-ZA"/>
        </w:rPr>
        <w:t xml:space="preserve">քաղաքական </w:t>
      </w:r>
      <w:r w:rsidR="00741315" w:rsidRPr="00EF7399">
        <w:rPr>
          <w:rFonts w:ascii="Times New Roman" w:hAnsi="Times New Roman" w:cs="Times New Roman"/>
          <w:lang w:val="af-ZA"/>
        </w:rPr>
        <w:t xml:space="preserve">որևէ </w:t>
      </w:r>
      <w:r w:rsidR="002A27D6" w:rsidRPr="00EF7399">
        <w:rPr>
          <w:rFonts w:ascii="Times New Roman" w:hAnsi="Times New Roman" w:cs="Times New Roman"/>
          <w:lang w:val="af-ZA"/>
        </w:rPr>
        <w:t>իրադարձությ</w:t>
      </w:r>
      <w:r w:rsidR="00741315" w:rsidRPr="00EF7399">
        <w:rPr>
          <w:rFonts w:ascii="Times New Roman" w:hAnsi="Times New Roman" w:cs="Times New Roman"/>
          <w:lang w:val="af-ZA"/>
        </w:rPr>
        <w:t>ա</w:t>
      </w:r>
      <w:r w:rsidR="00AE4422" w:rsidRPr="00EF7399">
        <w:rPr>
          <w:rFonts w:ascii="Times New Roman" w:hAnsi="Times New Roman" w:cs="Times New Roman"/>
          <w:lang w:val="hy-AM"/>
        </w:rPr>
        <w:t>նն արձագանքով</w:t>
      </w:r>
      <w:r w:rsidR="00741315" w:rsidRPr="00EF7399">
        <w:rPr>
          <w:rFonts w:ascii="Times New Roman" w:hAnsi="Times New Roman" w:cs="Times New Roman"/>
          <w:lang w:val="af-ZA"/>
        </w:rPr>
        <w:t>, այ</w:t>
      </w:r>
      <w:r w:rsidR="00AE4422" w:rsidRPr="00EF7399">
        <w:rPr>
          <w:rFonts w:ascii="Times New Roman" w:hAnsi="Times New Roman" w:cs="Times New Roman"/>
          <w:lang w:val="hy-AM"/>
        </w:rPr>
        <w:t xml:space="preserve">դ </w:t>
      </w:r>
      <w:r w:rsidR="00AE4422" w:rsidRPr="00EF7399">
        <w:rPr>
          <w:rFonts w:ascii="Times New Roman" w:hAnsi="Times New Roman" w:cs="Times New Roman"/>
          <w:lang w:val="hy-AM"/>
        </w:rPr>
        <w:lastRenderedPageBreak/>
        <w:t>ցույցը</w:t>
      </w:r>
      <w:r w:rsidR="00741315" w:rsidRPr="00EF7399">
        <w:rPr>
          <w:rFonts w:ascii="Times New Roman" w:hAnsi="Times New Roman" w:cs="Times New Roman"/>
          <w:lang w:val="af-ZA"/>
        </w:rPr>
        <w:t xml:space="preserve"> ցրելը </w:t>
      </w:r>
      <w:r w:rsidR="00AE4422" w:rsidRPr="00EF7399">
        <w:rPr>
          <w:rFonts w:ascii="Times New Roman" w:hAnsi="Times New Roman" w:cs="Times New Roman"/>
          <w:lang w:val="hy-AM"/>
        </w:rPr>
        <w:t>զուտ</w:t>
      </w:r>
      <w:r w:rsidR="00AE4422" w:rsidRPr="00EF7399">
        <w:rPr>
          <w:rFonts w:ascii="Times New Roman" w:hAnsi="Times New Roman" w:cs="Times New Roman"/>
          <w:lang w:val="af-ZA"/>
        </w:rPr>
        <w:t xml:space="preserve"> </w:t>
      </w:r>
      <w:r w:rsidR="00741315" w:rsidRPr="00EF7399">
        <w:rPr>
          <w:rFonts w:ascii="Times New Roman" w:hAnsi="Times New Roman" w:cs="Times New Roman"/>
          <w:lang w:val="af-ZA"/>
        </w:rPr>
        <w:t xml:space="preserve">այն </w:t>
      </w:r>
      <w:r w:rsidR="00AE4422" w:rsidRPr="00EF7399">
        <w:rPr>
          <w:rFonts w:ascii="Times New Roman" w:hAnsi="Times New Roman" w:cs="Times New Roman"/>
          <w:lang w:val="hy-AM"/>
        </w:rPr>
        <w:t>պատճառով</w:t>
      </w:r>
      <w:r w:rsidR="00741315" w:rsidRPr="00EF7399">
        <w:rPr>
          <w:rFonts w:ascii="Times New Roman" w:hAnsi="Times New Roman" w:cs="Times New Roman"/>
          <w:lang w:val="af-ZA"/>
        </w:rPr>
        <w:t>, որ չի եղել պարտադիր նախնական իրազեկում, իսկ մասնակիցները չեն դրսևորել</w:t>
      </w:r>
      <w:r w:rsidR="00AE4422" w:rsidRPr="00EF7399">
        <w:rPr>
          <w:rFonts w:ascii="Times New Roman" w:hAnsi="Times New Roman" w:cs="Times New Roman"/>
          <w:lang w:val="hy-AM"/>
        </w:rPr>
        <w:t xml:space="preserve"> որևէ</w:t>
      </w:r>
      <w:r w:rsidR="00741315" w:rsidRPr="00EF7399">
        <w:rPr>
          <w:rFonts w:ascii="Times New Roman" w:hAnsi="Times New Roman" w:cs="Times New Roman"/>
          <w:lang w:val="af-ZA"/>
        </w:rPr>
        <w:t xml:space="preserve"> հակա</w:t>
      </w:r>
      <w:r w:rsidR="00AE4422" w:rsidRPr="00EF7399">
        <w:rPr>
          <w:rFonts w:ascii="Times New Roman" w:hAnsi="Times New Roman" w:cs="Times New Roman"/>
          <w:lang w:val="hy-AM"/>
        </w:rPr>
        <w:t>իրավ</w:t>
      </w:r>
      <w:r w:rsidR="00741315" w:rsidRPr="00EF7399">
        <w:rPr>
          <w:rFonts w:ascii="Times New Roman" w:hAnsi="Times New Roman" w:cs="Times New Roman"/>
          <w:lang w:val="af-ZA"/>
        </w:rPr>
        <w:t>ական վարքագիծ</w:t>
      </w:r>
      <w:r w:rsidR="00AE4422" w:rsidRPr="00EF7399">
        <w:rPr>
          <w:rFonts w:ascii="Times New Roman" w:hAnsi="Times New Roman" w:cs="Times New Roman"/>
          <w:lang w:val="hy-AM"/>
        </w:rPr>
        <w:t>,</w:t>
      </w:r>
      <w:r w:rsidR="00741315" w:rsidRPr="00EF7399">
        <w:rPr>
          <w:rFonts w:ascii="Times New Roman" w:hAnsi="Times New Roman" w:cs="Times New Roman"/>
          <w:lang w:val="af-ZA"/>
        </w:rPr>
        <w:t xml:space="preserve"> կարող է համարվել խաղաղ հավաքների ազատության ոչ համաչափ սահմանափակում  </w:t>
      </w:r>
      <w:r w:rsidR="00BA4A98" w:rsidRPr="00EF7399">
        <w:rPr>
          <w:rFonts w:ascii="Times New Roman" w:hAnsi="Times New Roman" w:cs="Times New Roman"/>
          <w:lang w:val="af-ZA"/>
        </w:rPr>
        <w:t>(</w:t>
      </w:r>
      <w:hyperlink r:id="rId265" w:history="1">
        <w:r w:rsidR="00BA4A98" w:rsidRPr="00EF7399">
          <w:rPr>
            <w:rStyle w:val="Hyperlink"/>
            <w:rFonts w:ascii="Times New Roman" w:hAnsi="Times New Roman" w:cs="Times New Roman"/>
            <w:lang w:val="af-ZA"/>
          </w:rPr>
          <w:t>Bukta and Others</w:t>
        </w:r>
        <w:r w:rsidR="00873234" w:rsidRPr="00EF7399">
          <w:rPr>
            <w:rStyle w:val="Hyperlink"/>
            <w:rFonts w:ascii="Times New Roman" w:hAnsi="Times New Roman" w:cs="Times New Roman"/>
            <w:lang w:val="af-ZA"/>
          </w:rPr>
          <w:t xml:space="preserve"> v. </w:t>
        </w:r>
        <w:r w:rsidR="00BA4A98" w:rsidRPr="00EF7399">
          <w:rPr>
            <w:rStyle w:val="Hyperlink"/>
            <w:rFonts w:ascii="Times New Roman" w:hAnsi="Times New Roman" w:cs="Times New Roman"/>
            <w:lang w:val="af-ZA"/>
          </w:rPr>
          <w:t>Hungary</w:t>
        </w:r>
      </w:hyperlink>
      <w:r w:rsidR="00070A20" w:rsidRPr="00EF7399">
        <w:rPr>
          <w:rFonts w:ascii="Times New Roman" w:hAnsi="Times New Roman" w:cs="Times New Roman"/>
          <w:lang w:val="af-ZA"/>
        </w:rPr>
        <w:t xml:space="preserve">, </w:t>
      </w:r>
      <w:r w:rsidR="00847302" w:rsidRPr="00EF7399">
        <w:rPr>
          <w:rFonts w:ascii="Times New Roman" w:hAnsi="Times New Roman" w:cs="Times New Roman"/>
          <w:lang w:val="af-ZA"/>
        </w:rPr>
        <w:t xml:space="preserve">2007, </w:t>
      </w:r>
      <w:r w:rsidR="00873234" w:rsidRPr="00EF7399">
        <w:rPr>
          <w:rFonts w:ascii="Times New Roman" w:hAnsi="Times New Roman" w:cs="Times New Roman"/>
          <w:lang w:val="af-ZA"/>
        </w:rPr>
        <w:t>§ </w:t>
      </w:r>
      <w:r w:rsidR="00BA4A98" w:rsidRPr="00EF7399">
        <w:rPr>
          <w:rFonts w:ascii="Times New Roman" w:hAnsi="Times New Roman" w:cs="Times New Roman"/>
          <w:lang w:val="af-ZA"/>
        </w:rPr>
        <w:t>36</w:t>
      </w:r>
      <w:r w:rsidR="00AA5746" w:rsidRPr="00EF7399">
        <w:rPr>
          <w:rFonts w:ascii="Times New Roman" w:hAnsi="Times New Roman" w:cs="Times New Roman"/>
          <w:lang w:val="af-ZA"/>
        </w:rPr>
        <w:t xml:space="preserve">; </w:t>
      </w:r>
      <w:hyperlink r:id="rId266" w:history="1">
        <w:r w:rsidR="00735087" w:rsidRPr="00EF7399">
          <w:rPr>
            <w:rStyle w:val="Hyperlink"/>
            <w:rFonts w:ascii="Times New Roman" w:hAnsi="Times New Roman" w:cs="Times New Roman"/>
            <w:lang w:val="af-ZA"/>
          </w:rPr>
          <w:t>Laguna Guzman</w:t>
        </w:r>
        <w:r w:rsidR="00873234" w:rsidRPr="00EF7399">
          <w:rPr>
            <w:rStyle w:val="Hyperlink"/>
            <w:rFonts w:ascii="Times New Roman" w:hAnsi="Times New Roman" w:cs="Times New Roman"/>
            <w:lang w:val="af-ZA"/>
          </w:rPr>
          <w:t xml:space="preserve"> v. </w:t>
        </w:r>
        <w:r w:rsidR="00735087" w:rsidRPr="00EF7399">
          <w:rPr>
            <w:rStyle w:val="Hyperlink"/>
            <w:rFonts w:ascii="Times New Roman" w:hAnsi="Times New Roman" w:cs="Times New Roman"/>
            <w:lang w:val="af-ZA"/>
          </w:rPr>
          <w:t>Spain</w:t>
        </w:r>
      </w:hyperlink>
      <w:r w:rsidR="00AA5746" w:rsidRPr="00EF7399">
        <w:rPr>
          <w:rFonts w:ascii="Times New Roman" w:hAnsi="Times New Roman" w:cs="Times New Roman"/>
          <w:lang w:val="af-ZA"/>
        </w:rPr>
        <w:t xml:space="preserve">, </w:t>
      </w:r>
      <w:r w:rsidR="00847302" w:rsidRPr="00EF7399">
        <w:rPr>
          <w:rFonts w:ascii="Times New Roman" w:hAnsi="Times New Roman" w:cs="Times New Roman"/>
          <w:lang w:val="af-ZA"/>
        </w:rPr>
        <w:t xml:space="preserve">2020, </w:t>
      </w:r>
      <w:r w:rsidR="00873234" w:rsidRPr="00EF7399">
        <w:rPr>
          <w:rFonts w:ascii="Times New Roman" w:hAnsi="Times New Roman" w:cs="Times New Roman"/>
          <w:lang w:val="af-ZA"/>
        </w:rPr>
        <w:t>§ </w:t>
      </w:r>
      <w:r w:rsidR="00AA5746" w:rsidRPr="00EF7399">
        <w:rPr>
          <w:rFonts w:ascii="Times New Roman" w:hAnsi="Times New Roman" w:cs="Times New Roman"/>
          <w:lang w:val="af-ZA"/>
        </w:rPr>
        <w:t>51</w:t>
      </w:r>
      <w:r w:rsidR="00BA4A98" w:rsidRPr="00EF7399">
        <w:rPr>
          <w:rFonts w:ascii="Times New Roman" w:hAnsi="Times New Roman" w:cs="Times New Roman"/>
          <w:lang w:val="af-ZA"/>
        </w:rPr>
        <w:t>)</w:t>
      </w:r>
      <w:r w:rsidR="00741315" w:rsidRPr="00EF7399">
        <w:rPr>
          <w:rFonts w:ascii="Times New Roman" w:hAnsi="Times New Roman" w:cs="Times New Roman"/>
          <w:lang w:val="af-ZA"/>
        </w:rPr>
        <w:t>:</w:t>
      </w:r>
    </w:p>
    <w:p w14:paraId="596BCCCE" w14:textId="4AD4176F" w:rsidR="00BA4A98" w:rsidRPr="00EF7399" w:rsidRDefault="00BA4A98" w:rsidP="00BA4A98">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103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741315" w:rsidRPr="00EF7399">
        <w:rPr>
          <w:rFonts w:ascii="Times New Roman" w:hAnsi="Times New Roman" w:cs="Times New Roman"/>
          <w:lang w:val="af-ZA"/>
        </w:rPr>
        <w:t xml:space="preserve">Դա չի նշանակում, որ ինքնաբուխ հավաքի մասին նախնական իրազեկման բացակայությունը </w:t>
      </w:r>
      <w:r w:rsidR="00B07F2A" w:rsidRPr="00EF7399">
        <w:rPr>
          <w:rFonts w:ascii="Times New Roman" w:hAnsi="Times New Roman" w:cs="Times New Roman"/>
          <w:lang w:val="af-ZA"/>
        </w:rPr>
        <w:t xml:space="preserve">երբևէ </w:t>
      </w:r>
      <w:r w:rsidR="00741315" w:rsidRPr="00EF7399">
        <w:rPr>
          <w:rFonts w:ascii="Times New Roman" w:hAnsi="Times New Roman" w:cs="Times New Roman"/>
          <w:lang w:val="af-ZA"/>
        </w:rPr>
        <w:t>չի կարող</w:t>
      </w:r>
      <w:r w:rsidR="00AE4422" w:rsidRPr="00EF7399">
        <w:rPr>
          <w:rFonts w:ascii="Times New Roman" w:hAnsi="Times New Roman" w:cs="Times New Roman"/>
          <w:lang w:val="hy-AM"/>
        </w:rPr>
        <w:t xml:space="preserve"> լինել</w:t>
      </w:r>
      <w:r w:rsidR="00741315" w:rsidRPr="00EF7399">
        <w:rPr>
          <w:rFonts w:ascii="Times New Roman" w:hAnsi="Times New Roman" w:cs="Times New Roman"/>
          <w:lang w:val="af-ZA"/>
        </w:rPr>
        <w:t xml:space="preserve"> ամբոխը ցրելու իրավաչափ հիմք: </w:t>
      </w:r>
      <w:r w:rsidR="00B07F2A" w:rsidRPr="00EF7399">
        <w:rPr>
          <w:rFonts w:ascii="Times New Roman" w:hAnsi="Times New Roman" w:cs="Times New Roman"/>
          <w:lang w:val="af-ZA"/>
        </w:rPr>
        <w:t>Ինքնաբուխ ցույցեր ան</w:t>
      </w:r>
      <w:r w:rsidR="00AE4422" w:rsidRPr="00EF7399">
        <w:rPr>
          <w:rFonts w:ascii="Times New Roman" w:hAnsi="Times New Roman" w:cs="Times New Roman"/>
          <w:lang w:val="hy-AM"/>
        </w:rPr>
        <w:t>ց</w:t>
      </w:r>
      <w:r w:rsidR="00B07F2A" w:rsidRPr="00EF7399">
        <w:rPr>
          <w:rFonts w:ascii="Times New Roman" w:hAnsi="Times New Roman" w:cs="Times New Roman"/>
          <w:lang w:val="af-ZA"/>
        </w:rPr>
        <w:t xml:space="preserve">կացնելու իրավունքը կարող է գերակայել նախնական իրազեկում ներկայացնելու պարտավորությանը միայն </w:t>
      </w:r>
      <w:r w:rsidR="00AE4422" w:rsidRPr="00EF7399">
        <w:rPr>
          <w:rFonts w:ascii="Times New Roman" w:hAnsi="Times New Roman" w:cs="Times New Roman"/>
          <w:lang w:val="hy-AM"/>
        </w:rPr>
        <w:t>առանձնա</w:t>
      </w:r>
      <w:r w:rsidR="00B07F2A" w:rsidRPr="00EF7399">
        <w:rPr>
          <w:rFonts w:ascii="Times New Roman" w:hAnsi="Times New Roman" w:cs="Times New Roman"/>
          <w:lang w:val="af-ZA"/>
        </w:rPr>
        <w:t>հատուկ հանգամանքերում,</w:t>
      </w:r>
      <w:r w:rsidR="00402348" w:rsidRPr="00EF7399">
        <w:rPr>
          <w:rFonts w:ascii="Times New Roman" w:hAnsi="Times New Roman" w:cs="Times New Roman"/>
          <w:lang w:val="af-ZA"/>
        </w:rPr>
        <w:t xml:space="preserve"> այսինքն</w:t>
      </w:r>
      <w:r w:rsidR="00AE4422" w:rsidRPr="00EF7399">
        <w:rPr>
          <w:rFonts w:ascii="Times New Roman" w:hAnsi="Times New Roman" w:cs="Times New Roman"/>
          <w:lang w:val="hy-AM"/>
        </w:rPr>
        <w:t>՝</w:t>
      </w:r>
      <w:r w:rsidR="00402348" w:rsidRPr="00EF7399">
        <w:rPr>
          <w:rFonts w:ascii="Times New Roman" w:hAnsi="Times New Roman" w:cs="Times New Roman"/>
          <w:lang w:val="af-ZA"/>
        </w:rPr>
        <w:t xml:space="preserve"> ե</w:t>
      </w:r>
      <w:r w:rsidR="00AE4422" w:rsidRPr="00EF7399">
        <w:rPr>
          <w:rFonts w:ascii="Times New Roman" w:hAnsi="Times New Roman" w:cs="Times New Roman"/>
          <w:lang w:val="hy-AM"/>
        </w:rPr>
        <w:t>րբ</w:t>
      </w:r>
      <w:r w:rsidR="00402348" w:rsidRPr="00EF7399">
        <w:rPr>
          <w:rFonts w:ascii="Times New Roman" w:hAnsi="Times New Roman" w:cs="Times New Roman"/>
          <w:lang w:val="af-ZA"/>
        </w:rPr>
        <w:t xml:space="preserve"> ցույցի ձևով </w:t>
      </w:r>
      <w:r w:rsidR="00AE4422" w:rsidRPr="00EF7399">
        <w:rPr>
          <w:rFonts w:ascii="Times New Roman" w:hAnsi="Times New Roman" w:cs="Times New Roman"/>
          <w:lang w:val="hy-AM"/>
        </w:rPr>
        <w:t>անհապաղ</w:t>
      </w:r>
      <w:r w:rsidR="00AE4422" w:rsidRPr="00EF7399">
        <w:rPr>
          <w:rFonts w:ascii="Times New Roman" w:hAnsi="Times New Roman" w:cs="Times New Roman"/>
          <w:lang w:val="af-ZA"/>
        </w:rPr>
        <w:t xml:space="preserve"> </w:t>
      </w:r>
      <w:r w:rsidR="00B07F2A" w:rsidRPr="00EF7399">
        <w:rPr>
          <w:rFonts w:ascii="Times New Roman" w:hAnsi="Times New Roman" w:cs="Times New Roman"/>
          <w:lang w:val="af-ZA"/>
        </w:rPr>
        <w:t>արձագանք</w:t>
      </w:r>
      <w:r w:rsidR="00D214FB" w:rsidRPr="00EF7399">
        <w:rPr>
          <w:rFonts w:ascii="Times New Roman" w:hAnsi="Times New Roman" w:cs="Times New Roman"/>
          <w:lang w:val="hy-AM"/>
        </w:rPr>
        <w:t>ն</w:t>
      </w:r>
      <w:r w:rsidR="00D214FB" w:rsidRPr="00EF7399">
        <w:rPr>
          <w:rFonts w:ascii="Times New Roman" w:hAnsi="Times New Roman" w:cs="Times New Roman"/>
          <w:lang w:val="af-ZA"/>
        </w:rPr>
        <w:t xml:space="preserve"> ընթացիկ իրադարձության</w:t>
      </w:r>
      <w:r w:rsidR="00D214FB" w:rsidRPr="00EF7399">
        <w:rPr>
          <w:rFonts w:ascii="Times New Roman" w:hAnsi="Times New Roman" w:cs="Times New Roman"/>
          <w:lang w:val="hy-AM"/>
        </w:rPr>
        <w:t>ն</w:t>
      </w:r>
      <w:r w:rsidR="00D214FB" w:rsidRPr="00EF7399">
        <w:rPr>
          <w:rFonts w:ascii="Times New Roman" w:hAnsi="Times New Roman" w:cs="Times New Roman"/>
          <w:lang w:val="af-ZA"/>
        </w:rPr>
        <w:t xml:space="preserve"> </w:t>
      </w:r>
      <w:r w:rsidR="00D214FB" w:rsidRPr="00EF7399">
        <w:rPr>
          <w:rFonts w:ascii="Times New Roman" w:hAnsi="Times New Roman" w:cs="Times New Roman"/>
          <w:lang w:val="hy-AM"/>
        </w:rPr>
        <w:t>ապահովված է</w:t>
      </w:r>
      <w:r w:rsidR="00AE4422" w:rsidRPr="00EF7399">
        <w:rPr>
          <w:rFonts w:ascii="Times New Roman" w:hAnsi="Times New Roman" w:cs="Times New Roman"/>
          <w:lang w:val="hy-AM"/>
        </w:rPr>
        <w:t>։</w:t>
      </w:r>
      <w:r w:rsidR="00B07F2A" w:rsidRPr="00EF7399">
        <w:rPr>
          <w:rFonts w:ascii="Times New Roman" w:hAnsi="Times New Roman" w:cs="Times New Roman"/>
          <w:lang w:val="af-ZA"/>
        </w:rPr>
        <w:t xml:space="preserve"> </w:t>
      </w:r>
      <w:r w:rsidR="00402348" w:rsidRPr="00EF7399">
        <w:rPr>
          <w:rFonts w:ascii="Times New Roman" w:hAnsi="Times New Roman" w:cs="Times New Roman"/>
          <w:lang w:val="af-ZA"/>
        </w:rPr>
        <w:t xml:space="preserve">Մասնավորապես, նման շեղումն ընդհանուր կանոնից կարող է արդարացվել, եթե ուշացումը կարող էր տվյալ արձագանքը դարձնել ժամանակավրեպ </w:t>
      </w:r>
      <w:r w:rsidR="0081194B" w:rsidRPr="00EF7399">
        <w:rPr>
          <w:rFonts w:ascii="Times New Roman" w:hAnsi="Times New Roman" w:cs="Times New Roman"/>
          <w:lang w:val="af-ZA"/>
        </w:rPr>
        <w:t>(</w:t>
      </w:r>
      <w:hyperlink r:id="rId267" w:history="1">
        <w:r w:rsidR="0081194B" w:rsidRPr="00EF7399">
          <w:rPr>
            <w:rStyle w:val="Hyperlink"/>
            <w:rFonts w:ascii="Times New Roman" w:hAnsi="Times New Roman" w:cs="Times New Roman"/>
            <w:lang w:val="af-ZA"/>
          </w:rPr>
          <w:t>Éva Molnár</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Hungary</w:t>
        </w:r>
      </w:hyperlink>
      <w:r w:rsidR="0081194B" w:rsidRPr="00EF7399">
        <w:rPr>
          <w:rFonts w:ascii="Times New Roman" w:hAnsi="Times New Roman" w:cs="Times New Roman"/>
          <w:lang w:val="af-ZA"/>
        </w:rPr>
        <w:t xml:space="preserve">, </w:t>
      </w:r>
      <w:r w:rsidR="00847302" w:rsidRPr="00EF7399">
        <w:rPr>
          <w:rFonts w:ascii="Times New Roman" w:hAnsi="Times New Roman" w:cs="Times New Roman"/>
          <w:lang w:val="af-ZA"/>
        </w:rPr>
        <w:t xml:space="preserve">2008, </w:t>
      </w:r>
      <w:r w:rsidR="0081194B" w:rsidRPr="00EF7399">
        <w:rPr>
          <w:rFonts w:ascii="Times New Roman" w:hAnsi="Times New Roman" w:cs="Times New Roman"/>
          <w:lang w:val="af-ZA"/>
        </w:rPr>
        <w:t>§</w:t>
      </w:r>
      <w:r w:rsidR="00873234" w:rsidRPr="00EF7399">
        <w:rPr>
          <w:rFonts w:ascii="Times New Roman" w:hAnsi="Times New Roman" w:cs="Times New Roman"/>
          <w:lang w:val="af-ZA"/>
        </w:rPr>
        <w:t>§ </w:t>
      </w:r>
      <w:r w:rsidR="0081194B" w:rsidRPr="00EF7399">
        <w:rPr>
          <w:rFonts w:ascii="Times New Roman" w:hAnsi="Times New Roman" w:cs="Times New Roman"/>
          <w:lang w:val="af-ZA"/>
        </w:rPr>
        <w:t xml:space="preserve">37-38; </w:t>
      </w:r>
      <w:hyperlink r:id="rId268" w:history="1">
        <w:r w:rsidR="0081194B" w:rsidRPr="00EF7399">
          <w:rPr>
            <w:rStyle w:val="Hyperlink"/>
            <w:rFonts w:ascii="Times New Roman" w:hAnsi="Times New Roman" w:cs="Times New Roman"/>
            <w:lang w:val="af-ZA"/>
          </w:rPr>
          <w:t>Budaházy</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Hungary</w:t>
        </w:r>
      </w:hyperlink>
      <w:r w:rsidR="0081194B" w:rsidRPr="00EF7399">
        <w:rPr>
          <w:rFonts w:ascii="Times New Roman" w:hAnsi="Times New Roman" w:cs="Times New Roman"/>
          <w:lang w:val="af-ZA"/>
        </w:rPr>
        <w:t xml:space="preserve">, </w:t>
      </w:r>
      <w:r w:rsidR="00847302"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0081194B" w:rsidRPr="00EF7399">
        <w:rPr>
          <w:rFonts w:ascii="Times New Roman" w:hAnsi="Times New Roman" w:cs="Times New Roman"/>
          <w:lang w:val="af-ZA"/>
        </w:rPr>
        <w:t>34)</w:t>
      </w:r>
      <w:r w:rsidR="00402348" w:rsidRPr="00EF7399">
        <w:rPr>
          <w:rFonts w:ascii="Times New Roman" w:hAnsi="Times New Roman" w:cs="Times New Roman"/>
          <w:lang w:val="af-ZA"/>
        </w:rPr>
        <w:t>:</w:t>
      </w:r>
    </w:p>
    <w:p w14:paraId="179CF259" w14:textId="46A4735A" w:rsidR="007B4F5E" w:rsidRPr="00EF7399" w:rsidRDefault="00BA4A98" w:rsidP="00BA4A98">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104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402348" w:rsidRPr="00EF7399">
        <w:rPr>
          <w:rFonts w:ascii="Times New Roman" w:hAnsi="Times New Roman" w:cs="Times New Roman"/>
          <w:lang w:val="af-ZA"/>
        </w:rPr>
        <w:t xml:space="preserve">Ներպետական օրենսդրական նորմերը և դատական հսկողությունը պետք է հաշվի առնեն </w:t>
      </w:r>
      <w:r w:rsidR="00D214FB" w:rsidRPr="00EF7399">
        <w:rPr>
          <w:rFonts w:ascii="Times New Roman" w:hAnsi="Times New Roman" w:cs="Times New Roman"/>
          <w:lang w:val="hy-AM"/>
        </w:rPr>
        <w:t>առանձնա</w:t>
      </w:r>
      <w:r w:rsidR="00402348" w:rsidRPr="00EF7399">
        <w:rPr>
          <w:rFonts w:ascii="Times New Roman" w:hAnsi="Times New Roman" w:cs="Times New Roman"/>
          <w:lang w:val="af-ZA"/>
        </w:rPr>
        <w:t xml:space="preserve">հատուկ հանգամանքները, երբ ինքնաբուխ հավաքի ձևով </w:t>
      </w:r>
      <w:r w:rsidR="00D214FB" w:rsidRPr="00EF7399">
        <w:rPr>
          <w:rFonts w:ascii="Times New Roman" w:hAnsi="Times New Roman" w:cs="Times New Roman"/>
          <w:lang w:val="hy-AM"/>
        </w:rPr>
        <w:t>անհապաղ</w:t>
      </w:r>
      <w:r w:rsidR="00D214FB" w:rsidRPr="00EF7399">
        <w:rPr>
          <w:rFonts w:ascii="Times New Roman" w:hAnsi="Times New Roman" w:cs="Times New Roman"/>
          <w:lang w:val="af-ZA"/>
        </w:rPr>
        <w:t xml:space="preserve"> </w:t>
      </w:r>
      <w:r w:rsidR="00402348" w:rsidRPr="00EF7399">
        <w:rPr>
          <w:rFonts w:ascii="Times New Roman" w:hAnsi="Times New Roman" w:cs="Times New Roman"/>
          <w:lang w:val="af-ZA"/>
        </w:rPr>
        <w:t>արձագանքն ընթացիկ իրադարձության</w:t>
      </w:r>
      <w:r w:rsidR="00D214FB" w:rsidRPr="00EF7399">
        <w:rPr>
          <w:rFonts w:ascii="Times New Roman" w:hAnsi="Times New Roman" w:cs="Times New Roman"/>
          <w:lang w:val="hy-AM"/>
        </w:rPr>
        <w:t xml:space="preserve">ըն ապահովված </w:t>
      </w:r>
      <w:r w:rsidR="00402348" w:rsidRPr="00EF7399">
        <w:rPr>
          <w:rFonts w:ascii="Times New Roman" w:hAnsi="Times New Roman" w:cs="Times New Roman"/>
          <w:lang w:val="af-ZA"/>
        </w:rPr>
        <w:t>է և արդարացնում է շեղում</w:t>
      </w:r>
      <w:r w:rsidR="003D55C9" w:rsidRPr="00EF7399">
        <w:rPr>
          <w:rFonts w:ascii="Times New Roman" w:hAnsi="Times New Roman" w:cs="Times New Roman"/>
          <w:lang w:val="af-ZA"/>
        </w:rPr>
        <w:t xml:space="preserve">ն իրազեկման կամ արտոնման ժամկետների խիստ կիրառումից: Այն հանգամանքը, որ ներպետական օրենսդրությունը չի նախատեսել բացառություններ և 11-րդ հոդվածի շրջանակներում Դատարանի նախադեպային իրավունքում սահմանված չափանիշներին համապատասխան </w:t>
      </w:r>
      <w:r w:rsidR="00E60C04" w:rsidRPr="00EF7399">
        <w:rPr>
          <w:rFonts w:ascii="Times New Roman" w:hAnsi="Times New Roman" w:cs="Times New Roman"/>
          <w:lang w:val="hy-AM"/>
        </w:rPr>
        <w:t>հավասարակշռման հնարավորություն չի ընձեռել</w:t>
      </w:r>
      <w:r w:rsidR="003D55C9" w:rsidRPr="00EF7399">
        <w:rPr>
          <w:rFonts w:ascii="Times New Roman" w:hAnsi="Times New Roman" w:cs="Times New Roman"/>
          <w:lang w:val="af-ZA"/>
        </w:rPr>
        <w:t xml:space="preserve">, համարվել է չափից ավելի խիստ մոտեցում և սույն հոդվածի խախտում </w:t>
      </w:r>
      <w:r w:rsidR="0081194B" w:rsidRPr="00EF7399">
        <w:rPr>
          <w:rFonts w:ascii="Times New Roman" w:hAnsi="Times New Roman" w:cs="Times New Roman"/>
          <w:lang w:val="af-ZA"/>
        </w:rPr>
        <w:t>(</w:t>
      </w:r>
      <w:hyperlink r:id="rId269" w:history="1">
        <w:r w:rsidR="0081194B" w:rsidRPr="00EF7399">
          <w:rPr>
            <w:rStyle w:val="Hyperlink"/>
            <w:rFonts w:ascii="Times New Roman" w:hAnsi="Times New Roman" w:cs="Times New Roman"/>
            <w:lang w:val="af-ZA"/>
          </w:rPr>
          <w:t>Lashmankin and Others v</w:t>
        </w:r>
        <w:r w:rsidR="00A5077B" w:rsidRPr="00EF7399">
          <w:rPr>
            <w:rStyle w:val="Hyperlink"/>
            <w:rFonts w:ascii="Times New Roman" w:hAnsi="Times New Roman" w:cs="Times New Roman"/>
            <w:lang w:val="af-ZA"/>
          </w:rPr>
          <w:t> </w:t>
        </w:r>
        <w:r w:rsidR="0081194B" w:rsidRPr="00EF7399">
          <w:rPr>
            <w:rStyle w:val="Hyperlink"/>
            <w:rFonts w:ascii="Times New Roman" w:hAnsi="Times New Roman" w:cs="Times New Roman"/>
            <w:lang w:val="af-ZA"/>
          </w:rPr>
          <w:t>Russia</w:t>
        </w:r>
      </w:hyperlink>
      <w:r w:rsidR="00535E5C" w:rsidRPr="00EF7399">
        <w:rPr>
          <w:rFonts w:ascii="Times New Roman" w:hAnsi="Times New Roman" w:cs="Times New Roman"/>
          <w:lang w:val="af-ZA"/>
        </w:rPr>
        <w:t xml:space="preserve">, </w:t>
      </w:r>
      <w:r w:rsidR="00847302" w:rsidRPr="00EF7399">
        <w:rPr>
          <w:rFonts w:ascii="Times New Roman" w:hAnsi="Times New Roman" w:cs="Times New Roman"/>
          <w:lang w:val="af-ZA"/>
        </w:rPr>
        <w:t xml:space="preserve">2017, </w:t>
      </w:r>
      <w:r w:rsidR="00535E5C" w:rsidRPr="00EF7399">
        <w:rPr>
          <w:rFonts w:ascii="Times New Roman" w:hAnsi="Times New Roman" w:cs="Times New Roman"/>
          <w:lang w:val="af-ZA"/>
        </w:rPr>
        <w:t>§</w:t>
      </w:r>
      <w:r w:rsidR="00873234" w:rsidRPr="00EF7399">
        <w:rPr>
          <w:rFonts w:ascii="Times New Roman" w:hAnsi="Times New Roman" w:cs="Times New Roman"/>
          <w:lang w:val="af-ZA"/>
        </w:rPr>
        <w:t>§ </w:t>
      </w:r>
      <w:r w:rsidR="0081194B" w:rsidRPr="00EF7399">
        <w:rPr>
          <w:rFonts w:ascii="Times New Roman" w:hAnsi="Times New Roman" w:cs="Times New Roman"/>
          <w:lang w:val="af-ZA"/>
        </w:rPr>
        <w:t>451-54)</w:t>
      </w:r>
      <w:r w:rsidR="003D55C9" w:rsidRPr="00EF7399">
        <w:rPr>
          <w:rFonts w:ascii="Times New Roman" w:hAnsi="Times New Roman" w:cs="Times New Roman"/>
          <w:lang w:val="af-ZA"/>
        </w:rPr>
        <w:t>:</w:t>
      </w:r>
    </w:p>
    <w:p w14:paraId="7B0A0F4E" w14:textId="7A26BC2B" w:rsidR="00BA4A98" w:rsidRPr="00EF7399" w:rsidRDefault="00A83DAB" w:rsidP="00A83DAB">
      <w:pPr>
        <w:pStyle w:val="ECHRHeading2"/>
        <w:numPr>
          <w:ilvl w:val="0"/>
          <w:numId w:val="0"/>
        </w:numPr>
        <w:rPr>
          <w:rFonts w:ascii="Times New Roman" w:hAnsi="Times New Roman" w:cs="Times New Roman"/>
          <w:lang w:val="af-ZA"/>
        </w:rPr>
      </w:pPr>
      <w:bookmarkStart w:id="68" w:name="Reprehensible_conduct"/>
      <w:bookmarkStart w:id="69" w:name="_Toc159945230"/>
      <w:r>
        <w:rPr>
          <w:rFonts w:ascii="Times New Roman" w:hAnsi="Times New Roman" w:cs="Times New Roman"/>
          <w:lang w:val="hy-AM"/>
        </w:rPr>
        <w:t xml:space="preserve">Է․ </w:t>
      </w:r>
      <w:r w:rsidR="00E038C3" w:rsidRPr="00EF7399">
        <w:rPr>
          <w:rFonts w:ascii="Times New Roman" w:hAnsi="Times New Roman" w:cs="Times New Roman"/>
          <w:lang w:val="af-ZA"/>
        </w:rPr>
        <w:t>Դատապարտելի վարքագիծ</w:t>
      </w:r>
      <w:bookmarkEnd w:id="68"/>
      <w:bookmarkEnd w:id="69"/>
    </w:p>
    <w:p w14:paraId="4BFA0E68" w14:textId="3B109AF5" w:rsidR="00BA4A98" w:rsidRPr="00EF7399" w:rsidRDefault="00BA4A98" w:rsidP="00BA4A98">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105</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D305F" w:rsidRPr="00EF7399">
        <w:rPr>
          <w:rFonts w:ascii="Times New Roman" w:hAnsi="Times New Roman" w:cs="Times New Roman"/>
          <w:lang w:val="af-ZA"/>
        </w:rPr>
        <w:t xml:space="preserve"> Խաղաղ հավաքների ազատության իրավունքի բուն էությունը խախտվում է, եթե պետությունը չի արգելել ցույցը, բայց դրա մասնակիցների նկատմամբ, որոնք չեն դրսևորել դատապարտելի վարքագիծ, կիրառել է պատժամիջոցներ զուտ մասնակցության համար </w:t>
      </w:r>
      <w:r w:rsidRPr="00EF7399">
        <w:rPr>
          <w:rFonts w:ascii="Times New Roman" w:hAnsi="Times New Roman" w:cs="Times New Roman"/>
          <w:lang w:val="af-ZA"/>
        </w:rPr>
        <w:t>(</w:t>
      </w:r>
      <w:hyperlink r:id="rId270" w:history="1">
        <w:r w:rsidRPr="00EF7399">
          <w:rPr>
            <w:rStyle w:val="Hyperlink"/>
            <w:rFonts w:ascii="Times New Roman" w:hAnsi="Times New Roman" w:cs="Times New Roman"/>
            <w:lang w:val="af-ZA"/>
          </w:rPr>
          <w:t>Galstyan</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Armenia</w:t>
        </w:r>
      </w:hyperlink>
      <w:r w:rsidRPr="00EF7399">
        <w:rPr>
          <w:rFonts w:ascii="Times New Roman" w:hAnsi="Times New Roman" w:cs="Times New Roman"/>
          <w:lang w:val="af-ZA"/>
        </w:rPr>
        <w:t xml:space="preserve">, </w:t>
      </w:r>
      <w:r w:rsidR="00847302" w:rsidRPr="00EF7399">
        <w:rPr>
          <w:rFonts w:ascii="Times New Roman" w:hAnsi="Times New Roman" w:cs="Times New Roman"/>
          <w:lang w:val="af-ZA"/>
        </w:rPr>
        <w:t xml:space="preserve">2007,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117; </w:t>
      </w:r>
      <w:hyperlink r:id="rId271" w:history="1">
        <w:r w:rsidRPr="00EF7399">
          <w:rPr>
            <w:rStyle w:val="Hyperlink"/>
            <w:rFonts w:ascii="Times New Roman" w:hAnsi="Times New Roman" w:cs="Times New Roman"/>
            <w:lang w:val="af-ZA"/>
          </w:rPr>
          <w:t>Ashughyan</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Armenia</w:t>
        </w:r>
      </w:hyperlink>
      <w:r w:rsidRPr="00EF7399">
        <w:rPr>
          <w:rFonts w:ascii="Times New Roman" w:hAnsi="Times New Roman" w:cs="Times New Roman"/>
          <w:lang w:val="af-ZA"/>
        </w:rPr>
        <w:t xml:space="preserve">, </w:t>
      </w:r>
      <w:r w:rsidR="00847302" w:rsidRPr="00EF7399">
        <w:rPr>
          <w:rFonts w:ascii="Times New Roman" w:hAnsi="Times New Roman" w:cs="Times New Roman"/>
          <w:lang w:val="af-ZA"/>
        </w:rPr>
        <w:t xml:space="preserve">2008, </w:t>
      </w:r>
      <w:r w:rsidR="00873234" w:rsidRPr="00EF7399">
        <w:rPr>
          <w:rFonts w:ascii="Times New Roman" w:hAnsi="Times New Roman" w:cs="Times New Roman"/>
          <w:lang w:val="af-ZA"/>
        </w:rPr>
        <w:t>§ </w:t>
      </w:r>
      <w:r w:rsidRPr="00EF7399">
        <w:rPr>
          <w:rFonts w:ascii="Times New Roman" w:hAnsi="Times New Roman" w:cs="Times New Roman"/>
          <w:lang w:val="af-ZA"/>
        </w:rPr>
        <w:t>93)</w:t>
      </w:r>
      <w:r w:rsidR="001D305F" w:rsidRPr="00EF7399">
        <w:rPr>
          <w:rFonts w:ascii="Times New Roman" w:hAnsi="Times New Roman" w:cs="Times New Roman"/>
          <w:lang w:val="af-ZA"/>
        </w:rPr>
        <w:t>:</w:t>
      </w:r>
    </w:p>
    <w:p w14:paraId="53079B59" w14:textId="45227D57" w:rsidR="00BA4A98" w:rsidRPr="00EF7399" w:rsidRDefault="00BA4A98" w:rsidP="00BA4A98">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106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D305F" w:rsidRPr="00EF7399">
        <w:rPr>
          <w:rFonts w:ascii="Times New Roman" w:hAnsi="Times New Roman" w:cs="Times New Roman"/>
          <w:lang w:val="af-ZA"/>
        </w:rPr>
        <w:t>Իշխանությունները կարող են ձեռնարկել հարկադր</w:t>
      </w:r>
      <w:r w:rsidR="00581B22" w:rsidRPr="00EF7399">
        <w:rPr>
          <w:rFonts w:ascii="Times New Roman" w:hAnsi="Times New Roman" w:cs="Times New Roman"/>
          <w:lang w:val="hy-AM"/>
        </w:rPr>
        <w:t>ակ</w:t>
      </w:r>
      <w:r w:rsidR="001D305F" w:rsidRPr="00EF7399">
        <w:rPr>
          <w:rFonts w:ascii="Times New Roman" w:hAnsi="Times New Roman" w:cs="Times New Roman"/>
          <w:lang w:val="af-ZA"/>
        </w:rPr>
        <w:t xml:space="preserve">ան միջոցներ և կիրառել </w:t>
      </w:r>
      <w:r w:rsidR="00581B22" w:rsidRPr="00EF7399">
        <w:rPr>
          <w:rFonts w:ascii="Times New Roman" w:hAnsi="Times New Roman" w:cs="Times New Roman"/>
          <w:lang w:val="af-ZA"/>
        </w:rPr>
        <w:t xml:space="preserve">պատիժներ </w:t>
      </w:r>
      <w:r w:rsidR="001D305F" w:rsidRPr="00EF7399">
        <w:rPr>
          <w:rFonts w:ascii="Times New Roman" w:hAnsi="Times New Roman" w:cs="Times New Roman"/>
          <w:lang w:val="af-ZA"/>
        </w:rPr>
        <w:t xml:space="preserve">հավաքի ընթացքում կատարած </w:t>
      </w:r>
      <w:r w:rsidR="00DE41A9" w:rsidRPr="00EF7399">
        <w:rPr>
          <w:rFonts w:ascii="Times New Roman" w:hAnsi="Times New Roman" w:cs="Times New Roman"/>
          <w:lang w:val="af-ZA"/>
        </w:rPr>
        <w:t>առանձին</w:t>
      </w:r>
      <w:r w:rsidR="001D305F" w:rsidRPr="00EF7399">
        <w:rPr>
          <w:rFonts w:ascii="Times New Roman" w:hAnsi="Times New Roman" w:cs="Times New Roman"/>
          <w:lang w:val="af-ZA"/>
        </w:rPr>
        <w:t xml:space="preserve"> իրավախախտումների համար:</w:t>
      </w:r>
      <w:r w:rsidR="00DE41A9" w:rsidRPr="00EF7399">
        <w:rPr>
          <w:rFonts w:ascii="Times New Roman" w:hAnsi="Times New Roman" w:cs="Times New Roman"/>
          <w:lang w:val="af-ZA"/>
        </w:rPr>
        <w:t xml:space="preserve"> Սկզբունքորեն, միջամտությունները հավաքների ազատության իրավունքին</w:t>
      </w:r>
      <w:r w:rsidR="00164D38" w:rsidRPr="00EF7399">
        <w:rPr>
          <w:rFonts w:ascii="Times New Roman" w:hAnsi="Times New Roman" w:cs="Times New Roman"/>
          <w:lang w:val="af-ZA"/>
        </w:rPr>
        <w:t xml:space="preserve"> հիմնավորվ</w:t>
      </w:r>
      <w:r w:rsidR="00581B22" w:rsidRPr="00EF7399">
        <w:rPr>
          <w:rFonts w:ascii="Times New Roman" w:hAnsi="Times New Roman" w:cs="Times New Roman"/>
          <w:lang w:val="hy-AM"/>
        </w:rPr>
        <w:t>ած</w:t>
      </w:r>
      <w:r w:rsidR="00164D38" w:rsidRPr="00EF7399">
        <w:rPr>
          <w:rFonts w:ascii="Times New Roman" w:hAnsi="Times New Roman" w:cs="Times New Roman"/>
          <w:lang w:val="af-ZA"/>
        </w:rPr>
        <w:t xml:space="preserve"> են </w:t>
      </w:r>
      <w:r w:rsidR="00DE41A9" w:rsidRPr="00EF7399">
        <w:rPr>
          <w:rFonts w:ascii="Times New Roman" w:hAnsi="Times New Roman" w:cs="Times New Roman"/>
          <w:lang w:val="af-ZA"/>
        </w:rPr>
        <w:t xml:space="preserve"> անկարգությունները</w:t>
      </w:r>
      <w:r w:rsidR="00B86F82" w:rsidRPr="00EF7399">
        <w:rPr>
          <w:rFonts w:ascii="Times New Roman" w:hAnsi="Times New Roman" w:cs="Times New Roman"/>
          <w:lang w:val="af-ZA"/>
        </w:rPr>
        <w:t xml:space="preserve"> </w:t>
      </w:r>
      <w:r w:rsidR="00DE41A9" w:rsidRPr="00EF7399">
        <w:rPr>
          <w:rFonts w:ascii="Times New Roman" w:hAnsi="Times New Roman" w:cs="Times New Roman"/>
          <w:lang w:val="af-ZA"/>
        </w:rPr>
        <w:t>և</w:t>
      </w:r>
      <w:r w:rsidR="00164D38" w:rsidRPr="00EF7399">
        <w:rPr>
          <w:rFonts w:ascii="Times New Roman" w:hAnsi="Times New Roman" w:cs="Times New Roman"/>
          <w:lang w:val="af-ZA"/>
        </w:rPr>
        <w:t xml:space="preserve"> հանցագործությունները կանխելու, այլ անձանց իրավունքները և ազատությունները պաշտպանելու անհրաժեշտությամբ, երբ ցույցի մասնակիցները կատարում են բռնի գործողություններ </w:t>
      </w:r>
      <w:r w:rsidRPr="00EF7399">
        <w:rPr>
          <w:rFonts w:ascii="Times New Roman" w:hAnsi="Times New Roman" w:cs="Times New Roman"/>
          <w:lang w:val="af-ZA"/>
        </w:rPr>
        <w:t>(</w:t>
      </w:r>
      <w:hyperlink r:id="rId272" w:history="1">
        <w:r w:rsidRPr="00EF7399">
          <w:rPr>
            <w:rStyle w:val="Hyperlink"/>
            <w:rFonts w:ascii="Times New Roman" w:hAnsi="Times New Roman" w:cs="Times New Roman"/>
            <w:lang w:val="af-ZA"/>
          </w:rPr>
          <w:t>Giuliani and Gaggio</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Italy</w:t>
        </w:r>
      </w:hyperlink>
      <w:r w:rsidR="00070A20" w:rsidRPr="00EF7399">
        <w:rPr>
          <w:rFonts w:ascii="Times New Roman" w:hAnsi="Times New Roman" w:cs="Times New Roman"/>
          <w:lang w:val="af-ZA"/>
        </w:rPr>
        <w:t xml:space="preserve"> [GC], </w:t>
      </w:r>
      <w:r w:rsidR="00847302" w:rsidRPr="00EF7399">
        <w:rPr>
          <w:rFonts w:ascii="Times New Roman" w:hAnsi="Times New Roman" w:cs="Times New Roman"/>
          <w:lang w:val="af-ZA"/>
        </w:rPr>
        <w:t xml:space="preserve">2011, </w:t>
      </w:r>
      <w:r w:rsidR="00873234" w:rsidRPr="00EF7399">
        <w:rPr>
          <w:rFonts w:ascii="Times New Roman" w:hAnsi="Times New Roman" w:cs="Times New Roman"/>
          <w:lang w:val="af-ZA"/>
        </w:rPr>
        <w:t>§ </w:t>
      </w:r>
      <w:r w:rsidR="00070A20" w:rsidRPr="00EF7399">
        <w:rPr>
          <w:rFonts w:ascii="Times New Roman" w:hAnsi="Times New Roman" w:cs="Times New Roman"/>
          <w:lang w:val="af-ZA"/>
        </w:rPr>
        <w:t>251)</w:t>
      </w:r>
      <w:r w:rsidR="00164D38" w:rsidRPr="00EF7399">
        <w:rPr>
          <w:rFonts w:ascii="Times New Roman" w:hAnsi="Times New Roman" w:cs="Times New Roman"/>
          <w:lang w:val="af-ZA"/>
        </w:rPr>
        <w:t>:</w:t>
      </w:r>
    </w:p>
    <w:p w14:paraId="65DF90ED" w14:textId="087FC0BA" w:rsidR="00BA4A98" w:rsidRPr="00EF7399" w:rsidRDefault="00BA4A98" w:rsidP="00BA4A98">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107</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64D38" w:rsidRPr="00EF7399">
        <w:rPr>
          <w:rFonts w:ascii="Times New Roman" w:hAnsi="Times New Roman" w:cs="Times New Roman"/>
          <w:lang w:val="af-ZA"/>
        </w:rPr>
        <w:t xml:space="preserve"> </w:t>
      </w:r>
      <w:r w:rsidR="008B4DDA" w:rsidRPr="00EF7399">
        <w:rPr>
          <w:rFonts w:ascii="Times New Roman" w:hAnsi="Times New Roman" w:cs="Times New Roman"/>
          <w:lang w:val="hy-AM"/>
        </w:rPr>
        <w:t>Ք</w:t>
      </w:r>
      <w:r w:rsidR="008B4DDA" w:rsidRPr="00EF7399">
        <w:rPr>
          <w:rFonts w:ascii="Times New Roman" w:hAnsi="Times New Roman" w:cs="Times New Roman"/>
          <w:lang w:val="af-ZA"/>
        </w:rPr>
        <w:t xml:space="preserve">րեական </w:t>
      </w:r>
      <w:r w:rsidR="008B4DDA" w:rsidRPr="00EF7399">
        <w:rPr>
          <w:rFonts w:ascii="Times New Roman" w:hAnsi="Times New Roman" w:cs="Times New Roman"/>
          <w:lang w:val="hy-AM"/>
        </w:rPr>
        <w:t>դատապարտումը</w:t>
      </w:r>
      <w:r w:rsidR="008B4DDA" w:rsidRPr="00EF7399">
        <w:rPr>
          <w:rFonts w:ascii="Times New Roman" w:hAnsi="Times New Roman" w:cs="Times New Roman"/>
          <w:lang w:val="af-ZA"/>
        </w:rPr>
        <w:t xml:space="preserve"> </w:t>
      </w:r>
      <w:r w:rsidR="00164D38" w:rsidRPr="00EF7399">
        <w:rPr>
          <w:rFonts w:ascii="Times New Roman" w:hAnsi="Times New Roman" w:cs="Times New Roman"/>
          <w:lang w:val="af-ZA"/>
        </w:rPr>
        <w:t>ցույցի ընթացքում բռնություն հրահրող գործողությունների համար</w:t>
      </w:r>
      <w:r w:rsidR="008B4DDA" w:rsidRPr="00EF7399">
        <w:rPr>
          <w:rFonts w:ascii="Times New Roman" w:hAnsi="Times New Roman" w:cs="Times New Roman"/>
          <w:lang w:val="hy-AM"/>
        </w:rPr>
        <w:t xml:space="preserve"> ո</w:t>
      </w:r>
      <w:r w:rsidR="008B4DDA" w:rsidRPr="00EF7399">
        <w:rPr>
          <w:rFonts w:ascii="Times New Roman" w:hAnsi="Times New Roman" w:cs="Times New Roman"/>
          <w:lang w:val="af-ZA"/>
        </w:rPr>
        <w:t>րոշակի հանգամանքներում կարող է համարվել</w:t>
      </w:r>
      <w:r w:rsidR="00164D38" w:rsidRPr="00EF7399">
        <w:rPr>
          <w:rFonts w:ascii="Times New Roman" w:hAnsi="Times New Roman" w:cs="Times New Roman"/>
          <w:lang w:val="af-ZA"/>
        </w:rPr>
        <w:t xml:space="preserve"> </w:t>
      </w:r>
      <w:r w:rsidR="008B4DDA" w:rsidRPr="00EF7399">
        <w:rPr>
          <w:rFonts w:ascii="Times New Roman" w:hAnsi="Times New Roman" w:cs="Times New Roman"/>
          <w:lang w:val="af-ZA"/>
        </w:rPr>
        <w:t xml:space="preserve">ընդունելի միջոց </w:t>
      </w:r>
      <w:r w:rsidR="0081194B" w:rsidRPr="00EF7399">
        <w:rPr>
          <w:rFonts w:ascii="Times New Roman" w:hAnsi="Times New Roman" w:cs="Times New Roman"/>
          <w:lang w:val="af-ZA"/>
        </w:rPr>
        <w:t>(</w:t>
      </w:r>
      <w:hyperlink r:id="rId273" w:history="1">
        <w:r w:rsidR="0081194B" w:rsidRPr="00EF7399">
          <w:rPr>
            <w:rStyle w:val="Hyperlink"/>
            <w:rFonts w:ascii="Times New Roman" w:hAnsi="Times New Roman" w:cs="Times New Roman"/>
            <w:lang w:val="af-ZA"/>
          </w:rPr>
          <w:t>Osmani and Others</w:t>
        </w:r>
        <w:r w:rsidR="00873234" w:rsidRPr="00EF7399">
          <w:rPr>
            <w:rStyle w:val="Hyperlink"/>
            <w:rFonts w:ascii="Times New Roman" w:hAnsi="Times New Roman" w:cs="Times New Roman"/>
            <w:lang w:val="af-ZA"/>
          </w:rPr>
          <w:t xml:space="preserve"> v. </w:t>
        </w:r>
        <w:r w:rsidR="0081194B" w:rsidRPr="00EF7399">
          <w:rPr>
            <w:rStyle w:val="Hyperlink"/>
            <w:rFonts w:ascii="Times New Roman" w:hAnsi="Times New Roman" w:cs="Times New Roman"/>
            <w:lang w:val="af-ZA"/>
          </w:rPr>
          <w:t>the former Yugoslav Republic of Macedonia</w:t>
        </w:r>
      </w:hyperlink>
      <w:r w:rsidR="0081194B" w:rsidRPr="00EF7399">
        <w:rPr>
          <w:rFonts w:ascii="Times New Roman" w:hAnsi="Times New Roman" w:cs="Times New Roman"/>
          <w:i/>
          <w:lang w:val="af-ZA"/>
        </w:rPr>
        <w:t xml:space="preserve"> </w:t>
      </w:r>
      <w:r w:rsidR="0081194B" w:rsidRPr="00EF7399">
        <w:rPr>
          <w:rFonts w:ascii="Times New Roman" w:hAnsi="Times New Roman" w:cs="Times New Roman"/>
          <w:lang w:val="af-ZA"/>
        </w:rPr>
        <w:t>(dec.)</w:t>
      </w:r>
      <w:r w:rsidR="00847302" w:rsidRPr="00EF7399">
        <w:rPr>
          <w:rFonts w:ascii="Times New Roman" w:hAnsi="Times New Roman" w:cs="Times New Roman"/>
          <w:lang w:val="af-ZA"/>
        </w:rPr>
        <w:t>, 2001</w:t>
      </w:r>
      <w:r w:rsidR="0081194B" w:rsidRPr="00EF7399">
        <w:rPr>
          <w:rFonts w:ascii="Times New Roman" w:hAnsi="Times New Roman" w:cs="Times New Roman"/>
          <w:lang w:val="af-ZA"/>
        </w:rPr>
        <w:t>)</w:t>
      </w:r>
      <w:r w:rsidR="00164D38" w:rsidRPr="00EF7399">
        <w:rPr>
          <w:rFonts w:ascii="Times New Roman" w:hAnsi="Times New Roman" w:cs="Times New Roman"/>
          <w:lang w:val="af-ZA"/>
        </w:rPr>
        <w:t>:</w:t>
      </w:r>
    </w:p>
    <w:p w14:paraId="4CC7CE01" w14:textId="147126BD" w:rsidR="00BA4A98" w:rsidRPr="00EF7399" w:rsidRDefault="00BA4A98" w:rsidP="00BA4A98">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108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B52B5E" w:rsidRPr="00EF7399">
        <w:rPr>
          <w:rFonts w:ascii="Times New Roman" w:hAnsi="Times New Roman" w:cs="Times New Roman"/>
          <w:lang w:val="af-ZA"/>
        </w:rPr>
        <w:t xml:space="preserve">Միջամտության անհրաժեշտությունն ուսումնասիրելիս իշխանություններն </w:t>
      </w:r>
      <w:r w:rsidR="008B4DDA" w:rsidRPr="00EF7399">
        <w:rPr>
          <w:rFonts w:ascii="Times New Roman" w:hAnsi="Times New Roman" w:cs="Times New Roman"/>
          <w:lang w:val="hy-AM"/>
        </w:rPr>
        <w:t>օգտվում են</w:t>
      </w:r>
      <w:r w:rsidR="008B4DDA" w:rsidRPr="00EF7399">
        <w:rPr>
          <w:rFonts w:ascii="Times New Roman" w:hAnsi="Times New Roman" w:cs="Times New Roman"/>
          <w:lang w:val="af-ZA"/>
        </w:rPr>
        <w:t xml:space="preserve"> </w:t>
      </w:r>
      <w:r w:rsidR="00B52B5E" w:rsidRPr="00EF7399">
        <w:rPr>
          <w:rFonts w:ascii="Times New Roman" w:hAnsi="Times New Roman" w:cs="Times New Roman"/>
          <w:lang w:val="af-ZA"/>
        </w:rPr>
        <w:t>հայեցողությ</w:t>
      </w:r>
      <w:r w:rsidR="008B4DDA" w:rsidRPr="00EF7399">
        <w:rPr>
          <w:rFonts w:ascii="Times New Roman" w:hAnsi="Times New Roman" w:cs="Times New Roman"/>
          <w:lang w:val="hy-AM"/>
        </w:rPr>
        <w:t>ա</w:t>
      </w:r>
      <w:r w:rsidR="00B52B5E" w:rsidRPr="00EF7399">
        <w:rPr>
          <w:rFonts w:ascii="Times New Roman" w:hAnsi="Times New Roman" w:cs="Times New Roman"/>
          <w:lang w:val="af-ZA"/>
        </w:rPr>
        <w:t>ն</w:t>
      </w:r>
      <w:r w:rsidR="008B4DDA" w:rsidRPr="00EF7399">
        <w:rPr>
          <w:rFonts w:ascii="Times New Roman" w:hAnsi="Times New Roman" w:cs="Times New Roman"/>
          <w:lang w:val="hy-AM"/>
        </w:rPr>
        <w:t xml:space="preserve"> </w:t>
      </w:r>
      <w:r w:rsidR="008B4DDA" w:rsidRPr="00EF7399">
        <w:rPr>
          <w:rFonts w:ascii="Times New Roman" w:hAnsi="Times New Roman" w:cs="Times New Roman"/>
          <w:lang w:val="af-ZA"/>
        </w:rPr>
        <w:t>ավելի լայն</w:t>
      </w:r>
      <w:r w:rsidR="008B4DDA" w:rsidRPr="00EF7399">
        <w:rPr>
          <w:rFonts w:ascii="Times New Roman" w:hAnsi="Times New Roman" w:cs="Times New Roman"/>
          <w:lang w:val="hy-AM"/>
        </w:rPr>
        <w:t xml:space="preserve"> շրջանակից</w:t>
      </w:r>
      <w:r w:rsidR="00B52B5E" w:rsidRPr="00EF7399">
        <w:rPr>
          <w:rFonts w:ascii="Times New Roman" w:hAnsi="Times New Roman" w:cs="Times New Roman"/>
          <w:lang w:val="af-ZA"/>
        </w:rPr>
        <w:t>, ե</w:t>
      </w:r>
      <w:r w:rsidR="00164D38" w:rsidRPr="00EF7399">
        <w:rPr>
          <w:rFonts w:ascii="Times New Roman" w:hAnsi="Times New Roman" w:cs="Times New Roman"/>
          <w:lang w:val="af-ZA"/>
        </w:rPr>
        <w:t xml:space="preserve">թե բռնություն է </w:t>
      </w:r>
      <w:r w:rsidR="00B52B5E" w:rsidRPr="00EF7399">
        <w:rPr>
          <w:rFonts w:ascii="Times New Roman" w:hAnsi="Times New Roman" w:cs="Times New Roman"/>
          <w:lang w:val="af-ZA"/>
        </w:rPr>
        <w:t xml:space="preserve">հրահրվել անհատի, պետական պաշտոնատար անձի կամ բնակչության որևէ հատվածի դեմ </w:t>
      </w:r>
      <w:r w:rsidR="006B6FEB" w:rsidRPr="00EF7399">
        <w:rPr>
          <w:rFonts w:ascii="Times New Roman" w:hAnsi="Times New Roman" w:cs="Times New Roman"/>
          <w:lang w:val="af-ZA"/>
        </w:rPr>
        <w:t>(</w:t>
      </w:r>
      <w:hyperlink r:id="rId274" w:history="1">
        <w:r w:rsidR="006B6FEB" w:rsidRPr="00EF7399">
          <w:rPr>
            <w:rStyle w:val="Hyperlink"/>
            <w:rFonts w:ascii="Times New Roman" w:hAnsi="Times New Roman" w:cs="Times New Roman"/>
            <w:lang w:val="af-ZA"/>
          </w:rPr>
          <w:t>Schwabe and M.G.</w:t>
        </w:r>
        <w:r w:rsidR="00873234" w:rsidRPr="00EF7399">
          <w:rPr>
            <w:rStyle w:val="Hyperlink"/>
            <w:rFonts w:ascii="Times New Roman" w:hAnsi="Times New Roman" w:cs="Times New Roman"/>
            <w:lang w:val="af-ZA"/>
          </w:rPr>
          <w:t xml:space="preserve"> v. </w:t>
        </w:r>
        <w:r w:rsidR="006B6FEB" w:rsidRPr="00EF7399">
          <w:rPr>
            <w:rStyle w:val="Hyperlink"/>
            <w:rFonts w:ascii="Times New Roman" w:hAnsi="Times New Roman" w:cs="Times New Roman"/>
            <w:lang w:val="af-ZA"/>
          </w:rPr>
          <w:t>Germany</w:t>
        </w:r>
      </w:hyperlink>
      <w:r w:rsidR="006B6FEB" w:rsidRPr="00EF7399">
        <w:rPr>
          <w:rFonts w:ascii="Times New Roman" w:hAnsi="Times New Roman" w:cs="Times New Roman"/>
          <w:i/>
          <w:lang w:val="af-ZA"/>
        </w:rPr>
        <w:t>,</w:t>
      </w:r>
      <w:r w:rsidR="006B6FEB" w:rsidRPr="00EF7399">
        <w:rPr>
          <w:rFonts w:ascii="Times New Roman" w:hAnsi="Times New Roman" w:cs="Times New Roman"/>
          <w:lang w:val="af-ZA"/>
        </w:rPr>
        <w:t xml:space="preserve"> </w:t>
      </w:r>
      <w:r w:rsidR="00847302" w:rsidRPr="00EF7399">
        <w:rPr>
          <w:rFonts w:ascii="Times New Roman" w:hAnsi="Times New Roman" w:cs="Times New Roman"/>
          <w:lang w:val="af-ZA"/>
        </w:rPr>
        <w:t xml:space="preserve">2011, </w:t>
      </w:r>
      <w:r w:rsidR="00873234" w:rsidRPr="00EF7399">
        <w:rPr>
          <w:rFonts w:ascii="Times New Roman" w:hAnsi="Times New Roman" w:cs="Times New Roman"/>
          <w:lang w:val="af-ZA"/>
        </w:rPr>
        <w:t>§ </w:t>
      </w:r>
      <w:r w:rsidR="006B6FEB" w:rsidRPr="00EF7399">
        <w:rPr>
          <w:rFonts w:ascii="Times New Roman" w:hAnsi="Times New Roman" w:cs="Times New Roman"/>
          <w:lang w:val="af-ZA"/>
        </w:rPr>
        <w:t>113)</w:t>
      </w:r>
      <w:r w:rsidR="00B52B5E" w:rsidRPr="00EF7399">
        <w:rPr>
          <w:rFonts w:ascii="Times New Roman" w:hAnsi="Times New Roman" w:cs="Times New Roman"/>
          <w:lang w:val="af-ZA"/>
        </w:rPr>
        <w:t>:</w:t>
      </w:r>
    </w:p>
    <w:p w14:paraId="0BA750DF" w14:textId="33A1E128" w:rsidR="009A66BC" w:rsidRPr="00EF7399" w:rsidRDefault="00BA4A98" w:rsidP="00BA4A98">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109</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B52B5E" w:rsidRPr="00EF7399">
        <w:rPr>
          <w:rFonts w:ascii="Times New Roman" w:hAnsi="Times New Roman" w:cs="Times New Roman"/>
          <w:lang w:val="af-ZA"/>
        </w:rPr>
        <w:t>Ցույցի մասնակիցների կողմից բնականոն կյանքի և այլ անձանց իրականացրած օրինական գործունեության դիտավորյալ և լուրջ խաթարումը, որը հասնում է ավելի նշանակալի չափերի, քան առաջացնում է հանրային վայրում խաղաղ հավաքի իրավունքի բնականոն իրա</w:t>
      </w:r>
      <w:r w:rsidR="00973808" w:rsidRPr="00EF7399">
        <w:rPr>
          <w:rFonts w:ascii="Times New Roman" w:hAnsi="Times New Roman" w:cs="Times New Roman"/>
          <w:lang w:val="hy-AM"/>
        </w:rPr>
        <w:t>ցո</w:t>
      </w:r>
      <w:r w:rsidR="00B52B5E" w:rsidRPr="00EF7399">
        <w:rPr>
          <w:rFonts w:ascii="Times New Roman" w:hAnsi="Times New Roman" w:cs="Times New Roman"/>
          <w:lang w:val="af-ZA"/>
        </w:rPr>
        <w:t>ւմը</w:t>
      </w:r>
      <w:r w:rsidR="00382768" w:rsidRPr="00EF7399">
        <w:rPr>
          <w:rFonts w:ascii="Times New Roman" w:hAnsi="Times New Roman" w:cs="Times New Roman"/>
          <w:lang w:val="af-ZA"/>
        </w:rPr>
        <w:t>,</w:t>
      </w:r>
      <w:r w:rsidR="00B52B5E" w:rsidRPr="00EF7399">
        <w:rPr>
          <w:rFonts w:ascii="Times New Roman" w:hAnsi="Times New Roman" w:cs="Times New Roman"/>
          <w:lang w:val="af-ZA"/>
        </w:rPr>
        <w:t xml:space="preserve"> </w:t>
      </w:r>
      <w:r w:rsidR="00EE3A38" w:rsidRPr="00EF7399">
        <w:rPr>
          <w:rFonts w:ascii="Times New Roman" w:hAnsi="Times New Roman" w:cs="Times New Roman"/>
          <w:lang w:val="af-ZA"/>
        </w:rPr>
        <w:t>կարող է համարվել «դատապարտելի արարք»: Նման վարքագիծը, հետևաբար, կարող է հիմնավորել պատիժն</w:t>
      </w:r>
      <w:r w:rsidR="001E1620" w:rsidRPr="00EF7399">
        <w:rPr>
          <w:rFonts w:ascii="Times New Roman" w:hAnsi="Times New Roman" w:cs="Times New Roman"/>
          <w:lang w:val="af-ZA"/>
        </w:rPr>
        <w:t>ե</w:t>
      </w:r>
      <w:r w:rsidR="00EE3A38" w:rsidRPr="00EF7399">
        <w:rPr>
          <w:rFonts w:ascii="Times New Roman" w:hAnsi="Times New Roman" w:cs="Times New Roman"/>
          <w:lang w:val="af-ZA"/>
        </w:rPr>
        <w:t>րի, անգամ քրեական</w:t>
      </w:r>
      <w:r w:rsidR="001E1620" w:rsidRPr="00EF7399">
        <w:rPr>
          <w:rFonts w:ascii="Times New Roman" w:hAnsi="Times New Roman" w:cs="Times New Roman"/>
          <w:lang w:val="af-ZA"/>
        </w:rPr>
        <w:t xml:space="preserve"> բնույթի պատիժների </w:t>
      </w:r>
      <w:r w:rsidR="00EE3A38" w:rsidRPr="00EF7399">
        <w:rPr>
          <w:rFonts w:ascii="Times New Roman" w:hAnsi="Times New Roman" w:cs="Times New Roman"/>
          <w:lang w:val="af-ZA"/>
        </w:rPr>
        <w:t xml:space="preserve">կիրառումը: </w:t>
      </w:r>
      <w:r w:rsidR="001E1620" w:rsidRPr="00EF7399">
        <w:rPr>
          <w:rFonts w:ascii="Times New Roman" w:hAnsi="Times New Roman" w:cs="Times New Roman"/>
          <w:lang w:val="af-ZA"/>
        </w:rPr>
        <w:t>Մասնավորապես, ոստիկանության հրահանգներ</w:t>
      </w:r>
      <w:r w:rsidR="00973808" w:rsidRPr="00EF7399">
        <w:rPr>
          <w:rFonts w:ascii="Times New Roman" w:hAnsi="Times New Roman" w:cs="Times New Roman"/>
          <w:lang w:val="hy-AM"/>
        </w:rPr>
        <w:t>ի</w:t>
      </w:r>
      <w:r w:rsidR="001E1620" w:rsidRPr="00EF7399">
        <w:rPr>
          <w:rFonts w:ascii="Times New Roman" w:hAnsi="Times New Roman" w:cs="Times New Roman"/>
          <w:lang w:val="af-ZA"/>
        </w:rPr>
        <w:t xml:space="preserve"> և ճանապարհներից օգտվողների կարիքներ</w:t>
      </w:r>
      <w:r w:rsidR="00973808" w:rsidRPr="00EF7399">
        <w:rPr>
          <w:rFonts w:ascii="Times New Roman" w:hAnsi="Times New Roman" w:cs="Times New Roman"/>
          <w:lang w:val="hy-AM"/>
        </w:rPr>
        <w:t>ի</w:t>
      </w:r>
      <w:r w:rsidR="001E1620" w:rsidRPr="00EF7399">
        <w:rPr>
          <w:rFonts w:ascii="Times New Roman" w:hAnsi="Times New Roman" w:cs="Times New Roman"/>
          <w:lang w:val="af-ZA"/>
        </w:rPr>
        <w:t xml:space="preserve"> ու իրավունքներ</w:t>
      </w:r>
      <w:r w:rsidR="00973808" w:rsidRPr="00EF7399">
        <w:rPr>
          <w:rFonts w:ascii="Times New Roman" w:hAnsi="Times New Roman" w:cs="Times New Roman"/>
          <w:lang w:val="hy-AM"/>
        </w:rPr>
        <w:t>ի</w:t>
      </w:r>
      <w:r w:rsidR="001E1620" w:rsidRPr="00EF7399">
        <w:rPr>
          <w:rFonts w:ascii="Times New Roman" w:hAnsi="Times New Roman" w:cs="Times New Roman"/>
          <w:lang w:val="af-ZA"/>
        </w:rPr>
        <w:t xml:space="preserve"> անտես</w:t>
      </w:r>
      <w:r w:rsidR="00973808" w:rsidRPr="00EF7399">
        <w:rPr>
          <w:rFonts w:ascii="Times New Roman" w:hAnsi="Times New Roman" w:cs="Times New Roman"/>
          <w:lang w:val="hy-AM"/>
        </w:rPr>
        <w:t>մամբ</w:t>
      </w:r>
      <w:r w:rsidR="001E1620" w:rsidRPr="00EF7399">
        <w:rPr>
          <w:rFonts w:ascii="Times New Roman" w:hAnsi="Times New Roman" w:cs="Times New Roman"/>
          <w:lang w:val="af-ZA"/>
        </w:rPr>
        <w:t xml:space="preserve"> երեք հիմնական մայրուղիների գրեթե լիարժեք արգելափակումը, որը թեև նվազ վտանգավոր էր, քան ֆիզիկական բռնության դիմելը, համարվել էր «դատապարտելի» վարքագիծ </w:t>
      </w:r>
      <w:r w:rsidR="006B6FEB" w:rsidRPr="00EF7399">
        <w:rPr>
          <w:rFonts w:ascii="Times New Roman" w:hAnsi="Times New Roman" w:cs="Times New Roman"/>
          <w:lang w:val="af-ZA"/>
        </w:rPr>
        <w:t>(</w:t>
      </w:r>
      <w:hyperlink r:id="rId275" w:history="1">
        <w:r w:rsidR="006B6FEB" w:rsidRPr="00EF7399">
          <w:rPr>
            <w:rStyle w:val="Hyperlink"/>
            <w:rFonts w:ascii="Times New Roman" w:hAnsi="Times New Roman" w:cs="Times New Roman"/>
            <w:lang w:val="af-ZA"/>
          </w:rPr>
          <w:t>Kudrevičius and Others</w:t>
        </w:r>
        <w:r w:rsidR="00873234" w:rsidRPr="00EF7399">
          <w:rPr>
            <w:rStyle w:val="Hyperlink"/>
            <w:rFonts w:ascii="Times New Roman" w:hAnsi="Times New Roman" w:cs="Times New Roman"/>
            <w:lang w:val="af-ZA"/>
          </w:rPr>
          <w:t xml:space="preserve"> v. </w:t>
        </w:r>
        <w:r w:rsidR="006B6FEB" w:rsidRPr="00EF7399">
          <w:rPr>
            <w:rStyle w:val="Hyperlink"/>
            <w:rFonts w:ascii="Times New Roman" w:hAnsi="Times New Roman" w:cs="Times New Roman"/>
            <w:lang w:val="af-ZA"/>
          </w:rPr>
          <w:t>Lithuania</w:t>
        </w:r>
      </w:hyperlink>
      <w:r w:rsidR="006B6FEB" w:rsidRPr="00EF7399">
        <w:rPr>
          <w:rFonts w:ascii="Times New Roman" w:hAnsi="Times New Roman" w:cs="Times New Roman"/>
          <w:i/>
          <w:lang w:val="af-ZA"/>
        </w:rPr>
        <w:t xml:space="preserve"> </w:t>
      </w:r>
      <w:r w:rsidR="006B6FEB" w:rsidRPr="00EF7399">
        <w:rPr>
          <w:rFonts w:ascii="Times New Roman" w:hAnsi="Times New Roman" w:cs="Times New Roman"/>
          <w:lang w:val="af-ZA"/>
        </w:rPr>
        <w:t xml:space="preserve">[GC], </w:t>
      </w:r>
      <w:r w:rsidR="009074F3"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006B6FEB" w:rsidRPr="00EF7399">
        <w:rPr>
          <w:rFonts w:ascii="Times New Roman" w:hAnsi="Times New Roman" w:cs="Times New Roman"/>
          <w:lang w:val="af-ZA"/>
        </w:rPr>
        <w:t xml:space="preserve">173-174; </w:t>
      </w:r>
      <w:r w:rsidR="001E1620" w:rsidRPr="00EF7399">
        <w:rPr>
          <w:rFonts w:ascii="Times New Roman" w:hAnsi="Times New Roman" w:cs="Times New Roman"/>
          <w:lang w:val="af-ZA"/>
        </w:rPr>
        <w:t>տե՛ս նաև</w:t>
      </w:r>
      <w:r w:rsidR="006B6FEB" w:rsidRPr="00EF7399">
        <w:rPr>
          <w:rFonts w:ascii="Times New Roman" w:hAnsi="Times New Roman" w:cs="Times New Roman"/>
          <w:lang w:val="af-ZA"/>
        </w:rPr>
        <w:t xml:space="preserve"> </w:t>
      </w:r>
      <w:hyperlink r:id="rId276" w:history="1">
        <w:r w:rsidR="006B6FEB" w:rsidRPr="00EF7399">
          <w:rPr>
            <w:rStyle w:val="Hyperlink"/>
            <w:rFonts w:ascii="Times New Roman" w:hAnsi="Times New Roman" w:cs="Times New Roman"/>
            <w:lang w:val="af-ZA"/>
          </w:rPr>
          <w:t>Barraco</w:t>
        </w:r>
        <w:r w:rsidR="00873234" w:rsidRPr="00EF7399">
          <w:rPr>
            <w:rStyle w:val="Hyperlink"/>
            <w:rFonts w:ascii="Times New Roman" w:hAnsi="Times New Roman" w:cs="Times New Roman"/>
            <w:lang w:val="af-ZA"/>
          </w:rPr>
          <w:t xml:space="preserve"> v. </w:t>
        </w:r>
        <w:r w:rsidR="006B6FEB" w:rsidRPr="00EF7399">
          <w:rPr>
            <w:rStyle w:val="Hyperlink"/>
            <w:rFonts w:ascii="Times New Roman" w:hAnsi="Times New Roman" w:cs="Times New Roman"/>
            <w:lang w:val="af-ZA"/>
          </w:rPr>
          <w:t>France</w:t>
        </w:r>
      </w:hyperlink>
      <w:r w:rsidR="006B6FEB" w:rsidRPr="00EF7399">
        <w:rPr>
          <w:rFonts w:ascii="Times New Roman" w:hAnsi="Times New Roman" w:cs="Times New Roman"/>
          <w:i/>
          <w:lang w:val="af-ZA"/>
        </w:rPr>
        <w:t xml:space="preserve">, </w:t>
      </w:r>
      <w:r w:rsidR="00847302" w:rsidRPr="00EF7399">
        <w:rPr>
          <w:rFonts w:ascii="Times New Roman" w:hAnsi="Times New Roman" w:cs="Times New Roman"/>
          <w:iCs/>
          <w:lang w:val="af-ZA"/>
        </w:rPr>
        <w:t>2009,</w:t>
      </w:r>
      <w:r w:rsidR="00847302" w:rsidRPr="00EF7399">
        <w:rPr>
          <w:rFonts w:ascii="Times New Roman" w:hAnsi="Times New Roman" w:cs="Times New Roman"/>
          <w:i/>
          <w:lang w:val="af-ZA"/>
        </w:rPr>
        <w:t xml:space="preserve"> </w:t>
      </w:r>
      <w:r w:rsidR="006B6FEB" w:rsidRPr="00EF7399">
        <w:rPr>
          <w:rFonts w:ascii="Times New Roman" w:hAnsi="Times New Roman" w:cs="Times New Roman"/>
          <w:lang w:val="af-ZA"/>
        </w:rPr>
        <w:t>§</w:t>
      </w:r>
      <w:r w:rsidR="00873234" w:rsidRPr="00EF7399">
        <w:rPr>
          <w:rFonts w:ascii="Times New Roman" w:hAnsi="Times New Roman" w:cs="Times New Roman"/>
          <w:lang w:val="af-ZA"/>
        </w:rPr>
        <w:t>§ </w:t>
      </w:r>
      <w:r w:rsidR="006B6FEB" w:rsidRPr="00EF7399">
        <w:rPr>
          <w:rFonts w:ascii="Times New Roman" w:hAnsi="Times New Roman" w:cs="Times New Roman"/>
          <w:lang w:val="af-ZA"/>
        </w:rPr>
        <w:t>46-47</w:t>
      </w:r>
      <w:r w:rsidR="00D6657E" w:rsidRPr="00EF7399">
        <w:rPr>
          <w:rFonts w:ascii="Times New Roman" w:hAnsi="Times New Roman" w:cs="Times New Roman"/>
          <w:lang w:val="af-ZA"/>
        </w:rPr>
        <w:t xml:space="preserve">; </w:t>
      </w:r>
      <w:r w:rsidR="001E1620" w:rsidRPr="00EF7399">
        <w:rPr>
          <w:rFonts w:ascii="Times New Roman" w:hAnsi="Times New Roman" w:cs="Times New Roman"/>
          <w:lang w:val="af-ZA"/>
        </w:rPr>
        <w:t>տե՛ս նաև</w:t>
      </w:r>
      <w:r w:rsidR="009A5469" w:rsidRPr="00EF7399">
        <w:rPr>
          <w:rFonts w:ascii="Times New Roman" w:hAnsi="Times New Roman" w:cs="Times New Roman"/>
          <w:lang w:val="af-ZA"/>
        </w:rPr>
        <w:t xml:space="preserve"> </w:t>
      </w:r>
      <w:r w:rsidR="001E1620" w:rsidRPr="00EF7399">
        <w:rPr>
          <w:rFonts w:ascii="Times New Roman" w:hAnsi="Times New Roman" w:cs="Times New Roman"/>
          <w:lang w:val="af-ZA"/>
        </w:rPr>
        <w:t>«</w:t>
      </w:r>
      <w:r w:rsidR="009A5469" w:rsidRPr="00EF7399">
        <w:rPr>
          <w:rFonts w:ascii="Times New Roman" w:hAnsi="Times New Roman" w:cs="Times New Roman"/>
          <w:lang w:val="af-ZA"/>
        </w:rPr>
        <w:fldChar w:fldCharType="begin"/>
      </w:r>
      <w:r w:rsidR="009A5469" w:rsidRPr="00EF7399">
        <w:rPr>
          <w:rFonts w:ascii="Times New Roman" w:hAnsi="Times New Roman" w:cs="Times New Roman"/>
          <w:lang w:val="af-ZA"/>
        </w:rPr>
        <w:instrText xml:space="preserve"> REF _Ref103245163 \h  \* MERGEFORMAT </w:instrText>
      </w:r>
      <w:r w:rsidR="009A5469" w:rsidRPr="00EF7399">
        <w:rPr>
          <w:rFonts w:ascii="Times New Roman" w:hAnsi="Times New Roman" w:cs="Times New Roman"/>
          <w:lang w:val="af-ZA"/>
        </w:rPr>
      </w:r>
      <w:r w:rsidR="009A5469" w:rsidRPr="00EF7399">
        <w:rPr>
          <w:rFonts w:ascii="Times New Roman" w:hAnsi="Times New Roman" w:cs="Times New Roman"/>
          <w:lang w:val="af-ZA"/>
        </w:rPr>
        <w:fldChar w:fldCharType="separate"/>
      </w:r>
      <w:r w:rsidR="001E1620" w:rsidRPr="00EF7399">
        <w:rPr>
          <w:rFonts w:ascii="Times New Roman" w:hAnsi="Times New Roman" w:cs="Times New Roman"/>
          <w:lang w:val="af-ZA"/>
        </w:rPr>
        <w:t xml:space="preserve">Բնականոն կյանքը և </w:t>
      </w:r>
      <w:r w:rsidR="001E1620" w:rsidRPr="00EF7399">
        <w:rPr>
          <w:rFonts w:ascii="Times New Roman" w:hAnsi="Times New Roman" w:cs="Times New Roman"/>
          <w:lang w:val="af-ZA"/>
        </w:rPr>
        <w:lastRenderedPageBreak/>
        <w:t>երթևեկությունը դիտավորությամբ խաթարելու համար պատժամիջոցներ կիրառելու հայեցողությ</w:t>
      </w:r>
      <w:r w:rsidR="00973808" w:rsidRPr="00EF7399">
        <w:rPr>
          <w:rFonts w:ascii="Times New Roman" w:hAnsi="Times New Roman" w:cs="Times New Roman"/>
          <w:lang w:val="hy-AM"/>
        </w:rPr>
        <w:t>ա</w:t>
      </w:r>
      <w:r w:rsidR="001E1620" w:rsidRPr="00EF7399">
        <w:rPr>
          <w:rFonts w:ascii="Times New Roman" w:hAnsi="Times New Roman" w:cs="Times New Roman"/>
          <w:lang w:val="af-ZA"/>
        </w:rPr>
        <w:t>ն</w:t>
      </w:r>
      <w:r w:rsidR="009A5469" w:rsidRPr="00EF7399">
        <w:rPr>
          <w:rFonts w:ascii="Times New Roman" w:hAnsi="Times New Roman" w:cs="Times New Roman"/>
          <w:lang w:val="af-ZA"/>
        </w:rPr>
        <w:fldChar w:fldCharType="end"/>
      </w:r>
      <w:r w:rsidR="00973808" w:rsidRPr="00EF7399">
        <w:rPr>
          <w:rFonts w:ascii="Times New Roman" w:hAnsi="Times New Roman" w:cs="Times New Roman"/>
          <w:lang w:val="hy-AM"/>
        </w:rPr>
        <w:t xml:space="preserve"> առավել </w:t>
      </w:r>
      <w:r w:rsidR="00973808" w:rsidRPr="00EF7399">
        <w:rPr>
          <w:rFonts w:ascii="Times New Roman" w:hAnsi="Times New Roman" w:cs="Times New Roman"/>
          <w:lang w:val="af-ZA"/>
        </w:rPr>
        <w:t xml:space="preserve">լայն </w:t>
      </w:r>
      <w:r w:rsidR="00973808" w:rsidRPr="00EF7399">
        <w:rPr>
          <w:rFonts w:ascii="Times New Roman" w:hAnsi="Times New Roman" w:cs="Times New Roman"/>
          <w:lang w:val="hy-AM"/>
        </w:rPr>
        <w:t>շրջանակ</w:t>
      </w:r>
      <w:r w:rsidR="001E1620" w:rsidRPr="00EF7399">
        <w:rPr>
          <w:rFonts w:ascii="Times New Roman" w:hAnsi="Times New Roman" w:cs="Times New Roman"/>
          <w:lang w:val="af-ZA"/>
        </w:rPr>
        <w:t>» բաժինը</w:t>
      </w:r>
      <w:r w:rsidR="006B6FEB" w:rsidRPr="00EF7399">
        <w:rPr>
          <w:rFonts w:ascii="Times New Roman" w:hAnsi="Times New Roman" w:cs="Times New Roman"/>
          <w:lang w:val="af-ZA"/>
        </w:rPr>
        <w:t>)</w:t>
      </w:r>
      <w:r w:rsidR="001E1620" w:rsidRPr="00EF7399">
        <w:rPr>
          <w:rFonts w:ascii="Times New Roman" w:hAnsi="Times New Roman" w:cs="Times New Roman"/>
          <w:lang w:val="af-ZA"/>
        </w:rPr>
        <w:t xml:space="preserve">: </w:t>
      </w:r>
    </w:p>
    <w:p w14:paraId="5DCF5783" w14:textId="293C977F" w:rsidR="00BA4A98" w:rsidRPr="00EF7399" w:rsidRDefault="00BA4A98" w:rsidP="00BA4A98">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110</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E1620" w:rsidRPr="00EF7399">
        <w:rPr>
          <w:rFonts w:ascii="Times New Roman" w:hAnsi="Times New Roman" w:cs="Times New Roman"/>
          <w:lang w:val="af-ZA"/>
        </w:rPr>
        <w:t>Խաղաղ մասնակիցները չեն կարող պատասխանատվության ենթարկվել այլ անձանց կատարած դատապարտելի արարքների համար</w:t>
      </w:r>
      <w:r w:rsidR="005419FC" w:rsidRPr="00EF7399">
        <w:rPr>
          <w:rFonts w:ascii="Times New Roman" w:hAnsi="Times New Roman" w:cs="Times New Roman"/>
          <w:lang w:val="af-ZA"/>
        </w:rPr>
        <w:t>: Խաղաղ հավաքի մասնակցելու ազատություն</w:t>
      </w:r>
      <w:r w:rsidR="0099398A" w:rsidRPr="00EF7399">
        <w:rPr>
          <w:rFonts w:ascii="Times New Roman" w:hAnsi="Times New Roman" w:cs="Times New Roman"/>
          <w:lang w:val="hy-AM"/>
        </w:rPr>
        <w:t>ն</w:t>
      </w:r>
      <w:r w:rsidR="005419FC" w:rsidRPr="00EF7399">
        <w:rPr>
          <w:rFonts w:ascii="Times New Roman" w:hAnsi="Times New Roman" w:cs="Times New Roman"/>
          <w:lang w:val="af-ZA"/>
        </w:rPr>
        <w:t xml:space="preserve"> այնքան կարևոր է, որ անձը չի կարող ենթարկվել պատժի, նույնիսկ կարգապահական տույժերի սանդղակի ամենամեղմ պատ</w:t>
      </w:r>
      <w:r w:rsidR="0099398A" w:rsidRPr="00EF7399">
        <w:rPr>
          <w:rFonts w:ascii="Times New Roman" w:hAnsi="Times New Roman" w:cs="Times New Roman"/>
          <w:lang w:val="hy-AM"/>
        </w:rPr>
        <w:t>ժամիջոցն</w:t>
      </w:r>
      <w:r w:rsidR="005419FC" w:rsidRPr="00EF7399">
        <w:rPr>
          <w:rFonts w:ascii="Times New Roman" w:hAnsi="Times New Roman" w:cs="Times New Roman"/>
          <w:lang w:val="af-ZA"/>
        </w:rPr>
        <w:t>երի</w:t>
      </w:r>
      <w:r w:rsidR="0099398A" w:rsidRPr="00EF7399">
        <w:rPr>
          <w:rFonts w:ascii="Times New Roman" w:hAnsi="Times New Roman" w:cs="Times New Roman"/>
          <w:lang w:val="hy-AM"/>
        </w:rPr>
        <w:t>՝</w:t>
      </w:r>
      <w:r w:rsidR="005419FC" w:rsidRPr="00EF7399">
        <w:rPr>
          <w:rFonts w:ascii="Times New Roman" w:hAnsi="Times New Roman" w:cs="Times New Roman"/>
          <w:lang w:val="af-ZA"/>
        </w:rPr>
        <w:t xml:space="preserve"> չարգելված ցույցի մասնակցելու համար, քանի դեռ տվյալ անձը չի կատարել դատապարտելի որևէ արարք </w:t>
      </w:r>
      <w:r w:rsidR="006B6FEB" w:rsidRPr="00EF7399">
        <w:rPr>
          <w:rFonts w:ascii="Times New Roman" w:hAnsi="Times New Roman" w:cs="Times New Roman"/>
          <w:lang w:val="af-ZA"/>
        </w:rPr>
        <w:t>(</w:t>
      </w:r>
      <w:hyperlink r:id="rId277" w:anchor="{%22itemid%22:[%22001-57675%22]}" w:history="1">
        <w:r w:rsidR="006B6FEB" w:rsidRPr="00EF7399">
          <w:rPr>
            <w:rStyle w:val="Hyperlink"/>
            <w:rFonts w:ascii="Times New Roman" w:hAnsi="Times New Roman" w:cs="Times New Roman"/>
            <w:lang w:val="af-ZA"/>
          </w:rPr>
          <w:t>Ezelin</w:t>
        </w:r>
        <w:r w:rsidR="00873234" w:rsidRPr="00EF7399">
          <w:rPr>
            <w:rStyle w:val="Hyperlink"/>
            <w:rFonts w:ascii="Times New Roman" w:hAnsi="Times New Roman" w:cs="Times New Roman"/>
            <w:lang w:val="af-ZA"/>
          </w:rPr>
          <w:t xml:space="preserve"> v. </w:t>
        </w:r>
        <w:r w:rsidR="006B6FEB" w:rsidRPr="00EF7399">
          <w:rPr>
            <w:rStyle w:val="Hyperlink"/>
            <w:rFonts w:ascii="Times New Roman" w:hAnsi="Times New Roman" w:cs="Times New Roman"/>
            <w:lang w:val="af-ZA"/>
          </w:rPr>
          <w:t>France</w:t>
        </w:r>
      </w:hyperlink>
      <w:r w:rsidR="006B6FEB" w:rsidRPr="00EF7399">
        <w:rPr>
          <w:rFonts w:ascii="Times New Roman" w:hAnsi="Times New Roman" w:cs="Times New Roman"/>
          <w:lang w:val="af-ZA"/>
        </w:rPr>
        <w:t xml:space="preserve">, </w:t>
      </w:r>
      <w:r w:rsidR="009074F3" w:rsidRPr="00EF7399">
        <w:rPr>
          <w:rFonts w:ascii="Times New Roman" w:hAnsi="Times New Roman" w:cs="Times New Roman"/>
          <w:lang w:val="af-ZA"/>
        </w:rPr>
        <w:t xml:space="preserve">1991,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53; </w:t>
      </w:r>
      <w:hyperlink r:id="rId278" w:history="1">
        <w:r w:rsidRPr="00EF7399">
          <w:rPr>
            <w:rStyle w:val="Hyperlink"/>
            <w:rFonts w:ascii="Times New Roman" w:hAnsi="Times New Roman" w:cs="Times New Roman"/>
            <w:lang w:val="af-ZA"/>
          </w:rPr>
          <w:t>Galstyan</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Armenia</w:t>
        </w:r>
      </w:hyperlink>
      <w:r w:rsidRPr="00EF7399">
        <w:rPr>
          <w:rFonts w:ascii="Times New Roman" w:hAnsi="Times New Roman" w:cs="Times New Roman"/>
          <w:lang w:val="af-ZA"/>
        </w:rPr>
        <w:t xml:space="preserve">, </w:t>
      </w:r>
      <w:r w:rsidR="00847302" w:rsidRPr="00EF7399">
        <w:rPr>
          <w:rFonts w:ascii="Times New Roman" w:hAnsi="Times New Roman" w:cs="Times New Roman"/>
          <w:lang w:val="af-ZA"/>
        </w:rPr>
        <w:t xml:space="preserve">2007, </w:t>
      </w:r>
      <w:r w:rsidR="00873234" w:rsidRPr="00EF7399">
        <w:rPr>
          <w:rFonts w:ascii="Times New Roman" w:hAnsi="Times New Roman" w:cs="Times New Roman"/>
          <w:lang w:val="af-ZA"/>
        </w:rPr>
        <w:t>§ </w:t>
      </w:r>
      <w:r w:rsidRPr="00EF7399">
        <w:rPr>
          <w:rFonts w:ascii="Times New Roman" w:hAnsi="Times New Roman" w:cs="Times New Roman"/>
          <w:lang w:val="af-ZA"/>
        </w:rPr>
        <w:t>115)</w:t>
      </w:r>
      <w:r w:rsidR="005419FC" w:rsidRPr="00EF7399">
        <w:rPr>
          <w:rFonts w:ascii="Times New Roman" w:hAnsi="Times New Roman" w:cs="Times New Roman"/>
          <w:lang w:val="af-ZA"/>
        </w:rPr>
        <w:t>: Այս մոտեցումն անփոփոխ է մնում նույնիսկ այն դեպքում, երբ ցույց</w:t>
      </w:r>
      <w:r w:rsidR="0099398A" w:rsidRPr="00EF7399">
        <w:rPr>
          <w:rFonts w:ascii="Times New Roman" w:hAnsi="Times New Roman" w:cs="Times New Roman"/>
          <w:lang w:val="hy-AM"/>
        </w:rPr>
        <w:t>ը հանգեցնում է</w:t>
      </w:r>
      <w:r w:rsidR="005419FC" w:rsidRPr="00EF7399">
        <w:rPr>
          <w:rFonts w:ascii="Times New Roman" w:hAnsi="Times New Roman" w:cs="Times New Roman"/>
          <w:lang w:val="af-ZA"/>
        </w:rPr>
        <w:t xml:space="preserve"> վնաս </w:t>
      </w:r>
      <w:r w:rsidR="0099398A" w:rsidRPr="00EF7399">
        <w:rPr>
          <w:rFonts w:ascii="Times New Roman" w:hAnsi="Times New Roman" w:cs="Times New Roman"/>
          <w:lang w:val="af-ZA"/>
        </w:rPr>
        <w:t>պատճառ</w:t>
      </w:r>
      <w:r w:rsidR="0099398A" w:rsidRPr="00EF7399">
        <w:rPr>
          <w:rFonts w:ascii="Times New Roman" w:hAnsi="Times New Roman" w:cs="Times New Roman"/>
          <w:lang w:val="hy-AM"/>
        </w:rPr>
        <w:t>ելուն</w:t>
      </w:r>
      <w:r w:rsidR="0099398A" w:rsidRPr="00EF7399">
        <w:rPr>
          <w:rFonts w:ascii="Times New Roman" w:hAnsi="Times New Roman" w:cs="Times New Roman"/>
          <w:lang w:val="af-ZA"/>
        </w:rPr>
        <w:t xml:space="preserve"> </w:t>
      </w:r>
      <w:r w:rsidR="005419FC" w:rsidRPr="00EF7399">
        <w:rPr>
          <w:rFonts w:ascii="Times New Roman" w:hAnsi="Times New Roman" w:cs="Times New Roman"/>
          <w:lang w:val="af-ZA"/>
        </w:rPr>
        <w:t>կամ այլ անկարգությ</w:t>
      </w:r>
      <w:r w:rsidR="0099398A" w:rsidRPr="00EF7399">
        <w:rPr>
          <w:rFonts w:ascii="Times New Roman" w:hAnsi="Times New Roman" w:cs="Times New Roman"/>
          <w:lang w:val="hy-AM"/>
        </w:rPr>
        <w:t>ան</w:t>
      </w:r>
      <w:r w:rsidR="005419FC" w:rsidRPr="00EF7399">
        <w:rPr>
          <w:rFonts w:ascii="Times New Roman" w:hAnsi="Times New Roman" w:cs="Times New Roman"/>
          <w:lang w:val="af-ZA"/>
        </w:rPr>
        <w:t xml:space="preserve"> </w:t>
      </w:r>
      <w:r w:rsidR="006B6FEB" w:rsidRPr="00EF7399">
        <w:rPr>
          <w:rFonts w:ascii="Times New Roman" w:hAnsi="Times New Roman" w:cs="Times New Roman"/>
          <w:lang w:val="af-ZA"/>
        </w:rPr>
        <w:t>(</w:t>
      </w:r>
      <w:hyperlink r:id="rId279" w:history="1">
        <w:r w:rsidR="006B6FEB" w:rsidRPr="00EF7399">
          <w:rPr>
            <w:rStyle w:val="Hyperlink"/>
            <w:rFonts w:ascii="Times New Roman" w:hAnsi="Times New Roman" w:cs="Times New Roman"/>
            <w:lang w:val="af-ZA"/>
          </w:rPr>
          <w:t>Taranenko</w:t>
        </w:r>
        <w:r w:rsidR="00873234" w:rsidRPr="00EF7399">
          <w:rPr>
            <w:rStyle w:val="Hyperlink"/>
            <w:rFonts w:ascii="Times New Roman" w:hAnsi="Times New Roman" w:cs="Times New Roman"/>
            <w:lang w:val="af-ZA"/>
          </w:rPr>
          <w:t xml:space="preserve"> v. </w:t>
        </w:r>
        <w:r w:rsidR="006B6FEB" w:rsidRPr="00EF7399">
          <w:rPr>
            <w:rStyle w:val="Hyperlink"/>
            <w:rFonts w:ascii="Times New Roman" w:hAnsi="Times New Roman" w:cs="Times New Roman"/>
            <w:lang w:val="af-ZA"/>
          </w:rPr>
          <w:t>Russia</w:t>
        </w:r>
      </w:hyperlink>
      <w:r w:rsidR="006B6FEB" w:rsidRPr="00EF7399">
        <w:rPr>
          <w:rFonts w:ascii="Times New Roman" w:hAnsi="Times New Roman" w:cs="Times New Roman"/>
          <w:lang w:val="af-ZA"/>
        </w:rPr>
        <w:t xml:space="preserve">, </w:t>
      </w:r>
      <w:r w:rsidR="009074F3"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006B6FEB" w:rsidRPr="00EF7399">
        <w:rPr>
          <w:rFonts w:ascii="Times New Roman" w:hAnsi="Times New Roman" w:cs="Times New Roman"/>
          <w:lang w:val="af-ZA"/>
        </w:rPr>
        <w:t>88)</w:t>
      </w:r>
      <w:r w:rsidR="005419FC" w:rsidRPr="00EF7399">
        <w:rPr>
          <w:rFonts w:ascii="Times New Roman" w:hAnsi="Times New Roman" w:cs="Times New Roman"/>
          <w:lang w:val="af-ZA"/>
        </w:rPr>
        <w:t>:</w:t>
      </w:r>
      <w:r w:rsidR="006B6FEB" w:rsidRPr="00EF7399">
        <w:rPr>
          <w:rFonts w:ascii="Times New Roman" w:hAnsi="Times New Roman" w:cs="Times New Roman"/>
          <w:lang w:val="af-ZA"/>
        </w:rPr>
        <w:t xml:space="preserve"> </w:t>
      </w:r>
      <w:r w:rsidR="005419FC" w:rsidRPr="00EF7399">
        <w:rPr>
          <w:rFonts w:ascii="Times New Roman" w:hAnsi="Times New Roman" w:cs="Times New Roman"/>
          <w:lang w:val="af-ZA"/>
        </w:rPr>
        <w:t>Միջոցառման կազմակերպիչները</w:t>
      </w:r>
      <w:r w:rsidR="00C209B5" w:rsidRPr="00EF7399">
        <w:rPr>
          <w:rFonts w:ascii="Times New Roman" w:hAnsi="Times New Roman" w:cs="Times New Roman"/>
          <w:lang w:val="hy-AM"/>
        </w:rPr>
        <w:t xml:space="preserve"> չպետք է</w:t>
      </w:r>
      <w:r w:rsidR="001E0AEF" w:rsidRPr="00EF7399">
        <w:rPr>
          <w:rFonts w:ascii="Times New Roman" w:hAnsi="Times New Roman" w:cs="Times New Roman"/>
          <w:lang w:val="af-ZA"/>
        </w:rPr>
        <w:t xml:space="preserve"> </w:t>
      </w:r>
      <w:r w:rsidR="005419FC" w:rsidRPr="00EF7399">
        <w:rPr>
          <w:rFonts w:ascii="Times New Roman" w:hAnsi="Times New Roman" w:cs="Times New Roman"/>
          <w:lang w:val="af-ZA"/>
        </w:rPr>
        <w:t>պատասխանատվությ</w:t>
      </w:r>
      <w:r w:rsidR="001E0AEF" w:rsidRPr="00EF7399">
        <w:rPr>
          <w:rFonts w:ascii="Times New Roman" w:hAnsi="Times New Roman" w:cs="Times New Roman"/>
          <w:lang w:val="af-ZA"/>
        </w:rPr>
        <w:t>ան ենթարկվ</w:t>
      </w:r>
      <w:r w:rsidR="00C209B5" w:rsidRPr="00EF7399">
        <w:rPr>
          <w:rFonts w:ascii="Times New Roman" w:hAnsi="Times New Roman" w:cs="Times New Roman"/>
          <w:lang w:val="hy-AM"/>
        </w:rPr>
        <w:t>են</w:t>
      </w:r>
      <w:r w:rsidR="001E0AEF" w:rsidRPr="00EF7399">
        <w:rPr>
          <w:rFonts w:ascii="Times New Roman" w:hAnsi="Times New Roman" w:cs="Times New Roman"/>
          <w:lang w:val="af-ZA"/>
        </w:rPr>
        <w:t xml:space="preserve"> </w:t>
      </w:r>
      <w:r w:rsidR="005419FC" w:rsidRPr="00EF7399">
        <w:rPr>
          <w:rFonts w:ascii="Times New Roman" w:hAnsi="Times New Roman" w:cs="Times New Roman"/>
          <w:lang w:val="af-ZA"/>
        </w:rPr>
        <w:t xml:space="preserve">ներկաների </w:t>
      </w:r>
      <w:r w:rsidR="00C209B5" w:rsidRPr="00EF7399">
        <w:rPr>
          <w:rFonts w:ascii="Times New Roman" w:hAnsi="Times New Roman" w:cs="Times New Roman"/>
          <w:lang w:val="hy-AM"/>
        </w:rPr>
        <w:t>վարքագծի</w:t>
      </w:r>
      <w:r w:rsidR="00C209B5" w:rsidRPr="00EF7399">
        <w:rPr>
          <w:rFonts w:ascii="Times New Roman" w:hAnsi="Times New Roman" w:cs="Times New Roman"/>
          <w:lang w:val="af-ZA"/>
        </w:rPr>
        <w:t xml:space="preserve"> </w:t>
      </w:r>
      <w:r w:rsidR="005419FC" w:rsidRPr="00EF7399">
        <w:rPr>
          <w:rFonts w:ascii="Times New Roman" w:hAnsi="Times New Roman" w:cs="Times New Roman"/>
          <w:lang w:val="af-ZA"/>
        </w:rPr>
        <w:t xml:space="preserve">համար </w:t>
      </w:r>
      <w:r w:rsidR="006B6FEB" w:rsidRPr="00EF7399">
        <w:rPr>
          <w:rFonts w:ascii="Times New Roman" w:hAnsi="Times New Roman" w:cs="Times New Roman"/>
          <w:lang w:val="af-ZA"/>
        </w:rPr>
        <w:t>(</w:t>
      </w:r>
      <w:hyperlink r:id="rId280" w:history="1">
        <w:r w:rsidR="005D7CE8" w:rsidRPr="00EF7399">
          <w:rPr>
            <w:rStyle w:val="Hyperlink"/>
            <w:rFonts w:ascii="Times New Roman" w:hAnsi="Times New Roman" w:cs="Times New Roman"/>
            <w:iCs/>
            <w:lang w:val="af-ZA"/>
          </w:rPr>
          <w:t>Mesut Yıldız and Others</w:t>
        </w:r>
        <w:r w:rsidR="00873234" w:rsidRPr="00EF7399">
          <w:rPr>
            <w:rStyle w:val="Hyperlink"/>
            <w:rFonts w:ascii="Times New Roman" w:hAnsi="Times New Roman" w:cs="Times New Roman"/>
            <w:iCs/>
            <w:lang w:val="af-ZA"/>
          </w:rPr>
          <w:t xml:space="preserve"> v. </w:t>
        </w:r>
        <w:r w:rsidR="005D7CE8" w:rsidRPr="00EF7399">
          <w:rPr>
            <w:rStyle w:val="Hyperlink"/>
            <w:rFonts w:ascii="Times New Roman" w:hAnsi="Times New Roman" w:cs="Times New Roman"/>
            <w:iCs/>
            <w:lang w:val="af-ZA"/>
          </w:rPr>
          <w:t>Turkey</w:t>
        </w:r>
      </w:hyperlink>
      <w:r w:rsidR="006B6FEB" w:rsidRPr="00EF7399">
        <w:rPr>
          <w:rFonts w:ascii="Times New Roman" w:hAnsi="Times New Roman" w:cs="Times New Roman"/>
          <w:lang w:val="af-ZA"/>
        </w:rPr>
        <w:t xml:space="preserve">, </w:t>
      </w:r>
      <w:r w:rsidR="009074F3" w:rsidRPr="00EF7399">
        <w:rPr>
          <w:rFonts w:ascii="Times New Roman" w:hAnsi="Times New Roman" w:cs="Times New Roman"/>
          <w:lang w:val="af-ZA"/>
        </w:rPr>
        <w:t xml:space="preserve">2017, </w:t>
      </w:r>
      <w:r w:rsidR="00873234" w:rsidRPr="00EF7399">
        <w:rPr>
          <w:rFonts w:ascii="Times New Roman" w:hAnsi="Times New Roman" w:cs="Times New Roman"/>
          <w:lang w:val="af-ZA"/>
        </w:rPr>
        <w:t>§ </w:t>
      </w:r>
      <w:r w:rsidR="006B6FEB" w:rsidRPr="00EF7399">
        <w:rPr>
          <w:rFonts w:ascii="Times New Roman" w:hAnsi="Times New Roman" w:cs="Times New Roman"/>
          <w:lang w:val="af-ZA"/>
        </w:rPr>
        <w:t>34</w:t>
      </w:r>
      <w:r w:rsidR="00580670" w:rsidRPr="00EF7399">
        <w:rPr>
          <w:rFonts w:ascii="Times New Roman" w:hAnsi="Times New Roman" w:cs="Times New Roman"/>
          <w:lang w:val="af-ZA"/>
        </w:rPr>
        <w:t xml:space="preserve">; </w:t>
      </w:r>
      <w:hyperlink r:id="rId281" w:history="1">
        <w:r w:rsidR="00C10117" w:rsidRPr="00EF7399">
          <w:rPr>
            <w:rStyle w:val="Hyperlink"/>
            <w:rFonts w:ascii="Times New Roman" w:hAnsi="Times New Roman" w:cs="Times New Roman"/>
            <w:lang w:val="af-ZA"/>
          </w:rPr>
          <w:t>Kemal Çetin</w:t>
        </w:r>
        <w:r w:rsidR="00873234" w:rsidRPr="00EF7399">
          <w:rPr>
            <w:rStyle w:val="Hyperlink"/>
            <w:rFonts w:ascii="Times New Roman" w:hAnsi="Times New Roman" w:cs="Times New Roman"/>
            <w:lang w:val="af-ZA"/>
          </w:rPr>
          <w:t xml:space="preserve"> v. </w:t>
        </w:r>
        <w:r w:rsidR="00C10117" w:rsidRPr="00EF7399">
          <w:rPr>
            <w:rStyle w:val="Hyperlink"/>
            <w:rFonts w:ascii="Times New Roman" w:hAnsi="Times New Roman" w:cs="Times New Roman"/>
            <w:lang w:val="af-ZA"/>
          </w:rPr>
          <w:t>Turkey</w:t>
        </w:r>
      </w:hyperlink>
      <w:r w:rsidR="00580670" w:rsidRPr="00EF7399">
        <w:rPr>
          <w:rFonts w:ascii="Times New Roman" w:hAnsi="Times New Roman" w:cs="Times New Roman"/>
          <w:lang w:val="af-ZA"/>
        </w:rPr>
        <w:t xml:space="preserve">, </w:t>
      </w:r>
      <w:r w:rsidR="009074F3" w:rsidRPr="00EF7399">
        <w:rPr>
          <w:rFonts w:ascii="Times New Roman" w:hAnsi="Times New Roman" w:cs="Times New Roman"/>
          <w:lang w:val="af-ZA"/>
        </w:rPr>
        <w:t xml:space="preserve">2020, </w:t>
      </w:r>
      <w:r w:rsidR="00580670" w:rsidRPr="00EF7399">
        <w:rPr>
          <w:rFonts w:ascii="Times New Roman" w:hAnsi="Times New Roman" w:cs="Times New Roman"/>
          <w:lang w:val="af-ZA"/>
        </w:rPr>
        <w:t>§</w:t>
      </w:r>
      <w:r w:rsidR="00873234" w:rsidRPr="00EF7399">
        <w:rPr>
          <w:rFonts w:ascii="Times New Roman" w:hAnsi="Times New Roman" w:cs="Times New Roman"/>
          <w:lang w:val="af-ZA"/>
        </w:rPr>
        <w:t>§ </w:t>
      </w:r>
      <w:r w:rsidR="00580670" w:rsidRPr="00EF7399">
        <w:rPr>
          <w:rFonts w:ascii="Times New Roman" w:hAnsi="Times New Roman" w:cs="Times New Roman"/>
          <w:lang w:val="af-ZA"/>
        </w:rPr>
        <w:t>50-51</w:t>
      </w:r>
      <w:r w:rsidR="006B6FEB" w:rsidRPr="00EF7399">
        <w:rPr>
          <w:rFonts w:ascii="Times New Roman" w:hAnsi="Times New Roman" w:cs="Times New Roman"/>
          <w:lang w:val="af-ZA"/>
        </w:rPr>
        <w:t>)</w:t>
      </w:r>
      <w:r w:rsidR="001E0AEF" w:rsidRPr="00EF7399">
        <w:rPr>
          <w:rFonts w:ascii="Times New Roman" w:hAnsi="Times New Roman" w:cs="Times New Roman"/>
          <w:lang w:val="af-ZA"/>
        </w:rPr>
        <w:t>:</w:t>
      </w:r>
    </w:p>
    <w:bookmarkStart w:id="70" w:name="Para104_an_assembly_participant"/>
    <w:p w14:paraId="765D3812" w14:textId="7F4E0B51" w:rsidR="00BA4A98" w:rsidRPr="001B2612" w:rsidRDefault="00BA4A98" w:rsidP="00BA4A98">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111</w:t>
      </w:r>
      <w:r w:rsidRPr="00EF7399">
        <w:rPr>
          <w:rFonts w:ascii="Times New Roman" w:hAnsi="Times New Roman" w:cs="Times New Roman"/>
          <w:lang w:val="af-ZA"/>
        </w:rPr>
        <w:fldChar w:fldCharType="end"/>
      </w:r>
      <w:bookmarkEnd w:id="70"/>
      <w:r w:rsidRPr="00EF7399">
        <w:rPr>
          <w:rFonts w:ascii="Times New Roman" w:hAnsi="Times New Roman" w:cs="Times New Roman"/>
          <w:lang w:val="af-ZA"/>
        </w:rPr>
        <w:t>.  </w:t>
      </w:r>
      <w:r w:rsidR="000B2B3E" w:rsidRPr="00EF7399">
        <w:rPr>
          <w:rFonts w:ascii="Times New Roman" w:hAnsi="Times New Roman" w:cs="Times New Roman"/>
          <w:lang w:val="af-ZA"/>
        </w:rPr>
        <w:t xml:space="preserve">Հավաքի մասնակիցը, ով </w:t>
      </w:r>
      <w:r w:rsidR="00C209B5" w:rsidRPr="00EF7399">
        <w:rPr>
          <w:rFonts w:ascii="Times New Roman" w:hAnsi="Times New Roman" w:cs="Times New Roman"/>
          <w:lang w:val="hy-AM"/>
        </w:rPr>
        <w:t>ներգրավվել</w:t>
      </w:r>
      <w:r w:rsidR="00C209B5" w:rsidRPr="00EF7399">
        <w:rPr>
          <w:rFonts w:ascii="Times New Roman" w:hAnsi="Times New Roman" w:cs="Times New Roman"/>
          <w:lang w:val="af-ZA"/>
        </w:rPr>
        <w:t xml:space="preserve"> </w:t>
      </w:r>
      <w:r w:rsidR="000B2B3E" w:rsidRPr="00EF7399">
        <w:rPr>
          <w:rFonts w:ascii="Times New Roman" w:hAnsi="Times New Roman" w:cs="Times New Roman"/>
          <w:lang w:val="af-ZA"/>
        </w:rPr>
        <w:t>է</w:t>
      </w:r>
      <w:r w:rsidR="00702982" w:rsidRPr="00EF7399">
        <w:rPr>
          <w:rFonts w:ascii="Times New Roman" w:hAnsi="Times New Roman" w:cs="Times New Roman"/>
          <w:lang w:val="af-ZA"/>
        </w:rPr>
        <w:t xml:space="preserve"> </w:t>
      </w:r>
      <w:r w:rsidR="000B2B3E" w:rsidRPr="00EF7399">
        <w:rPr>
          <w:rFonts w:ascii="Times New Roman" w:hAnsi="Times New Roman" w:cs="Times New Roman"/>
          <w:lang w:val="af-ZA"/>
        </w:rPr>
        <w:t xml:space="preserve">եզակի </w:t>
      </w:r>
      <w:r w:rsidR="00702982" w:rsidRPr="00EF7399">
        <w:rPr>
          <w:rFonts w:ascii="Times New Roman" w:hAnsi="Times New Roman" w:cs="Times New Roman"/>
          <w:lang w:val="af-ZA"/>
        </w:rPr>
        <w:t>բռնի գործողություններ</w:t>
      </w:r>
      <w:r w:rsidR="000B2B3E" w:rsidRPr="00EF7399">
        <w:rPr>
          <w:rFonts w:ascii="Times New Roman" w:hAnsi="Times New Roman" w:cs="Times New Roman"/>
          <w:lang w:val="af-ZA"/>
        </w:rPr>
        <w:t>ի,</w:t>
      </w:r>
      <w:r w:rsidR="00702982" w:rsidRPr="00EF7399">
        <w:rPr>
          <w:rFonts w:ascii="Times New Roman" w:hAnsi="Times New Roman" w:cs="Times New Roman"/>
          <w:lang w:val="af-ZA"/>
        </w:rPr>
        <w:t xml:space="preserve"> </w:t>
      </w:r>
      <w:r w:rsidR="000B2B3E" w:rsidRPr="00EF7399">
        <w:rPr>
          <w:rFonts w:ascii="Times New Roman" w:hAnsi="Times New Roman" w:cs="Times New Roman"/>
          <w:lang w:val="af-ZA"/>
        </w:rPr>
        <w:t>կարող է շարունակել օգտվել 11-րդ հոդվածի պաշտպանությունից, ինչը նշանակում է, որ անձի արարքների համար սահմանված պատիժը պետք է լինի համաչափ</w:t>
      </w:r>
      <w:r w:rsidR="00C209B5" w:rsidRPr="00EF7399">
        <w:rPr>
          <w:rFonts w:ascii="Times New Roman" w:hAnsi="Times New Roman" w:cs="Times New Roman"/>
          <w:lang w:val="af-ZA"/>
        </w:rPr>
        <w:t xml:space="preserve">` </w:t>
      </w:r>
      <w:r w:rsidR="00C209B5" w:rsidRPr="00EF7399">
        <w:rPr>
          <w:rFonts w:ascii="Times New Roman" w:hAnsi="Times New Roman" w:cs="Times New Roman"/>
          <w:lang w:val="hy-AM"/>
        </w:rPr>
        <w:t>հաշվի</w:t>
      </w:r>
      <w:r w:rsidR="000B2B3E" w:rsidRPr="00EF7399">
        <w:rPr>
          <w:rFonts w:ascii="Times New Roman" w:hAnsi="Times New Roman" w:cs="Times New Roman"/>
          <w:lang w:val="af-ZA"/>
        </w:rPr>
        <w:t xml:space="preserve"> առն</w:t>
      </w:r>
      <w:r w:rsidR="00C209B5" w:rsidRPr="00EF7399">
        <w:rPr>
          <w:rFonts w:ascii="Times New Roman" w:hAnsi="Times New Roman" w:cs="Times New Roman"/>
          <w:lang w:val="hy-AM"/>
        </w:rPr>
        <w:t>ելով</w:t>
      </w:r>
      <w:r w:rsidR="000B2B3E" w:rsidRPr="00EF7399">
        <w:rPr>
          <w:rFonts w:ascii="Times New Roman" w:hAnsi="Times New Roman" w:cs="Times New Roman"/>
          <w:lang w:val="af-ZA"/>
        </w:rPr>
        <w:t xml:space="preserve"> նրա մտադրությունները հավաքին միանալու պահին, արարքների բնույթը, հետևանքների ծանրությունը (մասնավորապես</w:t>
      </w:r>
      <w:r w:rsidR="00DC66D5" w:rsidRPr="00EF7399">
        <w:rPr>
          <w:rFonts w:ascii="Times New Roman" w:hAnsi="Times New Roman" w:cs="Times New Roman"/>
          <w:lang w:val="hy-AM"/>
        </w:rPr>
        <w:t>, արդյոք</w:t>
      </w:r>
      <w:r w:rsidR="000B2B3E" w:rsidRPr="00EF7399">
        <w:rPr>
          <w:rFonts w:ascii="Times New Roman" w:hAnsi="Times New Roman" w:cs="Times New Roman"/>
          <w:lang w:val="af-ZA"/>
        </w:rPr>
        <w:t xml:space="preserve"> այլ անձանց վնասվածքներ</w:t>
      </w:r>
      <w:r w:rsidR="00DC66D5" w:rsidRPr="00EF7399">
        <w:rPr>
          <w:rFonts w:ascii="Times New Roman" w:hAnsi="Times New Roman" w:cs="Times New Roman"/>
          <w:lang w:val="hy-AM"/>
        </w:rPr>
        <w:t xml:space="preserve"> է</w:t>
      </w:r>
      <w:r w:rsidR="000B2B3E" w:rsidRPr="00EF7399">
        <w:rPr>
          <w:rFonts w:ascii="Times New Roman" w:hAnsi="Times New Roman" w:cs="Times New Roman"/>
          <w:lang w:val="af-ZA"/>
        </w:rPr>
        <w:t xml:space="preserve"> պատճառել) և հավաքի խաղաղ բնույթ</w:t>
      </w:r>
      <w:r w:rsidR="00286DBE" w:rsidRPr="00EF7399">
        <w:rPr>
          <w:rFonts w:ascii="Times New Roman" w:hAnsi="Times New Roman" w:cs="Times New Roman"/>
          <w:lang w:val="af-ZA"/>
        </w:rPr>
        <w:t xml:space="preserve">ի </w:t>
      </w:r>
      <w:r w:rsidR="00DC66D5" w:rsidRPr="00EF7399">
        <w:rPr>
          <w:rFonts w:ascii="Times New Roman" w:hAnsi="Times New Roman" w:cs="Times New Roman"/>
          <w:lang w:val="hy-AM"/>
        </w:rPr>
        <w:t>խաթարման</w:t>
      </w:r>
      <w:r w:rsidR="00DC66D5" w:rsidRPr="00EF7399">
        <w:rPr>
          <w:rFonts w:ascii="Times New Roman" w:hAnsi="Times New Roman" w:cs="Times New Roman"/>
          <w:lang w:val="af-ZA"/>
        </w:rPr>
        <w:t xml:space="preserve"> </w:t>
      </w:r>
      <w:r w:rsidR="00286DBE" w:rsidRPr="00EF7399">
        <w:rPr>
          <w:rFonts w:ascii="Times New Roman" w:hAnsi="Times New Roman" w:cs="Times New Roman"/>
          <w:lang w:val="af-ZA"/>
        </w:rPr>
        <w:t>վրա</w:t>
      </w:r>
      <w:r w:rsidR="00DC66D5" w:rsidRPr="00EF7399">
        <w:rPr>
          <w:rFonts w:ascii="Times New Roman" w:hAnsi="Times New Roman" w:cs="Times New Roman"/>
          <w:lang w:val="hy-AM"/>
        </w:rPr>
        <w:t xml:space="preserve"> վերջինիս ունեցած</w:t>
      </w:r>
      <w:r w:rsidR="00DC66D5" w:rsidRPr="00EF7399">
        <w:rPr>
          <w:rFonts w:ascii="Times New Roman" w:hAnsi="Times New Roman" w:cs="Times New Roman"/>
          <w:lang w:val="af-ZA"/>
        </w:rPr>
        <w:t xml:space="preserve"> ազդեցություն</w:t>
      </w:r>
      <w:r w:rsidR="00DC66D5" w:rsidRPr="00EF7399">
        <w:rPr>
          <w:rFonts w:ascii="Times New Roman" w:hAnsi="Times New Roman" w:cs="Times New Roman"/>
          <w:lang w:val="hy-AM"/>
        </w:rPr>
        <w:t>ը</w:t>
      </w:r>
      <w:r w:rsidR="00286DBE" w:rsidRPr="00EF7399">
        <w:rPr>
          <w:rFonts w:ascii="Times New Roman" w:hAnsi="Times New Roman" w:cs="Times New Roman"/>
          <w:lang w:val="af-ZA"/>
        </w:rPr>
        <w:t xml:space="preserve">: Այսպես, </w:t>
      </w:r>
      <w:r w:rsidR="001D6DB7" w:rsidRPr="00EF7399">
        <w:rPr>
          <w:rFonts w:ascii="Times New Roman" w:hAnsi="Times New Roman" w:cs="Times New Roman"/>
          <w:lang w:val="af-ZA"/>
        </w:rPr>
        <w:t>ընդհարումների ամենաթեժ պահին ոստիկանության վրա քար կամ այլ փոքր առարկա նետելու համար երկարատև ազատազրկ</w:t>
      </w:r>
      <w:r w:rsidR="00273F15" w:rsidRPr="00EF7399">
        <w:rPr>
          <w:rFonts w:ascii="Times New Roman" w:hAnsi="Times New Roman" w:cs="Times New Roman"/>
          <w:lang w:val="hy-AM"/>
        </w:rPr>
        <w:t xml:space="preserve">ումը </w:t>
      </w:r>
      <w:r w:rsidR="001D6DB7" w:rsidRPr="00EF7399">
        <w:rPr>
          <w:rFonts w:ascii="Times New Roman" w:hAnsi="Times New Roman" w:cs="Times New Roman"/>
          <w:lang w:val="af-ZA"/>
        </w:rPr>
        <w:t xml:space="preserve">համարվել է </w:t>
      </w:r>
      <w:r w:rsidR="00286DBE" w:rsidRPr="00EF7399">
        <w:rPr>
          <w:rFonts w:ascii="Times New Roman" w:hAnsi="Times New Roman" w:cs="Times New Roman"/>
          <w:lang w:val="af-ZA"/>
        </w:rPr>
        <w:t>ոչ համաչա</w:t>
      </w:r>
      <w:r w:rsidR="00273F15" w:rsidRPr="00EF7399">
        <w:rPr>
          <w:rFonts w:ascii="Times New Roman" w:hAnsi="Times New Roman" w:cs="Times New Roman"/>
          <w:lang w:val="hy-AM"/>
        </w:rPr>
        <w:t>փ</w:t>
      </w:r>
      <w:r w:rsidR="00286DBE" w:rsidRPr="00EF7399">
        <w:rPr>
          <w:rFonts w:ascii="Times New Roman" w:hAnsi="Times New Roman" w:cs="Times New Roman"/>
          <w:lang w:val="af-ZA"/>
        </w:rPr>
        <w:t xml:space="preserve"> </w:t>
      </w:r>
      <w:r w:rsidR="001D6DB7" w:rsidRPr="00EF7399">
        <w:rPr>
          <w:rFonts w:ascii="Times New Roman" w:hAnsi="Times New Roman" w:cs="Times New Roman"/>
          <w:lang w:val="af-ZA"/>
        </w:rPr>
        <w:t xml:space="preserve">պատիժ և </w:t>
      </w:r>
      <w:r w:rsidR="00286DBE" w:rsidRPr="00EF7399">
        <w:rPr>
          <w:rFonts w:ascii="Times New Roman" w:hAnsi="Times New Roman" w:cs="Times New Roman"/>
          <w:lang w:val="af-ZA"/>
        </w:rPr>
        <w:t xml:space="preserve">11-րդ հոդվածի խախտում </w:t>
      </w:r>
      <w:r w:rsidR="006B6FEB" w:rsidRPr="00EF7399">
        <w:rPr>
          <w:rFonts w:ascii="Times New Roman" w:hAnsi="Times New Roman" w:cs="Times New Roman"/>
          <w:lang w:val="af-ZA"/>
        </w:rPr>
        <w:t>(</w:t>
      </w:r>
      <w:hyperlink r:id="rId282" w:history="1">
        <w:r w:rsidR="0014072D" w:rsidRPr="00EF7399">
          <w:rPr>
            <w:rStyle w:val="Hyperlink"/>
            <w:rFonts w:ascii="Times New Roman" w:hAnsi="Times New Roman" w:cs="Times New Roman"/>
            <w:lang w:val="af-ZA"/>
          </w:rPr>
          <w:t>Gülcü</w:t>
        </w:r>
        <w:r w:rsidR="00873234" w:rsidRPr="00EF7399">
          <w:rPr>
            <w:rStyle w:val="Hyperlink"/>
            <w:rFonts w:ascii="Times New Roman" w:hAnsi="Times New Roman" w:cs="Times New Roman"/>
            <w:lang w:val="af-ZA"/>
          </w:rPr>
          <w:t xml:space="preserve"> v. </w:t>
        </w:r>
        <w:r w:rsidR="006B6FEB" w:rsidRPr="00EF7399">
          <w:rPr>
            <w:rStyle w:val="Hyperlink"/>
            <w:rFonts w:ascii="Times New Roman" w:hAnsi="Times New Roman" w:cs="Times New Roman"/>
            <w:lang w:val="af-ZA"/>
          </w:rPr>
          <w:t>Turkey</w:t>
        </w:r>
      </w:hyperlink>
      <w:r w:rsidR="006B6FEB" w:rsidRPr="00EF7399">
        <w:rPr>
          <w:rFonts w:ascii="Times New Roman" w:hAnsi="Times New Roman" w:cs="Times New Roman"/>
          <w:lang w:val="af-ZA"/>
        </w:rPr>
        <w:t xml:space="preserve">, </w:t>
      </w:r>
      <w:r w:rsidR="00847302" w:rsidRPr="00EF7399">
        <w:rPr>
          <w:rFonts w:ascii="Times New Roman" w:hAnsi="Times New Roman" w:cs="Times New Roman"/>
          <w:lang w:val="af-ZA"/>
        </w:rPr>
        <w:t xml:space="preserve">2016, </w:t>
      </w:r>
      <w:r w:rsidR="006B6FEB" w:rsidRPr="00EF7399">
        <w:rPr>
          <w:rFonts w:ascii="Times New Roman" w:hAnsi="Times New Roman" w:cs="Times New Roman"/>
          <w:lang w:val="af-ZA"/>
        </w:rPr>
        <w:t>§</w:t>
      </w:r>
      <w:r w:rsidR="00873234" w:rsidRPr="00EF7399">
        <w:rPr>
          <w:rFonts w:ascii="Times New Roman" w:hAnsi="Times New Roman" w:cs="Times New Roman"/>
          <w:lang w:val="af-ZA"/>
        </w:rPr>
        <w:t>§ </w:t>
      </w:r>
      <w:r w:rsidR="006B6FEB" w:rsidRPr="00EF7399">
        <w:rPr>
          <w:rFonts w:ascii="Times New Roman" w:hAnsi="Times New Roman" w:cs="Times New Roman"/>
          <w:lang w:val="af-ZA"/>
        </w:rPr>
        <w:t xml:space="preserve">110-117; </w:t>
      </w:r>
      <w:hyperlink r:id="rId283" w:history="1">
        <w:r w:rsidR="006B6FEB" w:rsidRPr="00EF7399">
          <w:rPr>
            <w:rStyle w:val="Hyperlink"/>
            <w:rFonts w:ascii="Times New Roman" w:hAnsi="Times New Roman" w:cs="Times New Roman"/>
            <w:lang w:val="af-ZA"/>
          </w:rPr>
          <w:t>Yaroslav Belousov</w:t>
        </w:r>
        <w:r w:rsidR="00873234" w:rsidRPr="00EF7399">
          <w:rPr>
            <w:rStyle w:val="Hyperlink"/>
            <w:rFonts w:ascii="Times New Roman" w:hAnsi="Times New Roman" w:cs="Times New Roman"/>
            <w:lang w:val="af-ZA"/>
          </w:rPr>
          <w:t xml:space="preserve"> v. </w:t>
        </w:r>
        <w:r w:rsidR="006B6FEB" w:rsidRPr="00EF7399">
          <w:rPr>
            <w:rStyle w:val="Hyperlink"/>
            <w:rFonts w:ascii="Times New Roman" w:hAnsi="Times New Roman" w:cs="Times New Roman"/>
            <w:lang w:val="af-ZA"/>
          </w:rPr>
          <w:t>Russia</w:t>
        </w:r>
      </w:hyperlink>
      <w:r w:rsidR="004E2572" w:rsidRPr="00EF7399">
        <w:rPr>
          <w:rFonts w:ascii="Times New Roman" w:hAnsi="Times New Roman" w:cs="Times New Roman"/>
          <w:lang w:val="af-ZA"/>
        </w:rPr>
        <w:t xml:space="preserve">, </w:t>
      </w:r>
      <w:r w:rsidR="009074F3" w:rsidRPr="00EF7399">
        <w:rPr>
          <w:rFonts w:ascii="Times New Roman" w:hAnsi="Times New Roman" w:cs="Times New Roman"/>
          <w:lang w:val="af-ZA"/>
        </w:rPr>
        <w:t xml:space="preserve">2016, </w:t>
      </w:r>
      <w:r w:rsidR="004E2572" w:rsidRPr="00EF7399">
        <w:rPr>
          <w:rFonts w:ascii="Times New Roman" w:hAnsi="Times New Roman" w:cs="Times New Roman"/>
          <w:lang w:val="af-ZA"/>
        </w:rPr>
        <w:t>§</w:t>
      </w:r>
      <w:r w:rsidR="00873234" w:rsidRPr="00EF7399">
        <w:rPr>
          <w:rFonts w:ascii="Times New Roman" w:hAnsi="Times New Roman" w:cs="Times New Roman"/>
          <w:lang w:val="af-ZA"/>
        </w:rPr>
        <w:t>§ </w:t>
      </w:r>
      <w:r w:rsidR="004E2572" w:rsidRPr="00EF7399">
        <w:rPr>
          <w:rFonts w:ascii="Times New Roman" w:hAnsi="Times New Roman" w:cs="Times New Roman"/>
          <w:lang w:val="af-ZA"/>
        </w:rPr>
        <w:t xml:space="preserve">177-182; </w:t>
      </w:r>
      <w:r w:rsidR="00702982" w:rsidRPr="00EF7399">
        <w:rPr>
          <w:rFonts w:ascii="Times New Roman" w:hAnsi="Times New Roman" w:cs="Times New Roman"/>
          <w:lang w:val="af-ZA"/>
        </w:rPr>
        <w:t>տե՛ս նաև «</w:t>
      </w:r>
      <w:r w:rsidR="006B6FEB" w:rsidRPr="00EF7399">
        <w:rPr>
          <w:rFonts w:ascii="Times New Roman" w:hAnsi="Times New Roman" w:cs="Times New Roman"/>
          <w:lang w:val="af-ZA"/>
        </w:rPr>
        <w:fldChar w:fldCharType="begin"/>
      </w:r>
      <w:r w:rsidR="006B6FEB" w:rsidRPr="00EF7399">
        <w:rPr>
          <w:rFonts w:ascii="Times New Roman" w:hAnsi="Times New Roman" w:cs="Times New Roman"/>
          <w:lang w:val="af-ZA"/>
        </w:rPr>
        <w:instrText xml:space="preserve"> REF Peaceful_assembly \h </w:instrText>
      </w:r>
      <w:r w:rsidR="00B40BA9" w:rsidRPr="00EF7399">
        <w:rPr>
          <w:rFonts w:ascii="Times New Roman" w:hAnsi="Times New Roman" w:cs="Times New Roman"/>
          <w:lang w:val="af-ZA"/>
        </w:rPr>
        <w:instrText xml:space="preserve"> \* MERGEFORMAT </w:instrText>
      </w:r>
      <w:r w:rsidR="006B6FEB" w:rsidRPr="00EF7399">
        <w:rPr>
          <w:rFonts w:ascii="Times New Roman" w:hAnsi="Times New Roman" w:cs="Times New Roman"/>
          <w:lang w:val="af-ZA"/>
        </w:rPr>
      </w:r>
      <w:r w:rsidR="006B6FEB" w:rsidRPr="00EF7399">
        <w:rPr>
          <w:rFonts w:ascii="Times New Roman" w:hAnsi="Times New Roman" w:cs="Times New Roman"/>
          <w:lang w:val="af-ZA"/>
        </w:rPr>
        <w:fldChar w:fldCharType="separate"/>
      </w:r>
      <w:r w:rsidR="00702982" w:rsidRPr="00EF7399">
        <w:rPr>
          <w:rFonts w:ascii="Times New Roman" w:hAnsi="Times New Roman" w:cs="Times New Roman"/>
          <w:lang w:val="af-ZA"/>
        </w:rPr>
        <w:t>Խաղաղ հավաք</w:t>
      </w:r>
      <w:r w:rsidR="006B6FEB" w:rsidRPr="00EF7399">
        <w:rPr>
          <w:rFonts w:ascii="Times New Roman" w:hAnsi="Times New Roman" w:cs="Times New Roman"/>
          <w:lang w:val="af-ZA"/>
        </w:rPr>
        <w:fldChar w:fldCharType="end"/>
      </w:r>
      <w:r w:rsidR="00702982" w:rsidRPr="00EF7399">
        <w:rPr>
          <w:rFonts w:ascii="Times New Roman" w:hAnsi="Times New Roman" w:cs="Times New Roman"/>
          <w:lang w:val="af-ZA"/>
        </w:rPr>
        <w:t>» բաժինը</w:t>
      </w:r>
      <w:r w:rsidR="00462629" w:rsidRPr="00EF7399">
        <w:rPr>
          <w:rFonts w:ascii="Times New Roman" w:hAnsi="Times New Roman" w:cs="Times New Roman"/>
          <w:lang w:val="af-ZA"/>
        </w:rPr>
        <w:t xml:space="preserve"> </w:t>
      </w:r>
      <w:r w:rsidR="00702982" w:rsidRPr="00EF7399">
        <w:rPr>
          <w:rFonts w:ascii="Times New Roman" w:hAnsi="Times New Roman" w:cs="Times New Roman"/>
          <w:lang w:val="af-ZA"/>
        </w:rPr>
        <w:t>և</w:t>
      </w:r>
      <w:r w:rsidR="00462629" w:rsidRPr="00EF7399">
        <w:rPr>
          <w:rFonts w:ascii="Times New Roman" w:hAnsi="Times New Roman" w:cs="Times New Roman"/>
          <w:lang w:val="af-ZA"/>
        </w:rPr>
        <w:t xml:space="preserve"> </w:t>
      </w:r>
      <w:hyperlink r:id="rId284" w:history="1">
        <w:r w:rsidR="00462629" w:rsidRPr="00EF7399">
          <w:rPr>
            <w:rStyle w:val="Hyperlink"/>
            <w:rFonts w:ascii="Times New Roman" w:hAnsi="Times New Roman" w:cs="Times New Roman"/>
            <w:lang w:val="af-ZA"/>
          </w:rPr>
          <w:t>Guide on Mass Protests</w:t>
        </w:r>
      </w:hyperlink>
      <w:r w:rsidR="00462629" w:rsidRPr="00EF7399">
        <w:rPr>
          <w:rFonts w:ascii="Times New Roman" w:hAnsi="Times New Roman" w:cs="Times New Roman"/>
          <w:lang w:val="af-ZA"/>
        </w:rPr>
        <w:t xml:space="preserve">, </w:t>
      </w:r>
      <w:r w:rsidR="00350DB2">
        <w:rPr>
          <w:rFonts w:ascii="Times New Roman" w:hAnsi="Times New Roman" w:cs="Times New Roman"/>
          <w:lang w:val="hy-AM"/>
        </w:rPr>
        <w:t>Բաժին</w:t>
      </w:r>
      <w:r w:rsidR="00350DB2" w:rsidRPr="00EF7399">
        <w:rPr>
          <w:rFonts w:ascii="Times New Roman" w:hAnsi="Times New Roman" w:cs="Times New Roman"/>
          <w:lang w:val="af-ZA"/>
        </w:rPr>
        <w:t xml:space="preserve"> </w:t>
      </w:r>
      <w:r w:rsidR="00E751A3" w:rsidRPr="00EF7399">
        <w:rPr>
          <w:rFonts w:ascii="Times New Roman" w:hAnsi="Times New Roman" w:cs="Times New Roman"/>
          <w:lang w:val="af-ZA"/>
        </w:rPr>
        <w:t>I.</w:t>
      </w:r>
      <w:r w:rsidR="00462629" w:rsidRPr="00EF7399">
        <w:rPr>
          <w:rFonts w:ascii="Times New Roman" w:hAnsi="Times New Roman" w:cs="Times New Roman"/>
          <w:lang w:val="af-ZA"/>
        </w:rPr>
        <w:t>E.2</w:t>
      </w:r>
      <w:r w:rsidR="006B6FEB" w:rsidRPr="00EF7399">
        <w:rPr>
          <w:rFonts w:ascii="Times New Roman" w:hAnsi="Times New Roman" w:cs="Times New Roman"/>
          <w:lang w:val="af-ZA"/>
        </w:rPr>
        <w:t>)</w:t>
      </w:r>
      <w:r w:rsidR="00702982" w:rsidRPr="00EF7399">
        <w:rPr>
          <w:rFonts w:ascii="Times New Roman" w:hAnsi="Times New Roman" w:cs="Times New Roman"/>
          <w:lang w:val="af-ZA"/>
        </w:rPr>
        <w:t>:</w:t>
      </w:r>
    </w:p>
    <w:p w14:paraId="713CF190" w14:textId="42FDD8AC" w:rsidR="00D870A5" w:rsidRPr="00EF7399" w:rsidRDefault="001D6DB7" w:rsidP="00D870A5">
      <w:pPr>
        <w:pStyle w:val="ECHRHeading1"/>
        <w:rPr>
          <w:rFonts w:ascii="Times New Roman" w:hAnsi="Times New Roman" w:cs="Times New Roman"/>
          <w:lang w:val="af-ZA"/>
        </w:rPr>
      </w:pPr>
      <w:bookmarkStart w:id="71" w:name="_Toc159945231"/>
      <w:r w:rsidRPr="00EF7399">
        <w:rPr>
          <w:rFonts w:ascii="Times New Roman" w:hAnsi="Times New Roman" w:cs="Times New Roman"/>
          <w:lang w:val="af-ZA"/>
        </w:rPr>
        <w:t>Միավորման ազատություն</w:t>
      </w:r>
      <w:bookmarkEnd w:id="71"/>
    </w:p>
    <w:p w14:paraId="4A0C1839" w14:textId="7AE03452" w:rsidR="00D870A5" w:rsidRPr="00EF7399" w:rsidRDefault="00A83DAB" w:rsidP="00A83DAB">
      <w:pPr>
        <w:pStyle w:val="ECHRHeading2"/>
        <w:numPr>
          <w:ilvl w:val="0"/>
          <w:numId w:val="0"/>
        </w:numPr>
        <w:rPr>
          <w:rFonts w:ascii="Times New Roman" w:hAnsi="Times New Roman" w:cs="Times New Roman"/>
          <w:lang w:val="af-ZA"/>
        </w:rPr>
      </w:pPr>
      <w:bookmarkStart w:id="72" w:name="_Toc159945232"/>
      <w:r>
        <w:rPr>
          <w:rFonts w:ascii="Times New Roman" w:hAnsi="Times New Roman" w:cs="Times New Roman"/>
          <w:lang w:val="hy-AM"/>
        </w:rPr>
        <w:t xml:space="preserve">Ա․ </w:t>
      </w:r>
      <w:r w:rsidR="001D6DB7" w:rsidRPr="00EF7399">
        <w:rPr>
          <w:rFonts w:ascii="Times New Roman" w:hAnsi="Times New Roman" w:cs="Times New Roman"/>
          <w:lang w:val="af-ZA"/>
        </w:rPr>
        <w:t>Միավորման ազատության իրավունքի կարևորությունը ժողովրդավարական հասարակությունում</w:t>
      </w:r>
      <w:bookmarkEnd w:id="72"/>
    </w:p>
    <w:p w14:paraId="4D0A26BC" w14:textId="50FFDA28" w:rsidR="00D870A5" w:rsidRPr="00EF7399" w:rsidRDefault="0036651F" w:rsidP="00D870A5">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112</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D6DB7" w:rsidRPr="00EF7399">
        <w:rPr>
          <w:rFonts w:ascii="Times New Roman" w:hAnsi="Times New Roman" w:cs="Times New Roman"/>
          <w:lang w:val="af-ZA"/>
        </w:rPr>
        <w:t>Բազմաթիվ առիթներով Դատարանը վերահաստատել է ուղղակի կապը ժողովրդավարության, բազմակարծության և միավորման ազատության միջև: Իրականում</w:t>
      </w:r>
      <w:r w:rsidR="001D0C82" w:rsidRPr="00EF7399">
        <w:rPr>
          <w:rFonts w:ascii="Times New Roman" w:hAnsi="Times New Roman" w:cs="Times New Roman"/>
          <w:lang w:val="af-ZA"/>
        </w:rPr>
        <w:t>, ներպետական օրենդրությունում այս ազատությունն ամրագրելու ձևը և իշխանությունների կողմից դրա գործնական կիրառումը բացահայտում են</w:t>
      </w:r>
      <w:r w:rsidR="001D6DB7" w:rsidRPr="00EF7399">
        <w:rPr>
          <w:rFonts w:ascii="Times New Roman" w:hAnsi="Times New Roman" w:cs="Times New Roman"/>
          <w:lang w:val="af-ZA"/>
        </w:rPr>
        <w:t xml:space="preserve"> </w:t>
      </w:r>
      <w:r w:rsidR="00622B21" w:rsidRPr="00EF7399">
        <w:rPr>
          <w:rFonts w:ascii="Times New Roman" w:hAnsi="Times New Roman" w:cs="Times New Roman"/>
          <w:lang w:val="hy-AM"/>
        </w:rPr>
        <w:t>տվյալ</w:t>
      </w:r>
      <w:r w:rsidR="00622B21" w:rsidRPr="00EF7399">
        <w:rPr>
          <w:rFonts w:ascii="Times New Roman" w:hAnsi="Times New Roman" w:cs="Times New Roman"/>
          <w:lang w:val="af-ZA"/>
        </w:rPr>
        <w:t xml:space="preserve"> </w:t>
      </w:r>
      <w:r w:rsidR="001D6DB7" w:rsidRPr="00EF7399">
        <w:rPr>
          <w:rFonts w:ascii="Times New Roman" w:hAnsi="Times New Roman" w:cs="Times New Roman"/>
          <w:lang w:val="af-ZA"/>
        </w:rPr>
        <w:t>երկրում ժողովրդավարության վիճակ</w:t>
      </w:r>
      <w:r w:rsidR="001D0C82" w:rsidRPr="00EF7399">
        <w:rPr>
          <w:rFonts w:ascii="Times New Roman" w:hAnsi="Times New Roman" w:cs="Times New Roman"/>
          <w:lang w:val="af-ZA"/>
        </w:rPr>
        <w:t xml:space="preserve">ը </w:t>
      </w:r>
      <w:r w:rsidR="00D870A5" w:rsidRPr="00EF7399">
        <w:rPr>
          <w:rFonts w:ascii="Times New Roman" w:hAnsi="Times New Roman" w:cs="Times New Roman"/>
          <w:lang w:val="af-ZA"/>
        </w:rPr>
        <w:t>(</w:t>
      </w:r>
      <w:hyperlink r:id="rId285" w:history="1">
        <w:r w:rsidR="00D870A5" w:rsidRPr="00EF7399">
          <w:rPr>
            <w:rStyle w:val="Hyperlink"/>
            <w:rFonts w:ascii="Times New Roman" w:hAnsi="Times New Roman" w:cs="Times New Roman"/>
            <w:lang w:val="af-ZA"/>
          </w:rPr>
          <w:t>Gorzelik and Others</w:t>
        </w:r>
        <w:r w:rsidR="00873234" w:rsidRPr="00EF7399">
          <w:rPr>
            <w:rStyle w:val="Hyperlink"/>
            <w:rFonts w:ascii="Times New Roman" w:hAnsi="Times New Roman" w:cs="Times New Roman"/>
            <w:lang w:val="af-ZA"/>
          </w:rPr>
          <w:t xml:space="preserve"> v. </w:t>
        </w:r>
        <w:r w:rsidR="00D870A5" w:rsidRPr="00EF7399">
          <w:rPr>
            <w:rStyle w:val="Hyperlink"/>
            <w:rFonts w:ascii="Times New Roman" w:hAnsi="Times New Roman" w:cs="Times New Roman"/>
            <w:lang w:val="af-ZA"/>
          </w:rPr>
          <w:t>Poland</w:t>
        </w:r>
      </w:hyperlink>
      <w:r w:rsidR="00D870A5" w:rsidRPr="00EF7399">
        <w:rPr>
          <w:rFonts w:ascii="Times New Roman" w:hAnsi="Times New Roman" w:cs="Times New Roman"/>
          <w:i/>
          <w:lang w:val="af-ZA"/>
        </w:rPr>
        <w:t xml:space="preserve"> </w:t>
      </w:r>
      <w:r w:rsidR="00D870A5" w:rsidRPr="00EF7399">
        <w:rPr>
          <w:rFonts w:ascii="Times New Roman" w:hAnsi="Times New Roman" w:cs="Times New Roman"/>
          <w:lang w:val="af-ZA"/>
        </w:rPr>
        <w:t xml:space="preserve">[GC], </w:t>
      </w:r>
      <w:r w:rsidR="007A38BA" w:rsidRPr="00EF7399">
        <w:rPr>
          <w:rFonts w:ascii="Times New Roman" w:hAnsi="Times New Roman" w:cs="Times New Roman"/>
          <w:lang w:val="af-ZA"/>
        </w:rPr>
        <w:t xml:space="preserve">2004, </w:t>
      </w:r>
      <w:r w:rsidR="00873234" w:rsidRPr="00EF7399">
        <w:rPr>
          <w:rFonts w:ascii="Times New Roman" w:hAnsi="Times New Roman" w:cs="Times New Roman"/>
          <w:lang w:val="af-ZA"/>
        </w:rPr>
        <w:t>§ </w:t>
      </w:r>
      <w:r w:rsidR="00D870A5" w:rsidRPr="00EF7399">
        <w:rPr>
          <w:rFonts w:ascii="Times New Roman" w:hAnsi="Times New Roman" w:cs="Times New Roman"/>
          <w:lang w:val="af-ZA"/>
        </w:rPr>
        <w:t xml:space="preserve">88; </w:t>
      </w:r>
      <w:hyperlink r:id="rId286" w:history="1">
        <w:r w:rsidR="00D870A5" w:rsidRPr="00EF7399">
          <w:rPr>
            <w:rStyle w:val="Hyperlink"/>
            <w:rFonts w:ascii="Times New Roman" w:hAnsi="Times New Roman" w:cs="Times New Roman"/>
            <w:lang w:val="af-ZA"/>
          </w:rPr>
          <w:t>Sidiropoulos and Others</w:t>
        </w:r>
        <w:r w:rsidR="00873234" w:rsidRPr="00EF7399">
          <w:rPr>
            <w:rStyle w:val="Hyperlink"/>
            <w:rFonts w:ascii="Times New Roman" w:hAnsi="Times New Roman" w:cs="Times New Roman"/>
            <w:lang w:val="af-ZA"/>
          </w:rPr>
          <w:t xml:space="preserve"> v. </w:t>
        </w:r>
        <w:r w:rsidR="00D870A5" w:rsidRPr="00EF7399">
          <w:rPr>
            <w:rStyle w:val="Hyperlink"/>
            <w:rFonts w:ascii="Times New Roman" w:hAnsi="Times New Roman" w:cs="Times New Roman"/>
            <w:lang w:val="af-ZA"/>
          </w:rPr>
          <w:t>Greece</w:t>
        </w:r>
      </w:hyperlink>
      <w:r w:rsidR="00D870A5" w:rsidRPr="00EF7399">
        <w:rPr>
          <w:rFonts w:ascii="Times New Roman" w:hAnsi="Times New Roman" w:cs="Times New Roman"/>
          <w:lang w:val="af-ZA"/>
        </w:rPr>
        <w:t xml:space="preserve">, </w:t>
      </w:r>
      <w:r w:rsidR="007A38BA" w:rsidRPr="00EF7399">
        <w:rPr>
          <w:rFonts w:ascii="Times New Roman" w:hAnsi="Times New Roman" w:cs="Times New Roman"/>
          <w:lang w:val="af-ZA"/>
        </w:rPr>
        <w:t xml:space="preserve">1998, </w:t>
      </w:r>
      <w:r w:rsidR="00873234" w:rsidRPr="00EF7399">
        <w:rPr>
          <w:rFonts w:ascii="Times New Roman" w:hAnsi="Times New Roman" w:cs="Times New Roman"/>
          <w:lang w:val="af-ZA"/>
        </w:rPr>
        <w:t>§ </w:t>
      </w:r>
      <w:r w:rsidR="00D870A5" w:rsidRPr="00EF7399">
        <w:rPr>
          <w:rFonts w:ascii="Times New Roman" w:hAnsi="Times New Roman" w:cs="Times New Roman"/>
          <w:lang w:val="af-ZA"/>
        </w:rPr>
        <w:t>40)</w:t>
      </w:r>
      <w:r w:rsidR="001D0C82" w:rsidRPr="00EF7399">
        <w:rPr>
          <w:rFonts w:ascii="Times New Roman" w:hAnsi="Times New Roman" w:cs="Times New Roman"/>
          <w:lang w:val="af-ZA"/>
        </w:rPr>
        <w:t>:</w:t>
      </w:r>
    </w:p>
    <w:p w14:paraId="197CE6F2" w14:textId="1E6A46B0" w:rsidR="00D870A5" w:rsidRPr="00EF7399" w:rsidRDefault="00D870A5" w:rsidP="00D870A5">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113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D0C82" w:rsidRPr="00EF7399">
        <w:rPr>
          <w:rFonts w:ascii="Times New Roman" w:hAnsi="Times New Roman" w:cs="Times New Roman"/>
          <w:lang w:val="af-ZA"/>
        </w:rPr>
        <w:t xml:space="preserve">Թեև 11-րդ հոդվածի համատեքստում Դատարանը հաճախ է նշել բազմակարծության և ժողովրդավարության երաշխավորման գործում քաղաքական կուսակցությունների կենսական դերը </w:t>
      </w:r>
      <w:r w:rsidRPr="00EF7399">
        <w:rPr>
          <w:rFonts w:ascii="Times New Roman" w:hAnsi="Times New Roman" w:cs="Times New Roman"/>
          <w:lang w:val="af-ZA"/>
        </w:rPr>
        <w:t>(</w:t>
      </w:r>
      <w:hyperlink r:id="rId287" w:history="1">
        <w:r w:rsidRPr="00EF7399">
          <w:rPr>
            <w:rStyle w:val="Hyperlink"/>
            <w:rFonts w:ascii="Times New Roman" w:hAnsi="Times New Roman" w:cs="Times New Roman"/>
            <w:lang w:val="af-ZA"/>
          </w:rPr>
          <w:t>United Communist Party of Turkey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w:t>
      </w:r>
      <w:r w:rsidR="007A38BA" w:rsidRPr="00EF7399">
        <w:rPr>
          <w:rFonts w:ascii="Times New Roman" w:hAnsi="Times New Roman" w:cs="Times New Roman"/>
          <w:lang w:val="af-ZA"/>
        </w:rPr>
        <w:t xml:space="preserve">1998, </w:t>
      </w:r>
      <w:r w:rsidR="00873234" w:rsidRPr="00EF7399">
        <w:rPr>
          <w:rFonts w:ascii="Times New Roman" w:hAnsi="Times New Roman" w:cs="Times New Roman"/>
          <w:lang w:val="af-ZA"/>
        </w:rPr>
        <w:t>§ </w:t>
      </w:r>
      <w:r w:rsidRPr="00EF7399">
        <w:rPr>
          <w:rFonts w:ascii="Times New Roman" w:hAnsi="Times New Roman" w:cs="Times New Roman"/>
          <w:lang w:val="af-ZA"/>
        </w:rPr>
        <w:t>25),</w:t>
      </w:r>
      <w:r w:rsidR="003C704B" w:rsidRPr="00EF7399">
        <w:rPr>
          <w:rFonts w:ascii="Times New Roman" w:hAnsi="Times New Roman" w:cs="Times New Roman"/>
          <w:lang w:val="af-ZA"/>
        </w:rPr>
        <w:t xml:space="preserve"> այլ նպատակներով, այդ թվում` մշակութային կամ հոգևոր ժառանգությ</w:t>
      </w:r>
      <w:r w:rsidR="00B57649" w:rsidRPr="00EF7399">
        <w:rPr>
          <w:rFonts w:ascii="Times New Roman" w:hAnsi="Times New Roman" w:cs="Times New Roman"/>
          <w:lang w:val="af-ZA"/>
        </w:rPr>
        <w:t>ա</w:t>
      </w:r>
      <w:r w:rsidR="003C704B" w:rsidRPr="00EF7399">
        <w:rPr>
          <w:rFonts w:ascii="Times New Roman" w:hAnsi="Times New Roman" w:cs="Times New Roman"/>
          <w:lang w:val="af-ZA"/>
        </w:rPr>
        <w:t>ն պաշ</w:t>
      </w:r>
      <w:r w:rsidR="00622B21" w:rsidRPr="00EF7399">
        <w:rPr>
          <w:rFonts w:ascii="Times New Roman" w:hAnsi="Times New Roman" w:cs="Times New Roman"/>
          <w:lang w:val="hy-AM"/>
        </w:rPr>
        <w:t>տ</w:t>
      </w:r>
      <w:r w:rsidR="003C704B" w:rsidRPr="00EF7399">
        <w:rPr>
          <w:rFonts w:ascii="Times New Roman" w:hAnsi="Times New Roman" w:cs="Times New Roman"/>
          <w:lang w:val="af-ZA"/>
        </w:rPr>
        <w:t>պան</w:t>
      </w:r>
      <w:r w:rsidR="00B57649" w:rsidRPr="00EF7399">
        <w:rPr>
          <w:rFonts w:ascii="Times New Roman" w:hAnsi="Times New Roman" w:cs="Times New Roman"/>
          <w:lang w:val="af-ZA"/>
        </w:rPr>
        <w:t>ության</w:t>
      </w:r>
      <w:r w:rsidR="003C704B" w:rsidRPr="00EF7399">
        <w:rPr>
          <w:rFonts w:ascii="Times New Roman" w:hAnsi="Times New Roman" w:cs="Times New Roman"/>
          <w:lang w:val="af-ZA"/>
        </w:rPr>
        <w:t>,</w:t>
      </w:r>
      <w:r w:rsidR="00BC5080" w:rsidRPr="00EF7399">
        <w:rPr>
          <w:rFonts w:ascii="Times New Roman" w:hAnsi="Times New Roman" w:cs="Times New Roman"/>
          <w:lang w:val="hy-AM"/>
        </w:rPr>
        <w:t xml:space="preserve"> տարբեր</w:t>
      </w:r>
      <w:r w:rsidR="003C704B" w:rsidRPr="00EF7399">
        <w:rPr>
          <w:rFonts w:ascii="Times New Roman" w:hAnsi="Times New Roman" w:cs="Times New Roman"/>
          <w:lang w:val="af-ZA"/>
        </w:rPr>
        <w:t xml:space="preserve"> սոցիալ</w:t>
      </w:r>
      <w:r w:rsidR="00622B21" w:rsidRPr="00EF7399">
        <w:rPr>
          <w:rFonts w:ascii="Times New Roman" w:hAnsi="Times New Roman" w:cs="Times New Roman"/>
          <w:lang w:val="hy-AM"/>
        </w:rPr>
        <w:t>-</w:t>
      </w:r>
      <w:r w:rsidR="003C704B" w:rsidRPr="00EF7399">
        <w:rPr>
          <w:rFonts w:ascii="Times New Roman" w:hAnsi="Times New Roman" w:cs="Times New Roman"/>
          <w:lang w:val="af-ZA"/>
        </w:rPr>
        <w:t>տնտեսական նպատակներ</w:t>
      </w:r>
      <w:r w:rsidR="00BC5080" w:rsidRPr="00EF7399">
        <w:rPr>
          <w:rFonts w:ascii="Times New Roman" w:hAnsi="Times New Roman" w:cs="Times New Roman"/>
          <w:lang w:val="hy-AM"/>
        </w:rPr>
        <w:t xml:space="preserve"> հետապնդող</w:t>
      </w:r>
      <w:r w:rsidR="003C704B" w:rsidRPr="00EF7399">
        <w:rPr>
          <w:rFonts w:ascii="Times New Roman" w:hAnsi="Times New Roman" w:cs="Times New Roman"/>
          <w:lang w:val="af-ZA"/>
        </w:rPr>
        <w:t>, կրոն</w:t>
      </w:r>
      <w:r w:rsidR="00B57649" w:rsidRPr="00EF7399">
        <w:rPr>
          <w:rFonts w:ascii="Times New Roman" w:hAnsi="Times New Roman" w:cs="Times New Roman"/>
          <w:lang w:val="af-ZA"/>
        </w:rPr>
        <w:t>ի</w:t>
      </w:r>
      <w:r w:rsidR="003C704B" w:rsidRPr="00EF7399">
        <w:rPr>
          <w:rFonts w:ascii="Times New Roman" w:hAnsi="Times New Roman" w:cs="Times New Roman"/>
          <w:lang w:val="af-ZA"/>
        </w:rPr>
        <w:t xml:space="preserve"> քարոզ</w:t>
      </w:r>
      <w:r w:rsidR="00B57649" w:rsidRPr="00EF7399">
        <w:rPr>
          <w:rFonts w:ascii="Times New Roman" w:hAnsi="Times New Roman" w:cs="Times New Roman"/>
          <w:lang w:val="af-ZA"/>
        </w:rPr>
        <w:t>չության</w:t>
      </w:r>
      <w:r w:rsidR="003C704B" w:rsidRPr="00EF7399">
        <w:rPr>
          <w:rFonts w:ascii="Times New Roman" w:hAnsi="Times New Roman" w:cs="Times New Roman"/>
          <w:lang w:val="af-ZA"/>
        </w:rPr>
        <w:t xml:space="preserve"> կամ ուսուց</w:t>
      </w:r>
      <w:r w:rsidR="00B57649" w:rsidRPr="00EF7399">
        <w:rPr>
          <w:rFonts w:ascii="Times New Roman" w:hAnsi="Times New Roman" w:cs="Times New Roman"/>
          <w:lang w:val="af-ZA"/>
        </w:rPr>
        <w:t>ման</w:t>
      </w:r>
      <w:r w:rsidR="003C704B" w:rsidRPr="00EF7399">
        <w:rPr>
          <w:rFonts w:ascii="Times New Roman" w:hAnsi="Times New Roman" w:cs="Times New Roman"/>
          <w:lang w:val="af-ZA"/>
        </w:rPr>
        <w:t>, էթնիկական ինքնությ</w:t>
      </w:r>
      <w:r w:rsidR="00B57649" w:rsidRPr="00EF7399">
        <w:rPr>
          <w:rFonts w:ascii="Times New Roman" w:hAnsi="Times New Roman" w:cs="Times New Roman"/>
          <w:lang w:val="af-ZA"/>
        </w:rPr>
        <w:t>ա</w:t>
      </w:r>
      <w:r w:rsidR="003C704B" w:rsidRPr="00EF7399">
        <w:rPr>
          <w:rFonts w:ascii="Times New Roman" w:hAnsi="Times New Roman" w:cs="Times New Roman"/>
          <w:lang w:val="af-ZA"/>
        </w:rPr>
        <w:t>ն բացահայտ</w:t>
      </w:r>
      <w:r w:rsidR="00B57649" w:rsidRPr="00EF7399">
        <w:rPr>
          <w:rFonts w:ascii="Times New Roman" w:hAnsi="Times New Roman" w:cs="Times New Roman"/>
          <w:lang w:val="af-ZA"/>
        </w:rPr>
        <w:t>ման</w:t>
      </w:r>
      <w:r w:rsidR="003C704B" w:rsidRPr="00EF7399">
        <w:rPr>
          <w:rFonts w:ascii="Times New Roman" w:hAnsi="Times New Roman" w:cs="Times New Roman"/>
          <w:lang w:val="af-ZA"/>
        </w:rPr>
        <w:t xml:space="preserve"> կամ փոքրամասնության </w:t>
      </w:r>
      <w:r w:rsidR="00B57649" w:rsidRPr="00EF7399">
        <w:rPr>
          <w:rFonts w:ascii="Times New Roman" w:hAnsi="Times New Roman" w:cs="Times New Roman"/>
          <w:lang w:val="af-ZA"/>
        </w:rPr>
        <w:t>ինքնա</w:t>
      </w:r>
      <w:r w:rsidR="003C704B" w:rsidRPr="00EF7399">
        <w:rPr>
          <w:rFonts w:ascii="Times New Roman" w:hAnsi="Times New Roman" w:cs="Times New Roman"/>
          <w:lang w:val="af-ZA"/>
        </w:rPr>
        <w:t>գիտակցությ</w:t>
      </w:r>
      <w:r w:rsidR="00B57649" w:rsidRPr="00EF7399">
        <w:rPr>
          <w:rFonts w:ascii="Times New Roman" w:hAnsi="Times New Roman" w:cs="Times New Roman"/>
          <w:lang w:val="af-ZA"/>
        </w:rPr>
        <w:t>ան պաշտպանության</w:t>
      </w:r>
      <w:r w:rsidR="003C704B" w:rsidRPr="00EF7399">
        <w:rPr>
          <w:rFonts w:ascii="Times New Roman" w:hAnsi="Times New Roman" w:cs="Times New Roman"/>
          <w:lang w:val="af-ZA"/>
        </w:rPr>
        <w:t xml:space="preserve"> համար ձևավորված միավորումները</w:t>
      </w:r>
      <w:r w:rsidRPr="00EF7399">
        <w:rPr>
          <w:rFonts w:ascii="Times New Roman" w:hAnsi="Times New Roman" w:cs="Times New Roman"/>
          <w:lang w:val="af-ZA"/>
        </w:rPr>
        <w:t xml:space="preserve"> </w:t>
      </w:r>
      <w:r w:rsidR="00B57649" w:rsidRPr="00EF7399">
        <w:rPr>
          <w:rFonts w:ascii="Times New Roman" w:hAnsi="Times New Roman" w:cs="Times New Roman"/>
          <w:lang w:val="af-ZA"/>
        </w:rPr>
        <w:t>նույնպես կարևոր են ժողովրդավարության պատշաճ</w:t>
      </w:r>
      <w:r w:rsidR="009D035A" w:rsidRPr="00EF7399">
        <w:rPr>
          <w:rFonts w:ascii="Times New Roman" w:hAnsi="Times New Roman" w:cs="Times New Roman"/>
          <w:lang w:val="af-ZA"/>
        </w:rPr>
        <w:t xml:space="preserve"> </w:t>
      </w:r>
      <w:r w:rsidR="00BC5080" w:rsidRPr="00EF7399">
        <w:rPr>
          <w:rFonts w:ascii="Times New Roman" w:hAnsi="Times New Roman" w:cs="Times New Roman"/>
          <w:lang w:val="hy-AM"/>
        </w:rPr>
        <w:t>գործառութավորման</w:t>
      </w:r>
      <w:r w:rsidR="00BC5080" w:rsidRPr="00EF7399">
        <w:rPr>
          <w:rFonts w:ascii="Times New Roman" w:hAnsi="Times New Roman" w:cs="Times New Roman"/>
          <w:lang w:val="af-ZA"/>
        </w:rPr>
        <w:t xml:space="preserve"> </w:t>
      </w:r>
      <w:r w:rsidR="009D035A" w:rsidRPr="00EF7399">
        <w:rPr>
          <w:rFonts w:ascii="Times New Roman" w:hAnsi="Times New Roman" w:cs="Times New Roman"/>
          <w:lang w:val="af-ZA"/>
        </w:rPr>
        <w:t>համար</w:t>
      </w:r>
      <w:r w:rsidR="00B57649"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288" w:history="1">
        <w:r w:rsidRPr="00EF7399">
          <w:rPr>
            <w:rStyle w:val="Hyperlink"/>
            <w:rFonts w:ascii="Times New Roman" w:hAnsi="Times New Roman" w:cs="Times New Roman"/>
            <w:lang w:val="af-ZA"/>
          </w:rPr>
          <w:t>Gorzelik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Poland</w:t>
        </w:r>
      </w:hyperlink>
      <w:r w:rsidRPr="00EF7399">
        <w:rPr>
          <w:rFonts w:ascii="Times New Roman" w:hAnsi="Times New Roman" w:cs="Times New Roman"/>
          <w:lang w:val="af-ZA"/>
        </w:rPr>
        <w:t xml:space="preserve"> [GC], </w:t>
      </w:r>
      <w:r w:rsidR="007A38BA" w:rsidRPr="00EF7399">
        <w:rPr>
          <w:rFonts w:ascii="Times New Roman" w:hAnsi="Times New Roman" w:cs="Times New Roman"/>
          <w:lang w:val="af-ZA"/>
        </w:rPr>
        <w:t xml:space="preserve">2004,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92; </w:t>
      </w:r>
      <w:hyperlink r:id="rId289" w:history="1">
        <w:r w:rsidRPr="00EF7399">
          <w:rPr>
            <w:rStyle w:val="Hyperlink"/>
            <w:rFonts w:ascii="Times New Roman" w:hAnsi="Times New Roman" w:cs="Times New Roman"/>
            <w:lang w:val="af-ZA"/>
          </w:rPr>
          <w:t>Association Rhino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Switzerland</w:t>
        </w:r>
      </w:hyperlink>
      <w:r w:rsidRPr="00EF7399">
        <w:rPr>
          <w:rFonts w:ascii="Times New Roman" w:hAnsi="Times New Roman" w:cs="Times New Roman"/>
          <w:lang w:val="af-ZA"/>
        </w:rPr>
        <w:t xml:space="preserve">, </w:t>
      </w:r>
      <w:r w:rsidR="007A38BA" w:rsidRPr="00EF7399">
        <w:rPr>
          <w:rFonts w:ascii="Times New Roman" w:hAnsi="Times New Roman" w:cs="Times New Roman"/>
          <w:lang w:val="af-ZA"/>
        </w:rPr>
        <w:t xml:space="preserve">2011 </w:t>
      </w:r>
      <w:r w:rsidR="00873234" w:rsidRPr="00EF7399">
        <w:rPr>
          <w:rFonts w:ascii="Times New Roman" w:hAnsi="Times New Roman" w:cs="Times New Roman"/>
          <w:lang w:val="af-ZA"/>
        </w:rPr>
        <w:t>§ </w:t>
      </w:r>
      <w:r w:rsidRPr="00EF7399">
        <w:rPr>
          <w:rFonts w:ascii="Times New Roman" w:hAnsi="Times New Roman" w:cs="Times New Roman"/>
          <w:lang w:val="af-ZA"/>
        </w:rPr>
        <w:t>61)</w:t>
      </w:r>
      <w:r w:rsidR="009D035A" w:rsidRPr="00EF7399">
        <w:rPr>
          <w:rFonts w:ascii="Times New Roman" w:hAnsi="Times New Roman" w:cs="Times New Roman"/>
          <w:lang w:val="af-ZA"/>
        </w:rPr>
        <w:t>:</w:t>
      </w:r>
    </w:p>
    <w:p w14:paraId="67B493EC" w14:textId="10664913" w:rsidR="00D870A5" w:rsidRPr="00EF7399" w:rsidRDefault="00D870A5" w:rsidP="00D870A5">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114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9D035A" w:rsidRPr="00EF7399">
        <w:rPr>
          <w:rFonts w:ascii="Times New Roman" w:hAnsi="Times New Roman" w:cs="Times New Roman"/>
          <w:lang w:val="af-ZA"/>
        </w:rPr>
        <w:t>Քաղաքացիների մասնակցությունը ժ</w:t>
      </w:r>
      <w:r w:rsidR="00D20960" w:rsidRPr="00EF7399">
        <w:rPr>
          <w:rFonts w:ascii="Times New Roman" w:hAnsi="Times New Roman" w:cs="Times New Roman"/>
          <w:lang w:val="hy-AM"/>
        </w:rPr>
        <w:t>ո</w:t>
      </w:r>
      <w:r w:rsidR="009D035A" w:rsidRPr="00EF7399">
        <w:rPr>
          <w:rFonts w:ascii="Times New Roman" w:hAnsi="Times New Roman" w:cs="Times New Roman"/>
          <w:lang w:val="af-ZA"/>
        </w:rPr>
        <w:t>ղովրդավարական գործընթացին հիմնականում իրագործվում է միավորումների</w:t>
      </w:r>
      <w:r w:rsidR="008908B4" w:rsidRPr="00EF7399">
        <w:rPr>
          <w:rFonts w:ascii="Times New Roman" w:hAnsi="Times New Roman" w:cs="Times New Roman"/>
          <w:lang w:val="hy-AM"/>
        </w:rPr>
        <w:t>ն</w:t>
      </w:r>
      <w:r w:rsidR="009D035A" w:rsidRPr="00EF7399">
        <w:rPr>
          <w:rFonts w:ascii="Times New Roman" w:hAnsi="Times New Roman" w:cs="Times New Roman"/>
          <w:lang w:val="af-ZA"/>
        </w:rPr>
        <w:t xml:space="preserve"> անդամակցելու միջոցով, որտեղ նրանք կարող են ինտեգրվել միմյանց հետ և հավաքականորեն հետամուտ լինել ընդհանուր նպատակներին </w:t>
      </w:r>
      <w:r w:rsidRPr="00EF7399">
        <w:rPr>
          <w:rFonts w:ascii="Times New Roman" w:hAnsi="Times New Roman" w:cs="Times New Roman"/>
          <w:lang w:val="af-ZA"/>
        </w:rPr>
        <w:t>(</w:t>
      </w:r>
      <w:hyperlink r:id="rId290" w:history="1">
        <w:r w:rsidRPr="00EF7399">
          <w:rPr>
            <w:rStyle w:val="Hyperlink"/>
            <w:rFonts w:ascii="Times New Roman" w:hAnsi="Times New Roman" w:cs="Times New Roman"/>
            <w:lang w:val="af-ZA"/>
          </w:rPr>
          <w:t>Moscow Branch of the Salvation Army</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Russia</w:t>
        </w:r>
      </w:hyperlink>
      <w:r w:rsidRPr="00EF7399">
        <w:rPr>
          <w:rFonts w:ascii="Times New Roman" w:hAnsi="Times New Roman" w:cs="Times New Roman"/>
          <w:lang w:val="af-ZA"/>
        </w:rPr>
        <w:t xml:space="preserve">, </w:t>
      </w:r>
      <w:r w:rsidR="007A38BA" w:rsidRPr="00EF7399">
        <w:rPr>
          <w:rFonts w:ascii="Times New Roman" w:hAnsi="Times New Roman" w:cs="Times New Roman"/>
          <w:lang w:val="af-ZA"/>
        </w:rPr>
        <w:t xml:space="preserve">2006, </w:t>
      </w:r>
      <w:r w:rsidR="00873234" w:rsidRPr="00EF7399">
        <w:rPr>
          <w:rFonts w:ascii="Times New Roman" w:hAnsi="Times New Roman" w:cs="Times New Roman"/>
          <w:lang w:val="af-ZA"/>
        </w:rPr>
        <w:t>§ </w:t>
      </w:r>
      <w:r w:rsidRPr="00EF7399">
        <w:rPr>
          <w:rFonts w:ascii="Times New Roman" w:hAnsi="Times New Roman" w:cs="Times New Roman"/>
          <w:lang w:val="af-ZA"/>
        </w:rPr>
        <w:t>61)</w:t>
      </w:r>
      <w:r w:rsidR="009D035A" w:rsidRPr="00EF7399">
        <w:rPr>
          <w:rFonts w:ascii="Times New Roman" w:hAnsi="Times New Roman" w:cs="Times New Roman"/>
          <w:lang w:val="af-ZA"/>
        </w:rPr>
        <w:t>:</w:t>
      </w:r>
    </w:p>
    <w:p w14:paraId="159BC5EA" w14:textId="5DB2C2B6" w:rsidR="00D870A5" w:rsidRPr="00EF7399" w:rsidRDefault="00D870A5" w:rsidP="00D870A5">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115</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9D035A" w:rsidRPr="00EF7399">
        <w:rPr>
          <w:rFonts w:ascii="Times New Roman" w:hAnsi="Times New Roman" w:cs="Times New Roman"/>
          <w:lang w:val="af-ZA"/>
        </w:rPr>
        <w:t>Միավորման ազատությունը հատկապես կարևոր է փոքրամասնությունների, այդ թվում` ազգային և էթնիկ փոքրամասնությունների ներկայացուցիչների համար:</w:t>
      </w:r>
      <w:r w:rsidR="000E5456" w:rsidRPr="00EF7399">
        <w:rPr>
          <w:rFonts w:ascii="Times New Roman" w:hAnsi="Times New Roman" w:cs="Times New Roman"/>
          <w:lang w:val="hy-AM"/>
        </w:rPr>
        <w:t xml:space="preserve"> Ա</w:t>
      </w:r>
      <w:r w:rsidR="000E5456" w:rsidRPr="00EF7399">
        <w:rPr>
          <w:rFonts w:ascii="Times New Roman" w:hAnsi="Times New Roman" w:cs="Times New Roman"/>
          <w:lang w:val="af-ZA"/>
        </w:rPr>
        <w:t>նկասկած</w:t>
      </w:r>
      <w:r w:rsidR="000E5456" w:rsidRPr="00EF7399">
        <w:rPr>
          <w:rFonts w:ascii="Times New Roman" w:hAnsi="Times New Roman" w:cs="Times New Roman"/>
          <w:lang w:val="hy-AM"/>
        </w:rPr>
        <w:t>,</w:t>
      </w:r>
      <w:r w:rsidR="009D035A" w:rsidRPr="00EF7399">
        <w:rPr>
          <w:rFonts w:ascii="Times New Roman" w:hAnsi="Times New Roman" w:cs="Times New Roman"/>
          <w:lang w:val="af-ZA"/>
        </w:rPr>
        <w:t xml:space="preserve"> </w:t>
      </w:r>
      <w:r w:rsidR="000E5456" w:rsidRPr="00EF7399">
        <w:rPr>
          <w:rFonts w:ascii="Times New Roman" w:hAnsi="Times New Roman" w:cs="Times New Roman"/>
          <w:lang w:val="hy-AM"/>
        </w:rPr>
        <w:t>ս</w:t>
      </w:r>
      <w:r w:rsidR="00241173" w:rsidRPr="00EF7399">
        <w:rPr>
          <w:rFonts w:ascii="Times New Roman" w:hAnsi="Times New Roman" w:cs="Times New Roman"/>
          <w:lang w:val="af-ZA"/>
        </w:rPr>
        <w:t xml:space="preserve">եփական </w:t>
      </w:r>
      <w:r w:rsidR="00472483" w:rsidRPr="00EF7399">
        <w:rPr>
          <w:rFonts w:ascii="Times New Roman" w:hAnsi="Times New Roman" w:cs="Times New Roman"/>
          <w:lang w:val="af-ZA"/>
        </w:rPr>
        <w:lastRenderedPageBreak/>
        <w:t xml:space="preserve">ինքնությունն արտահայտելու և </w:t>
      </w:r>
      <w:r w:rsidR="000E5456" w:rsidRPr="00EF7399">
        <w:rPr>
          <w:rFonts w:ascii="Times New Roman" w:hAnsi="Times New Roman" w:cs="Times New Roman"/>
          <w:lang w:val="hy-AM"/>
        </w:rPr>
        <w:t>խթանելու</w:t>
      </w:r>
      <w:r w:rsidR="000E5456" w:rsidRPr="00EF7399">
        <w:rPr>
          <w:rFonts w:ascii="Times New Roman" w:hAnsi="Times New Roman" w:cs="Times New Roman"/>
          <w:lang w:val="af-ZA"/>
        </w:rPr>
        <w:t xml:space="preserve"> </w:t>
      </w:r>
      <w:r w:rsidR="00472483" w:rsidRPr="00EF7399">
        <w:rPr>
          <w:rFonts w:ascii="Times New Roman" w:hAnsi="Times New Roman" w:cs="Times New Roman"/>
          <w:lang w:val="af-ZA"/>
        </w:rPr>
        <w:t>նպատակով միավորում ձևավոր</w:t>
      </w:r>
      <w:r w:rsidR="00241173" w:rsidRPr="00EF7399">
        <w:rPr>
          <w:rFonts w:ascii="Times New Roman" w:hAnsi="Times New Roman" w:cs="Times New Roman"/>
          <w:lang w:val="af-ZA"/>
        </w:rPr>
        <w:t xml:space="preserve">ելը կարող է </w:t>
      </w:r>
      <w:r w:rsidR="00472483" w:rsidRPr="00EF7399">
        <w:rPr>
          <w:rFonts w:ascii="Times New Roman" w:hAnsi="Times New Roman" w:cs="Times New Roman"/>
          <w:lang w:val="af-ZA"/>
        </w:rPr>
        <w:t xml:space="preserve"> </w:t>
      </w:r>
      <w:r w:rsidR="00241173" w:rsidRPr="00EF7399">
        <w:rPr>
          <w:rFonts w:ascii="Times New Roman" w:hAnsi="Times New Roman" w:cs="Times New Roman"/>
          <w:lang w:val="af-ZA"/>
        </w:rPr>
        <w:t xml:space="preserve">կարևոր դեր խաղալ փոքրամասնության </w:t>
      </w:r>
      <w:r w:rsidR="00472483" w:rsidRPr="00EF7399">
        <w:rPr>
          <w:rFonts w:ascii="Times New Roman" w:hAnsi="Times New Roman" w:cs="Times New Roman"/>
          <w:lang w:val="af-ZA"/>
        </w:rPr>
        <w:t>իրավունքների պահպանման և պաշտպանության գործում</w:t>
      </w:r>
      <w:r w:rsidR="00241173"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291" w:history="1">
        <w:r w:rsidRPr="00EF7399">
          <w:rPr>
            <w:rStyle w:val="Hyperlink"/>
            <w:rFonts w:ascii="Times New Roman" w:hAnsi="Times New Roman" w:cs="Times New Roman"/>
            <w:lang w:val="af-ZA"/>
          </w:rPr>
          <w:t>Gorzelik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Poland</w:t>
        </w:r>
      </w:hyperlink>
      <w:r w:rsidRPr="00EF7399">
        <w:rPr>
          <w:rFonts w:ascii="Times New Roman" w:hAnsi="Times New Roman" w:cs="Times New Roman"/>
          <w:lang w:val="af-ZA"/>
        </w:rPr>
        <w:t xml:space="preserve"> [GC], </w:t>
      </w:r>
      <w:r w:rsidR="007A38BA" w:rsidRPr="00EF7399">
        <w:rPr>
          <w:rFonts w:ascii="Times New Roman" w:hAnsi="Times New Roman" w:cs="Times New Roman"/>
          <w:lang w:val="af-ZA"/>
        </w:rPr>
        <w:t xml:space="preserve">2004, </w:t>
      </w:r>
      <w:r w:rsidR="00873234" w:rsidRPr="00EF7399">
        <w:rPr>
          <w:rFonts w:ascii="Times New Roman" w:hAnsi="Times New Roman" w:cs="Times New Roman"/>
          <w:lang w:val="af-ZA"/>
        </w:rPr>
        <w:t>§ </w:t>
      </w:r>
      <w:r w:rsidRPr="00EF7399">
        <w:rPr>
          <w:rFonts w:ascii="Times New Roman" w:hAnsi="Times New Roman" w:cs="Times New Roman"/>
          <w:lang w:val="af-ZA"/>
        </w:rPr>
        <w:t>93)</w:t>
      </w:r>
      <w:r w:rsidR="00241173" w:rsidRPr="00EF7399">
        <w:rPr>
          <w:rFonts w:ascii="Times New Roman" w:hAnsi="Times New Roman" w:cs="Times New Roman"/>
          <w:lang w:val="af-ZA"/>
        </w:rPr>
        <w:t xml:space="preserve">: </w:t>
      </w:r>
    </w:p>
    <w:p w14:paraId="14045B2E" w14:textId="02623460" w:rsidR="007B4F5E" w:rsidRPr="001B2612" w:rsidRDefault="00D870A5" w:rsidP="00D870A5">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116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241173" w:rsidRPr="00EF7399">
        <w:rPr>
          <w:rFonts w:ascii="Times New Roman" w:hAnsi="Times New Roman" w:cs="Times New Roman"/>
          <w:lang w:val="af-ZA"/>
        </w:rPr>
        <w:t xml:space="preserve">Կոնվենցիայի արժեքներին հակասող գործունեությանը </w:t>
      </w:r>
      <w:r w:rsidR="000E5456" w:rsidRPr="00EF7399">
        <w:rPr>
          <w:rFonts w:ascii="Times New Roman" w:hAnsi="Times New Roman" w:cs="Times New Roman"/>
          <w:lang w:val="hy-AM"/>
        </w:rPr>
        <w:t>ներգրավված</w:t>
      </w:r>
      <w:r w:rsidR="000E5456" w:rsidRPr="00EF7399">
        <w:rPr>
          <w:rFonts w:ascii="Times New Roman" w:hAnsi="Times New Roman" w:cs="Times New Roman"/>
          <w:lang w:val="af-ZA"/>
        </w:rPr>
        <w:t xml:space="preserve"> </w:t>
      </w:r>
      <w:r w:rsidR="00241173" w:rsidRPr="00EF7399">
        <w:rPr>
          <w:rFonts w:ascii="Times New Roman" w:hAnsi="Times New Roman" w:cs="Times New Roman"/>
          <w:lang w:val="af-ZA"/>
        </w:rPr>
        <w:t>միավորումները չեն կարող օգտվել 11-րդ հոդվածի պաշտպանությունից` 17-րդ հոդվածի հիմքով, որն արգելում է օգտագործել Կոնվենցիան դրանով երաշխավոր</w:t>
      </w:r>
      <w:r w:rsidR="000E5456" w:rsidRPr="00EF7399">
        <w:rPr>
          <w:rFonts w:ascii="Times New Roman" w:hAnsi="Times New Roman" w:cs="Times New Roman"/>
          <w:lang w:val="hy-AM"/>
        </w:rPr>
        <w:t>վ</w:t>
      </w:r>
      <w:r w:rsidR="00241173" w:rsidRPr="00EF7399">
        <w:rPr>
          <w:rFonts w:ascii="Times New Roman" w:hAnsi="Times New Roman" w:cs="Times New Roman"/>
          <w:lang w:val="af-ZA"/>
        </w:rPr>
        <w:t>ած իրավունքները</w:t>
      </w:r>
      <w:r w:rsidR="00BC31B2" w:rsidRPr="00EF7399">
        <w:rPr>
          <w:rFonts w:ascii="Times New Roman" w:hAnsi="Times New Roman" w:cs="Times New Roman"/>
          <w:lang w:val="af-ZA"/>
        </w:rPr>
        <w:t xml:space="preserve"> վերացնելու</w:t>
      </w:r>
      <w:r w:rsidR="00241173" w:rsidRPr="00EF7399">
        <w:rPr>
          <w:rFonts w:ascii="Times New Roman" w:hAnsi="Times New Roman" w:cs="Times New Roman"/>
          <w:lang w:val="af-ZA"/>
        </w:rPr>
        <w:t xml:space="preserve"> կամ </w:t>
      </w:r>
      <w:r w:rsidR="00BC31B2" w:rsidRPr="00EF7399">
        <w:rPr>
          <w:rFonts w:ascii="Times New Roman" w:hAnsi="Times New Roman" w:cs="Times New Roman"/>
          <w:lang w:val="af-ZA"/>
        </w:rPr>
        <w:t xml:space="preserve">չափից ավելի սահմանափակելու համար </w:t>
      </w:r>
      <w:r w:rsidRPr="00EF7399">
        <w:rPr>
          <w:rFonts w:ascii="Times New Roman" w:hAnsi="Times New Roman" w:cs="Times New Roman"/>
          <w:lang w:val="af-ZA"/>
        </w:rPr>
        <w:t>(</w:t>
      </w:r>
      <w:hyperlink r:id="rId292" w:history="1">
        <w:r w:rsidRPr="00EF7399">
          <w:rPr>
            <w:rStyle w:val="Hyperlink"/>
            <w:rFonts w:ascii="Times New Roman" w:hAnsi="Times New Roman" w:cs="Times New Roman"/>
            <w:lang w:val="af-ZA"/>
          </w:rPr>
          <w:t>Hizb ut-Tahrir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Germany</w:t>
        </w:r>
      </w:hyperlink>
      <w:r w:rsidRPr="00EF7399">
        <w:rPr>
          <w:rFonts w:ascii="Times New Roman" w:hAnsi="Times New Roman" w:cs="Times New Roman"/>
          <w:lang w:val="af-ZA"/>
        </w:rPr>
        <w:t xml:space="preserve"> (dec.), </w:t>
      </w:r>
      <w:r w:rsidR="007A38BA" w:rsidRPr="00EF7399">
        <w:rPr>
          <w:rFonts w:ascii="Times New Roman" w:hAnsi="Times New Roman" w:cs="Times New Roman"/>
          <w:lang w:val="af-ZA"/>
        </w:rPr>
        <w:t xml:space="preserve">2012,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73-74, </w:t>
      </w:r>
      <w:r w:rsidR="00BC31B2" w:rsidRPr="00EF7399">
        <w:rPr>
          <w:rFonts w:ascii="Times New Roman" w:hAnsi="Times New Roman" w:cs="Times New Roman"/>
          <w:lang w:val="af-ZA"/>
        </w:rPr>
        <w:t>առնչվում է բռնության գործադրումը ջատագովող իսլամիստական միավորման գործունեության արգելքին,</w:t>
      </w:r>
      <w:r w:rsidRPr="00EF7399">
        <w:rPr>
          <w:rFonts w:ascii="Times New Roman" w:hAnsi="Times New Roman" w:cs="Times New Roman"/>
          <w:lang w:val="af-ZA"/>
        </w:rPr>
        <w:t xml:space="preserve"> </w:t>
      </w:r>
      <w:hyperlink r:id="rId293" w:history="1">
        <w:r w:rsidRPr="00EF7399">
          <w:rPr>
            <w:rStyle w:val="Hyperlink"/>
            <w:rFonts w:ascii="Times New Roman" w:hAnsi="Times New Roman" w:cs="Times New Roman"/>
            <w:lang w:val="af-ZA"/>
          </w:rPr>
          <w:t>W.P.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Poland</w:t>
        </w:r>
      </w:hyperlink>
      <w:r w:rsidRPr="00EF7399">
        <w:rPr>
          <w:rFonts w:ascii="Times New Roman" w:hAnsi="Times New Roman" w:cs="Times New Roman"/>
          <w:lang w:val="af-ZA"/>
        </w:rPr>
        <w:t xml:space="preserve"> (dec.), </w:t>
      </w:r>
      <w:r w:rsidR="007A38BA" w:rsidRPr="00EF7399">
        <w:rPr>
          <w:rFonts w:ascii="Times New Roman" w:hAnsi="Times New Roman" w:cs="Times New Roman"/>
          <w:lang w:val="af-ZA"/>
        </w:rPr>
        <w:t xml:space="preserve">2004, </w:t>
      </w:r>
      <w:r w:rsidR="00BC31B2" w:rsidRPr="00EF7399">
        <w:rPr>
          <w:rFonts w:ascii="Times New Roman" w:hAnsi="Times New Roman" w:cs="Times New Roman"/>
          <w:lang w:val="af-ZA"/>
        </w:rPr>
        <w:t xml:space="preserve">առնչվում է միավորում ձևավորելու արգելքին, որի միավորման հուշագիրն ուներ հակասեմական </w:t>
      </w:r>
      <w:r w:rsidR="000E5456" w:rsidRPr="00EF7399">
        <w:rPr>
          <w:rFonts w:ascii="Times New Roman" w:hAnsi="Times New Roman" w:cs="Times New Roman"/>
          <w:lang w:val="hy-AM"/>
        </w:rPr>
        <w:t>ենթատեքստ</w:t>
      </w:r>
      <w:r w:rsidR="00BC31B2" w:rsidRPr="00EF7399">
        <w:rPr>
          <w:rFonts w:ascii="Times New Roman" w:hAnsi="Times New Roman" w:cs="Times New Roman"/>
          <w:lang w:val="af-ZA"/>
        </w:rPr>
        <w:t>,</w:t>
      </w:r>
      <w:r w:rsidRPr="00EF7399">
        <w:rPr>
          <w:rFonts w:ascii="Times New Roman" w:hAnsi="Times New Roman" w:cs="Times New Roman"/>
          <w:lang w:val="af-ZA"/>
        </w:rPr>
        <w:t xml:space="preserve"> </w:t>
      </w:r>
      <w:bookmarkStart w:id="73" w:name="_Hlk60819127"/>
      <w:r w:rsidR="00257765" w:rsidRPr="00EF7399">
        <w:rPr>
          <w:rFonts w:ascii="Times New Roman" w:hAnsi="Times New Roman" w:cs="Times New Roman"/>
          <w:lang w:val="af-ZA"/>
        </w:rPr>
        <w:fldChar w:fldCharType="begin"/>
      </w:r>
      <w:r w:rsidR="00257765" w:rsidRPr="00EF7399">
        <w:rPr>
          <w:rFonts w:ascii="Times New Roman" w:hAnsi="Times New Roman" w:cs="Times New Roman"/>
          <w:lang w:val="af-ZA"/>
        </w:rPr>
        <w:instrText xml:space="preserve"> HYPERLINK "http://hudoc.echr.coe.int/eng?i=001-204822" </w:instrText>
      </w:r>
      <w:r w:rsidR="00257765" w:rsidRPr="00EF7399">
        <w:rPr>
          <w:rFonts w:ascii="Times New Roman" w:hAnsi="Times New Roman" w:cs="Times New Roman"/>
          <w:lang w:val="af-ZA"/>
        </w:rPr>
      </w:r>
      <w:r w:rsidR="00257765" w:rsidRPr="00EF7399">
        <w:rPr>
          <w:rFonts w:ascii="Times New Roman" w:hAnsi="Times New Roman" w:cs="Times New Roman"/>
          <w:lang w:val="af-ZA"/>
        </w:rPr>
        <w:fldChar w:fldCharType="separate"/>
      </w:r>
      <w:r w:rsidR="00257765" w:rsidRPr="00EF7399">
        <w:rPr>
          <w:rStyle w:val="Hyperlink"/>
          <w:rFonts w:ascii="Times New Roman" w:hAnsi="Times New Roman" w:cs="Times New Roman"/>
          <w:lang w:val="af-ZA"/>
        </w:rPr>
        <w:t>Ayoub and Others</w:t>
      </w:r>
      <w:r w:rsidR="00873234" w:rsidRPr="00EF7399">
        <w:rPr>
          <w:rStyle w:val="Hyperlink"/>
          <w:rFonts w:ascii="Times New Roman" w:hAnsi="Times New Roman" w:cs="Times New Roman"/>
          <w:lang w:val="af-ZA"/>
        </w:rPr>
        <w:t xml:space="preserve"> v. </w:t>
      </w:r>
      <w:r w:rsidR="00257765" w:rsidRPr="00EF7399">
        <w:rPr>
          <w:rStyle w:val="Hyperlink"/>
          <w:rFonts w:ascii="Times New Roman" w:hAnsi="Times New Roman" w:cs="Times New Roman"/>
          <w:lang w:val="af-ZA"/>
        </w:rPr>
        <w:t>France</w:t>
      </w:r>
      <w:r w:rsidR="00257765" w:rsidRPr="00EF7399">
        <w:rPr>
          <w:rFonts w:ascii="Times New Roman" w:hAnsi="Times New Roman" w:cs="Times New Roman"/>
          <w:lang w:val="af-ZA"/>
        </w:rPr>
        <w:fldChar w:fldCharType="end"/>
      </w:r>
      <w:bookmarkEnd w:id="73"/>
      <w:r w:rsidR="00257765" w:rsidRPr="00EF7399">
        <w:rPr>
          <w:rFonts w:ascii="Times New Roman" w:hAnsi="Times New Roman" w:cs="Times New Roman"/>
          <w:lang w:val="af-ZA"/>
        </w:rPr>
        <w:t xml:space="preserve">, </w:t>
      </w:r>
      <w:r w:rsidR="007A38BA" w:rsidRPr="00EF7399">
        <w:rPr>
          <w:rFonts w:ascii="Times New Roman" w:hAnsi="Times New Roman" w:cs="Times New Roman"/>
          <w:lang w:val="af-ZA"/>
        </w:rPr>
        <w:t xml:space="preserve">2020, </w:t>
      </w:r>
      <w:r w:rsidR="00BC31B2" w:rsidRPr="00EF7399">
        <w:rPr>
          <w:rFonts w:ascii="Times New Roman" w:hAnsi="Times New Roman" w:cs="Times New Roman"/>
          <w:lang w:val="af-ZA"/>
        </w:rPr>
        <w:t>առնչվում է երկու աջ ծայրահեղական միավորումների լուծարմանը:</w:t>
      </w:r>
      <w:r w:rsidR="00257765" w:rsidRPr="00EF7399">
        <w:rPr>
          <w:rFonts w:ascii="Times New Roman" w:hAnsi="Times New Roman" w:cs="Times New Roman"/>
          <w:lang w:val="af-ZA"/>
        </w:rPr>
        <w:t xml:space="preserve"> </w:t>
      </w:r>
      <w:r w:rsidR="00BC31B2" w:rsidRPr="00EF7399">
        <w:rPr>
          <w:rFonts w:ascii="Times New Roman" w:hAnsi="Times New Roman" w:cs="Times New Roman"/>
          <w:lang w:val="af-ZA"/>
        </w:rPr>
        <w:t>Տե՛ս նաև</w:t>
      </w:r>
      <w:r w:rsidRPr="00EF7399">
        <w:rPr>
          <w:rFonts w:ascii="Times New Roman" w:hAnsi="Times New Roman" w:cs="Times New Roman"/>
          <w:lang w:val="af-ZA"/>
        </w:rPr>
        <w:t xml:space="preserve"> </w:t>
      </w:r>
      <w:hyperlink r:id="rId294" w:history="1">
        <w:r w:rsidRPr="00EF7399">
          <w:rPr>
            <w:rStyle w:val="Hyperlink"/>
            <w:rFonts w:ascii="Times New Roman" w:hAnsi="Times New Roman" w:cs="Times New Roman"/>
            <w:lang w:val="af-ZA"/>
          </w:rPr>
          <w:t>Guide on Article 17 – Prohibition of abuse of rights</w:t>
        </w:r>
      </w:hyperlink>
      <w:r w:rsidRPr="00EF7399">
        <w:rPr>
          <w:rFonts w:ascii="Times New Roman" w:hAnsi="Times New Roman" w:cs="Times New Roman"/>
          <w:lang w:val="af-ZA"/>
        </w:rPr>
        <w:t>)</w:t>
      </w:r>
      <w:r w:rsidR="00BC31B2" w:rsidRPr="00EF7399">
        <w:rPr>
          <w:rFonts w:ascii="Times New Roman" w:hAnsi="Times New Roman" w:cs="Times New Roman"/>
          <w:lang w:val="af-ZA"/>
        </w:rPr>
        <w:t xml:space="preserve">: </w:t>
      </w:r>
    </w:p>
    <w:p w14:paraId="062ABDE5" w14:textId="01493B66" w:rsidR="005F4E94" w:rsidRPr="00EF7399" w:rsidRDefault="00A83DAB" w:rsidP="00A83DAB">
      <w:pPr>
        <w:pStyle w:val="ECHRHeading2"/>
        <w:numPr>
          <w:ilvl w:val="0"/>
          <w:numId w:val="0"/>
        </w:numPr>
        <w:rPr>
          <w:rFonts w:ascii="Times New Roman" w:hAnsi="Times New Roman" w:cs="Times New Roman"/>
          <w:lang w:val="af-ZA"/>
        </w:rPr>
      </w:pPr>
      <w:bookmarkStart w:id="74" w:name="_Toc159945233"/>
      <w:r>
        <w:rPr>
          <w:rFonts w:ascii="Times New Roman" w:hAnsi="Times New Roman" w:cs="Times New Roman"/>
          <w:lang w:val="hy-AM"/>
        </w:rPr>
        <w:t xml:space="preserve">Բ․ </w:t>
      </w:r>
      <w:r w:rsidR="00BC31B2" w:rsidRPr="00EF7399">
        <w:rPr>
          <w:rFonts w:ascii="Times New Roman" w:hAnsi="Times New Roman" w:cs="Times New Roman"/>
          <w:lang w:val="af-ZA"/>
        </w:rPr>
        <w:t>Կապը Կոնվենցիայի 9-րդ և 10-րդ հոդվածների հետ</w:t>
      </w:r>
      <w:bookmarkEnd w:id="74"/>
    </w:p>
    <w:p w14:paraId="30C3A6ED" w14:textId="78615945" w:rsidR="005F4E94" w:rsidRPr="00EF7399" w:rsidRDefault="0036651F" w:rsidP="005F4E94">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117</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F14DCC" w:rsidRPr="00EF7399">
        <w:rPr>
          <w:rFonts w:ascii="Times New Roman" w:hAnsi="Times New Roman" w:cs="Times New Roman"/>
          <w:lang w:val="af-ZA"/>
        </w:rPr>
        <w:t>Թեև միավորման ազատության իրավունքի իրա</w:t>
      </w:r>
      <w:r w:rsidR="00480E62" w:rsidRPr="00EF7399">
        <w:rPr>
          <w:rFonts w:ascii="Times New Roman" w:hAnsi="Times New Roman" w:cs="Times New Roman"/>
          <w:lang w:val="hy-AM"/>
        </w:rPr>
        <w:t>ց</w:t>
      </w:r>
      <w:r w:rsidR="00F14DCC" w:rsidRPr="00EF7399">
        <w:rPr>
          <w:rFonts w:ascii="Times New Roman" w:hAnsi="Times New Roman" w:cs="Times New Roman"/>
          <w:lang w:val="af-ZA"/>
        </w:rPr>
        <w:t>ումը կարող է ներառել կոնվենցիոն մի շարք իրավունքներ</w:t>
      </w:r>
      <w:r w:rsidR="00480E62" w:rsidRPr="00EF7399">
        <w:rPr>
          <w:rFonts w:ascii="Times New Roman" w:hAnsi="Times New Roman" w:cs="Times New Roman"/>
          <w:lang w:val="hy-AM"/>
        </w:rPr>
        <w:t>,</w:t>
      </w:r>
      <w:r w:rsidR="00F14DCC" w:rsidRPr="00EF7399">
        <w:rPr>
          <w:rFonts w:ascii="Times New Roman" w:hAnsi="Times New Roman" w:cs="Times New Roman"/>
          <w:lang w:val="af-ZA"/>
        </w:rPr>
        <w:t xml:space="preserve"> 11-րդ հոդվածն առանձնահատուկ սերտ կապ ունի Կոնվենցիայի 9-րդ և 10-րդ հոդվածների հետ:  </w:t>
      </w:r>
    </w:p>
    <w:p w14:paraId="5CE7966E" w14:textId="71409451" w:rsidR="005F4E94" w:rsidRPr="00EF7399" w:rsidRDefault="005F4E94" w:rsidP="005F4E94">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118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F14DCC" w:rsidRPr="00EF7399">
        <w:rPr>
          <w:rFonts w:ascii="Times New Roman" w:hAnsi="Times New Roman" w:cs="Times New Roman"/>
          <w:lang w:val="af-ZA"/>
        </w:rPr>
        <w:t>11-րդ հոդվածով երաշխավորված</w:t>
      </w:r>
      <w:r w:rsidR="00480E62" w:rsidRPr="00EF7399">
        <w:rPr>
          <w:rFonts w:ascii="Times New Roman" w:hAnsi="Times New Roman" w:cs="Times New Roman"/>
          <w:lang w:val="hy-AM"/>
        </w:rPr>
        <w:t>՝</w:t>
      </w:r>
      <w:r w:rsidR="00F14DCC" w:rsidRPr="00EF7399">
        <w:rPr>
          <w:rFonts w:ascii="Times New Roman" w:hAnsi="Times New Roman" w:cs="Times New Roman"/>
          <w:lang w:val="af-ZA"/>
        </w:rPr>
        <w:t xml:space="preserve"> միավորման ազատության նպատակներից</w:t>
      </w:r>
      <w:r w:rsidR="00480E62" w:rsidRPr="00EF7399">
        <w:rPr>
          <w:rFonts w:ascii="Times New Roman" w:hAnsi="Times New Roman" w:cs="Times New Roman"/>
          <w:lang w:val="hy-AM"/>
        </w:rPr>
        <w:t xml:space="preserve"> ևս</w:t>
      </w:r>
      <w:r w:rsidR="00F14DCC" w:rsidRPr="00EF7399">
        <w:rPr>
          <w:rFonts w:ascii="Times New Roman" w:hAnsi="Times New Roman" w:cs="Times New Roman"/>
          <w:lang w:val="af-ZA"/>
        </w:rPr>
        <w:t xml:space="preserve"> մեկն անձնական կարծիք</w:t>
      </w:r>
      <w:r w:rsidR="00480E62" w:rsidRPr="00EF7399">
        <w:rPr>
          <w:rFonts w:ascii="Times New Roman" w:hAnsi="Times New Roman" w:cs="Times New Roman"/>
          <w:lang w:val="hy-AM"/>
        </w:rPr>
        <w:t>ներ</w:t>
      </w:r>
      <w:r w:rsidR="00F14DCC" w:rsidRPr="00EF7399">
        <w:rPr>
          <w:rFonts w:ascii="Times New Roman" w:hAnsi="Times New Roman" w:cs="Times New Roman"/>
          <w:lang w:val="af-ZA"/>
        </w:rPr>
        <w:t>ի պաշտպանությունն է, որը մտքի, խղճի և կրոնի ազատության և արտահայ</w:t>
      </w:r>
      <w:r w:rsidR="00480E62" w:rsidRPr="00EF7399">
        <w:rPr>
          <w:rFonts w:ascii="Times New Roman" w:hAnsi="Times New Roman" w:cs="Times New Roman"/>
          <w:lang w:val="hy-AM"/>
        </w:rPr>
        <w:t>տ</w:t>
      </w:r>
      <w:r w:rsidR="00F14DCC" w:rsidRPr="00EF7399">
        <w:rPr>
          <w:rFonts w:ascii="Times New Roman" w:hAnsi="Times New Roman" w:cs="Times New Roman"/>
          <w:lang w:val="af-ZA"/>
        </w:rPr>
        <w:t xml:space="preserve">վելու ազատության ձևով </w:t>
      </w:r>
      <w:r w:rsidR="00480E62" w:rsidRPr="00EF7399">
        <w:rPr>
          <w:rFonts w:ascii="Times New Roman" w:hAnsi="Times New Roman" w:cs="Times New Roman"/>
          <w:lang w:val="hy-AM"/>
        </w:rPr>
        <w:t>նախատեսում</w:t>
      </w:r>
      <w:r w:rsidR="00480E62" w:rsidRPr="00EF7399">
        <w:rPr>
          <w:rFonts w:ascii="Times New Roman" w:hAnsi="Times New Roman" w:cs="Times New Roman"/>
          <w:lang w:val="af-ZA"/>
        </w:rPr>
        <w:t xml:space="preserve"> </w:t>
      </w:r>
      <w:r w:rsidR="00F14DCC" w:rsidRPr="00EF7399">
        <w:rPr>
          <w:rFonts w:ascii="Times New Roman" w:hAnsi="Times New Roman" w:cs="Times New Roman"/>
          <w:lang w:val="af-ZA"/>
        </w:rPr>
        <w:t xml:space="preserve">են Կոնվենցիայի 9-րդ և 10-րդ հոդվածները </w:t>
      </w:r>
      <w:r w:rsidRPr="00EF7399">
        <w:rPr>
          <w:rFonts w:ascii="Times New Roman" w:hAnsi="Times New Roman" w:cs="Times New Roman"/>
          <w:lang w:val="af-ZA"/>
        </w:rPr>
        <w:t>(</w:t>
      </w:r>
      <w:hyperlink r:id="rId295" w:history="1">
        <w:r w:rsidRPr="00EF7399">
          <w:rPr>
            <w:rStyle w:val="Hyperlink"/>
            <w:rFonts w:ascii="Times New Roman" w:hAnsi="Times New Roman" w:cs="Times New Roman"/>
            <w:lang w:val="af-ZA"/>
          </w:rPr>
          <w:t>Young</w:t>
        </w:r>
        <w:r w:rsidRPr="00EF7399">
          <w:rPr>
            <w:rStyle w:val="Hyperlink"/>
            <w:rFonts w:ascii="Times New Roman" w:hAnsi="Times New Roman" w:cs="Times New Roman"/>
            <w:iCs/>
            <w:lang w:val="af-ZA"/>
          </w:rPr>
          <w:t>,</w:t>
        </w:r>
        <w:r w:rsidRPr="00EF7399">
          <w:rPr>
            <w:rStyle w:val="Hyperlink"/>
            <w:rFonts w:ascii="Times New Roman" w:hAnsi="Times New Roman" w:cs="Times New Roman"/>
            <w:lang w:val="af-ZA"/>
          </w:rPr>
          <w:t xml:space="preserve"> James and Webster</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the United Kingdom</w:t>
        </w:r>
      </w:hyperlink>
      <w:r w:rsidRPr="00EF7399">
        <w:rPr>
          <w:rFonts w:ascii="Times New Roman" w:hAnsi="Times New Roman" w:cs="Times New Roman"/>
          <w:lang w:val="af-ZA"/>
        </w:rPr>
        <w:t xml:space="preserve">, </w:t>
      </w:r>
      <w:r w:rsidR="00B42939" w:rsidRPr="00EF7399">
        <w:rPr>
          <w:rFonts w:ascii="Times New Roman" w:hAnsi="Times New Roman" w:cs="Times New Roman"/>
          <w:lang w:val="af-ZA"/>
        </w:rPr>
        <w:t>1981,</w:t>
      </w:r>
      <w:r w:rsidR="002762F8" w:rsidRPr="00EF7399">
        <w:rPr>
          <w:rFonts w:ascii="Times New Roman" w:hAnsi="Times New Roman" w:cs="Times New Roman"/>
          <w:lang w:val="af-ZA"/>
        </w:rPr>
        <w:t xml:space="preserve"> </w:t>
      </w:r>
      <w:r w:rsidR="00873234" w:rsidRPr="00EF7399">
        <w:rPr>
          <w:rFonts w:ascii="Times New Roman" w:hAnsi="Times New Roman" w:cs="Times New Roman"/>
          <w:lang w:val="af-ZA"/>
        </w:rPr>
        <w:t>§ </w:t>
      </w:r>
      <w:r w:rsidRPr="00EF7399">
        <w:rPr>
          <w:rFonts w:ascii="Times New Roman" w:hAnsi="Times New Roman" w:cs="Times New Roman"/>
          <w:lang w:val="af-ZA"/>
        </w:rPr>
        <w:t>57,</w:t>
      </w:r>
      <w:hyperlink r:id="rId296" w:history="1">
        <w:r w:rsidRPr="00EF7399">
          <w:rPr>
            <w:rStyle w:val="Hyperlink"/>
            <w:rFonts w:ascii="Times New Roman" w:hAnsi="Times New Roman" w:cs="Times New Roman"/>
            <w:lang w:val="af-ZA"/>
          </w:rPr>
          <w:t>Vörður Ólafsson</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Iceland</w:t>
        </w:r>
      </w:hyperlink>
      <w:r w:rsidRPr="00EF7399">
        <w:rPr>
          <w:rFonts w:ascii="Times New Roman" w:hAnsi="Times New Roman" w:cs="Times New Roman"/>
          <w:lang w:val="af-ZA"/>
        </w:rPr>
        <w:t xml:space="preserve">, </w:t>
      </w:r>
      <w:r w:rsidR="002762F8" w:rsidRPr="00EF7399">
        <w:rPr>
          <w:rFonts w:ascii="Times New Roman" w:hAnsi="Times New Roman" w:cs="Times New Roman"/>
          <w:lang w:val="af-ZA"/>
        </w:rPr>
        <w:t xml:space="preserve">2010, </w:t>
      </w:r>
      <w:r w:rsidR="00873234" w:rsidRPr="00EF7399">
        <w:rPr>
          <w:rFonts w:ascii="Times New Roman" w:hAnsi="Times New Roman" w:cs="Times New Roman"/>
          <w:lang w:val="af-ZA"/>
        </w:rPr>
        <w:t>§ </w:t>
      </w:r>
      <w:r w:rsidRPr="00EF7399">
        <w:rPr>
          <w:rFonts w:ascii="Times New Roman" w:hAnsi="Times New Roman" w:cs="Times New Roman"/>
          <w:lang w:val="af-ZA"/>
        </w:rPr>
        <w:t>46)</w:t>
      </w:r>
      <w:r w:rsidR="00F14DCC" w:rsidRPr="00EF7399">
        <w:rPr>
          <w:rFonts w:ascii="Times New Roman" w:hAnsi="Times New Roman" w:cs="Times New Roman"/>
          <w:lang w:val="af-ZA"/>
        </w:rPr>
        <w:t>:</w:t>
      </w:r>
      <w:r w:rsidRPr="00EF7399">
        <w:rPr>
          <w:rFonts w:ascii="Times New Roman" w:hAnsi="Times New Roman" w:cs="Times New Roman"/>
          <w:lang w:val="af-ZA"/>
        </w:rPr>
        <w:t xml:space="preserve"> </w:t>
      </w:r>
      <w:r w:rsidR="00F14DCC" w:rsidRPr="00EF7399">
        <w:rPr>
          <w:rFonts w:ascii="Times New Roman" w:hAnsi="Times New Roman" w:cs="Times New Roman"/>
          <w:lang w:val="af-ZA"/>
        </w:rPr>
        <w:t>Նման պաշտպանությունը կար</w:t>
      </w:r>
      <w:r w:rsidR="00D93A2F" w:rsidRPr="00EF7399">
        <w:rPr>
          <w:rFonts w:ascii="Times New Roman" w:hAnsi="Times New Roman" w:cs="Times New Roman"/>
          <w:lang w:val="hy-AM"/>
        </w:rPr>
        <w:t>ող</w:t>
      </w:r>
      <w:r w:rsidR="00F14DCC" w:rsidRPr="00EF7399">
        <w:rPr>
          <w:rFonts w:ascii="Times New Roman" w:hAnsi="Times New Roman" w:cs="Times New Roman"/>
          <w:lang w:val="af-ZA"/>
        </w:rPr>
        <w:t xml:space="preserve"> է արդյունավետ ապահո</w:t>
      </w:r>
      <w:r w:rsidR="0066505C" w:rsidRPr="00EF7399">
        <w:rPr>
          <w:rFonts w:ascii="Times New Roman" w:hAnsi="Times New Roman" w:cs="Times New Roman"/>
          <w:lang w:val="hy-AM"/>
        </w:rPr>
        <w:t>վ</w:t>
      </w:r>
      <w:r w:rsidR="00F14DCC" w:rsidRPr="00EF7399">
        <w:rPr>
          <w:rFonts w:ascii="Times New Roman" w:hAnsi="Times New Roman" w:cs="Times New Roman"/>
          <w:lang w:val="af-ZA"/>
        </w:rPr>
        <w:t>վել միայն միավորման ազատության պոզիտիվ և նեգատիվ իրավունք</w:t>
      </w:r>
      <w:r w:rsidR="0066505C" w:rsidRPr="00EF7399">
        <w:rPr>
          <w:rFonts w:ascii="Times New Roman" w:hAnsi="Times New Roman" w:cs="Times New Roman"/>
          <w:lang w:val="hy-AM"/>
        </w:rPr>
        <w:t>ը</w:t>
      </w:r>
      <w:r w:rsidR="00F14DCC" w:rsidRPr="00EF7399">
        <w:rPr>
          <w:rFonts w:ascii="Times New Roman" w:hAnsi="Times New Roman" w:cs="Times New Roman"/>
          <w:lang w:val="af-ZA"/>
        </w:rPr>
        <w:t xml:space="preserve"> երաշխավորելու միջոցով </w:t>
      </w:r>
      <w:r w:rsidR="006B6FEB" w:rsidRPr="00EF7399">
        <w:rPr>
          <w:rFonts w:ascii="Times New Roman" w:hAnsi="Times New Roman" w:cs="Times New Roman"/>
          <w:lang w:val="af-ZA"/>
        </w:rPr>
        <w:t>(</w:t>
      </w:r>
      <w:hyperlink r:id="rId297" w:history="1">
        <w:r w:rsidR="006B6FEB" w:rsidRPr="00EF7399">
          <w:rPr>
            <w:rStyle w:val="Hyperlink"/>
            <w:rFonts w:ascii="Times New Roman" w:hAnsi="Times New Roman" w:cs="Times New Roman"/>
            <w:lang w:val="af-ZA"/>
          </w:rPr>
          <w:t>Sørensen and Rasmussen</w:t>
        </w:r>
        <w:r w:rsidR="00873234" w:rsidRPr="00EF7399">
          <w:rPr>
            <w:rStyle w:val="Hyperlink"/>
            <w:rFonts w:ascii="Times New Roman" w:hAnsi="Times New Roman" w:cs="Times New Roman"/>
            <w:lang w:val="af-ZA"/>
          </w:rPr>
          <w:t xml:space="preserve"> v. </w:t>
        </w:r>
        <w:r w:rsidR="006B6FEB" w:rsidRPr="00EF7399">
          <w:rPr>
            <w:rStyle w:val="Hyperlink"/>
            <w:rFonts w:ascii="Times New Roman" w:hAnsi="Times New Roman" w:cs="Times New Roman"/>
            <w:lang w:val="af-ZA"/>
          </w:rPr>
          <w:t>Denmark</w:t>
        </w:r>
      </w:hyperlink>
      <w:r w:rsidR="006B6FEB" w:rsidRPr="00EF7399">
        <w:rPr>
          <w:rFonts w:ascii="Times New Roman" w:hAnsi="Times New Roman" w:cs="Times New Roman"/>
          <w:lang w:val="af-ZA"/>
        </w:rPr>
        <w:t xml:space="preserve"> [GC], </w:t>
      </w:r>
      <w:r w:rsidR="002762F8" w:rsidRPr="00EF7399">
        <w:rPr>
          <w:rFonts w:ascii="Times New Roman" w:hAnsi="Times New Roman" w:cs="Times New Roman"/>
          <w:lang w:val="af-ZA"/>
        </w:rPr>
        <w:t xml:space="preserve">2006, </w:t>
      </w:r>
      <w:r w:rsidR="00873234" w:rsidRPr="00EF7399">
        <w:rPr>
          <w:rFonts w:ascii="Times New Roman" w:hAnsi="Times New Roman" w:cs="Times New Roman"/>
          <w:lang w:val="af-ZA"/>
        </w:rPr>
        <w:t>§ </w:t>
      </w:r>
      <w:r w:rsidR="006B6FEB" w:rsidRPr="00EF7399">
        <w:rPr>
          <w:rFonts w:ascii="Times New Roman" w:hAnsi="Times New Roman" w:cs="Times New Roman"/>
          <w:lang w:val="af-ZA"/>
        </w:rPr>
        <w:t>54)</w:t>
      </w:r>
      <w:r w:rsidR="00F14DCC" w:rsidRPr="00EF7399">
        <w:rPr>
          <w:rFonts w:ascii="Times New Roman" w:hAnsi="Times New Roman" w:cs="Times New Roman"/>
          <w:lang w:val="af-ZA"/>
        </w:rPr>
        <w:t>:</w:t>
      </w:r>
    </w:p>
    <w:p w14:paraId="3B82ECFA" w14:textId="5586EC6C" w:rsidR="005F4E94" w:rsidRPr="00EF7399" w:rsidRDefault="005F4E94" w:rsidP="005F4E94">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119</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3F23F1" w:rsidRPr="00EF7399">
        <w:rPr>
          <w:rFonts w:ascii="Times New Roman" w:hAnsi="Times New Roman" w:cs="Times New Roman"/>
          <w:lang w:val="af-ZA"/>
        </w:rPr>
        <w:t xml:space="preserve">Այսպիսով, 11-րդ հոդվածը կիրառելի է </w:t>
      </w:r>
      <w:r w:rsidR="00334487" w:rsidRPr="00EF7399">
        <w:rPr>
          <w:rFonts w:ascii="Times New Roman" w:hAnsi="Times New Roman" w:cs="Times New Roman"/>
          <w:lang w:val="af-ZA"/>
        </w:rPr>
        <w:t>ոչ միայն այն անձանց կամ միավորումների</w:t>
      </w:r>
      <w:r w:rsidR="0066505C" w:rsidRPr="00EF7399">
        <w:rPr>
          <w:rFonts w:ascii="Times New Roman" w:hAnsi="Times New Roman" w:cs="Times New Roman"/>
          <w:lang w:val="hy-AM"/>
        </w:rPr>
        <w:t xml:space="preserve"> </w:t>
      </w:r>
      <w:r w:rsidR="00334487" w:rsidRPr="00EF7399">
        <w:rPr>
          <w:rFonts w:ascii="Times New Roman" w:hAnsi="Times New Roman" w:cs="Times New Roman"/>
          <w:lang w:val="af-ZA"/>
        </w:rPr>
        <w:t>ն</w:t>
      </w:r>
      <w:r w:rsidR="0066505C" w:rsidRPr="00EF7399">
        <w:rPr>
          <w:rFonts w:ascii="Times New Roman" w:hAnsi="Times New Roman" w:cs="Times New Roman"/>
          <w:lang w:val="hy-AM"/>
        </w:rPr>
        <w:t>կատմամբ</w:t>
      </w:r>
      <w:r w:rsidR="00334487" w:rsidRPr="00EF7399">
        <w:rPr>
          <w:rFonts w:ascii="Times New Roman" w:hAnsi="Times New Roman" w:cs="Times New Roman"/>
          <w:lang w:val="af-ZA"/>
        </w:rPr>
        <w:t>, որոնց տեսակետ</w:t>
      </w:r>
      <w:r w:rsidR="004171AF" w:rsidRPr="00EF7399">
        <w:rPr>
          <w:rFonts w:ascii="Times New Roman" w:hAnsi="Times New Roman" w:cs="Times New Roman"/>
          <w:lang w:val="hy-AM"/>
        </w:rPr>
        <w:t>ն</w:t>
      </w:r>
      <w:r w:rsidR="00334487" w:rsidRPr="00EF7399">
        <w:rPr>
          <w:rFonts w:ascii="Times New Roman" w:hAnsi="Times New Roman" w:cs="Times New Roman"/>
          <w:lang w:val="af-ZA"/>
        </w:rPr>
        <w:t xml:space="preserve">երն ընդունվում են բարյացակամորեն կամ համարվում </w:t>
      </w:r>
      <w:r w:rsidR="0066505C" w:rsidRPr="00EF7399">
        <w:rPr>
          <w:rFonts w:ascii="Times New Roman" w:hAnsi="Times New Roman" w:cs="Times New Roman"/>
          <w:lang w:val="hy-AM"/>
        </w:rPr>
        <w:t xml:space="preserve">են </w:t>
      </w:r>
      <w:r w:rsidR="00334487" w:rsidRPr="00EF7399">
        <w:rPr>
          <w:rFonts w:ascii="Times New Roman" w:hAnsi="Times New Roman" w:cs="Times New Roman"/>
          <w:lang w:val="af-ZA"/>
        </w:rPr>
        <w:t xml:space="preserve">ոչ վիրավորական կամ </w:t>
      </w:r>
      <w:r w:rsidR="004171AF" w:rsidRPr="00EF7399">
        <w:rPr>
          <w:rFonts w:ascii="Times New Roman" w:hAnsi="Times New Roman" w:cs="Times New Roman"/>
          <w:lang w:val="hy-AM"/>
        </w:rPr>
        <w:t>անտարբերություն առաջացնող</w:t>
      </w:r>
      <w:r w:rsidR="00334487" w:rsidRPr="00EF7399">
        <w:rPr>
          <w:rFonts w:ascii="Times New Roman" w:hAnsi="Times New Roman" w:cs="Times New Roman"/>
          <w:lang w:val="af-ZA"/>
        </w:rPr>
        <w:t>, այլև նրանց, ո</w:t>
      </w:r>
      <w:r w:rsidR="00890F8B" w:rsidRPr="00EF7399">
        <w:rPr>
          <w:rFonts w:ascii="Times New Roman" w:hAnsi="Times New Roman" w:cs="Times New Roman"/>
          <w:lang w:val="af-ZA"/>
        </w:rPr>
        <w:t>ւ</w:t>
      </w:r>
      <w:r w:rsidR="00334487" w:rsidRPr="00EF7399">
        <w:rPr>
          <w:rFonts w:ascii="Times New Roman" w:hAnsi="Times New Roman" w:cs="Times New Roman"/>
          <w:lang w:val="af-ZA"/>
        </w:rPr>
        <w:t>մ տեսակետ</w:t>
      </w:r>
      <w:r w:rsidR="004171AF" w:rsidRPr="00EF7399">
        <w:rPr>
          <w:rFonts w:ascii="Times New Roman" w:hAnsi="Times New Roman" w:cs="Times New Roman"/>
          <w:lang w:val="hy-AM"/>
        </w:rPr>
        <w:t>ն</w:t>
      </w:r>
      <w:r w:rsidR="00334487" w:rsidRPr="00EF7399">
        <w:rPr>
          <w:rFonts w:ascii="Times New Roman" w:hAnsi="Times New Roman" w:cs="Times New Roman"/>
          <w:lang w:val="af-ZA"/>
        </w:rPr>
        <w:t xml:space="preserve">երը վիրավորական են, շոկային կամ անհանգստացնող  </w:t>
      </w:r>
      <w:r w:rsidRPr="00EF7399">
        <w:rPr>
          <w:rFonts w:ascii="Times New Roman" w:hAnsi="Times New Roman" w:cs="Times New Roman"/>
          <w:lang w:val="af-ZA"/>
        </w:rPr>
        <w:t>(</w:t>
      </w:r>
      <w:hyperlink r:id="rId298" w:history="1">
        <w:r w:rsidRPr="00EF7399">
          <w:rPr>
            <w:rStyle w:val="Hyperlink"/>
            <w:rFonts w:ascii="Times New Roman" w:hAnsi="Times New Roman" w:cs="Times New Roman"/>
            <w:lang w:val="af-ZA"/>
          </w:rPr>
          <w:t>Redfearn</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the United Kingdom</w:t>
        </w:r>
      </w:hyperlink>
      <w:r w:rsidRPr="00EF7399">
        <w:rPr>
          <w:rFonts w:ascii="Times New Roman" w:hAnsi="Times New Roman" w:cs="Times New Roman"/>
          <w:lang w:val="af-ZA"/>
        </w:rPr>
        <w:t xml:space="preserve">, </w:t>
      </w:r>
      <w:r w:rsidR="002762F8" w:rsidRPr="00EF7399">
        <w:rPr>
          <w:rFonts w:ascii="Times New Roman" w:hAnsi="Times New Roman" w:cs="Times New Roman"/>
          <w:lang w:val="af-ZA"/>
        </w:rPr>
        <w:t xml:space="preserve">2012,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56; </w:t>
      </w:r>
      <w:hyperlink r:id="rId299" w:history="1">
        <w:r w:rsidRPr="00EF7399">
          <w:rPr>
            <w:rStyle w:val="Hyperlink"/>
            <w:rFonts w:ascii="Times New Roman" w:hAnsi="Times New Roman" w:cs="Times New Roman"/>
            <w:lang w:val="af-ZA"/>
          </w:rPr>
          <w:t>Vona</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Hungary</w:t>
        </w:r>
      </w:hyperlink>
      <w:r w:rsidRPr="00EF7399">
        <w:rPr>
          <w:rFonts w:ascii="Times New Roman" w:hAnsi="Times New Roman" w:cs="Times New Roman"/>
          <w:lang w:val="af-ZA"/>
        </w:rPr>
        <w:t xml:space="preserve">, </w:t>
      </w:r>
      <w:r w:rsidR="002762F8" w:rsidRPr="00EF7399">
        <w:rPr>
          <w:rFonts w:ascii="Times New Roman" w:hAnsi="Times New Roman" w:cs="Times New Roman"/>
          <w:lang w:val="af-ZA"/>
        </w:rPr>
        <w:t xml:space="preserve">2013, </w:t>
      </w:r>
      <w:r w:rsidR="00873234" w:rsidRPr="00EF7399">
        <w:rPr>
          <w:rFonts w:ascii="Times New Roman" w:hAnsi="Times New Roman" w:cs="Times New Roman"/>
          <w:lang w:val="af-ZA"/>
        </w:rPr>
        <w:t>§ </w:t>
      </w:r>
      <w:r w:rsidRPr="00EF7399">
        <w:rPr>
          <w:rFonts w:ascii="Times New Roman" w:hAnsi="Times New Roman" w:cs="Times New Roman"/>
          <w:lang w:val="af-ZA"/>
        </w:rPr>
        <w:t>57)</w:t>
      </w:r>
      <w:r w:rsidR="00334487" w:rsidRPr="00EF7399">
        <w:rPr>
          <w:rFonts w:ascii="Times New Roman" w:hAnsi="Times New Roman" w:cs="Times New Roman"/>
          <w:lang w:val="af-ZA"/>
        </w:rPr>
        <w:t>:</w:t>
      </w:r>
    </w:p>
    <w:p w14:paraId="28CA05B1" w14:textId="16B1E5AF" w:rsidR="005F4E94" w:rsidRPr="00EF7399" w:rsidRDefault="005F4E94" w:rsidP="005F4E94">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120</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B522D9" w:rsidRPr="00EF7399">
        <w:rPr>
          <w:rFonts w:ascii="Times New Roman" w:hAnsi="Times New Roman" w:cs="Times New Roman"/>
          <w:lang w:val="af-ZA"/>
        </w:rPr>
        <w:t xml:space="preserve">Թեև </w:t>
      </w:r>
      <w:r w:rsidR="00334487" w:rsidRPr="00EF7399">
        <w:rPr>
          <w:rFonts w:ascii="Times New Roman" w:hAnsi="Times New Roman" w:cs="Times New Roman"/>
          <w:lang w:val="af-ZA"/>
        </w:rPr>
        <w:t>10-րդ հոդվածը երաշխավորում է, որ հանրային բանավեճում կարող են անգամ արտահայտվել գաղափարներ</w:t>
      </w:r>
      <w:r w:rsidRPr="00EF7399">
        <w:rPr>
          <w:rFonts w:ascii="Times New Roman" w:hAnsi="Times New Roman" w:cs="Times New Roman"/>
          <w:lang w:val="af-ZA"/>
        </w:rPr>
        <w:t>,</w:t>
      </w:r>
      <w:r w:rsidR="00B522D9" w:rsidRPr="00EF7399">
        <w:rPr>
          <w:rFonts w:ascii="Times New Roman" w:hAnsi="Times New Roman" w:cs="Times New Roman"/>
          <w:lang w:val="af-ZA"/>
        </w:rPr>
        <w:t xml:space="preserve"> որոնք տարբերվում են ժողովրդավարական հասարակության գաղափարներից</w:t>
      </w:r>
      <w:r w:rsidR="00333313" w:rsidRPr="00EF7399">
        <w:rPr>
          <w:rFonts w:ascii="Times New Roman" w:hAnsi="Times New Roman" w:cs="Times New Roman"/>
          <w:lang w:val="hy-AM"/>
        </w:rPr>
        <w:t>՝</w:t>
      </w:r>
      <w:r w:rsidR="00B522D9" w:rsidRPr="00EF7399">
        <w:rPr>
          <w:rFonts w:ascii="Times New Roman" w:hAnsi="Times New Roman" w:cs="Times New Roman"/>
          <w:lang w:val="af-ZA"/>
        </w:rPr>
        <w:t xml:space="preserve"> պայմանով</w:t>
      </w:r>
      <w:r w:rsidR="00D80961" w:rsidRPr="00EF7399">
        <w:rPr>
          <w:rFonts w:ascii="Times New Roman" w:hAnsi="Times New Roman" w:cs="Times New Roman"/>
          <w:lang w:val="af-ZA"/>
        </w:rPr>
        <w:t>,</w:t>
      </w:r>
      <w:r w:rsidR="00B522D9" w:rsidRPr="00EF7399">
        <w:rPr>
          <w:rFonts w:ascii="Times New Roman" w:hAnsi="Times New Roman" w:cs="Times New Roman"/>
          <w:lang w:val="af-ZA"/>
        </w:rPr>
        <w:t xml:space="preserve"> որ դրանք չեն </w:t>
      </w:r>
      <w:r w:rsidR="00333313" w:rsidRPr="00EF7399">
        <w:rPr>
          <w:rFonts w:ascii="Times New Roman" w:hAnsi="Times New Roman" w:cs="Times New Roman"/>
          <w:lang w:val="hy-AM"/>
        </w:rPr>
        <w:t>հանգեցնում</w:t>
      </w:r>
      <w:r w:rsidR="00333313" w:rsidRPr="00EF7399">
        <w:rPr>
          <w:rFonts w:ascii="Times New Roman" w:hAnsi="Times New Roman" w:cs="Times New Roman"/>
          <w:lang w:val="af-ZA"/>
        </w:rPr>
        <w:t xml:space="preserve"> </w:t>
      </w:r>
      <w:r w:rsidR="00B522D9" w:rsidRPr="00EF7399">
        <w:rPr>
          <w:rFonts w:ascii="Times New Roman" w:hAnsi="Times New Roman" w:cs="Times New Roman"/>
          <w:lang w:val="af-ZA"/>
        </w:rPr>
        <w:t xml:space="preserve">ատելության խոսքի կամ </w:t>
      </w:r>
      <w:r w:rsidR="00824066" w:rsidRPr="00EF7399">
        <w:rPr>
          <w:rFonts w:ascii="Times New Roman" w:hAnsi="Times New Roman" w:cs="Times New Roman"/>
          <w:lang w:val="af-ZA"/>
        </w:rPr>
        <w:t xml:space="preserve">չեն </w:t>
      </w:r>
      <w:r w:rsidR="00B522D9" w:rsidRPr="00EF7399">
        <w:rPr>
          <w:rFonts w:ascii="Times New Roman" w:hAnsi="Times New Roman" w:cs="Times New Roman"/>
          <w:lang w:val="af-ZA"/>
        </w:rPr>
        <w:t xml:space="preserve">հրահրում այլ անձանց </w:t>
      </w:r>
      <w:r w:rsidR="00824066" w:rsidRPr="00EF7399">
        <w:rPr>
          <w:rFonts w:ascii="Times New Roman" w:hAnsi="Times New Roman" w:cs="Times New Roman"/>
          <w:lang w:val="af-ZA"/>
        </w:rPr>
        <w:t xml:space="preserve">կողմից </w:t>
      </w:r>
      <w:r w:rsidR="00B522D9" w:rsidRPr="00EF7399">
        <w:rPr>
          <w:rFonts w:ascii="Times New Roman" w:hAnsi="Times New Roman" w:cs="Times New Roman"/>
          <w:lang w:val="af-ZA"/>
        </w:rPr>
        <w:t>բռնություն, 11-րդ հոդվածը չի արգելում պետություններին ձեռնարկել միջոցներ</w:t>
      </w:r>
      <w:r w:rsidR="00333313" w:rsidRPr="00EF7399">
        <w:rPr>
          <w:rFonts w:ascii="Times New Roman" w:hAnsi="Times New Roman" w:cs="Times New Roman"/>
          <w:lang w:val="hy-AM"/>
        </w:rPr>
        <w:t xml:space="preserve">՝ </w:t>
      </w:r>
      <w:r w:rsidR="00B522D9" w:rsidRPr="00EF7399">
        <w:rPr>
          <w:rFonts w:ascii="Times New Roman" w:hAnsi="Times New Roman" w:cs="Times New Roman"/>
          <w:lang w:val="af-ZA"/>
        </w:rPr>
        <w:t>երաշխավոր</w:t>
      </w:r>
      <w:r w:rsidR="00333313" w:rsidRPr="00EF7399">
        <w:rPr>
          <w:rFonts w:ascii="Times New Roman" w:hAnsi="Times New Roman" w:cs="Times New Roman"/>
          <w:lang w:val="hy-AM"/>
        </w:rPr>
        <w:t>ելու</w:t>
      </w:r>
      <w:r w:rsidR="00B522D9" w:rsidRPr="00EF7399">
        <w:rPr>
          <w:rFonts w:ascii="Times New Roman" w:hAnsi="Times New Roman" w:cs="Times New Roman"/>
          <w:lang w:val="af-ZA"/>
        </w:rPr>
        <w:t>, որ միավորումը չ</w:t>
      </w:r>
      <w:r w:rsidR="00824066" w:rsidRPr="00EF7399">
        <w:rPr>
          <w:rFonts w:ascii="Times New Roman" w:hAnsi="Times New Roman" w:cs="Times New Roman"/>
          <w:lang w:val="af-ZA"/>
        </w:rPr>
        <w:t xml:space="preserve">ի </w:t>
      </w:r>
      <w:r w:rsidR="00B522D9" w:rsidRPr="00EF7399">
        <w:rPr>
          <w:rFonts w:ascii="Times New Roman" w:hAnsi="Times New Roman" w:cs="Times New Roman"/>
          <w:lang w:val="af-ZA"/>
        </w:rPr>
        <w:t xml:space="preserve">հետապնդի </w:t>
      </w:r>
      <w:r w:rsidR="00824066" w:rsidRPr="00EF7399">
        <w:rPr>
          <w:rFonts w:ascii="Times New Roman" w:hAnsi="Times New Roman" w:cs="Times New Roman"/>
          <w:lang w:val="af-ZA"/>
        </w:rPr>
        <w:t xml:space="preserve">բազմակարծիք </w:t>
      </w:r>
      <w:r w:rsidR="00333313" w:rsidRPr="00EF7399">
        <w:rPr>
          <w:rFonts w:ascii="Times New Roman" w:hAnsi="Times New Roman" w:cs="Times New Roman"/>
          <w:lang w:val="hy-AM"/>
        </w:rPr>
        <w:t>ժողովրդավարության</w:t>
      </w:r>
      <w:r w:rsidR="00333313" w:rsidRPr="00EF7399">
        <w:rPr>
          <w:rFonts w:ascii="Times New Roman" w:hAnsi="Times New Roman" w:cs="Times New Roman"/>
          <w:lang w:val="af-ZA"/>
        </w:rPr>
        <w:t xml:space="preserve"> </w:t>
      </w:r>
      <w:r w:rsidR="00824066" w:rsidRPr="00EF7399">
        <w:rPr>
          <w:rFonts w:ascii="Times New Roman" w:hAnsi="Times New Roman" w:cs="Times New Roman"/>
          <w:lang w:val="af-ZA"/>
        </w:rPr>
        <w:t xml:space="preserve">արժեքներին հակասող և Կոնվենցիայով երաշխավորված իրավունքներն ու ազատությունները ոտնահարող  </w:t>
      </w:r>
      <w:r w:rsidR="00B522D9" w:rsidRPr="00EF7399">
        <w:rPr>
          <w:rFonts w:ascii="Times New Roman" w:hAnsi="Times New Roman" w:cs="Times New Roman"/>
          <w:lang w:val="af-ZA"/>
        </w:rPr>
        <w:t>քաղաքական</w:t>
      </w:r>
      <w:r w:rsidR="00367133" w:rsidRPr="00EF7399">
        <w:rPr>
          <w:rFonts w:ascii="Times New Roman" w:hAnsi="Times New Roman" w:cs="Times New Roman"/>
          <w:lang w:val="hy-AM"/>
        </w:rPr>
        <w:t>ության</w:t>
      </w:r>
      <w:r w:rsidR="00B522D9" w:rsidRPr="00EF7399">
        <w:rPr>
          <w:rFonts w:ascii="Times New Roman" w:hAnsi="Times New Roman" w:cs="Times New Roman"/>
          <w:lang w:val="af-ZA"/>
        </w:rPr>
        <w:t xml:space="preserve"> նպատակներ</w:t>
      </w:r>
      <w:r w:rsidR="00824066"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300" w:history="1">
        <w:r w:rsidRPr="00EF7399">
          <w:rPr>
            <w:rStyle w:val="Hyperlink"/>
            <w:rFonts w:ascii="Times New Roman" w:hAnsi="Times New Roman" w:cs="Times New Roman"/>
            <w:iCs/>
            <w:lang w:val="af-ZA"/>
          </w:rPr>
          <w:t>Zehra Foundation and Others</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Turkey</w:t>
        </w:r>
      </w:hyperlink>
      <w:r w:rsidRPr="00EF7399">
        <w:rPr>
          <w:rFonts w:ascii="Times New Roman" w:hAnsi="Times New Roman" w:cs="Times New Roman"/>
          <w:lang w:val="af-ZA"/>
        </w:rPr>
        <w:t xml:space="preserve">, </w:t>
      </w:r>
      <w:r w:rsidR="00983154" w:rsidRPr="00EF7399">
        <w:rPr>
          <w:rFonts w:ascii="Times New Roman" w:hAnsi="Times New Roman" w:cs="Times New Roman"/>
          <w:lang w:val="af-ZA"/>
        </w:rPr>
        <w:t xml:space="preserve">2018,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55-56, </w:t>
      </w:r>
      <w:r w:rsidR="00824066" w:rsidRPr="00EF7399">
        <w:rPr>
          <w:rFonts w:ascii="Times New Roman" w:hAnsi="Times New Roman" w:cs="Times New Roman"/>
          <w:lang w:val="af-ZA"/>
        </w:rPr>
        <w:t>առնչվում է միավորման լուծարմանը, որի գործունեությունն ուղղված էր շարիաթական պետության ստեղծմանը</w:t>
      </w:r>
      <w:r w:rsidRPr="00EF7399">
        <w:rPr>
          <w:rFonts w:ascii="Times New Roman" w:hAnsi="Times New Roman" w:cs="Times New Roman"/>
          <w:lang w:val="af-ZA"/>
        </w:rPr>
        <w:t>)</w:t>
      </w:r>
      <w:r w:rsidR="00824066" w:rsidRPr="00EF7399">
        <w:rPr>
          <w:rFonts w:ascii="Times New Roman" w:hAnsi="Times New Roman" w:cs="Times New Roman"/>
          <w:lang w:val="af-ZA"/>
        </w:rPr>
        <w:t>:</w:t>
      </w:r>
    </w:p>
    <w:p w14:paraId="69492D17" w14:textId="0439B91F" w:rsidR="007B4F5E" w:rsidRPr="001B2612" w:rsidRDefault="005F4E94" w:rsidP="005F4E94">
      <w:pPr>
        <w:pStyle w:val="ECHRParaSpaced"/>
        <w:rPr>
          <w:rFonts w:ascii="Times New Roman" w:hAnsi="Times New Roman" w:cs="Times New Roman"/>
          <w:lang w:val="hy-AM"/>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121</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824066" w:rsidRPr="00EF7399">
        <w:rPr>
          <w:rFonts w:ascii="Times New Roman" w:hAnsi="Times New Roman" w:cs="Times New Roman"/>
          <w:lang w:val="af-ZA"/>
        </w:rPr>
        <w:t xml:space="preserve">Բազմակարծության սկզբունքը հնարավոր չէ իրագործել, եթե միավորումն անկարող է ազատորեն արտահայտել սեփական գաղափարները և կարծիքները </w:t>
      </w:r>
      <w:r w:rsidRPr="00EF7399">
        <w:rPr>
          <w:rFonts w:ascii="Times New Roman" w:hAnsi="Times New Roman" w:cs="Times New Roman"/>
          <w:lang w:val="af-ZA"/>
        </w:rPr>
        <w:t>(</w:t>
      </w:r>
      <w:hyperlink r:id="rId301" w:history="1">
        <w:r w:rsidRPr="00EF7399">
          <w:rPr>
            <w:rStyle w:val="Hyperlink"/>
            <w:rFonts w:ascii="Times New Roman" w:hAnsi="Times New Roman" w:cs="Times New Roman"/>
            <w:lang w:val="af-ZA"/>
          </w:rPr>
          <w:t>Gorzelik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Poland</w:t>
        </w:r>
      </w:hyperlink>
      <w:r w:rsidRPr="00EF7399">
        <w:rPr>
          <w:rFonts w:ascii="Times New Roman" w:hAnsi="Times New Roman" w:cs="Times New Roman"/>
          <w:lang w:val="af-ZA"/>
        </w:rPr>
        <w:t xml:space="preserve"> [GC], </w:t>
      </w:r>
      <w:r w:rsidR="007A38BA" w:rsidRPr="00EF7399">
        <w:rPr>
          <w:rFonts w:ascii="Times New Roman" w:hAnsi="Times New Roman" w:cs="Times New Roman"/>
          <w:lang w:val="af-ZA"/>
        </w:rPr>
        <w:t xml:space="preserve">2004,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91; </w:t>
      </w:r>
      <w:hyperlink r:id="rId302" w:history="1">
        <w:r w:rsidRPr="00EF7399">
          <w:rPr>
            <w:rStyle w:val="Hyperlink"/>
            <w:rFonts w:ascii="Times New Roman" w:hAnsi="Times New Roman" w:cs="Times New Roman"/>
            <w:lang w:val="af-ZA"/>
          </w:rPr>
          <w:t>Zhechev</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Bulgaria</w:t>
        </w:r>
      </w:hyperlink>
      <w:r w:rsidRPr="00EF7399">
        <w:rPr>
          <w:rFonts w:ascii="Times New Roman" w:hAnsi="Times New Roman" w:cs="Times New Roman"/>
          <w:lang w:val="af-ZA"/>
        </w:rPr>
        <w:t xml:space="preserve">, </w:t>
      </w:r>
      <w:r w:rsidR="00983154" w:rsidRPr="00EF7399">
        <w:rPr>
          <w:rFonts w:ascii="Times New Roman" w:hAnsi="Times New Roman" w:cs="Times New Roman"/>
          <w:lang w:val="af-ZA"/>
        </w:rPr>
        <w:t xml:space="preserve">2007, </w:t>
      </w:r>
      <w:r w:rsidR="00873234" w:rsidRPr="00EF7399">
        <w:rPr>
          <w:rFonts w:ascii="Times New Roman" w:hAnsi="Times New Roman" w:cs="Times New Roman"/>
          <w:lang w:val="af-ZA"/>
        </w:rPr>
        <w:t>§ </w:t>
      </w:r>
      <w:r w:rsidRPr="00EF7399">
        <w:rPr>
          <w:rFonts w:ascii="Times New Roman" w:hAnsi="Times New Roman" w:cs="Times New Roman"/>
          <w:lang w:val="af-ZA"/>
        </w:rPr>
        <w:t>36)</w:t>
      </w:r>
      <w:r w:rsidR="00824066" w:rsidRPr="00EF7399">
        <w:rPr>
          <w:rFonts w:ascii="Times New Roman" w:hAnsi="Times New Roman" w:cs="Times New Roman"/>
          <w:lang w:val="af-ZA"/>
        </w:rPr>
        <w:t>: Կարծիքների պաշտպանությունը և դրանք արտահայտելու ազատությունն</w:t>
      </w:r>
      <w:r w:rsidRPr="00EF7399">
        <w:rPr>
          <w:rFonts w:ascii="Times New Roman" w:hAnsi="Times New Roman" w:cs="Times New Roman"/>
          <w:lang w:val="af-ZA"/>
        </w:rPr>
        <w:t xml:space="preserve"> </w:t>
      </w:r>
      <w:r w:rsidR="00824066" w:rsidRPr="00EF7399">
        <w:rPr>
          <w:rFonts w:ascii="Times New Roman" w:hAnsi="Times New Roman" w:cs="Times New Roman"/>
          <w:lang w:val="af-ZA"/>
        </w:rPr>
        <w:t>ավելի մեծ չափով կիր</w:t>
      </w:r>
      <w:r w:rsidR="00BE6555" w:rsidRPr="00EF7399">
        <w:rPr>
          <w:rFonts w:ascii="Times New Roman" w:hAnsi="Times New Roman" w:cs="Times New Roman"/>
          <w:lang w:val="af-ZA"/>
        </w:rPr>
        <w:t>ա</w:t>
      </w:r>
      <w:r w:rsidR="00824066" w:rsidRPr="00EF7399">
        <w:rPr>
          <w:rFonts w:ascii="Times New Roman" w:hAnsi="Times New Roman" w:cs="Times New Roman"/>
          <w:lang w:val="af-ZA"/>
        </w:rPr>
        <w:t>ռելի են քաղաքական կուսակցությունների</w:t>
      </w:r>
      <w:r w:rsidR="00341A92" w:rsidRPr="00EF7399">
        <w:rPr>
          <w:rFonts w:ascii="Times New Roman" w:hAnsi="Times New Roman" w:cs="Times New Roman"/>
          <w:lang w:val="hy-AM"/>
        </w:rPr>
        <w:t xml:space="preserve"> </w:t>
      </w:r>
      <w:r w:rsidR="00824066" w:rsidRPr="00EF7399">
        <w:rPr>
          <w:rFonts w:ascii="Times New Roman" w:hAnsi="Times New Roman" w:cs="Times New Roman"/>
          <w:lang w:val="af-ZA"/>
        </w:rPr>
        <w:t>ն</w:t>
      </w:r>
      <w:r w:rsidR="00341A92" w:rsidRPr="00EF7399">
        <w:rPr>
          <w:rFonts w:ascii="Times New Roman" w:hAnsi="Times New Roman" w:cs="Times New Roman"/>
          <w:lang w:val="hy-AM"/>
        </w:rPr>
        <w:t>կատմամբ՝</w:t>
      </w:r>
      <w:r w:rsidR="00824066" w:rsidRPr="00EF7399">
        <w:rPr>
          <w:rFonts w:ascii="Times New Roman" w:hAnsi="Times New Roman" w:cs="Times New Roman"/>
          <w:lang w:val="af-ZA"/>
        </w:rPr>
        <w:t xml:space="preserve"> հաշվի առնելով </w:t>
      </w:r>
      <w:r w:rsidR="00BE6555" w:rsidRPr="00EF7399">
        <w:rPr>
          <w:rFonts w:ascii="Times New Roman" w:hAnsi="Times New Roman" w:cs="Times New Roman"/>
          <w:lang w:val="af-ZA"/>
        </w:rPr>
        <w:t xml:space="preserve">բազմակարծության և ժողովրդավարության </w:t>
      </w:r>
      <w:r w:rsidR="00341A92" w:rsidRPr="00EF7399">
        <w:rPr>
          <w:rFonts w:ascii="Times New Roman" w:hAnsi="Times New Roman" w:cs="Times New Roman"/>
          <w:lang w:val="hy-AM"/>
        </w:rPr>
        <w:t>պատշաճ գործառութավորման</w:t>
      </w:r>
      <w:r w:rsidR="00341A92" w:rsidRPr="00EF7399">
        <w:rPr>
          <w:rFonts w:ascii="Times New Roman" w:hAnsi="Times New Roman" w:cs="Times New Roman"/>
          <w:lang w:val="af-ZA"/>
        </w:rPr>
        <w:t xml:space="preserve"> </w:t>
      </w:r>
      <w:r w:rsidR="00BE6555" w:rsidRPr="00EF7399">
        <w:rPr>
          <w:rFonts w:ascii="Times New Roman" w:hAnsi="Times New Roman" w:cs="Times New Roman"/>
          <w:lang w:val="af-ZA"/>
        </w:rPr>
        <w:t xml:space="preserve">գործում դրանց կենսական դերը </w:t>
      </w:r>
      <w:r w:rsidR="006B6FEB" w:rsidRPr="00EF7399">
        <w:rPr>
          <w:rFonts w:ascii="Times New Roman" w:hAnsi="Times New Roman" w:cs="Times New Roman"/>
          <w:lang w:val="af-ZA"/>
        </w:rPr>
        <w:t>(</w:t>
      </w:r>
      <w:hyperlink r:id="rId303" w:history="1">
        <w:r w:rsidR="006B6FEB" w:rsidRPr="00EF7399">
          <w:rPr>
            <w:rStyle w:val="Hyperlink"/>
            <w:rFonts w:ascii="Times New Roman" w:hAnsi="Times New Roman" w:cs="Times New Roman"/>
            <w:lang w:val="af-ZA"/>
          </w:rPr>
          <w:t>Freedom and Democracy Party (ÖZDEP)</w:t>
        </w:r>
        <w:r w:rsidR="00873234" w:rsidRPr="00EF7399">
          <w:rPr>
            <w:rStyle w:val="Hyperlink"/>
            <w:rFonts w:ascii="Times New Roman" w:hAnsi="Times New Roman" w:cs="Times New Roman"/>
            <w:lang w:val="af-ZA"/>
          </w:rPr>
          <w:t xml:space="preserve"> v. </w:t>
        </w:r>
        <w:r w:rsidR="006B6FEB" w:rsidRPr="00EF7399">
          <w:rPr>
            <w:rStyle w:val="Hyperlink"/>
            <w:rFonts w:ascii="Times New Roman" w:hAnsi="Times New Roman" w:cs="Times New Roman"/>
            <w:lang w:val="af-ZA"/>
          </w:rPr>
          <w:t>Turkey</w:t>
        </w:r>
      </w:hyperlink>
      <w:r w:rsidR="006B6FEB" w:rsidRPr="00EF7399">
        <w:rPr>
          <w:rFonts w:ascii="Times New Roman" w:hAnsi="Times New Roman" w:cs="Times New Roman"/>
          <w:i/>
          <w:lang w:val="af-ZA"/>
        </w:rPr>
        <w:t xml:space="preserve"> </w:t>
      </w:r>
      <w:r w:rsidR="006B6FEB" w:rsidRPr="00EF7399">
        <w:rPr>
          <w:rFonts w:ascii="Times New Roman" w:hAnsi="Times New Roman" w:cs="Times New Roman"/>
          <w:lang w:val="af-ZA"/>
        </w:rPr>
        <w:t xml:space="preserve">[GC], </w:t>
      </w:r>
      <w:r w:rsidR="00983154" w:rsidRPr="00EF7399">
        <w:rPr>
          <w:rFonts w:ascii="Times New Roman" w:hAnsi="Times New Roman" w:cs="Times New Roman"/>
          <w:lang w:val="af-ZA"/>
        </w:rPr>
        <w:t xml:space="preserve">1999, </w:t>
      </w:r>
      <w:r w:rsidR="00873234" w:rsidRPr="00EF7399">
        <w:rPr>
          <w:rFonts w:ascii="Times New Roman" w:hAnsi="Times New Roman" w:cs="Times New Roman"/>
          <w:lang w:val="af-ZA"/>
        </w:rPr>
        <w:t>§ </w:t>
      </w:r>
      <w:r w:rsidR="006B6FEB" w:rsidRPr="00EF7399">
        <w:rPr>
          <w:rFonts w:ascii="Times New Roman" w:hAnsi="Times New Roman" w:cs="Times New Roman"/>
          <w:lang w:val="af-ZA"/>
        </w:rPr>
        <w:t>37)</w:t>
      </w:r>
      <w:r w:rsidR="00BE6555" w:rsidRPr="00EF7399">
        <w:rPr>
          <w:rFonts w:ascii="Times New Roman" w:hAnsi="Times New Roman" w:cs="Times New Roman"/>
          <w:lang w:val="af-ZA"/>
        </w:rPr>
        <w:t>:</w:t>
      </w:r>
      <w:r w:rsidR="00367133" w:rsidRPr="00EF7399">
        <w:rPr>
          <w:rFonts w:ascii="Times New Roman" w:hAnsi="Times New Roman" w:cs="Times New Roman"/>
          <w:lang w:val="hy-AM"/>
        </w:rPr>
        <w:t xml:space="preserve"> </w:t>
      </w:r>
    </w:p>
    <w:p w14:paraId="3753CABC" w14:textId="747287F7" w:rsidR="005F4E94" w:rsidRPr="00EF7399" w:rsidRDefault="00A83DAB" w:rsidP="00A83DAB">
      <w:pPr>
        <w:pStyle w:val="ECHRHeading2"/>
        <w:numPr>
          <w:ilvl w:val="0"/>
          <w:numId w:val="0"/>
        </w:numPr>
        <w:rPr>
          <w:rFonts w:ascii="Times New Roman" w:hAnsi="Times New Roman" w:cs="Times New Roman"/>
          <w:lang w:val="af-ZA"/>
        </w:rPr>
      </w:pPr>
      <w:bookmarkStart w:id="75" w:name="_Toc159945234"/>
      <w:r>
        <w:rPr>
          <w:rFonts w:ascii="Times New Roman" w:hAnsi="Times New Roman" w:cs="Times New Roman"/>
          <w:lang w:val="hy-AM"/>
        </w:rPr>
        <w:lastRenderedPageBreak/>
        <w:t xml:space="preserve">Գ․ </w:t>
      </w:r>
      <w:r w:rsidR="00EA35E8" w:rsidRPr="00EF7399">
        <w:rPr>
          <w:rFonts w:ascii="Times New Roman" w:hAnsi="Times New Roman" w:cs="Times New Roman"/>
          <w:lang w:val="af-ZA"/>
        </w:rPr>
        <w:t xml:space="preserve">Միավորման ազատության իրավունքի </w:t>
      </w:r>
      <w:r w:rsidR="00D068AD" w:rsidRPr="00EF7399">
        <w:rPr>
          <w:rFonts w:ascii="Times New Roman" w:hAnsi="Times New Roman" w:cs="Times New Roman"/>
          <w:lang w:val="af-ZA"/>
        </w:rPr>
        <w:t>շրջանակը</w:t>
      </w:r>
      <w:r w:rsidR="00EA35E8" w:rsidRPr="00EF7399">
        <w:rPr>
          <w:rFonts w:ascii="Times New Roman" w:hAnsi="Times New Roman" w:cs="Times New Roman"/>
          <w:lang w:val="af-ZA"/>
        </w:rPr>
        <w:t xml:space="preserve"> և բովանդակությունը</w:t>
      </w:r>
      <w:bookmarkEnd w:id="75"/>
    </w:p>
    <w:p w14:paraId="2495600C" w14:textId="14A5AD83" w:rsidR="00217603" w:rsidRPr="00EF7399" w:rsidRDefault="00EA35E8" w:rsidP="00217603">
      <w:pPr>
        <w:pStyle w:val="ECHRHeading3"/>
        <w:rPr>
          <w:rFonts w:ascii="Times New Roman" w:eastAsiaTheme="minorHAnsi" w:hAnsi="Times New Roman" w:cs="Times New Roman"/>
          <w:color w:val="auto"/>
          <w:sz w:val="22"/>
          <w:lang w:val="af-ZA"/>
        </w:rPr>
      </w:pPr>
      <w:bookmarkStart w:id="76" w:name="_Toc159945235"/>
      <w:r w:rsidRPr="00EF7399">
        <w:rPr>
          <w:rFonts w:ascii="Times New Roman" w:hAnsi="Times New Roman" w:cs="Times New Roman"/>
          <w:lang w:val="af-ZA"/>
        </w:rPr>
        <w:t>Միավորման հասկացությունը</w:t>
      </w:r>
      <w:bookmarkEnd w:id="76"/>
      <w:r w:rsidRPr="00EF7399">
        <w:rPr>
          <w:rFonts w:ascii="Times New Roman" w:hAnsi="Times New Roman" w:cs="Times New Roman"/>
          <w:lang w:val="af-ZA"/>
        </w:rPr>
        <w:t xml:space="preserve"> </w:t>
      </w:r>
    </w:p>
    <w:p w14:paraId="1192665B" w14:textId="55476B8A" w:rsidR="00217603" w:rsidRPr="00EF7399" w:rsidRDefault="00217603" w:rsidP="00217603">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122</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CB52A6" w:rsidRPr="00EF7399">
        <w:rPr>
          <w:rFonts w:ascii="Times New Roman" w:hAnsi="Times New Roman" w:cs="Times New Roman"/>
          <w:lang w:val="af-ZA"/>
        </w:rPr>
        <w:t>«Միավորում» եզրույթը ենթադրում է կամավոր խմբավորում</w:t>
      </w:r>
      <w:r w:rsidR="00EF7084" w:rsidRPr="00EF7399">
        <w:rPr>
          <w:rFonts w:ascii="Times New Roman" w:hAnsi="Times New Roman" w:cs="Times New Roman"/>
          <w:lang w:val="af-ZA"/>
        </w:rPr>
        <w:t>՝</w:t>
      </w:r>
      <w:r w:rsidR="00CB52A6" w:rsidRPr="00EF7399">
        <w:rPr>
          <w:rFonts w:ascii="Times New Roman" w:hAnsi="Times New Roman" w:cs="Times New Roman"/>
          <w:lang w:val="af-ZA"/>
        </w:rPr>
        <w:t xml:space="preserve"> հանուն ընդհանուր նպատակի </w:t>
      </w:r>
      <w:r w:rsidRPr="00EF7399">
        <w:rPr>
          <w:rFonts w:ascii="Times New Roman" w:hAnsi="Times New Roman" w:cs="Times New Roman"/>
          <w:i/>
          <w:lang w:val="af-ZA"/>
        </w:rPr>
        <w:t>(</w:t>
      </w:r>
      <w:hyperlink r:id="rId304" w:history="1">
        <w:r w:rsidRPr="00EF7399">
          <w:rPr>
            <w:rStyle w:val="Hyperlink"/>
            <w:rFonts w:ascii="Times New Roman" w:hAnsi="Times New Roman" w:cs="Times New Roman"/>
            <w:lang w:val="af-ZA"/>
          </w:rPr>
          <w:t>Young, James and Webster</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the United Kingdom</w:t>
        </w:r>
      </w:hyperlink>
      <w:r w:rsidR="00DE6E07" w:rsidRPr="00EF7399">
        <w:rPr>
          <w:rFonts w:ascii="Times New Roman" w:hAnsi="Times New Roman" w:cs="Times New Roman"/>
          <w:lang w:val="af-ZA"/>
        </w:rPr>
        <w:t xml:space="preserve">, </w:t>
      </w:r>
      <w:r w:rsidR="00E4725F" w:rsidRPr="00EF7399">
        <w:rPr>
          <w:rFonts w:ascii="Times New Roman" w:hAnsi="Times New Roman" w:cs="Times New Roman"/>
          <w:lang w:val="af-ZA"/>
        </w:rPr>
        <w:t xml:space="preserve">1981, </w:t>
      </w:r>
      <w:r w:rsidR="00CB52A6" w:rsidRPr="00EF7399">
        <w:rPr>
          <w:rFonts w:ascii="Times New Roman" w:hAnsi="Times New Roman" w:cs="Times New Roman"/>
          <w:lang w:val="af-ZA"/>
        </w:rPr>
        <w:t>Հանձնաժողովի զեկույց</w:t>
      </w:r>
      <w:r w:rsidR="00DE6E07" w:rsidRPr="00EF7399">
        <w:rPr>
          <w:rFonts w:ascii="Times New Roman" w:hAnsi="Times New Roman" w:cs="Times New Roman"/>
          <w:lang w:val="af-ZA"/>
        </w:rPr>
        <w:t xml:space="preserve">, </w:t>
      </w:r>
      <w:r w:rsidR="00873234" w:rsidRPr="00EF7399">
        <w:rPr>
          <w:rFonts w:ascii="Times New Roman" w:hAnsi="Times New Roman" w:cs="Times New Roman"/>
          <w:lang w:val="af-ZA"/>
        </w:rPr>
        <w:t>§ </w:t>
      </w:r>
      <w:r w:rsidR="00DE6E07" w:rsidRPr="00EF7399">
        <w:rPr>
          <w:rFonts w:ascii="Times New Roman" w:hAnsi="Times New Roman" w:cs="Times New Roman"/>
          <w:lang w:val="af-ZA"/>
        </w:rPr>
        <w:t>167)</w:t>
      </w:r>
      <w:r w:rsidR="00CB52A6" w:rsidRPr="00EF7399">
        <w:rPr>
          <w:rFonts w:ascii="Times New Roman" w:hAnsi="Times New Roman" w:cs="Times New Roman"/>
          <w:lang w:val="af-ZA"/>
        </w:rPr>
        <w:t>:</w:t>
      </w:r>
    </w:p>
    <w:p w14:paraId="386D7B2A" w14:textId="4F273156" w:rsidR="00217603" w:rsidRPr="00EF7399" w:rsidRDefault="00217603" w:rsidP="00217603">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123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CB52A6" w:rsidRPr="00EF7399">
        <w:rPr>
          <w:rFonts w:ascii="Times New Roman" w:hAnsi="Times New Roman" w:cs="Times New Roman"/>
          <w:lang w:val="af-ZA"/>
        </w:rPr>
        <w:t xml:space="preserve">Միավորման ազատության հասկացությունն առնչվում է որոշակի նպատակներ հետապնդող խումբ կամ կազմակերպություն </w:t>
      </w:r>
      <w:r w:rsidR="00214E80" w:rsidRPr="00EF7399">
        <w:rPr>
          <w:rFonts w:ascii="Times New Roman" w:hAnsi="Times New Roman" w:cs="Times New Roman"/>
          <w:lang w:val="af-ZA"/>
        </w:rPr>
        <w:t>ձևավորելու կամ դրա հետ փոխկապակցված լինելու իրավունքին: Այն չի առնչվում այլ</w:t>
      </w:r>
      <w:r w:rsidR="009163C7" w:rsidRPr="00EF7399">
        <w:rPr>
          <w:rFonts w:ascii="Times New Roman" w:hAnsi="Times New Roman" w:cs="Times New Roman"/>
          <w:lang w:val="hy-AM"/>
        </w:rPr>
        <w:t>ոց</w:t>
      </w:r>
      <w:r w:rsidR="00214E80" w:rsidRPr="00EF7399">
        <w:rPr>
          <w:rFonts w:ascii="Times New Roman" w:hAnsi="Times New Roman" w:cs="Times New Roman"/>
          <w:lang w:val="af-ZA"/>
        </w:rPr>
        <w:t xml:space="preserve"> ընկերակցելու կամ</w:t>
      </w:r>
      <w:r w:rsidR="009163C7" w:rsidRPr="00EF7399">
        <w:rPr>
          <w:rFonts w:ascii="Times New Roman" w:hAnsi="Times New Roman" w:cs="Times New Roman"/>
          <w:lang w:val="hy-AM"/>
        </w:rPr>
        <w:t xml:space="preserve"> այլ </w:t>
      </w:r>
      <w:r w:rsidR="009163C7" w:rsidRPr="00EF7399">
        <w:rPr>
          <w:rFonts w:ascii="Times New Roman" w:hAnsi="Times New Roman" w:cs="Times New Roman"/>
          <w:lang w:val="af-ZA"/>
        </w:rPr>
        <w:t>անհատների</w:t>
      </w:r>
      <w:r w:rsidR="009163C7" w:rsidRPr="00EF7399">
        <w:rPr>
          <w:rFonts w:ascii="Times New Roman" w:hAnsi="Times New Roman" w:cs="Times New Roman"/>
          <w:lang w:val="hy-AM"/>
        </w:rPr>
        <w:t>ն հետ</w:t>
      </w:r>
      <w:r w:rsidR="00214E80" w:rsidRPr="00EF7399">
        <w:rPr>
          <w:rFonts w:ascii="Times New Roman" w:hAnsi="Times New Roman" w:cs="Times New Roman"/>
          <w:lang w:val="af-ZA"/>
        </w:rPr>
        <w:t xml:space="preserve"> սոցի</w:t>
      </w:r>
      <w:r w:rsidR="00BF2614" w:rsidRPr="00EF7399">
        <w:rPr>
          <w:rFonts w:ascii="Times New Roman" w:hAnsi="Times New Roman" w:cs="Times New Roman"/>
          <w:lang w:val="af-ZA"/>
        </w:rPr>
        <w:t>ա</w:t>
      </w:r>
      <w:r w:rsidR="00214E80" w:rsidRPr="00EF7399">
        <w:rPr>
          <w:rFonts w:ascii="Times New Roman" w:hAnsi="Times New Roman" w:cs="Times New Roman"/>
          <w:lang w:val="af-ZA"/>
        </w:rPr>
        <w:t>լապես հարաբեր</w:t>
      </w:r>
      <w:r w:rsidR="009163C7" w:rsidRPr="00EF7399">
        <w:rPr>
          <w:rFonts w:ascii="Times New Roman" w:hAnsi="Times New Roman" w:cs="Times New Roman"/>
          <w:lang w:val="hy-AM"/>
        </w:rPr>
        <w:t>վ</w:t>
      </w:r>
      <w:r w:rsidR="00214E80" w:rsidRPr="00EF7399">
        <w:rPr>
          <w:rFonts w:ascii="Times New Roman" w:hAnsi="Times New Roman" w:cs="Times New Roman"/>
          <w:lang w:val="af-ZA"/>
        </w:rPr>
        <w:t xml:space="preserve">ելու իրավունքին </w:t>
      </w:r>
      <w:r w:rsidRPr="00EF7399">
        <w:rPr>
          <w:rFonts w:ascii="Times New Roman" w:hAnsi="Times New Roman" w:cs="Times New Roman"/>
          <w:lang w:val="af-ZA"/>
        </w:rPr>
        <w:t>(</w:t>
      </w:r>
      <w:hyperlink r:id="rId305" w:history="1">
        <w:r w:rsidRPr="00EF7399">
          <w:rPr>
            <w:rStyle w:val="Hyperlink"/>
            <w:rFonts w:ascii="Times New Roman" w:hAnsi="Times New Roman" w:cs="Times New Roman"/>
            <w:lang w:val="af-ZA"/>
          </w:rPr>
          <w:t>McFeeley</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the United Kingdom</w:t>
        </w:r>
      </w:hyperlink>
      <w:r w:rsidRPr="00EF7399">
        <w:rPr>
          <w:rFonts w:ascii="Times New Roman" w:hAnsi="Times New Roman" w:cs="Times New Roman"/>
          <w:lang w:val="af-ZA"/>
        </w:rPr>
        <w:t xml:space="preserve">, </w:t>
      </w:r>
      <w:r w:rsidR="00214E80" w:rsidRPr="00EF7399">
        <w:rPr>
          <w:rFonts w:ascii="Times New Roman" w:hAnsi="Times New Roman" w:cs="Times New Roman"/>
          <w:lang w:val="af-ZA"/>
        </w:rPr>
        <w:t>Հանձնաժողովի որոշում</w:t>
      </w:r>
      <w:r w:rsidRPr="00EF7399">
        <w:rPr>
          <w:rFonts w:ascii="Times New Roman" w:hAnsi="Times New Roman" w:cs="Times New Roman"/>
          <w:lang w:val="af-ZA"/>
        </w:rPr>
        <w:t xml:space="preserve">, </w:t>
      </w:r>
      <w:r w:rsidR="00983154" w:rsidRPr="00EF7399">
        <w:rPr>
          <w:rFonts w:ascii="Times New Roman" w:hAnsi="Times New Roman" w:cs="Times New Roman"/>
          <w:lang w:val="af-ZA"/>
        </w:rPr>
        <w:t xml:space="preserve">1980, </w:t>
      </w:r>
      <w:r w:rsidR="00873234" w:rsidRPr="00EF7399">
        <w:rPr>
          <w:rFonts w:ascii="Times New Roman" w:hAnsi="Times New Roman" w:cs="Times New Roman"/>
          <w:bCs/>
          <w:lang w:val="af-ZA"/>
        </w:rPr>
        <w:t>§ </w:t>
      </w:r>
      <w:r w:rsidRPr="00EF7399">
        <w:rPr>
          <w:rFonts w:ascii="Times New Roman" w:hAnsi="Times New Roman" w:cs="Times New Roman"/>
          <w:bCs/>
          <w:lang w:val="af-ZA"/>
        </w:rPr>
        <w:t>114</w:t>
      </w:r>
      <w:r w:rsidRPr="00EF7399">
        <w:rPr>
          <w:rFonts w:ascii="Times New Roman" w:hAnsi="Times New Roman" w:cs="Times New Roman"/>
          <w:lang w:val="af-ZA"/>
        </w:rPr>
        <w:t xml:space="preserve">; </w:t>
      </w:r>
      <w:hyperlink r:id="rId306" w:history="1">
        <w:r w:rsidRPr="00EF7399">
          <w:rPr>
            <w:rStyle w:val="Hyperlink"/>
            <w:rFonts w:ascii="Times New Roman" w:hAnsi="Times New Roman" w:cs="Times New Roman"/>
            <w:lang w:val="af-ZA"/>
          </w:rPr>
          <w:t>Bollan</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the United Kingdom</w:t>
        </w:r>
      </w:hyperlink>
      <w:r w:rsidR="00DE6E07" w:rsidRPr="00EF7399">
        <w:rPr>
          <w:rFonts w:ascii="Times New Roman" w:hAnsi="Times New Roman" w:cs="Times New Roman"/>
          <w:lang w:val="af-ZA"/>
        </w:rPr>
        <w:t xml:space="preserve"> (dec.)</w:t>
      </w:r>
      <w:r w:rsidR="00983154" w:rsidRPr="00EF7399">
        <w:rPr>
          <w:rFonts w:ascii="Times New Roman" w:hAnsi="Times New Roman" w:cs="Times New Roman"/>
          <w:lang w:val="af-ZA"/>
        </w:rPr>
        <w:t>, 2000</w:t>
      </w:r>
      <w:r w:rsidR="00DE6E07" w:rsidRPr="00EF7399">
        <w:rPr>
          <w:rFonts w:ascii="Times New Roman" w:hAnsi="Times New Roman" w:cs="Times New Roman"/>
          <w:lang w:val="af-ZA"/>
        </w:rPr>
        <w:t>)</w:t>
      </w:r>
      <w:r w:rsidR="00F15ED7" w:rsidRPr="00EF7399">
        <w:rPr>
          <w:rFonts w:ascii="Times New Roman" w:hAnsi="Times New Roman" w:cs="Times New Roman"/>
          <w:lang w:val="af-ZA"/>
        </w:rPr>
        <w:t>:</w:t>
      </w:r>
    </w:p>
    <w:p w14:paraId="5B1AC662" w14:textId="5BD9915E" w:rsidR="00217603" w:rsidRPr="00EF7399" w:rsidRDefault="00217603" w:rsidP="00217603">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124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F15ED7" w:rsidRPr="00EF7399">
        <w:rPr>
          <w:rFonts w:ascii="Times New Roman" w:hAnsi="Times New Roman" w:cs="Times New Roman"/>
          <w:lang w:val="af-ZA"/>
        </w:rPr>
        <w:t xml:space="preserve">11-րդ հոդվածի պաշտպանությունից օգտվելու համար միավորումը պետք է </w:t>
      </w:r>
      <w:r w:rsidR="00126DEF" w:rsidRPr="00EF7399">
        <w:rPr>
          <w:rFonts w:ascii="Times New Roman" w:hAnsi="Times New Roman" w:cs="Times New Roman"/>
          <w:lang w:val="hy-AM"/>
        </w:rPr>
        <w:t>ունենա</w:t>
      </w:r>
      <w:r w:rsidR="00126DEF" w:rsidRPr="00EF7399">
        <w:rPr>
          <w:rFonts w:ascii="Times New Roman" w:hAnsi="Times New Roman" w:cs="Times New Roman"/>
          <w:lang w:val="af-ZA"/>
        </w:rPr>
        <w:t xml:space="preserve"> </w:t>
      </w:r>
      <w:r w:rsidR="00F15ED7" w:rsidRPr="00EF7399">
        <w:rPr>
          <w:rFonts w:ascii="Times New Roman" w:hAnsi="Times New Roman" w:cs="Times New Roman"/>
          <w:lang w:val="af-ZA"/>
        </w:rPr>
        <w:t>մասնավոր իրավ</w:t>
      </w:r>
      <w:r w:rsidR="00126DEF" w:rsidRPr="00EF7399">
        <w:rPr>
          <w:rFonts w:ascii="Times New Roman" w:hAnsi="Times New Roman" w:cs="Times New Roman"/>
          <w:lang w:val="hy-AM"/>
        </w:rPr>
        <w:t>ական բնույթ</w:t>
      </w:r>
      <w:r w:rsidR="00F15ED7" w:rsidRPr="00EF7399">
        <w:rPr>
          <w:rFonts w:ascii="Times New Roman" w:hAnsi="Times New Roman" w:cs="Times New Roman"/>
          <w:lang w:val="af-ZA"/>
        </w:rPr>
        <w:t xml:space="preserve">: «Միավորում» հասկացությունն ունի </w:t>
      </w:r>
      <w:r w:rsidR="00126DEF" w:rsidRPr="00EF7399">
        <w:rPr>
          <w:rFonts w:ascii="Times New Roman" w:hAnsi="Times New Roman" w:cs="Times New Roman"/>
          <w:lang w:val="hy-AM"/>
        </w:rPr>
        <w:t>ինքնավար</w:t>
      </w:r>
      <w:r w:rsidR="00126DEF" w:rsidRPr="00EF7399">
        <w:rPr>
          <w:rFonts w:ascii="Times New Roman" w:hAnsi="Times New Roman" w:cs="Times New Roman"/>
          <w:lang w:val="af-ZA"/>
        </w:rPr>
        <w:t xml:space="preserve"> </w:t>
      </w:r>
      <w:r w:rsidR="00D068AD" w:rsidRPr="00EF7399">
        <w:rPr>
          <w:rFonts w:ascii="Times New Roman" w:hAnsi="Times New Roman" w:cs="Times New Roman"/>
          <w:lang w:val="af-ZA"/>
        </w:rPr>
        <w:t xml:space="preserve">նշանակություն, իսկ ազգային օրենսդրության մեջ դրա դասակարգումն ունի հարաբերական </w:t>
      </w:r>
      <w:r w:rsidR="00126DEF" w:rsidRPr="00EF7399">
        <w:rPr>
          <w:rFonts w:ascii="Times New Roman" w:hAnsi="Times New Roman" w:cs="Times New Roman"/>
          <w:lang w:val="hy-AM"/>
        </w:rPr>
        <w:t>արժեք</w:t>
      </w:r>
      <w:r w:rsidR="00126DEF" w:rsidRPr="00EF7399">
        <w:rPr>
          <w:rFonts w:ascii="Times New Roman" w:hAnsi="Times New Roman" w:cs="Times New Roman"/>
          <w:lang w:val="af-ZA"/>
        </w:rPr>
        <w:t xml:space="preserve"> </w:t>
      </w:r>
      <w:r w:rsidR="00D068AD" w:rsidRPr="00EF7399">
        <w:rPr>
          <w:rFonts w:ascii="Times New Roman" w:hAnsi="Times New Roman" w:cs="Times New Roman"/>
          <w:lang w:val="af-ZA"/>
        </w:rPr>
        <w:t xml:space="preserve">և </w:t>
      </w:r>
      <w:r w:rsidR="00126DEF" w:rsidRPr="00EF7399">
        <w:rPr>
          <w:rFonts w:ascii="Times New Roman" w:hAnsi="Times New Roman" w:cs="Times New Roman"/>
          <w:lang w:val="hy-AM"/>
        </w:rPr>
        <w:t>հանդես է գալիս ոչ ավելին, քան</w:t>
      </w:r>
      <w:r w:rsidR="00126DEF" w:rsidRPr="00EF7399">
        <w:rPr>
          <w:rFonts w:ascii="Times New Roman" w:hAnsi="Times New Roman" w:cs="Times New Roman"/>
          <w:lang w:val="af-ZA"/>
        </w:rPr>
        <w:t xml:space="preserve"> </w:t>
      </w:r>
      <w:r w:rsidR="00D068AD" w:rsidRPr="00EF7399">
        <w:rPr>
          <w:rFonts w:ascii="Times New Roman" w:hAnsi="Times New Roman" w:cs="Times New Roman"/>
          <w:lang w:val="af-ZA"/>
        </w:rPr>
        <w:t xml:space="preserve">ընդամենը ելակետ </w:t>
      </w:r>
      <w:r w:rsidRPr="00EF7399">
        <w:rPr>
          <w:rFonts w:ascii="Times New Roman" w:hAnsi="Times New Roman" w:cs="Times New Roman"/>
          <w:lang w:val="af-ZA"/>
        </w:rPr>
        <w:t>(</w:t>
      </w:r>
      <w:hyperlink r:id="rId307" w:history="1">
        <w:r w:rsidRPr="00EF7399">
          <w:rPr>
            <w:rStyle w:val="Hyperlink"/>
            <w:rFonts w:ascii="Times New Roman" w:hAnsi="Times New Roman" w:cs="Times New Roman"/>
            <w:lang w:val="af-ZA"/>
          </w:rPr>
          <w:t>Chassagnou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France</w:t>
        </w:r>
      </w:hyperlink>
      <w:r w:rsidRPr="00EF7399">
        <w:rPr>
          <w:rFonts w:ascii="Times New Roman" w:hAnsi="Times New Roman" w:cs="Times New Roman"/>
          <w:lang w:val="af-ZA"/>
        </w:rPr>
        <w:t xml:space="preserve"> [GC], </w:t>
      </w:r>
      <w:r w:rsidR="00983154" w:rsidRPr="00EF7399">
        <w:rPr>
          <w:rFonts w:ascii="Times New Roman" w:hAnsi="Times New Roman" w:cs="Times New Roman"/>
          <w:lang w:val="af-ZA"/>
        </w:rPr>
        <w:t xml:space="preserve">1999,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100; </w:t>
      </w:r>
      <w:hyperlink r:id="rId308" w:history="1">
        <w:r w:rsidRPr="00EF7399">
          <w:rPr>
            <w:rStyle w:val="Hyperlink"/>
            <w:rFonts w:ascii="Times New Roman" w:hAnsi="Times New Roman" w:cs="Times New Roman"/>
            <w:lang w:val="af-ZA"/>
          </w:rPr>
          <w:t>Schneider</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Luxembourg</w:t>
        </w:r>
      </w:hyperlink>
      <w:r w:rsidRPr="00EF7399">
        <w:rPr>
          <w:rFonts w:ascii="Times New Roman" w:hAnsi="Times New Roman" w:cs="Times New Roman"/>
          <w:i/>
          <w:lang w:val="af-ZA"/>
        </w:rPr>
        <w:t>,</w:t>
      </w:r>
      <w:r w:rsidR="00DE6E07" w:rsidRPr="00EF7399">
        <w:rPr>
          <w:rFonts w:ascii="Times New Roman" w:hAnsi="Times New Roman" w:cs="Times New Roman"/>
          <w:lang w:val="af-ZA"/>
        </w:rPr>
        <w:t xml:space="preserve"> </w:t>
      </w:r>
      <w:r w:rsidR="00F11699" w:rsidRPr="00EF7399">
        <w:rPr>
          <w:rFonts w:ascii="Times New Roman" w:hAnsi="Times New Roman" w:cs="Times New Roman"/>
          <w:lang w:val="af-ZA"/>
        </w:rPr>
        <w:t xml:space="preserve">2007, </w:t>
      </w:r>
      <w:r w:rsidR="00873234" w:rsidRPr="00EF7399">
        <w:rPr>
          <w:rFonts w:ascii="Times New Roman" w:hAnsi="Times New Roman" w:cs="Times New Roman"/>
          <w:lang w:val="af-ZA"/>
        </w:rPr>
        <w:t>§ </w:t>
      </w:r>
      <w:r w:rsidR="00DE6E07" w:rsidRPr="00EF7399">
        <w:rPr>
          <w:rFonts w:ascii="Times New Roman" w:hAnsi="Times New Roman" w:cs="Times New Roman"/>
          <w:lang w:val="af-ZA"/>
        </w:rPr>
        <w:t>70)</w:t>
      </w:r>
      <w:r w:rsidR="00D068AD" w:rsidRPr="00EF7399">
        <w:rPr>
          <w:rFonts w:ascii="Times New Roman" w:hAnsi="Times New Roman" w:cs="Times New Roman"/>
          <w:lang w:val="af-ZA"/>
        </w:rPr>
        <w:t>:</w:t>
      </w:r>
    </w:p>
    <w:p w14:paraId="2D398C6C" w14:textId="0D788B09" w:rsidR="00217603" w:rsidRPr="00EF7399" w:rsidRDefault="00217603" w:rsidP="00217603">
      <w:pPr>
        <w:pStyle w:val="ECHRParaSpaced"/>
        <w:rPr>
          <w:rFonts w:ascii="Times New Roman" w:hAnsi="Times New Roman" w:cs="Times New Roman"/>
          <w:iCs/>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125</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D068AD" w:rsidRPr="00EF7399">
        <w:rPr>
          <w:rFonts w:ascii="Times New Roman" w:hAnsi="Times New Roman" w:cs="Times New Roman"/>
          <w:lang w:val="af-ZA"/>
        </w:rPr>
        <w:t xml:space="preserve">Եթե Պայմանավորվող կողմերը </w:t>
      </w:r>
      <w:r w:rsidR="00126DEF" w:rsidRPr="00EF7399">
        <w:rPr>
          <w:rFonts w:ascii="Times New Roman" w:hAnsi="Times New Roman" w:cs="Times New Roman"/>
          <w:lang w:val="hy-AM"/>
        </w:rPr>
        <w:t>հնարավորություն ունենային</w:t>
      </w:r>
      <w:r w:rsidR="00126DEF" w:rsidRPr="00EF7399">
        <w:rPr>
          <w:rFonts w:ascii="Times New Roman" w:hAnsi="Times New Roman" w:cs="Times New Roman"/>
          <w:lang w:val="af-ZA"/>
        </w:rPr>
        <w:t xml:space="preserve"> </w:t>
      </w:r>
      <w:r w:rsidR="00D068AD" w:rsidRPr="00EF7399">
        <w:rPr>
          <w:rFonts w:ascii="Times New Roman" w:hAnsi="Times New Roman" w:cs="Times New Roman"/>
          <w:lang w:val="af-ZA"/>
        </w:rPr>
        <w:t>սեփական հայեցողությամբ դասակարգել</w:t>
      </w:r>
      <w:r w:rsidR="00126DEF" w:rsidRPr="00EF7399">
        <w:rPr>
          <w:rFonts w:ascii="Times New Roman" w:hAnsi="Times New Roman" w:cs="Times New Roman"/>
          <w:lang w:val="hy-AM"/>
        </w:rPr>
        <w:t>ու</w:t>
      </w:r>
      <w:r w:rsidR="00D068AD" w:rsidRPr="00EF7399">
        <w:rPr>
          <w:rFonts w:ascii="Times New Roman" w:hAnsi="Times New Roman" w:cs="Times New Roman"/>
          <w:lang w:val="af-ZA"/>
        </w:rPr>
        <w:t xml:space="preserve"> միավորումը</w:t>
      </w:r>
      <w:r w:rsidR="00126DEF" w:rsidRPr="00EF7399">
        <w:rPr>
          <w:rFonts w:ascii="Times New Roman" w:hAnsi="Times New Roman" w:cs="Times New Roman"/>
          <w:lang w:val="hy-AM"/>
        </w:rPr>
        <w:t>՝</w:t>
      </w:r>
      <w:r w:rsidR="00D068AD" w:rsidRPr="00EF7399">
        <w:rPr>
          <w:rFonts w:ascii="Times New Roman" w:hAnsi="Times New Roman" w:cs="Times New Roman"/>
          <w:lang w:val="af-ZA"/>
        </w:rPr>
        <w:t xml:space="preserve"> որպես «հանրային» կամ «հարավարչական» և</w:t>
      </w:r>
      <w:r w:rsidR="00AF1D53" w:rsidRPr="00EF7399">
        <w:rPr>
          <w:rFonts w:ascii="Times New Roman" w:hAnsi="Times New Roman" w:cs="Times New Roman"/>
          <w:lang w:val="af-ZA"/>
        </w:rPr>
        <w:t xml:space="preserve"> այդպիսով դ</w:t>
      </w:r>
      <w:r w:rsidR="00D068AD" w:rsidRPr="00EF7399">
        <w:rPr>
          <w:rFonts w:ascii="Times New Roman" w:hAnsi="Times New Roman" w:cs="Times New Roman"/>
          <w:lang w:val="af-ZA"/>
        </w:rPr>
        <w:t xml:space="preserve">ուրս </w:t>
      </w:r>
      <w:r w:rsidR="00126DEF" w:rsidRPr="00EF7399">
        <w:rPr>
          <w:rFonts w:ascii="Times New Roman" w:hAnsi="Times New Roman" w:cs="Times New Roman"/>
          <w:lang w:val="hy-AM"/>
        </w:rPr>
        <w:t>թողնելու</w:t>
      </w:r>
      <w:r w:rsidR="00126DEF" w:rsidRPr="00EF7399">
        <w:rPr>
          <w:rFonts w:ascii="Times New Roman" w:hAnsi="Times New Roman" w:cs="Times New Roman"/>
          <w:lang w:val="af-ZA"/>
        </w:rPr>
        <w:t xml:space="preserve"> </w:t>
      </w:r>
      <w:r w:rsidR="00D068AD" w:rsidRPr="00EF7399">
        <w:rPr>
          <w:rFonts w:ascii="Times New Roman" w:hAnsi="Times New Roman" w:cs="Times New Roman"/>
          <w:lang w:val="af-ZA"/>
        </w:rPr>
        <w:t xml:space="preserve">այն 11-րդ հոդվածի շրջանակից, </w:t>
      </w:r>
      <w:r w:rsidR="003C493B" w:rsidRPr="00EF7399">
        <w:rPr>
          <w:rFonts w:ascii="Times New Roman" w:hAnsi="Times New Roman" w:cs="Times New Roman"/>
          <w:lang w:val="af-ZA"/>
        </w:rPr>
        <w:t xml:space="preserve">դա կարող էր հանգեցնել արդյունքների, որոնք չեն համապատասխանում Կոնվենցիայի առարկային և նպատակին, </w:t>
      </w:r>
      <w:r w:rsidR="00126DEF" w:rsidRPr="00EF7399">
        <w:rPr>
          <w:rFonts w:ascii="Times New Roman" w:hAnsi="Times New Roman" w:cs="Times New Roman"/>
          <w:lang w:val="hy-AM"/>
        </w:rPr>
        <w:t>այն</w:t>
      </w:r>
      <w:r w:rsidR="00126DEF" w:rsidRPr="00EF7399">
        <w:rPr>
          <w:rFonts w:ascii="Times New Roman" w:hAnsi="Times New Roman" w:cs="Times New Roman"/>
          <w:lang w:val="af-ZA"/>
        </w:rPr>
        <w:t xml:space="preserve"> </w:t>
      </w:r>
      <w:r w:rsidR="003C493B" w:rsidRPr="00EF7399">
        <w:rPr>
          <w:rFonts w:ascii="Times New Roman" w:hAnsi="Times New Roman" w:cs="Times New Roman"/>
          <w:lang w:val="af-ZA"/>
        </w:rPr>
        <w:t>է</w:t>
      </w:r>
      <w:r w:rsidR="00126DEF" w:rsidRPr="00EF7399">
        <w:rPr>
          <w:rFonts w:ascii="Times New Roman" w:hAnsi="Times New Roman" w:cs="Times New Roman"/>
          <w:lang w:val="hy-AM"/>
        </w:rPr>
        <w:t>՝</w:t>
      </w:r>
      <w:r w:rsidR="003C493B" w:rsidRPr="00EF7399">
        <w:rPr>
          <w:rFonts w:ascii="Times New Roman" w:hAnsi="Times New Roman" w:cs="Times New Roman"/>
          <w:lang w:val="af-ZA"/>
        </w:rPr>
        <w:t xml:space="preserve"> պաշտպանել ոչ թե տեսական կամ </w:t>
      </w:r>
      <w:r w:rsidR="0075679C" w:rsidRPr="00EF7399">
        <w:rPr>
          <w:rFonts w:ascii="Times New Roman" w:hAnsi="Times New Roman" w:cs="Times New Roman"/>
          <w:lang w:val="hy-AM"/>
        </w:rPr>
        <w:t>պատրանքային</w:t>
      </w:r>
      <w:r w:rsidR="003C493B" w:rsidRPr="00EF7399">
        <w:rPr>
          <w:rFonts w:ascii="Times New Roman" w:hAnsi="Times New Roman" w:cs="Times New Roman"/>
          <w:lang w:val="af-ZA"/>
        </w:rPr>
        <w:t xml:space="preserve">, այլ գործնական և արդյունավետ իրավունքները </w:t>
      </w:r>
      <w:r w:rsidRPr="00EF7399">
        <w:rPr>
          <w:rFonts w:ascii="Times New Roman" w:hAnsi="Times New Roman" w:cs="Times New Roman"/>
          <w:lang w:val="af-ZA"/>
        </w:rPr>
        <w:t>(</w:t>
      </w:r>
      <w:hyperlink r:id="rId309" w:history="1">
        <w:r w:rsidRPr="00EF7399">
          <w:rPr>
            <w:rStyle w:val="Hyperlink"/>
            <w:rFonts w:ascii="Times New Roman" w:hAnsi="Times New Roman" w:cs="Times New Roman"/>
            <w:lang w:val="af-ZA"/>
          </w:rPr>
          <w:t>Chassagnou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France</w:t>
        </w:r>
      </w:hyperlink>
      <w:r w:rsidRPr="00EF7399">
        <w:rPr>
          <w:rFonts w:ascii="Times New Roman" w:hAnsi="Times New Roman" w:cs="Times New Roman"/>
          <w:lang w:val="af-ZA"/>
        </w:rPr>
        <w:t xml:space="preserve"> [GC]</w:t>
      </w:r>
      <w:r w:rsidRPr="00EF7399">
        <w:rPr>
          <w:rFonts w:ascii="Times New Roman" w:hAnsi="Times New Roman" w:cs="Times New Roman"/>
          <w:i/>
          <w:lang w:val="af-ZA"/>
        </w:rPr>
        <w:t xml:space="preserve">, </w:t>
      </w:r>
      <w:r w:rsidR="00983154" w:rsidRPr="00EF7399">
        <w:rPr>
          <w:rFonts w:ascii="Times New Roman" w:hAnsi="Times New Roman" w:cs="Times New Roman"/>
          <w:lang w:val="af-ZA"/>
        </w:rPr>
        <w:t xml:space="preserve">1999, </w:t>
      </w:r>
      <w:r w:rsidR="00873234" w:rsidRPr="00EF7399">
        <w:rPr>
          <w:rFonts w:ascii="Times New Roman" w:hAnsi="Times New Roman" w:cs="Times New Roman"/>
          <w:lang w:val="af-ZA"/>
        </w:rPr>
        <w:t>§ </w:t>
      </w:r>
      <w:r w:rsidRPr="00EF7399">
        <w:rPr>
          <w:rFonts w:ascii="Times New Roman" w:hAnsi="Times New Roman" w:cs="Times New Roman"/>
          <w:lang w:val="af-ZA"/>
        </w:rPr>
        <w:t>100</w:t>
      </w:r>
      <w:r w:rsidRPr="00EF7399">
        <w:rPr>
          <w:rFonts w:ascii="Times New Roman" w:hAnsi="Times New Roman" w:cs="Times New Roman"/>
          <w:i/>
          <w:lang w:val="af-ZA"/>
        </w:rPr>
        <w:t>)</w:t>
      </w:r>
      <w:r w:rsidR="003C493B" w:rsidRPr="00EF7399">
        <w:rPr>
          <w:rFonts w:ascii="Times New Roman" w:hAnsi="Times New Roman" w:cs="Times New Roman"/>
          <w:iCs/>
          <w:lang w:val="af-ZA"/>
        </w:rPr>
        <w:t>:</w:t>
      </w:r>
    </w:p>
    <w:p w14:paraId="13CCD784" w14:textId="2A2F2FC0" w:rsidR="005F4E94" w:rsidRPr="00EF7399" w:rsidRDefault="00217603" w:rsidP="00217603">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126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3C493B" w:rsidRPr="00EF7399">
        <w:rPr>
          <w:rFonts w:ascii="Times New Roman" w:hAnsi="Times New Roman" w:cs="Times New Roman"/>
          <w:lang w:val="af-ZA"/>
        </w:rPr>
        <w:t>Դատարանի նախադեպային իրավունք</w:t>
      </w:r>
      <w:r w:rsidR="00545CDC" w:rsidRPr="00EF7399">
        <w:rPr>
          <w:rFonts w:ascii="Times New Roman" w:hAnsi="Times New Roman" w:cs="Times New Roman"/>
          <w:lang w:val="af-ZA"/>
        </w:rPr>
        <w:t>ի շրջանակներում միավոր</w:t>
      </w:r>
      <w:r w:rsidR="0075679C" w:rsidRPr="00EF7399">
        <w:rPr>
          <w:rFonts w:ascii="Times New Roman" w:hAnsi="Times New Roman" w:cs="Times New Roman"/>
          <w:lang w:val="hy-AM"/>
        </w:rPr>
        <w:t>ման՝</w:t>
      </w:r>
      <w:r w:rsidR="00545CDC" w:rsidRPr="00EF7399">
        <w:rPr>
          <w:rFonts w:ascii="Times New Roman" w:hAnsi="Times New Roman" w:cs="Times New Roman"/>
          <w:lang w:val="af-ZA"/>
        </w:rPr>
        <w:t xml:space="preserve"> </w:t>
      </w:r>
      <w:r w:rsidR="003C493B" w:rsidRPr="00EF7399">
        <w:rPr>
          <w:rFonts w:ascii="Times New Roman" w:hAnsi="Times New Roman" w:cs="Times New Roman"/>
          <w:lang w:val="af-ZA"/>
        </w:rPr>
        <w:t>մասնավոր կամ հանրային</w:t>
      </w:r>
      <w:r w:rsidR="0075679C" w:rsidRPr="00EF7399">
        <w:rPr>
          <w:rFonts w:ascii="Times New Roman" w:hAnsi="Times New Roman" w:cs="Times New Roman"/>
          <w:lang w:val="hy-AM"/>
        </w:rPr>
        <w:t xml:space="preserve"> լինելը </w:t>
      </w:r>
      <w:r w:rsidR="0075679C" w:rsidRPr="00EF7399">
        <w:rPr>
          <w:rFonts w:ascii="Times New Roman" w:hAnsi="Times New Roman" w:cs="Times New Roman"/>
          <w:lang w:val="af-ZA"/>
        </w:rPr>
        <w:t>որոշվում է</w:t>
      </w:r>
      <w:r w:rsidR="0075679C" w:rsidRPr="00EF7399">
        <w:rPr>
          <w:rFonts w:ascii="Times New Roman" w:hAnsi="Times New Roman" w:cs="Times New Roman"/>
          <w:lang w:val="hy-AM"/>
        </w:rPr>
        <w:t xml:space="preserve"> </w:t>
      </w:r>
      <w:r w:rsidR="00545CDC" w:rsidRPr="00EF7399">
        <w:rPr>
          <w:rFonts w:ascii="Times New Roman" w:hAnsi="Times New Roman" w:cs="Times New Roman"/>
          <w:lang w:val="af-ZA"/>
        </w:rPr>
        <w:t>հետևյալ տարրեր</w:t>
      </w:r>
      <w:r w:rsidR="0075679C" w:rsidRPr="00EF7399">
        <w:rPr>
          <w:rFonts w:ascii="Times New Roman" w:hAnsi="Times New Roman" w:cs="Times New Roman"/>
          <w:lang w:val="hy-AM"/>
        </w:rPr>
        <w:t>ով</w:t>
      </w:r>
      <w:r w:rsidR="00545CDC" w:rsidRPr="00EF7399">
        <w:rPr>
          <w:rFonts w:ascii="Times New Roman" w:hAnsi="Times New Roman" w:cs="Times New Roman"/>
          <w:lang w:val="af-ZA"/>
        </w:rPr>
        <w:t>. արդյո՞ք այն հիմնվել է անհատների կամ օրենսդրի կողմից, արդյո՞ք այն մնում է</w:t>
      </w:r>
      <w:r w:rsidR="0075679C" w:rsidRPr="00EF7399">
        <w:rPr>
          <w:rFonts w:ascii="Times New Roman" w:hAnsi="Times New Roman" w:cs="Times New Roman"/>
          <w:lang w:val="hy-AM"/>
        </w:rPr>
        <w:t xml:space="preserve"> ինտեգրված</w:t>
      </w:r>
      <w:r w:rsidR="00545CDC" w:rsidRPr="00EF7399">
        <w:rPr>
          <w:rFonts w:ascii="Times New Roman" w:hAnsi="Times New Roman" w:cs="Times New Roman"/>
          <w:lang w:val="af-ZA"/>
        </w:rPr>
        <w:t xml:space="preserve"> պետության կառույցների կազմում,</w:t>
      </w:r>
      <w:r w:rsidR="003C493B" w:rsidRPr="00EF7399">
        <w:rPr>
          <w:rFonts w:ascii="Times New Roman" w:hAnsi="Times New Roman" w:cs="Times New Roman"/>
          <w:lang w:val="af-ZA"/>
        </w:rPr>
        <w:t xml:space="preserve"> </w:t>
      </w:r>
      <w:r w:rsidR="00545CDC" w:rsidRPr="00EF7399">
        <w:rPr>
          <w:rFonts w:ascii="Times New Roman" w:hAnsi="Times New Roman" w:cs="Times New Roman"/>
          <w:lang w:val="af-ZA"/>
        </w:rPr>
        <w:t xml:space="preserve">արդյո՞ք այն օժտված է </w:t>
      </w:r>
      <w:r w:rsidR="00CF5A80" w:rsidRPr="00EF7399">
        <w:rPr>
          <w:rFonts w:ascii="Times New Roman" w:hAnsi="Times New Roman" w:cs="Times New Roman"/>
          <w:lang w:val="af-ZA"/>
        </w:rPr>
        <w:t xml:space="preserve">վարչական, </w:t>
      </w:r>
      <w:r w:rsidR="0075679C" w:rsidRPr="00EF7399">
        <w:rPr>
          <w:rFonts w:ascii="Times New Roman" w:hAnsi="Times New Roman" w:cs="Times New Roman"/>
          <w:lang w:val="hy-AM"/>
        </w:rPr>
        <w:t>նորմ</w:t>
      </w:r>
      <w:r w:rsidR="00CF5A80" w:rsidRPr="00EF7399">
        <w:rPr>
          <w:rFonts w:ascii="Times New Roman" w:hAnsi="Times New Roman" w:cs="Times New Roman"/>
          <w:lang w:val="af-ZA"/>
        </w:rPr>
        <w:t xml:space="preserve">աստեղծ և կարգապահական լիազորություններով, արդյո՞ք այն հետամուտ է նպատակի, որը բխում է ընդհանուր շահից </w:t>
      </w:r>
      <w:r w:rsidRPr="00EF7399">
        <w:rPr>
          <w:rFonts w:ascii="Times New Roman" w:hAnsi="Times New Roman" w:cs="Times New Roman"/>
          <w:lang w:val="af-ZA"/>
        </w:rPr>
        <w:t>(</w:t>
      </w:r>
      <w:hyperlink r:id="rId310" w:history="1">
        <w:r w:rsidRPr="00EF7399">
          <w:rPr>
            <w:rStyle w:val="Hyperlink"/>
            <w:rFonts w:ascii="Times New Roman" w:hAnsi="Times New Roman" w:cs="Times New Roman"/>
            <w:lang w:val="af-ZA"/>
          </w:rPr>
          <w:t>Mytilinaios and Kostakis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Greece</w:t>
        </w:r>
      </w:hyperlink>
      <w:r w:rsidRPr="00EF7399">
        <w:rPr>
          <w:rFonts w:ascii="Times New Roman" w:hAnsi="Times New Roman" w:cs="Times New Roman"/>
          <w:lang w:val="af-ZA"/>
        </w:rPr>
        <w:t xml:space="preserve">, </w:t>
      </w:r>
      <w:r w:rsidR="00DC38EC"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35; </w:t>
      </w:r>
      <w:hyperlink r:id="rId311" w:history="1">
        <w:r w:rsidRPr="00EF7399">
          <w:rPr>
            <w:rStyle w:val="Hyperlink"/>
            <w:rFonts w:ascii="Times New Roman" w:hAnsi="Times New Roman" w:cs="Times New Roman"/>
            <w:lang w:val="af-ZA"/>
          </w:rPr>
          <w:t>Herrmann</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Germany</w:t>
        </w:r>
      </w:hyperlink>
      <w:r w:rsidRPr="00EF7399">
        <w:rPr>
          <w:rFonts w:ascii="Times New Roman" w:hAnsi="Times New Roman" w:cs="Times New Roman"/>
          <w:lang w:val="af-ZA"/>
        </w:rPr>
        <w:t xml:space="preserve">, </w:t>
      </w:r>
      <w:r w:rsidR="00DC38EC" w:rsidRPr="00EF7399">
        <w:rPr>
          <w:rFonts w:ascii="Times New Roman" w:hAnsi="Times New Roman" w:cs="Times New Roman"/>
          <w:lang w:val="af-ZA"/>
        </w:rPr>
        <w:t xml:space="preserve">2011,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76; </w:t>
      </w:r>
      <w:hyperlink r:id="rId312" w:history="1">
        <w:r w:rsidRPr="00EF7399">
          <w:rPr>
            <w:rStyle w:val="Hyperlink"/>
            <w:rFonts w:ascii="Times New Roman" w:hAnsi="Times New Roman" w:cs="Times New Roman"/>
            <w:lang w:val="af-ZA"/>
          </w:rPr>
          <w:t>Slavic University in Bulgaria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Bulgaria</w:t>
        </w:r>
      </w:hyperlink>
      <w:r w:rsidRPr="00EF7399">
        <w:rPr>
          <w:rFonts w:ascii="Times New Roman" w:hAnsi="Times New Roman" w:cs="Times New Roman"/>
          <w:lang w:val="af-ZA"/>
        </w:rPr>
        <w:t xml:space="preserve"> (dec.)</w:t>
      </w:r>
      <w:r w:rsidR="00DC38EC" w:rsidRPr="00EF7399">
        <w:rPr>
          <w:rFonts w:ascii="Times New Roman" w:hAnsi="Times New Roman" w:cs="Times New Roman"/>
          <w:lang w:val="af-ZA"/>
        </w:rPr>
        <w:t>, 2004</w:t>
      </w:r>
      <w:r w:rsidRPr="00EF7399">
        <w:rPr>
          <w:rFonts w:ascii="Times New Roman" w:hAnsi="Times New Roman" w:cs="Times New Roman"/>
          <w:lang w:val="af-ZA"/>
        </w:rPr>
        <w:t>)</w:t>
      </w:r>
      <w:r w:rsidR="00545CDC" w:rsidRPr="00EF7399">
        <w:rPr>
          <w:rFonts w:ascii="Times New Roman" w:hAnsi="Times New Roman" w:cs="Times New Roman"/>
          <w:lang w:val="af-ZA"/>
        </w:rPr>
        <w:t>:</w:t>
      </w:r>
    </w:p>
    <w:p w14:paraId="347492FC" w14:textId="44506CA8" w:rsidR="00217603" w:rsidRPr="00EF7399" w:rsidRDefault="00CF5A80" w:rsidP="00217603">
      <w:pPr>
        <w:pStyle w:val="ECHRHeading3"/>
        <w:rPr>
          <w:rFonts w:ascii="Times New Roman" w:eastAsiaTheme="minorHAnsi" w:hAnsi="Times New Roman" w:cs="Times New Roman"/>
          <w:color w:val="auto"/>
          <w:sz w:val="22"/>
          <w:lang w:val="af-ZA"/>
        </w:rPr>
      </w:pPr>
      <w:bookmarkStart w:id="77" w:name="_Toc159945236"/>
      <w:r w:rsidRPr="00EF7399">
        <w:rPr>
          <w:rFonts w:ascii="Times New Roman" w:hAnsi="Times New Roman" w:cs="Times New Roman"/>
          <w:lang w:val="af-ZA"/>
        </w:rPr>
        <w:t>Հանրային իրավունքի հաստատություններ, մասնագիտական մարմիններ և պարտադիր անդամակցություն</w:t>
      </w:r>
      <w:bookmarkEnd w:id="77"/>
    </w:p>
    <w:p w14:paraId="77379194" w14:textId="2C8D17A1" w:rsidR="00217603" w:rsidRPr="00EF7399" w:rsidRDefault="0036651F" w:rsidP="00217603">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127</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3959E3" w:rsidRPr="00EF7399">
        <w:rPr>
          <w:rFonts w:ascii="Times New Roman" w:hAnsi="Times New Roman" w:cs="Times New Roman"/>
          <w:lang w:val="af-ZA"/>
        </w:rPr>
        <w:t>Հանրային իրավունքի հաստատությունը, որը հիմնադրել է օրենսդիրը, միավորում</w:t>
      </w:r>
      <w:r w:rsidR="0075679C" w:rsidRPr="00EF7399">
        <w:rPr>
          <w:rFonts w:ascii="Times New Roman" w:hAnsi="Times New Roman" w:cs="Times New Roman"/>
          <w:lang w:val="hy-AM"/>
        </w:rPr>
        <w:t xml:space="preserve"> չէ</w:t>
      </w:r>
      <w:r w:rsidR="003959E3" w:rsidRPr="00EF7399">
        <w:rPr>
          <w:rFonts w:ascii="Times New Roman" w:hAnsi="Times New Roman" w:cs="Times New Roman"/>
          <w:lang w:val="af-ZA"/>
        </w:rPr>
        <w:t xml:space="preserve"> 11-րդ հոդվածի իմաստով </w:t>
      </w:r>
      <w:r w:rsidR="00217603" w:rsidRPr="00EF7399">
        <w:rPr>
          <w:rFonts w:ascii="Times New Roman" w:hAnsi="Times New Roman" w:cs="Times New Roman"/>
          <w:lang w:val="af-ZA"/>
        </w:rPr>
        <w:t>(</w:t>
      </w:r>
      <w:r w:rsidR="003959E3" w:rsidRPr="00EF7399">
        <w:rPr>
          <w:rFonts w:ascii="Times New Roman" w:hAnsi="Times New Roman" w:cs="Times New Roman"/>
          <w:lang w:val="af-ZA"/>
        </w:rPr>
        <w:t>տե՛ս</w:t>
      </w:r>
      <w:r w:rsidR="00217603" w:rsidRPr="00EF7399">
        <w:rPr>
          <w:rFonts w:ascii="Times New Roman" w:hAnsi="Times New Roman" w:cs="Times New Roman"/>
          <w:lang w:val="af-ZA"/>
        </w:rPr>
        <w:t xml:space="preserve">, </w:t>
      </w:r>
      <w:r w:rsidR="003959E3" w:rsidRPr="00EF7399">
        <w:rPr>
          <w:rFonts w:ascii="Times New Roman" w:hAnsi="Times New Roman" w:cs="Times New Roman"/>
          <w:lang w:val="af-ZA"/>
        </w:rPr>
        <w:t>օրինակ</w:t>
      </w:r>
      <w:r w:rsidR="00217603" w:rsidRPr="00EF7399">
        <w:rPr>
          <w:rFonts w:ascii="Times New Roman" w:hAnsi="Times New Roman" w:cs="Times New Roman"/>
          <w:lang w:val="af-ZA"/>
        </w:rPr>
        <w:t xml:space="preserve">, </w:t>
      </w:r>
      <w:hyperlink r:id="rId313" w:history="1">
        <w:r w:rsidR="00217603" w:rsidRPr="00EF7399">
          <w:rPr>
            <w:rStyle w:val="Hyperlink"/>
            <w:rFonts w:ascii="Times New Roman" w:hAnsi="Times New Roman" w:cs="Times New Roman"/>
            <w:lang w:val="af-ZA"/>
          </w:rPr>
          <w:t>Slavic University in Bulgaria and Others</w:t>
        </w:r>
        <w:r w:rsidR="00873234" w:rsidRPr="00EF7399">
          <w:rPr>
            <w:rStyle w:val="Hyperlink"/>
            <w:rFonts w:ascii="Times New Roman" w:hAnsi="Times New Roman" w:cs="Times New Roman"/>
            <w:lang w:val="af-ZA"/>
          </w:rPr>
          <w:t xml:space="preserve"> v. </w:t>
        </w:r>
        <w:r w:rsidR="00217603" w:rsidRPr="00EF7399">
          <w:rPr>
            <w:rStyle w:val="Hyperlink"/>
            <w:rFonts w:ascii="Times New Roman" w:hAnsi="Times New Roman" w:cs="Times New Roman"/>
            <w:lang w:val="af-ZA"/>
          </w:rPr>
          <w:t>Bulgaria</w:t>
        </w:r>
      </w:hyperlink>
      <w:r w:rsidR="00217603" w:rsidRPr="00EF7399">
        <w:rPr>
          <w:rFonts w:ascii="Times New Roman" w:hAnsi="Times New Roman" w:cs="Times New Roman"/>
          <w:i/>
          <w:lang w:val="af-ZA"/>
        </w:rPr>
        <w:t xml:space="preserve"> </w:t>
      </w:r>
      <w:r w:rsidR="00217603" w:rsidRPr="00EF7399">
        <w:rPr>
          <w:rFonts w:ascii="Times New Roman" w:hAnsi="Times New Roman" w:cs="Times New Roman"/>
          <w:lang w:val="af-ZA"/>
        </w:rPr>
        <w:t xml:space="preserve">(dec.), </w:t>
      </w:r>
      <w:r w:rsidR="00DC38EC" w:rsidRPr="00EF7399">
        <w:rPr>
          <w:rFonts w:ascii="Times New Roman" w:hAnsi="Times New Roman" w:cs="Times New Roman"/>
          <w:lang w:val="af-ZA"/>
        </w:rPr>
        <w:t xml:space="preserve">2004, </w:t>
      </w:r>
      <w:r w:rsidR="003959E3" w:rsidRPr="00EF7399">
        <w:rPr>
          <w:rFonts w:ascii="Times New Roman" w:hAnsi="Times New Roman" w:cs="Times New Roman"/>
          <w:lang w:val="af-ZA"/>
        </w:rPr>
        <w:t xml:space="preserve">առնչվում է պետական համալսարանի, </w:t>
      </w:r>
      <w:hyperlink r:id="rId314" w:history="1">
        <w:r w:rsidR="00217603" w:rsidRPr="00EF7399">
          <w:rPr>
            <w:rStyle w:val="Hyperlink"/>
            <w:rFonts w:ascii="Times New Roman" w:hAnsi="Times New Roman" w:cs="Times New Roman"/>
            <w:lang w:val="af-ZA"/>
          </w:rPr>
          <w:t>Köll</w:t>
        </w:r>
        <w:r w:rsidR="00873234" w:rsidRPr="00EF7399">
          <w:rPr>
            <w:rStyle w:val="Hyperlink"/>
            <w:rFonts w:ascii="Times New Roman" w:hAnsi="Times New Roman" w:cs="Times New Roman"/>
            <w:lang w:val="af-ZA"/>
          </w:rPr>
          <w:t xml:space="preserve"> v. </w:t>
        </w:r>
        <w:r w:rsidR="00217603" w:rsidRPr="00EF7399">
          <w:rPr>
            <w:rStyle w:val="Hyperlink"/>
            <w:rFonts w:ascii="Times New Roman" w:hAnsi="Times New Roman" w:cs="Times New Roman"/>
            <w:lang w:val="af-ZA"/>
          </w:rPr>
          <w:t>Austria</w:t>
        </w:r>
      </w:hyperlink>
      <w:r w:rsidR="00217603" w:rsidRPr="00EF7399">
        <w:rPr>
          <w:rFonts w:ascii="Times New Roman" w:hAnsi="Times New Roman" w:cs="Times New Roman"/>
          <w:lang w:val="af-ZA"/>
        </w:rPr>
        <w:t xml:space="preserve"> (dec.), </w:t>
      </w:r>
      <w:r w:rsidR="00DC38EC" w:rsidRPr="00EF7399">
        <w:rPr>
          <w:rFonts w:ascii="Times New Roman" w:hAnsi="Times New Roman" w:cs="Times New Roman"/>
          <w:lang w:val="af-ZA"/>
        </w:rPr>
        <w:t xml:space="preserve">2002, </w:t>
      </w:r>
      <w:r w:rsidR="003959E3" w:rsidRPr="00EF7399">
        <w:rPr>
          <w:rFonts w:ascii="Times New Roman" w:hAnsi="Times New Roman" w:cs="Times New Roman"/>
          <w:lang w:val="af-ZA"/>
        </w:rPr>
        <w:t>առնչվում է զբոսաշրջության ֆեդերացիայի</w:t>
      </w:r>
      <w:r w:rsidR="00217603" w:rsidRPr="00EF7399">
        <w:rPr>
          <w:rFonts w:ascii="Times New Roman" w:hAnsi="Times New Roman" w:cs="Times New Roman"/>
          <w:lang w:val="af-ZA"/>
        </w:rPr>
        <w:t>)</w:t>
      </w:r>
      <w:r w:rsidR="003959E3" w:rsidRPr="00EF7399">
        <w:rPr>
          <w:rFonts w:ascii="Times New Roman" w:hAnsi="Times New Roman" w:cs="Times New Roman"/>
          <w:lang w:val="af-ZA"/>
        </w:rPr>
        <w:t>:</w:t>
      </w:r>
    </w:p>
    <w:p w14:paraId="29D8D846" w14:textId="2993F45D" w:rsidR="005F4E94" w:rsidRPr="00EF7399" w:rsidRDefault="00217603" w:rsidP="00217603">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128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CB3B85" w:rsidRPr="00EF7399">
        <w:rPr>
          <w:rFonts w:ascii="Times New Roman" w:hAnsi="Times New Roman" w:cs="Times New Roman"/>
          <w:lang w:val="af-ZA"/>
        </w:rPr>
        <w:t>Մասնագիտական միավորումները և զբաղվածության մարմինները նույնպես դուրս են 11-րդ հոդվածի շրջանակից: Որպես կանոն, օրեն</w:t>
      </w:r>
      <w:r w:rsidR="0075679C" w:rsidRPr="00EF7399">
        <w:rPr>
          <w:rFonts w:ascii="Times New Roman" w:hAnsi="Times New Roman" w:cs="Times New Roman"/>
          <w:lang w:val="hy-AM"/>
        </w:rPr>
        <w:t xml:space="preserve">սդրության հիման վրա </w:t>
      </w:r>
      <w:r w:rsidR="00CB3B85" w:rsidRPr="00EF7399">
        <w:rPr>
          <w:rFonts w:ascii="Times New Roman" w:hAnsi="Times New Roman" w:cs="Times New Roman"/>
          <w:lang w:val="af-ZA"/>
        </w:rPr>
        <w:t>ստեղծված այս մարմինների նպատակ</w:t>
      </w:r>
      <w:r w:rsidR="0075679C" w:rsidRPr="00EF7399">
        <w:rPr>
          <w:rFonts w:ascii="Times New Roman" w:hAnsi="Times New Roman" w:cs="Times New Roman"/>
          <w:lang w:val="hy-AM"/>
        </w:rPr>
        <w:t>ն է՝</w:t>
      </w:r>
      <w:r w:rsidR="00CB3B85" w:rsidRPr="00EF7399">
        <w:rPr>
          <w:rFonts w:ascii="Times New Roman" w:hAnsi="Times New Roman" w:cs="Times New Roman"/>
          <w:lang w:val="af-ZA"/>
        </w:rPr>
        <w:t xml:space="preserve"> կանոնակարգել և խթանել մասնագիտությունները</w:t>
      </w:r>
      <w:r w:rsidR="0075679C" w:rsidRPr="00EF7399">
        <w:rPr>
          <w:rFonts w:ascii="Times New Roman" w:hAnsi="Times New Roman" w:cs="Times New Roman"/>
          <w:lang w:val="hy-AM"/>
        </w:rPr>
        <w:t>՝</w:t>
      </w:r>
      <w:r w:rsidR="00CB3B85" w:rsidRPr="00EF7399">
        <w:rPr>
          <w:rFonts w:ascii="Times New Roman" w:hAnsi="Times New Roman" w:cs="Times New Roman"/>
          <w:lang w:val="af-ZA"/>
        </w:rPr>
        <w:t xml:space="preserve"> միաժամանակ կատարելով հասարակության պաշտպանությանն ուղղված հանրային իրավունքի կարևոր գործառույթներ: Հետևաբար, դրանք չեն կարող նույնացվել մասնավոր իրավունքի ընկերակցությունների կամ արհեստակցական միությունների հետ, այլ մնում են ինտեգրված պետության կառույցների կազմում </w:t>
      </w:r>
      <w:r w:rsidRPr="00EF7399">
        <w:rPr>
          <w:rFonts w:ascii="Times New Roman" w:hAnsi="Times New Roman" w:cs="Times New Roman"/>
          <w:lang w:val="af-ZA"/>
        </w:rPr>
        <w:t>(</w:t>
      </w:r>
      <w:hyperlink r:id="rId315" w:history="1">
        <w:r w:rsidRPr="00EF7399">
          <w:rPr>
            <w:rStyle w:val="Hyperlink"/>
            <w:rFonts w:ascii="Times New Roman" w:hAnsi="Times New Roman" w:cs="Times New Roman"/>
            <w:lang w:val="af-ZA"/>
          </w:rPr>
          <w:t>Popov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Bulgaria</w:t>
        </w:r>
      </w:hyperlink>
      <w:r w:rsidRPr="00EF7399">
        <w:rPr>
          <w:rFonts w:ascii="Times New Roman" w:hAnsi="Times New Roman" w:cs="Times New Roman"/>
          <w:lang w:val="af-ZA"/>
        </w:rPr>
        <w:t xml:space="preserve"> (dec.)</w:t>
      </w:r>
      <w:r w:rsidR="00DC38EC" w:rsidRPr="00EF7399">
        <w:rPr>
          <w:rFonts w:ascii="Times New Roman" w:hAnsi="Times New Roman" w:cs="Times New Roman"/>
          <w:lang w:val="af-ZA"/>
        </w:rPr>
        <w:t>, 2003</w:t>
      </w:r>
      <w:r w:rsidRPr="00EF7399">
        <w:rPr>
          <w:rFonts w:ascii="Times New Roman" w:hAnsi="Times New Roman" w:cs="Times New Roman"/>
          <w:lang w:val="af-ZA"/>
        </w:rPr>
        <w:t>)</w:t>
      </w:r>
      <w:r w:rsidR="00CB3B85" w:rsidRPr="00EF7399">
        <w:rPr>
          <w:rFonts w:ascii="Times New Roman" w:hAnsi="Times New Roman" w:cs="Times New Roman"/>
          <w:lang w:val="af-ZA"/>
        </w:rPr>
        <w:t>: Միավորումները, որոնց</w:t>
      </w:r>
      <w:r w:rsidR="0075679C" w:rsidRPr="00EF7399">
        <w:rPr>
          <w:rFonts w:ascii="Times New Roman" w:hAnsi="Times New Roman" w:cs="Times New Roman"/>
          <w:lang w:val="hy-AM"/>
        </w:rPr>
        <w:t xml:space="preserve"> նկատմամբ</w:t>
      </w:r>
      <w:r w:rsidR="00CB3B85" w:rsidRPr="00EF7399">
        <w:rPr>
          <w:rFonts w:ascii="Times New Roman" w:hAnsi="Times New Roman" w:cs="Times New Roman"/>
          <w:lang w:val="af-ZA"/>
        </w:rPr>
        <w:t xml:space="preserve"> կիրառելի չէ 11-րդ հոդված</w:t>
      </w:r>
      <w:r w:rsidR="0075679C" w:rsidRPr="00EF7399">
        <w:rPr>
          <w:rFonts w:ascii="Times New Roman" w:hAnsi="Times New Roman" w:cs="Times New Roman"/>
          <w:lang w:val="hy-AM"/>
        </w:rPr>
        <w:t>ը,</w:t>
      </w:r>
      <w:r w:rsidR="00CB3B85" w:rsidRPr="00EF7399">
        <w:rPr>
          <w:rFonts w:ascii="Times New Roman" w:hAnsi="Times New Roman" w:cs="Times New Roman"/>
          <w:lang w:val="af-ZA"/>
        </w:rPr>
        <w:t xml:space="preserve"> ընդգրկում են. </w:t>
      </w:r>
    </w:p>
    <w:p w14:paraId="7EEDB27E" w14:textId="2C126BC1" w:rsidR="009F65D1" w:rsidRPr="00EF7399" w:rsidRDefault="00CB3B85" w:rsidP="009F65D1">
      <w:pPr>
        <w:pStyle w:val="ECHRBullet1"/>
        <w:rPr>
          <w:rFonts w:ascii="Times New Roman" w:hAnsi="Times New Roman" w:cs="Times New Roman"/>
          <w:lang w:val="af-ZA"/>
        </w:rPr>
      </w:pPr>
      <w:r w:rsidRPr="00EF7399">
        <w:rPr>
          <w:rFonts w:ascii="Times New Roman" w:hAnsi="Times New Roman" w:cs="Times New Roman"/>
          <w:lang w:val="af-ZA"/>
        </w:rPr>
        <w:t xml:space="preserve">բժիշկների միություններ </w:t>
      </w:r>
      <w:r w:rsidR="009F65D1" w:rsidRPr="00EF7399">
        <w:rPr>
          <w:rFonts w:ascii="Times New Roman" w:hAnsi="Times New Roman" w:cs="Times New Roman"/>
          <w:lang w:val="af-ZA"/>
        </w:rPr>
        <w:t>(</w:t>
      </w:r>
      <w:hyperlink r:id="rId316" w:history="1">
        <w:r w:rsidR="009F65D1" w:rsidRPr="00EF7399">
          <w:rPr>
            <w:rStyle w:val="Hyperlink"/>
            <w:rFonts w:ascii="Times New Roman" w:hAnsi="Times New Roman" w:cs="Times New Roman"/>
            <w:lang w:val="af-ZA"/>
          </w:rPr>
          <w:t>Le Compte</w:t>
        </w:r>
        <w:r w:rsidR="009F65D1" w:rsidRPr="00EF7399">
          <w:rPr>
            <w:rStyle w:val="Hyperlink"/>
            <w:rFonts w:ascii="Times New Roman" w:hAnsi="Times New Roman" w:cs="Times New Roman"/>
            <w:iCs/>
            <w:lang w:val="af-ZA"/>
          </w:rPr>
          <w:t>,</w:t>
        </w:r>
        <w:r w:rsidR="009F65D1" w:rsidRPr="00EF7399">
          <w:rPr>
            <w:rStyle w:val="Hyperlink"/>
            <w:rFonts w:ascii="Times New Roman" w:hAnsi="Times New Roman" w:cs="Times New Roman"/>
            <w:lang w:val="af-ZA"/>
          </w:rPr>
          <w:t xml:space="preserve"> Van Leuven and De Meyere</w:t>
        </w:r>
        <w:r w:rsidR="00873234" w:rsidRPr="00EF7399">
          <w:rPr>
            <w:rStyle w:val="Hyperlink"/>
            <w:rFonts w:ascii="Times New Roman" w:hAnsi="Times New Roman" w:cs="Times New Roman"/>
            <w:lang w:val="af-ZA"/>
          </w:rPr>
          <w:t xml:space="preserve"> v. </w:t>
        </w:r>
        <w:r w:rsidR="009F65D1" w:rsidRPr="00EF7399">
          <w:rPr>
            <w:rStyle w:val="Hyperlink"/>
            <w:rFonts w:ascii="Times New Roman" w:hAnsi="Times New Roman" w:cs="Times New Roman"/>
            <w:lang w:val="af-ZA"/>
          </w:rPr>
          <w:t>Belgium</w:t>
        </w:r>
      </w:hyperlink>
      <w:r w:rsidR="009F65D1" w:rsidRPr="00EF7399">
        <w:rPr>
          <w:rFonts w:ascii="Times New Roman" w:hAnsi="Times New Roman" w:cs="Times New Roman"/>
          <w:lang w:val="af-ZA"/>
        </w:rPr>
        <w:t xml:space="preserve">, </w:t>
      </w:r>
      <w:r w:rsidR="00DC38EC" w:rsidRPr="00EF7399">
        <w:rPr>
          <w:rFonts w:ascii="Times New Roman" w:hAnsi="Times New Roman" w:cs="Times New Roman"/>
          <w:lang w:val="af-ZA"/>
        </w:rPr>
        <w:t xml:space="preserve">1981, </w:t>
      </w:r>
      <w:r w:rsidR="009F65D1" w:rsidRPr="00EF7399">
        <w:rPr>
          <w:rFonts w:ascii="Times New Roman" w:hAnsi="Times New Roman" w:cs="Times New Roman"/>
          <w:lang w:val="af-ZA"/>
        </w:rPr>
        <w:t>§</w:t>
      </w:r>
      <w:r w:rsidR="00873234" w:rsidRPr="00EF7399">
        <w:rPr>
          <w:rFonts w:ascii="Times New Roman" w:hAnsi="Times New Roman" w:cs="Times New Roman"/>
          <w:lang w:val="af-ZA"/>
        </w:rPr>
        <w:t>§ </w:t>
      </w:r>
      <w:r w:rsidR="009F65D1" w:rsidRPr="00EF7399">
        <w:rPr>
          <w:rFonts w:ascii="Times New Roman" w:hAnsi="Times New Roman" w:cs="Times New Roman"/>
          <w:lang w:val="af-ZA"/>
        </w:rPr>
        <w:t xml:space="preserve">64-65; </w:t>
      </w:r>
      <w:hyperlink r:id="rId317" w:history="1">
        <w:r w:rsidR="00D943C3" w:rsidRPr="00EF7399">
          <w:rPr>
            <w:rStyle w:val="Hyperlink"/>
            <w:rFonts w:ascii="Times New Roman" w:hAnsi="Times New Roman" w:cs="Times New Roman"/>
            <w:lang w:val="af-ZA"/>
          </w:rPr>
          <w:t>Vialas Simón</w:t>
        </w:r>
        <w:r w:rsidR="00873234" w:rsidRPr="00EF7399">
          <w:rPr>
            <w:rStyle w:val="Hyperlink"/>
            <w:rFonts w:ascii="Times New Roman" w:hAnsi="Times New Roman" w:cs="Times New Roman"/>
            <w:lang w:val="af-ZA"/>
          </w:rPr>
          <w:t xml:space="preserve"> v. </w:t>
        </w:r>
        <w:r w:rsidR="00D943C3" w:rsidRPr="00EF7399">
          <w:rPr>
            <w:rStyle w:val="Hyperlink"/>
            <w:rFonts w:ascii="Times New Roman" w:hAnsi="Times New Roman" w:cs="Times New Roman"/>
            <w:lang w:val="af-ZA"/>
          </w:rPr>
          <w:t>Spain</w:t>
        </w:r>
      </w:hyperlink>
      <w:r w:rsidR="009F65D1" w:rsidRPr="00EF7399">
        <w:rPr>
          <w:rFonts w:ascii="Times New Roman" w:hAnsi="Times New Roman" w:cs="Times New Roman"/>
          <w:lang w:val="af-ZA"/>
        </w:rPr>
        <w:t xml:space="preserve">, </w:t>
      </w:r>
      <w:r w:rsidRPr="00EF7399">
        <w:rPr>
          <w:rFonts w:ascii="Times New Roman" w:hAnsi="Times New Roman" w:cs="Times New Roman"/>
          <w:lang w:val="af-ZA"/>
        </w:rPr>
        <w:t>Հանձնաժողովի որոշում</w:t>
      </w:r>
      <w:r w:rsidR="00F11699" w:rsidRPr="00EF7399">
        <w:rPr>
          <w:rFonts w:ascii="Times New Roman" w:hAnsi="Times New Roman" w:cs="Times New Roman"/>
          <w:lang w:val="af-ZA"/>
        </w:rPr>
        <w:t>, 1992</w:t>
      </w:r>
      <w:r w:rsidR="009F65D1" w:rsidRPr="00EF7399">
        <w:rPr>
          <w:rFonts w:ascii="Times New Roman" w:hAnsi="Times New Roman" w:cs="Times New Roman"/>
          <w:lang w:val="af-ZA"/>
        </w:rPr>
        <w:t xml:space="preserve">; </w:t>
      </w:r>
      <w:hyperlink r:id="rId318" w:history="1">
        <w:r w:rsidR="009F65D1" w:rsidRPr="00EF7399">
          <w:rPr>
            <w:rStyle w:val="Hyperlink"/>
            <w:rFonts w:ascii="Times New Roman" w:hAnsi="Times New Roman" w:cs="Times New Roman"/>
            <w:lang w:val="af-ZA"/>
          </w:rPr>
          <w:t>Popov and Others</w:t>
        </w:r>
        <w:r w:rsidR="00873234" w:rsidRPr="00EF7399">
          <w:rPr>
            <w:rStyle w:val="Hyperlink"/>
            <w:rFonts w:ascii="Times New Roman" w:hAnsi="Times New Roman" w:cs="Times New Roman"/>
            <w:lang w:val="af-ZA"/>
          </w:rPr>
          <w:t xml:space="preserve"> v. </w:t>
        </w:r>
        <w:r w:rsidR="009F65D1" w:rsidRPr="00EF7399">
          <w:rPr>
            <w:rStyle w:val="Hyperlink"/>
            <w:rFonts w:ascii="Times New Roman" w:hAnsi="Times New Roman" w:cs="Times New Roman"/>
            <w:lang w:val="af-ZA"/>
          </w:rPr>
          <w:t>Bulgaria</w:t>
        </w:r>
      </w:hyperlink>
      <w:r w:rsidR="009F65D1" w:rsidRPr="00EF7399">
        <w:rPr>
          <w:rFonts w:ascii="Times New Roman" w:hAnsi="Times New Roman" w:cs="Times New Roman"/>
          <w:lang w:val="af-ZA"/>
        </w:rPr>
        <w:t xml:space="preserve"> (dec.)</w:t>
      </w:r>
      <w:r w:rsidR="00DC38EC" w:rsidRPr="00EF7399">
        <w:rPr>
          <w:rFonts w:ascii="Times New Roman" w:hAnsi="Times New Roman" w:cs="Times New Roman"/>
          <w:lang w:val="af-ZA"/>
        </w:rPr>
        <w:t>, 2003</w:t>
      </w:r>
      <w:r w:rsidR="009F65D1" w:rsidRPr="00EF7399">
        <w:rPr>
          <w:rFonts w:ascii="Times New Roman" w:hAnsi="Times New Roman" w:cs="Times New Roman"/>
          <w:lang w:val="af-ZA"/>
        </w:rPr>
        <w:t>)</w:t>
      </w:r>
      <w:r w:rsidR="00D11FE5" w:rsidRPr="00EF7399">
        <w:rPr>
          <w:rFonts w:ascii="Times New Roman" w:hAnsi="Times New Roman" w:cs="Times New Roman"/>
          <w:lang w:val="af-ZA"/>
        </w:rPr>
        <w:t>,</w:t>
      </w:r>
    </w:p>
    <w:p w14:paraId="7FE58D65" w14:textId="20454961" w:rsidR="009F65D1" w:rsidRPr="00EF7399" w:rsidRDefault="00D11FE5" w:rsidP="009F65D1">
      <w:pPr>
        <w:pStyle w:val="ECHRBullet1"/>
        <w:rPr>
          <w:rFonts w:ascii="Times New Roman" w:hAnsi="Times New Roman" w:cs="Times New Roman"/>
          <w:lang w:val="af-ZA"/>
        </w:rPr>
      </w:pPr>
      <w:r w:rsidRPr="00EF7399">
        <w:rPr>
          <w:rFonts w:ascii="Times New Roman" w:hAnsi="Times New Roman" w:cs="Times New Roman"/>
          <w:lang w:val="af-ZA"/>
        </w:rPr>
        <w:t>անասնաբույժ-վիրաբույժների խորհուրդ</w:t>
      </w:r>
      <w:r w:rsidR="009F65D1" w:rsidRPr="00EF7399">
        <w:rPr>
          <w:rFonts w:ascii="Times New Roman" w:hAnsi="Times New Roman" w:cs="Times New Roman"/>
          <w:lang w:val="af-ZA"/>
        </w:rPr>
        <w:t xml:space="preserve"> (</w:t>
      </w:r>
      <w:hyperlink r:id="rId319" w:history="1">
        <w:r w:rsidR="009F65D1" w:rsidRPr="00EF7399">
          <w:rPr>
            <w:rStyle w:val="Hyperlink"/>
            <w:rFonts w:ascii="Times New Roman" w:hAnsi="Times New Roman" w:cs="Times New Roman"/>
            <w:lang w:val="af-ZA"/>
          </w:rPr>
          <w:t>Barthold</w:t>
        </w:r>
        <w:r w:rsidR="00873234" w:rsidRPr="00EF7399">
          <w:rPr>
            <w:rStyle w:val="Hyperlink"/>
            <w:rFonts w:ascii="Times New Roman" w:hAnsi="Times New Roman" w:cs="Times New Roman"/>
            <w:lang w:val="af-ZA"/>
          </w:rPr>
          <w:t xml:space="preserve"> v. </w:t>
        </w:r>
        <w:r w:rsidR="009F65D1" w:rsidRPr="00EF7399">
          <w:rPr>
            <w:rStyle w:val="Hyperlink"/>
            <w:rFonts w:ascii="Times New Roman" w:hAnsi="Times New Roman" w:cs="Times New Roman"/>
            <w:lang w:val="af-ZA"/>
          </w:rPr>
          <w:t>Germany</w:t>
        </w:r>
      </w:hyperlink>
      <w:r w:rsidR="009F65D1" w:rsidRPr="00EF7399">
        <w:rPr>
          <w:rFonts w:ascii="Times New Roman" w:hAnsi="Times New Roman" w:cs="Times New Roman"/>
          <w:lang w:val="af-ZA"/>
        </w:rPr>
        <w:t xml:space="preserve">, </w:t>
      </w:r>
      <w:r w:rsidR="00F11699" w:rsidRPr="00EF7399">
        <w:rPr>
          <w:rFonts w:ascii="Times New Roman" w:hAnsi="Times New Roman" w:cs="Times New Roman"/>
          <w:lang w:val="af-ZA"/>
        </w:rPr>
        <w:t xml:space="preserve">1985, </w:t>
      </w:r>
      <w:r w:rsidR="00873234" w:rsidRPr="00EF7399">
        <w:rPr>
          <w:rFonts w:ascii="Times New Roman" w:hAnsi="Times New Roman" w:cs="Times New Roman"/>
          <w:lang w:val="af-ZA"/>
        </w:rPr>
        <w:t>§ </w:t>
      </w:r>
      <w:r w:rsidR="009F65D1" w:rsidRPr="00EF7399">
        <w:rPr>
          <w:rFonts w:ascii="Times New Roman" w:hAnsi="Times New Roman" w:cs="Times New Roman"/>
          <w:lang w:val="af-ZA"/>
        </w:rPr>
        <w:t>61)</w:t>
      </w:r>
      <w:r w:rsidRPr="00EF7399">
        <w:rPr>
          <w:rFonts w:ascii="Times New Roman" w:hAnsi="Times New Roman" w:cs="Times New Roman"/>
          <w:lang w:val="af-ZA"/>
        </w:rPr>
        <w:t>,</w:t>
      </w:r>
    </w:p>
    <w:p w14:paraId="246E6530" w14:textId="2F43B986" w:rsidR="009F65D1" w:rsidRPr="00EF7399" w:rsidRDefault="00D11FE5" w:rsidP="009F65D1">
      <w:pPr>
        <w:pStyle w:val="ECHRBullet1"/>
        <w:rPr>
          <w:rFonts w:ascii="Times New Roman" w:hAnsi="Times New Roman" w:cs="Times New Roman"/>
          <w:lang w:val="af-ZA"/>
        </w:rPr>
      </w:pPr>
      <w:r w:rsidRPr="00EF7399">
        <w:rPr>
          <w:rFonts w:ascii="Times New Roman" w:hAnsi="Times New Roman" w:cs="Times New Roman"/>
          <w:lang w:val="af-ZA"/>
        </w:rPr>
        <w:lastRenderedPageBreak/>
        <w:t xml:space="preserve">ճարտարապետների միություն </w:t>
      </w:r>
      <w:r w:rsidR="009F65D1" w:rsidRPr="00EF7399">
        <w:rPr>
          <w:rFonts w:ascii="Times New Roman" w:hAnsi="Times New Roman" w:cs="Times New Roman"/>
          <w:lang w:val="af-ZA"/>
        </w:rPr>
        <w:t>(</w:t>
      </w:r>
      <w:hyperlink r:id="rId320" w:history="1">
        <w:r w:rsidR="009F65D1" w:rsidRPr="00EF7399">
          <w:rPr>
            <w:rStyle w:val="Hyperlink"/>
            <w:rFonts w:ascii="Times New Roman" w:hAnsi="Times New Roman" w:cs="Times New Roman"/>
            <w:lang w:val="af-ZA"/>
          </w:rPr>
          <w:t>Revert and Legallais</w:t>
        </w:r>
        <w:r w:rsidR="00873234" w:rsidRPr="00EF7399">
          <w:rPr>
            <w:rStyle w:val="Hyperlink"/>
            <w:rFonts w:ascii="Times New Roman" w:hAnsi="Times New Roman" w:cs="Times New Roman"/>
            <w:lang w:val="af-ZA"/>
          </w:rPr>
          <w:t xml:space="preserve"> v. </w:t>
        </w:r>
        <w:r w:rsidR="009F65D1" w:rsidRPr="00EF7399">
          <w:rPr>
            <w:rStyle w:val="Hyperlink"/>
            <w:rFonts w:ascii="Times New Roman" w:hAnsi="Times New Roman" w:cs="Times New Roman"/>
            <w:lang w:val="af-ZA"/>
          </w:rPr>
          <w:t>France</w:t>
        </w:r>
      </w:hyperlink>
      <w:r w:rsidR="009F65D1" w:rsidRPr="00EF7399">
        <w:rPr>
          <w:rFonts w:ascii="Times New Roman" w:hAnsi="Times New Roman" w:cs="Times New Roman"/>
          <w:lang w:val="af-ZA"/>
        </w:rPr>
        <w:t xml:space="preserve">, </w:t>
      </w:r>
      <w:r w:rsidRPr="00EF7399">
        <w:rPr>
          <w:rFonts w:ascii="Times New Roman" w:hAnsi="Times New Roman" w:cs="Times New Roman"/>
          <w:lang w:val="af-ZA"/>
        </w:rPr>
        <w:t>Հանձնաժողովի որոշում</w:t>
      </w:r>
      <w:r w:rsidR="00F11699" w:rsidRPr="00EF7399">
        <w:rPr>
          <w:rFonts w:ascii="Times New Roman" w:hAnsi="Times New Roman" w:cs="Times New Roman"/>
          <w:lang w:val="af-ZA"/>
        </w:rPr>
        <w:t>, 1989</w:t>
      </w:r>
      <w:r w:rsidR="009F65D1" w:rsidRPr="00EF7399">
        <w:rPr>
          <w:rFonts w:ascii="Times New Roman" w:hAnsi="Times New Roman" w:cs="Times New Roman"/>
          <w:lang w:val="af-ZA"/>
        </w:rPr>
        <w:t>)</w:t>
      </w:r>
      <w:r w:rsidRPr="00EF7399">
        <w:rPr>
          <w:rFonts w:ascii="Times New Roman" w:hAnsi="Times New Roman" w:cs="Times New Roman"/>
          <w:lang w:val="af-ZA"/>
        </w:rPr>
        <w:t>,</w:t>
      </w:r>
    </w:p>
    <w:p w14:paraId="3A2CA1E7" w14:textId="2FB231ED" w:rsidR="009F65D1" w:rsidRPr="00EF7399" w:rsidRDefault="00D227D8" w:rsidP="009F65D1">
      <w:pPr>
        <w:pStyle w:val="ECHRBullet1"/>
        <w:rPr>
          <w:rFonts w:ascii="Times New Roman" w:hAnsi="Times New Roman" w:cs="Times New Roman"/>
          <w:lang w:val="af-ZA"/>
        </w:rPr>
      </w:pPr>
      <w:r w:rsidRPr="00EF7399">
        <w:rPr>
          <w:rFonts w:ascii="Times New Roman" w:hAnsi="Times New Roman" w:cs="Times New Roman"/>
          <w:lang w:val="af-ZA"/>
        </w:rPr>
        <w:t>փ</w:t>
      </w:r>
      <w:r w:rsidR="00D11FE5" w:rsidRPr="00EF7399">
        <w:rPr>
          <w:rFonts w:ascii="Times New Roman" w:hAnsi="Times New Roman" w:cs="Times New Roman"/>
          <w:lang w:val="af-ZA"/>
        </w:rPr>
        <w:t>աստաբանների միություններ</w:t>
      </w:r>
      <w:r w:rsidR="009F65D1" w:rsidRPr="00EF7399">
        <w:rPr>
          <w:rFonts w:ascii="Times New Roman" w:hAnsi="Times New Roman" w:cs="Times New Roman"/>
          <w:lang w:val="af-ZA"/>
        </w:rPr>
        <w:t xml:space="preserve"> (</w:t>
      </w:r>
      <w:hyperlink r:id="rId321" w:history="1">
        <w:r w:rsidR="009F65D1" w:rsidRPr="00EF7399">
          <w:rPr>
            <w:rStyle w:val="Hyperlink"/>
            <w:rFonts w:ascii="Times New Roman" w:hAnsi="Times New Roman" w:cs="Times New Roman"/>
            <w:lang w:val="af-ZA"/>
          </w:rPr>
          <w:t>A. and Others</w:t>
        </w:r>
        <w:r w:rsidR="00873234" w:rsidRPr="00EF7399">
          <w:rPr>
            <w:rStyle w:val="Hyperlink"/>
            <w:rFonts w:ascii="Times New Roman" w:hAnsi="Times New Roman" w:cs="Times New Roman"/>
            <w:lang w:val="af-ZA"/>
          </w:rPr>
          <w:t xml:space="preserve"> v. </w:t>
        </w:r>
        <w:r w:rsidR="009F65D1" w:rsidRPr="00EF7399">
          <w:rPr>
            <w:rStyle w:val="Hyperlink"/>
            <w:rFonts w:ascii="Times New Roman" w:hAnsi="Times New Roman" w:cs="Times New Roman"/>
            <w:lang w:val="af-ZA"/>
          </w:rPr>
          <w:t>Spain</w:t>
        </w:r>
      </w:hyperlink>
      <w:r w:rsidR="009F65D1" w:rsidRPr="00EF7399">
        <w:rPr>
          <w:rFonts w:ascii="Times New Roman" w:hAnsi="Times New Roman" w:cs="Times New Roman"/>
          <w:lang w:val="af-ZA"/>
        </w:rPr>
        <w:t xml:space="preserve">, </w:t>
      </w:r>
      <w:r w:rsidR="00D11FE5" w:rsidRPr="00EF7399">
        <w:rPr>
          <w:rFonts w:ascii="Times New Roman" w:hAnsi="Times New Roman" w:cs="Times New Roman"/>
          <w:lang w:val="af-ZA"/>
        </w:rPr>
        <w:t>Հանձնաժողովի որոշում</w:t>
      </w:r>
      <w:r w:rsidR="00F11699" w:rsidRPr="00EF7399">
        <w:rPr>
          <w:rFonts w:ascii="Times New Roman" w:hAnsi="Times New Roman" w:cs="Times New Roman"/>
          <w:lang w:val="af-ZA"/>
        </w:rPr>
        <w:t>, 1990</w:t>
      </w:r>
      <w:r w:rsidR="009F65D1" w:rsidRPr="00EF7399">
        <w:rPr>
          <w:rFonts w:ascii="Times New Roman" w:hAnsi="Times New Roman" w:cs="Times New Roman"/>
          <w:lang w:val="af-ZA"/>
        </w:rPr>
        <w:t xml:space="preserve">; </w:t>
      </w:r>
      <w:hyperlink r:id="rId322" w:history="1">
        <w:r w:rsidR="009F65D1" w:rsidRPr="00EF7399">
          <w:rPr>
            <w:rStyle w:val="Hyperlink"/>
            <w:rFonts w:ascii="Times New Roman" w:hAnsi="Times New Roman" w:cs="Times New Roman"/>
            <w:lang w:val="af-ZA"/>
          </w:rPr>
          <w:t>Bota</w:t>
        </w:r>
        <w:r w:rsidR="00873234" w:rsidRPr="00EF7399">
          <w:rPr>
            <w:rStyle w:val="Hyperlink"/>
            <w:rFonts w:ascii="Times New Roman" w:hAnsi="Times New Roman" w:cs="Times New Roman"/>
            <w:lang w:val="af-ZA"/>
          </w:rPr>
          <w:t xml:space="preserve"> v. </w:t>
        </w:r>
        <w:r w:rsidR="009F65D1" w:rsidRPr="00EF7399">
          <w:rPr>
            <w:rStyle w:val="Hyperlink"/>
            <w:rFonts w:ascii="Times New Roman" w:hAnsi="Times New Roman" w:cs="Times New Roman"/>
            <w:lang w:val="af-ZA"/>
          </w:rPr>
          <w:t>Romania</w:t>
        </w:r>
      </w:hyperlink>
      <w:r w:rsidR="009F65D1" w:rsidRPr="00EF7399">
        <w:rPr>
          <w:rFonts w:ascii="Times New Roman" w:hAnsi="Times New Roman" w:cs="Times New Roman"/>
          <w:lang w:val="af-ZA"/>
        </w:rPr>
        <w:t xml:space="preserve"> (dec.)</w:t>
      </w:r>
      <w:r w:rsidR="00F11699" w:rsidRPr="00EF7399">
        <w:rPr>
          <w:rFonts w:ascii="Times New Roman" w:hAnsi="Times New Roman" w:cs="Times New Roman"/>
          <w:lang w:val="af-ZA"/>
        </w:rPr>
        <w:t>, 2004</w:t>
      </w:r>
      <w:r w:rsidR="009F65D1" w:rsidRPr="00EF7399">
        <w:rPr>
          <w:rFonts w:ascii="Times New Roman" w:hAnsi="Times New Roman" w:cs="Times New Roman"/>
          <w:lang w:val="af-ZA"/>
        </w:rPr>
        <w:t>)</w:t>
      </w:r>
      <w:r w:rsidR="00D11FE5" w:rsidRPr="00EF7399">
        <w:rPr>
          <w:rFonts w:ascii="Times New Roman" w:hAnsi="Times New Roman" w:cs="Times New Roman"/>
          <w:lang w:val="af-ZA"/>
        </w:rPr>
        <w:t>,</w:t>
      </w:r>
    </w:p>
    <w:p w14:paraId="5D4BEEFC" w14:textId="23E9BF14" w:rsidR="009F65D1" w:rsidRPr="00EF7399" w:rsidRDefault="00D11FE5" w:rsidP="009F65D1">
      <w:pPr>
        <w:pStyle w:val="ECHRBullet1"/>
        <w:rPr>
          <w:rFonts w:ascii="Times New Roman" w:hAnsi="Times New Roman" w:cs="Times New Roman"/>
          <w:lang w:val="af-ZA"/>
        </w:rPr>
      </w:pPr>
      <w:r w:rsidRPr="00EF7399">
        <w:rPr>
          <w:rFonts w:ascii="Times New Roman" w:hAnsi="Times New Roman" w:cs="Times New Roman"/>
          <w:lang w:val="af-ZA"/>
        </w:rPr>
        <w:t>նոտարական պալատներ</w:t>
      </w:r>
      <w:r w:rsidR="009F65D1" w:rsidRPr="00EF7399">
        <w:rPr>
          <w:rFonts w:ascii="Times New Roman" w:hAnsi="Times New Roman" w:cs="Times New Roman"/>
          <w:lang w:val="af-ZA"/>
        </w:rPr>
        <w:t xml:space="preserve"> (</w:t>
      </w:r>
      <w:hyperlink r:id="rId323" w:history="1">
        <w:r w:rsidR="009F65D1" w:rsidRPr="00EF7399">
          <w:rPr>
            <w:rStyle w:val="Hyperlink"/>
            <w:rFonts w:ascii="Times New Roman" w:hAnsi="Times New Roman" w:cs="Times New Roman"/>
            <w:lang w:val="af-ZA"/>
          </w:rPr>
          <w:t>O.V.R.</w:t>
        </w:r>
        <w:r w:rsidR="00873234" w:rsidRPr="00EF7399">
          <w:rPr>
            <w:rStyle w:val="Hyperlink"/>
            <w:rFonts w:ascii="Times New Roman" w:hAnsi="Times New Roman" w:cs="Times New Roman"/>
            <w:lang w:val="af-ZA"/>
          </w:rPr>
          <w:t xml:space="preserve"> v. </w:t>
        </w:r>
        <w:r w:rsidR="009F65D1" w:rsidRPr="00EF7399">
          <w:rPr>
            <w:rStyle w:val="Hyperlink"/>
            <w:rFonts w:ascii="Times New Roman" w:hAnsi="Times New Roman" w:cs="Times New Roman"/>
            <w:lang w:val="af-ZA"/>
          </w:rPr>
          <w:t>Russia</w:t>
        </w:r>
      </w:hyperlink>
      <w:r w:rsidR="009F65D1" w:rsidRPr="00EF7399">
        <w:rPr>
          <w:rFonts w:ascii="Times New Roman" w:hAnsi="Times New Roman" w:cs="Times New Roman"/>
          <w:lang w:val="af-ZA"/>
        </w:rPr>
        <w:t xml:space="preserve"> (dec.)</w:t>
      </w:r>
      <w:r w:rsidR="00F11699" w:rsidRPr="00EF7399">
        <w:rPr>
          <w:rFonts w:ascii="Times New Roman" w:hAnsi="Times New Roman" w:cs="Times New Roman"/>
          <w:lang w:val="af-ZA"/>
        </w:rPr>
        <w:t>, 2001</w:t>
      </w:r>
      <w:r w:rsidR="009F65D1" w:rsidRPr="00EF7399">
        <w:rPr>
          <w:rFonts w:ascii="Times New Roman" w:hAnsi="Times New Roman" w:cs="Times New Roman"/>
          <w:lang w:val="af-ZA"/>
        </w:rPr>
        <w:t xml:space="preserve">; </w:t>
      </w:r>
      <w:hyperlink r:id="rId324" w:history="1">
        <w:r w:rsidR="009F65D1" w:rsidRPr="00EF7399">
          <w:rPr>
            <w:rStyle w:val="Hyperlink"/>
            <w:rFonts w:ascii="Times New Roman" w:hAnsi="Times New Roman" w:cs="Times New Roman"/>
            <w:lang w:val="af-ZA"/>
          </w:rPr>
          <w:t>National Notary Chamber</w:t>
        </w:r>
        <w:r w:rsidR="00873234" w:rsidRPr="00EF7399">
          <w:rPr>
            <w:rStyle w:val="Hyperlink"/>
            <w:rFonts w:ascii="Times New Roman" w:hAnsi="Times New Roman" w:cs="Times New Roman"/>
            <w:lang w:val="af-ZA"/>
          </w:rPr>
          <w:t xml:space="preserve"> v. </w:t>
        </w:r>
        <w:r w:rsidR="009F65D1" w:rsidRPr="00EF7399">
          <w:rPr>
            <w:rStyle w:val="Hyperlink"/>
            <w:rFonts w:ascii="Times New Roman" w:hAnsi="Times New Roman" w:cs="Times New Roman"/>
            <w:lang w:val="af-ZA"/>
          </w:rPr>
          <w:t>Albania</w:t>
        </w:r>
      </w:hyperlink>
      <w:r w:rsidR="009F65D1" w:rsidRPr="00EF7399">
        <w:rPr>
          <w:rFonts w:ascii="Times New Roman" w:hAnsi="Times New Roman" w:cs="Times New Roman"/>
          <w:lang w:val="af-ZA"/>
        </w:rPr>
        <w:t xml:space="preserve"> (dec.)</w:t>
      </w:r>
      <w:r w:rsidR="00F11699" w:rsidRPr="00EF7399">
        <w:rPr>
          <w:rFonts w:ascii="Times New Roman" w:hAnsi="Times New Roman" w:cs="Times New Roman"/>
          <w:lang w:val="af-ZA"/>
        </w:rPr>
        <w:t>, 2008</w:t>
      </w:r>
      <w:r w:rsidR="009F65D1" w:rsidRPr="00EF7399">
        <w:rPr>
          <w:rFonts w:ascii="Times New Roman" w:hAnsi="Times New Roman" w:cs="Times New Roman"/>
          <w:lang w:val="af-ZA"/>
        </w:rPr>
        <w:t>)</w:t>
      </w:r>
      <w:r w:rsidRPr="00EF7399">
        <w:rPr>
          <w:rFonts w:ascii="Times New Roman" w:hAnsi="Times New Roman" w:cs="Times New Roman"/>
          <w:lang w:val="af-ZA"/>
        </w:rPr>
        <w:t>,</w:t>
      </w:r>
    </w:p>
    <w:p w14:paraId="451C321B" w14:textId="6E75D0F5" w:rsidR="009F65D1" w:rsidRPr="00EF7399" w:rsidRDefault="00D11FE5" w:rsidP="009F65D1">
      <w:pPr>
        <w:pStyle w:val="ECHRBullet1"/>
        <w:rPr>
          <w:rFonts w:ascii="Times New Roman" w:hAnsi="Times New Roman" w:cs="Times New Roman"/>
          <w:lang w:val="af-ZA"/>
        </w:rPr>
      </w:pPr>
      <w:r w:rsidRPr="00EF7399">
        <w:rPr>
          <w:rFonts w:ascii="Times New Roman" w:hAnsi="Times New Roman" w:cs="Times New Roman"/>
          <w:lang w:val="af-ZA"/>
        </w:rPr>
        <w:t>աշխատանքային խորհուրդներ</w:t>
      </w:r>
      <w:r w:rsidR="009F65D1" w:rsidRPr="00EF7399">
        <w:rPr>
          <w:rFonts w:ascii="Times New Roman" w:hAnsi="Times New Roman" w:cs="Times New Roman"/>
          <w:lang w:val="af-ZA"/>
        </w:rPr>
        <w:t xml:space="preserve"> (</w:t>
      </w:r>
      <w:hyperlink r:id="rId325" w:history="1">
        <w:r w:rsidR="009F65D1" w:rsidRPr="00EF7399">
          <w:rPr>
            <w:rStyle w:val="Hyperlink"/>
            <w:rFonts w:ascii="Times New Roman" w:hAnsi="Times New Roman" w:cs="Times New Roman"/>
            <w:lang w:val="af-ZA"/>
          </w:rPr>
          <w:t>Karakurt</w:t>
        </w:r>
        <w:r w:rsidR="00873234" w:rsidRPr="00EF7399">
          <w:rPr>
            <w:rStyle w:val="Hyperlink"/>
            <w:rFonts w:ascii="Times New Roman" w:hAnsi="Times New Roman" w:cs="Times New Roman"/>
            <w:lang w:val="af-ZA"/>
          </w:rPr>
          <w:t xml:space="preserve"> v. </w:t>
        </w:r>
        <w:r w:rsidR="009F65D1" w:rsidRPr="00EF7399">
          <w:rPr>
            <w:rStyle w:val="Hyperlink"/>
            <w:rFonts w:ascii="Times New Roman" w:hAnsi="Times New Roman" w:cs="Times New Roman"/>
            <w:lang w:val="af-ZA"/>
          </w:rPr>
          <w:t>Austria</w:t>
        </w:r>
      </w:hyperlink>
      <w:r w:rsidR="009F65D1" w:rsidRPr="00EF7399">
        <w:rPr>
          <w:rFonts w:ascii="Times New Roman" w:hAnsi="Times New Roman" w:cs="Times New Roman"/>
          <w:lang w:val="af-ZA"/>
        </w:rPr>
        <w:t xml:space="preserve"> (dec.)</w:t>
      </w:r>
      <w:r w:rsidR="00F11699" w:rsidRPr="00EF7399">
        <w:rPr>
          <w:rFonts w:ascii="Times New Roman" w:hAnsi="Times New Roman" w:cs="Times New Roman"/>
          <w:lang w:val="af-ZA"/>
        </w:rPr>
        <w:t>, 1999</w:t>
      </w:r>
      <w:r w:rsidR="009F65D1" w:rsidRPr="00EF7399">
        <w:rPr>
          <w:rFonts w:ascii="Times New Roman" w:hAnsi="Times New Roman" w:cs="Times New Roman"/>
          <w:lang w:val="af-ZA"/>
        </w:rPr>
        <w:t>)</w:t>
      </w:r>
      <w:r w:rsidRPr="00EF7399">
        <w:rPr>
          <w:rFonts w:ascii="Times New Roman" w:hAnsi="Times New Roman" w:cs="Times New Roman"/>
          <w:lang w:val="af-ZA"/>
        </w:rPr>
        <w:t>,</w:t>
      </w:r>
    </w:p>
    <w:p w14:paraId="65BB199C" w14:textId="77511608" w:rsidR="009F65D1" w:rsidRPr="00EF7399" w:rsidRDefault="00D11FE5" w:rsidP="009F65D1">
      <w:pPr>
        <w:pStyle w:val="ECHRBullet1"/>
        <w:rPr>
          <w:rFonts w:ascii="Times New Roman" w:hAnsi="Times New Roman" w:cs="Times New Roman"/>
          <w:lang w:val="af-ZA"/>
        </w:rPr>
      </w:pPr>
      <w:r w:rsidRPr="00EF7399">
        <w:rPr>
          <w:rFonts w:ascii="Times New Roman" w:hAnsi="Times New Roman" w:cs="Times New Roman"/>
          <w:lang w:val="af-ZA"/>
        </w:rPr>
        <w:t xml:space="preserve">առևտրային պալատ </w:t>
      </w:r>
      <w:r w:rsidR="009F65D1" w:rsidRPr="00EF7399">
        <w:rPr>
          <w:rFonts w:ascii="Times New Roman" w:hAnsi="Times New Roman" w:cs="Times New Roman"/>
          <w:lang w:val="af-ZA"/>
        </w:rPr>
        <w:t>(</w:t>
      </w:r>
      <w:hyperlink r:id="rId326" w:history="1">
        <w:r w:rsidR="00D943C3" w:rsidRPr="00EF7399">
          <w:rPr>
            <w:rStyle w:val="Hyperlink"/>
            <w:rFonts w:ascii="Times New Roman" w:hAnsi="Times New Roman" w:cs="Times New Roman"/>
            <w:lang w:val="af-ZA"/>
          </w:rPr>
          <w:t>Weiss</w:t>
        </w:r>
        <w:r w:rsidR="00873234" w:rsidRPr="00EF7399">
          <w:rPr>
            <w:rStyle w:val="Hyperlink"/>
            <w:rFonts w:ascii="Times New Roman" w:hAnsi="Times New Roman" w:cs="Times New Roman"/>
            <w:lang w:val="af-ZA"/>
          </w:rPr>
          <w:t xml:space="preserve"> v. </w:t>
        </w:r>
        <w:r w:rsidR="00D943C3" w:rsidRPr="00EF7399">
          <w:rPr>
            <w:rStyle w:val="Hyperlink"/>
            <w:rFonts w:ascii="Times New Roman" w:hAnsi="Times New Roman" w:cs="Times New Roman"/>
            <w:lang w:val="af-ZA"/>
          </w:rPr>
          <w:t>Austria</w:t>
        </w:r>
      </w:hyperlink>
      <w:r w:rsidR="009F65D1" w:rsidRPr="00EF7399">
        <w:rPr>
          <w:rFonts w:ascii="Times New Roman" w:hAnsi="Times New Roman" w:cs="Times New Roman"/>
          <w:lang w:val="af-ZA"/>
        </w:rPr>
        <w:t xml:space="preserve">, </w:t>
      </w:r>
      <w:r w:rsidRPr="00EF7399">
        <w:rPr>
          <w:rFonts w:ascii="Times New Roman" w:hAnsi="Times New Roman" w:cs="Times New Roman"/>
          <w:lang w:val="af-ZA"/>
        </w:rPr>
        <w:t>Հանձնաժողովի որոշում</w:t>
      </w:r>
      <w:r w:rsidR="00F11699" w:rsidRPr="00EF7399">
        <w:rPr>
          <w:rFonts w:ascii="Times New Roman" w:hAnsi="Times New Roman" w:cs="Times New Roman"/>
          <w:lang w:val="af-ZA"/>
        </w:rPr>
        <w:t>, 1991</w:t>
      </w:r>
      <w:r w:rsidR="009F65D1" w:rsidRPr="00EF7399">
        <w:rPr>
          <w:rFonts w:ascii="Times New Roman" w:hAnsi="Times New Roman" w:cs="Times New Roman"/>
          <w:lang w:val="af-ZA"/>
        </w:rPr>
        <w:t>)</w:t>
      </w:r>
      <w:r w:rsidRPr="00EF7399">
        <w:rPr>
          <w:rFonts w:ascii="Times New Roman" w:hAnsi="Times New Roman" w:cs="Times New Roman"/>
          <w:lang w:val="af-ZA"/>
        </w:rPr>
        <w:t>:</w:t>
      </w:r>
    </w:p>
    <w:p w14:paraId="55D273C6" w14:textId="63C62619" w:rsidR="009F65D1" w:rsidRPr="00EF7399" w:rsidRDefault="009F65D1" w:rsidP="009F65D1">
      <w:pPr>
        <w:pStyle w:val="ECHRBullet1"/>
        <w:numPr>
          <w:ilvl w:val="0"/>
          <w:numId w:val="0"/>
        </w:numPr>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129</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D11FE5" w:rsidRPr="00EF7399">
        <w:rPr>
          <w:rFonts w:ascii="Times New Roman" w:hAnsi="Times New Roman" w:cs="Times New Roman"/>
          <w:lang w:val="af-ZA"/>
        </w:rPr>
        <w:t>Նման միավորումների</w:t>
      </w:r>
      <w:r w:rsidR="0075679C" w:rsidRPr="00EF7399">
        <w:rPr>
          <w:rFonts w:ascii="Times New Roman" w:hAnsi="Times New Roman" w:cs="Times New Roman"/>
          <w:lang w:val="hy-AM"/>
        </w:rPr>
        <w:t>ն</w:t>
      </w:r>
      <w:r w:rsidR="00D11FE5" w:rsidRPr="00EF7399">
        <w:rPr>
          <w:rFonts w:ascii="Times New Roman" w:hAnsi="Times New Roman" w:cs="Times New Roman"/>
          <w:lang w:val="af-ZA"/>
        </w:rPr>
        <w:t xml:space="preserve"> պարտադիր անդամակցությունը չի միջամտում միավորման ազատությանը </w:t>
      </w:r>
      <w:r w:rsidRPr="00EF7399">
        <w:rPr>
          <w:rFonts w:ascii="Times New Roman" w:hAnsi="Times New Roman" w:cs="Times New Roman"/>
          <w:lang w:val="af-ZA"/>
        </w:rPr>
        <w:t>(</w:t>
      </w:r>
      <w:hyperlink r:id="rId327" w:history="1">
        <w:r w:rsidRPr="00EF7399">
          <w:rPr>
            <w:rStyle w:val="Hyperlink"/>
            <w:rFonts w:ascii="Times New Roman" w:hAnsi="Times New Roman" w:cs="Times New Roman"/>
            <w:lang w:val="af-ZA"/>
          </w:rPr>
          <w:t>Popov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Bulgaria</w:t>
        </w:r>
      </w:hyperlink>
      <w:r w:rsidRPr="00EF7399">
        <w:rPr>
          <w:rFonts w:ascii="Times New Roman" w:hAnsi="Times New Roman" w:cs="Times New Roman"/>
          <w:i/>
          <w:lang w:val="af-ZA"/>
        </w:rPr>
        <w:t xml:space="preserve"> </w:t>
      </w:r>
      <w:r w:rsidRPr="00EF7399">
        <w:rPr>
          <w:rFonts w:ascii="Times New Roman" w:hAnsi="Times New Roman" w:cs="Times New Roman"/>
          <w:lang w:val="af-ZA"/>
        </w:rPr>
        <w:t>(dec.)</w:t>
      </w:r>
      <w:r w:rsidR="00DC38EC" w:rsidRPr="00EF7399">
        <w:rPr>
          <w:rFonts w:ascii="Times New Roman" w:hAnsi="Times New Roman" w:cs="Times New Roman"/>
          <w:lang w:val="af-ZA"/>
        </w:rPr>
        <w:t>, 2003</w:t>
      </w:r>
      <w:r w:rsidRPr="00EF7399">
        <w:rPr>
          <w:rFonts w:ascii="Times New Roman" w:hAnsi="Times New Roman" w:cs="Times New Roman"/>
          <w:lang w:val="af-ZA"/>
        </w:rPr>
        <w:t>)</w:t>
      </w:r>
      <w:r w:rsidR="00D11FE5" w:rsidRPr="00EF7399">
        <w:rPr>
          <w:rFonts w:ascii="Times New Roman" w:hAnsi="Times New Roman" w:cs="Times New Roman"/>
          <w:lang w:val="af-ZA"/>
        </w:rPr>
        <w:t xml:space="preserve">: </w:t>
      </w:r>
      <w:r w:rsidR="0075679C" w:rsidRPr="00EF7399">
        <w:rPr>
          <w:rFonts w:ascii="Times New Roman" w:hAnsi="Times New Roman" w:cs="Times New Roman"/>
          <w:lang w:val="hy-AM"/>
        </w:rPr>
        <w:t>Այդուհանդերձ,</w:t>
      </w:r>
      <w:r w:rsidR="0075679C" w:rsidRPr="00EF7399">
        <w:rPr>
          <w:rFonts w:ascii="Times New Roman" w:hAnsi="Times New Roman" w:cs="Times New Roman"/>
          <w:lang w:val="af-ZA"/>
        </w:rPr>
        <w:t xml:space="preserve"> </w:t>
      </w:r>
      <w:r w:rsidR="00D11FE5" w:rsidRPr="00EF7399">
        <w:rPr>
          <w:rFonts w:ascii="Times New Roman" w:hAnsi="Times New Roman" w:cs="Times New Roman"/>
          <w:lang w:val="af-ZA"/>
        </w:rPr>
        <w:t>անհատներ</w:t>
      </w:r>
      <w:r w:rsidR="0075679C" w:rsidRPr="00EF7399">
        <w:rPr>
          <w:rFonts w:ascii="Times New Roman" w:hAnsi="Times New Roman" w:cs="Times New Roman"/>
          <w:lang w:val="hy-AM"/>
        </w:rPr>
        <w:t>ը</w:t>
      </w:r>
      <w:r w:rsidR="00D11FE5" w:rsidRPr="00EF7399">
        <w:rPr>
          <w:rFonts w:ascii="Times New Roman" w:hAnsi="Times New Roman" w:cs="Times New Roman"/>
          <w:lang w:val="af-ZA"/>
        </w:rPr>
        <w:t xml:space="preserve"> </w:t>
      </w:r>
      <w:r w:rsidR="0075679C" w:rsidRPr="00EF7399">
        <w:rPr>
          <w:rFonts w:ascii="Times New Roman" w:hAnsi="Times New Roman" w:cs="Times New Roman"/>
          <w:lang w:val="hy-AM"/>
        </w:rPr>
        <w:t>չ</w:t>
      </w:r>
      <w:r w:rsidR="00D11FE5" w:rsidRPr="00EF7399">
        <w:rPr>
          <w:rFonts w:ascii="Times New Roman" w:hAnsi="Times New Roman" w:cs="Times New Roman"/>
          <w:lang w:val="af-ZA"/>
        </w:rPr>
        <w:t xml:space="preserve">պետք է </w:t>
      </w:r>
      <w:r w:rsidR="0075679C" w:rsidRPr="00EF7399">
        <w:rPr>
          <w:rFonts w:ascii="Times New Roman" w:hAnsi="Times New Roman" w:cs="Times New Roman"/>
          <w:lang w:val="hy-AM"/>
        </w:rPr>
        <w:t>զրկվեն</w:t>
      </w:r>
      <w:r w:rsidR="00D11FE5" w:rsidRPr="00EF7399">
        <w:rPr>
          <w:rFonts w:ascii="Times New Roman" w:hAnsi="Times New Roman" w:cs="Times New Roman"/>
          <w:lang w:val="af-ZA"/>
        </w:rPr>
        <w:t xml:space="preserve"> սեփական մասնագիտական միավորումներ ձևավորելու կամ գոյություն ունեցող միավորումներին միանալու հնարավորություն</w:t>
      </w:r>
      <w:r w:rsidR="0075679C" w:rsidRPr="00EF7399">
        <w:rPr>
          <w:rFonts w:ascii="Times New Roman" w:hAnsi="Times New Roman" w:cs="Times New Roman"/>
          <w:lang w:val="hy-AM"/>
        </w:rPr>
        <w:t>ից</w:t>
      </w:r>
      <w:r w:rsidR="00D11FE5" w:rsidRPr="00EF7399">
        <w:rPr>
          <w:rFonts w:ascii="Times New Roman" w:hAnsi="Times New Roman" w:cs="Times New Roman"/>
          <w:lang w:val="af-ZA"/>
        </w:rPr>
        <w:t>: Հետևաբար, պարտադիր անդամ</w:t>
      </w:r>
      <w:r w:rsidR="0075679C" w:rsidRPr="00EF7399">
        <w:rPr>
          <w:rFonts w:ascii="Times New Roman" w:hAnsi="Times New Roman" w:cs="Times New Roman"/>
          <w:lang w:val="hy-AM"/>
        </w:rPr>
        <w:t>ակց</w:t>
      </w:r>
      <w:r w:rsidR="00D11FE5" w:rsidRPr="00EF7399">
        <w:rPr>
          <w:rFonts w:ascii="Times New Roman" w:hAnsi="Times New Roman" w:cs="Times New Roman"/>
          <w:lang w:val="af-ZA"/>
        </w:rPr>
        <w:t xml:space="preserve">ությամբ միավորման գոյությունը չի կարող </w:t>
      </w:r>
      <w:r w:rsidR="00EE6415" w:rsidRPr="00EF7399">
        <w:rPr>
          <w:rFonts w:ascii="Times New Roman" w:hAnsi="Times New Roman" w:cs="Times New Roman"/>
          <w:lang w:val="af-ZA"/>
        </w:rPr>
        <w:t>ունենալ 11-րդ հոդվածով երաշխավորված իրավունքը սահմանափակելու կամ</w:t>
      </w:r>
      <w:r w:rsidR="0075679C" w:rsidRPr="00EF7399">
        <w:rPr>
          <w:rFonts w:ascii="Times New Roman" w:hAnsi="Times New Roman" w:cs="Times New Roman"/>
          <w:lang w:val="hy-AM"/>
        </w:rPr>
        <w:t xml:space="preserve"> առավել ևս</w:t>
      </w:r>
      <w:r w:rsidR="00EE6415" w:rsidRPr="00EF7399">
        <w:rPr>
          <w:rFonts w:ascii="Times New Roman" w:hAnsi="Times New Roman" w:cs="Times New Roman"/>
          <w:lang w:val="af-ZA"/>
        </w:rPr>
        <w:t xml:space="preserve"> ճնշելու նպատակ կամ հանգեցնել նման արդյունքի </w:t>
      </w:r>
      <w:r w:rsidRPr="00EF7399">
        <w:rPr>
          <w:rFonts w:ascii="Times New Roman" w:hAnsi="Times New Roman" w:cs="Times New Roman"/>
          <w:lang w:val="af-ZA"/>
        </w:rPr>
        <w:t>(</w:t>
      </w:r>
      <w:hyperlink r:id="rId328" w:history="1">
        <w:r w:rsidRPr="00EF7399">
          <w:rPr>
            <w:rStyle w:val="Hyperlink"/>
            <w:rFonts w:ascii="Times New Roman" w:hAnsi="Times New Roman" w:cs="Times New Roman"/>
            <w:lang w:val="af-ZA"/>
          </w:rPr>
          <w:t>Le Compte</w:t>
        </w:r>
        <w:r w:rsidRPr="00EF7399">
          <w:rPr>
            <w:rStyle w:val="Hyperlink"/>
            <w:rFonts w:ascii="Times New Roman" w:hAnsi="Times New Roman" w:cs="Times New Roman"/>
            <w:iCs/>
            <w:lang w:val="af-ZA"/>
          </w:rPr>
          <w:t>,</w:t>
        </w:r>
        <w:r w:rsidRPr="00EF7399">
          <w:rPr>
            <w:rStyle w:val="Hyperlink"/>
            <w:rFonts w:ascii="Times New Roman" w:hAnsi="Times New Roman" w:cs="Times New Roman"/>
            <w:lang w:val="af-ZA"/>
          </w:rPr>
          <w:t xml:space="preserve"> Van Leuven and De Meyere</w:t>
        </w:r>
      </w:hyperlink>
      <w:r w:rsidRPr="00EF7399">
        <w:rPr>
          <w:rFonts w:ascii="Times New Roman" w:hAnsi="Times New Roman" w:cs="Times New Roman"/>
          <w:lang w:val="af-ZA"/>
        </w:rPr>
        <w:t xml:space="preserve">, </w:t>
      </w:r>
      <w:r w:rsidR="00F11699" w:rsidRPr="00EF7399">
        <w:rPr>
          <w:rFonts w:ascii="Times New Roman" w:hAnsi="Times New Roman" w:cs="Times New Roman"/>
          <w:lang w:val="af-ZA"/>
        </w:rPr>
        <w:t xml:space="preserve">1981,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65; </w:t>
      </w:r>
      <w:hyperlink r:id="rId329" w:history="1">
        <w:r w:rsidRPr="00EF7399">
          <w:rPr>
            <w:rStyle w:val="Hyperlink"/>
            <w:rFonts w:ascii="Times New Roman" w:hAnsi="Times New Roman" w:cs="Times New Roman"/>
            <w:lang w:val="af-ZA"/>
          </w:rPr>
          <w:t>O.V.R.</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Russia</w:t>
        </w:r>
      </w:hyperlink>
      <w:r w:rsidRPr="00EF7399">
        <w:rPr>
          <w:rFonts w:ascii="Times New Roman" w:hAnsi="Times New Roman" w:cs="Times New Roman"/>
          <w:lang w:val="af-ZA"/>
        </w:rPr>
        <w:t xml:space="preserve"> (dec.)</w:t>
      </w:r>
      <w:r w:rsidR="00F11699" w:rsidRPr="00EF7399">
        <w:rPr>
          <w:rFonts w:ascii="Times New Roman" w:hAnsi="Times New Roman" w:cs="Times New Roman"/>
          <w:lang w:val="af-ZA"/>
        </w:rPr>
        <w:t>, 2001</w:t>
      </w:r>
      <w:r w:rsidRPr="00EF7399">
        <w:rPr>
          <w:rFonts w:ascii="Times New Roman" w:hAnsi="Times New Roman" w:cs="Times New Roman"/>
          <w:lang w:val="af-ZA"/>
        </w:rPr>
        <w:t>)</w:t>
      </w:r>
      <w:r w:rsidR="00EE6415" w:rsidRPr="00EF7399">
        <w:rPr>
          <w:rFonts w:ascii="Times New Roman" w:hAnsi="Times New Roman" w:cs="Times New Roman"/>
          <w:lang w:val="af-ZA"/>
        </w:rPr>
        <w:t>:</w:t>
      </w:r>
    </w:p>
    <w:p w14:paraId="05B067AC" w14:textId="6208DF8B" w:rsidR="00217603" w:rsidRPr="00EF7399" w:rsidRDefault="00EE6415" w:rsidP="00217603">
      <w:pPr>
        <w:pStyle w:val="ECHRHeading3"/>
        <w:rPr>
          <w:rFonts w:ascii="Times New Roman" w:eastAsiaTheme="minorHAnsi" w:hAnsi="Times New Roman" w:cs="Times New Roman"/>
          <w:color w:val="auto"/>
          <w:sz w:val="22"/>
          <w:lang w:val="af-ZA"/>
        </w:rPr>
      </w:pPr>
      <w:bookmarkStart w:id="78" w:name="_Toc159945237"/>
      <w:r w:rsidRPr="00EF7399">
        <w:rPr>
          <w:rFonts w:ascii="Times New Roman" w:hAnsi="Times New Roman" w:cs="Times New Roman"/>
          <w:lang w:val="af-ZA"/>
        </w:rPr>
        <w:t>Միավորման ստեղծումը և դրա իրավական ճանաչումը</w:t>
      </w:r>
      <w:bookmarkEnd w:id="78"/>
    </w:p>
    <w:p w14:paraId="5B85E4CF" w14:textId="5E566FCF" w:rsidR="009F65D1" w:rsidRPr="00EF7399" w:rsidRDefault="009F65D1" w:rsidP="009F65D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130</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EE6415" w:rsidRPr="00EF7399">
        <w:rPr>
          <w:rFonts w:ascii="Times New Roman" w:hAnsi="Times New Roman" w:cs="Times New Roman"/>
          <w:lang w:val="af-ZA"/>
        </w:rPr>
        <w:t xml:space="preserve">Միավորում ձևավորելու իրավունքը միավորման ազատության իրավունքի անբաժանելի մասն է, եթե նույնիսկ 11-րդ հոդվածը բացահայտ հղում է կատարում միայն արհեստակցական միություններ ստեղծելու իրավունքին </w:t>
      </w:r>
      <w:r w:rsidRPr="00EF7399">
        <w:rPr>
          <w:rFonts w:ascii="Times New Roman" w:hAnsi="Times New Roman" w:cs="Times New Roman"/>
          <w:lang w:val="af-ZA"/>
        </w:rPr>
        <w:t>(</w:t>
      </w:r>
      <w:hyperlink r:id="rId330" w:history="1">
        <w:r w:rsidRPr="00EF7399">
          <w:rPr>
            <w:rStyle w:val="Hyperlink"/>
            <w:rFonts w:ascii="Times New Roman" w:hAnsi="Times New Roman" w:cs="Times New Roman"/>
            <w:lang w:val="af-ZA"/>
          </w:rPr>
          <w:t>Sidiropoulos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Greece</w:t>
        </w:r>
      </w:hyperlink>
      <w:r w:rsidRPr="00EF7399">
        <w:rPr>
          <w:rFonts w:ascii="Times New Roman" w:hAnsi="Times New Roman" w:cs="Times New Roman"/>
          <w:lang w:val="af-ZA"/>
        </w:rPr>
        <w:t xml:space="preserve">, </w:t>
      </w:r>
      <w:r w:rsidR="007A38BA" w:rsidRPr="00EF7399">
        <w:rPr>
          <w:rFonts w:ascii="Times New Roman" w:hAnsi="Times New Roman" w:cs="Times New Roman"/>
          <w:lang w:val="af-ZA"/>
        </w:rPr>
        <w:t xml:space="preserve">1998, </w:t>
      </w:r>
      <w:r w:rsidR="00873234" w:rsidRPr="00EF7399">
        <w:rPr>
          <w:rFonts w:ascii="Times New Roman" w:hAnsi="Times New Roman" w:cs="Times New Roman"/>
          <w:lang w:val="af-ZA"/>
        </w:rPr>
        <w:t>§ </w:t>
      </w:r>
      <w:r w:rsidRPr="00EF7399">
        <w:rPr>
          <w:rFonts w:ascii="Times New Roman" w:hAnsi="Times New Roman" w:cs="Times New Roman"/>
          <w:lang w:val="af-ZA"/>
        </w:rPr>
        <w:t>40)</w:t>
      </w:r>
      <w:r w:rsidR="00EE6415" w:rsidRPr="00EF7399">
        <w:rPr>
          <w:rFonts w:ascii="Times New Roman" w:hAnsi="Times New Roman" w:cs="Times New Roman"/>
          <w:lang w:val="af-ZA"/>
        </w:rPr>
        <w:t>:</w:t>
      </w:r>
    </w:p>
    <w:p w14:paraId="3AA7C34C" w14:textId="319DE3EB" w:rsidR="009F65D1" w:rsidRPr="00EF7399" w:rsidRDefault="009F65D1" w:rsidP="009F65D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131</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663C1" w:rsidRPr="00EF7399">
        <w:rPr>
          <w:rFonts w:ascii="Times New Roman" w:hAnsi="Times New Roman" w:cs="Times New Roman"/>
          <w:lang w:val="hy-AM"/>
        </w:rPr>
        <w:t>Փոխադարձ հետաքրքրություն ներկայացնող ոլորտում</w:t>
      </w:r>
      <w:r w:rsidR="00EE6415" w:rsidRPr="00EF7399">
        <w:rPr>
          <w:rFonts w:ascii="Times New Roman" w:hAnsi="Times New Roman" w:cs="Times New Roman"/>
          <w:lang w:val="af-ZA"/>
        </w:rPr>
        <w:t xml:space="preserve"> համատեղ գործելու նպատակով իրավաբանական անձ ստեղծելու կարողությունը միավորման ազատության ամենակարևոր բաղադրի</w:t>
      </w:r>
      <w:r w:rsidR="0067718A" w:rsidRPr="00EF7399">
        <w:rPr>
          <w:rFonts w:ascii="Times New Roman" w:hAnsi="Times New Roman" w:cs="Times New Roman"/>
          <w:lang w:val="af-ZA"/>
        </w:rPr>
        <w:t xml:space="preserve">չներից մեկն է, առանց որի այդ իրավունքը կզրկվի որևէ իմաստից </w:t>
      </w:r>
      <w:r w:rsidRPr="00EF7399">
        <w:rPr>
          <w:rFonts w:ascii="Times New Roman" w:hAnsi="Times New Roman" w:cs="Times New Roman"/>
          <w:lang w:val="af-ZA"/>
        </w:rPr>
        <w:t>(</w:t>
      </w:r>
      <w:hyperlink r:id="rId331" w:history="1">
        <w:r w:rsidRPr="00EF7399">
          <w:rPr>
            <w:rStyle w:val="Hyperlink"/>
            <w:rFonts w:ascii="Times New Roman" w:hAnsi="Times New Roman" w:cs="Times New Roman"/>
            <w:lang w:val="af-ZA"/>
          </w:rPr>
          <w:t>Gorzelik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Poland</w:t>
        </w:r>
      </w:hyperlink>
      <w:r w:rsidRPr="00EF7399">
        <w:rPr>
          <w:rFonts w:ascii="Times New Roman" w:hAnsi="Times New Roman" w:cs="Times New Roman"/>
          <w:lang w:val="af-ZA"/>
        </w:rPr>
        <w:t xml:space="preserve"> [GC], </w:t>
      </w:r>
      <w:r w:rsidR="007A38BA" w:rsidRPr="00EF7399">
        <w:rPr>
          <w:rFonts w:ascii="Times New Roman" w:hAnsi="Times New Roman" w:cs="Times New Roman"/>
          <w:lang w:val="af-ZA"/>
        </w:rPr>
        <w:t xml:space="preserve">2004,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91; </w:t>
      </w:r>
      <w:hyperlink r:id="rId332" w:history="1">
        <w:r w:rsidRPr="00EF7399">
          <w:rPr>
            <w:rStyle w:val="Hyperlink"/>
            <w:rFonts w:ascii="Times New Roman" w:hAnsi="Times New Roman" w:cs="Times New Roman"/>
            <w:lang w:val="af-ZA"/>
          </w:rPr>
          <w:t>Magyar Keresztény Mennonita Egyház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Hungary</w:t>
        </w:r>
      </w:hyperlink>
      <w:r w:rsidRPr="00EF7399">
        <w:rPr>
          <w:rFonts w:ascii="Times New Roman" w:hAnsi="Times New Roman" w:cs="Times New Roman"/>
          <w:lang w:val="af-ZA"/>
        </w:rPr>
        <w:t xml:space="preserve">, </w:t>
      </w:r>
      <w:r w:rsidR="00F11699"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Pr="00EF7399">
        <w:rPr>
          <w:rFonts w:ascii="Times New Roman" w:hAnsi="Times New Roman" w:cs="Times New Roman"/>
          <w:lang w:val="af-ZA"/>
        </w:rPr>
        <w:t>78)</w:t>
      </w:r>
      <w:r w:rsidR="0067718A" w:rsidRPr="00EF7399">
        <w:rPr>
          <w:rFonts w:ascii="Times New Roman" w:hAnsi="Times New Roman" w:cs="Times New Roman"/>
          <w:lang w:val="af-ZA"/>
        </w:rPr>
        <w:t>:</w:t>
      </w:r>
    </w:p>
    <w:p w14:paraId="50FC1C3D" w14:textId="113D7050" w:rsidR="009F65D1" w:rsidRPr="00EF7399" w:rsidRDefault="009F65D1" w:rsidP="009F65D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132</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67718A" w:rsidRPr="00EF7399">
        <w:rPr>
          <w:rFonts w:ascii="Times New Roman" w:hAnsi="Times New Roman" w:cs="Times New Roman"/>
          <w:lang w:val="af-ZA"/>
        </w:rPr>
        <w:t>Ազգային իշխանությունների կողմից անհատների միավորման</w:t>
      </w:r>
      <w:r w:rsidR="001663C1" w:rsidRPr="00EF7399">
        <w:rPr>
          <w:rFonts w:ascii="Times New Roman" w:hAnsi="Times New Roman" w:cs="Times New Roman"/>
          <w:lang w:val="hy-AM"/>
        </w:rPr>
        <w:t>ն</w:t>
      </w:r>
      <w:r w:rsidR="0067718A" w:rsidRPr="00EF7399">
        <w:rPr>
          <w:rFonts w:ascii="Times New Roman" w:hAnsi="Times New Roman" w:cs="Times New Roman"/>
          <w:lang w:val="af-ZA"/>
        </w:rPr>
        <w:t xml:space="preserve"> իրավաբանական անձի կարգավիճակ</w:t>
      </w:r>
      <w:r w:rsidR="00E97BC4" w:rsidRPr="00EF7399">
        <w:rPr>
          <w:rFonts w:ascii="Times New Roman" w:hAnsi="Times New Roman" w:cs="Times New Roman"/>
          <w:lang w:val="af-ZA"/>
        </w:rPr>
        <w:t>ի գրանցման</w:t>
      </w:r>
      <w:r w:rsidR="0067718A" w:rsidRPr="00EF7399">
        <w:rPr>
          <w:rFonts w:ascii="Times New Roman" w:hAnsi="Times New Roman" w:cs="Times New Roman"/>
          <w:lang w:val="af-ZA"/>
        </w:rPr>
        <w:t xml:space="preserve"> </w:t>
      </w:r>
      <w:r w:rsidR="00E97BC4" w:rsidRPr="00EF7399">
        <w:rPr>
          <w:rFonts w:ascii="Times New Roman" w:hAnsi="Times New Roman" w:cs="Times New Roman"/>
          <w:lang w:val="af-ZA"/>
        </w:rPr>
        <w:t>մերժումը</w:t>
      </w:r>
      <w:r w:rsidR="0067718A" w:rsidRPr="00EF7399">
        <w:rPr>
          <w:rFonts w:ascii="Times New Roman" w:hAnsi="Times New Roman" w:cs="Times New Roman"/>
          <w:lang w:val="af-ZA"/>
        </w:rPr>
        <w:t xml:space="preserve"> համարվում է միջամտություն միավորման ազատության նրանց իրավունքի իրա</w:t>
      </w:r>
      <w:r w:rsidR="001663C1" w:rsidRPr="00EF7399">
        <w:rPr>
          <w:rFonts w:ascii="Times New Roman" w:hAnsi="Times New Roman" w:cs="Times New Roman"/>
          <w:lang w:val="hy-AM"/>
        </w:rPr>
        <w:t>ց</w:t>
      </w:r>
      <w:r w:rsidR="0067718A" w:rsidRPr="00EF7399">
        <w:rPr>
          <w:rFonts w:ascii="Times New Roman" w:hAnsi="Times New Roman" w:cs="Times New Roman"/>
          <w:lang w:val="af-ZA"/>
        </w:rPr>
        <w:t xml:space="preserve">մանը </w:t>
      </w:r>
      <w:r w:rsidRPr="00EF7399">
        <w:rPr>
          <w:rFonts w:ascii="Times New Roman" w:hAnsi="Times New Roman" w:cs="Times New Roman"/>
          <w:lang w:val="af-ZA"/>
        </w:rPr>
        <w:t>(</w:t>
      </w:r>
      <w:hyperlink r:id="rId333" w:history="1">
        <w:r w:rsidRPr="00EF7399">
          <w:rPr>
            <w:rStyle w:val="Hyperlink"/>
            <w:rFonts w:ascii="Times New Roman" w:hAnsi="Times New Roman" w:cs="Times New Roman"/>
            <w:lang w:val="af-ZA"/>
          </w:rPr>
          <w:t>Sidiropoulos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Greece</w:t>
        </w:r>
      </w:hyperlink>
      <w:r w:rsidRPr="00EF7399">
        <w:rPr>
          <w:rFonts w:ascii="Times New Roman" w:hAnsi="Times New Roman" w:cs="Times New Roman"/>
          <w:lang w:val="af-ZA"/>
        </w:rPr>
        <w:t xml:space="preserve">, </w:t>
      </w:r>
      <w:r w:rsidR="007A38BA" w:rsidRPr="00EF7399">
        <w:rPr>
          <w:rFonts w:ascii="Times New Roman" w:hAnsi="Times New Roman" w:cs="Times New Roman"/>
          <w:lang w:val="af-ZA"/>
        </w:rPr>
        <w:t xml:space="preserve">1998,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31; </w:t>
      </w:r>
      <w:hyperlink r:id="rId334" w:history="1">
        <w:r w:rsidRPr="00EF7399">
          <w:rPr>
            <w:rStyle w:val="Hyperlink"/>
            <w:rFonts w:ascii="Times New Roman" w:hAnsi="Times New Roman" w:cs="Times New Roman"/>
            <w:lang w:val="af-ZA"/>
          </w:rPr>
          <w:t>Koretskyy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Ukraine</w:t>
        </w:r>
      </w:hyperlink>
      <w:r w:rsidRPr="00EF7399">
        <w:rPr>
          <w:rFonts w:ascii="Times New Roman" w:hAnsi="Times New Roman" w:cs="Times New Roman"/>
          <w:lang w:val="af-ZA"/>
        </w:rPr>
        <w:t xml:space="preserve">, </w:t>
      </w:r>
      <w:r w:rsidR="00F11699" w:rsidRPr="00EF7399">
        <w:rPr>
          <w:rFonts w:ascii="Times New Roman" w:hAnsi="Times New Roman" w:cs="Times New Roman"/>
          <w:lang w:val="af-ZA"/>
        </w:rPr>
        <w:t xml:space="preserve">2008,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39; </w:t>
      </w:r>
      <w:hyperlink r:id="rId335" w:history="1">
        <w:r w:rsidRPr="00EF7399">
          <w:rPr>
            <w:rStyle w:val="Hyperlink"/>
            <w:rFonts w:ascii="Times New Roman" w:hAnsi="Times New Roman" w:cs="Times New Roman"/>
            <w:lang w:val="af-ZA"/>
          </w:rPr>
          <w:t>Özbek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w:t>
      </w:r>
      <w:r w:rsidR="00F11699" w:rsidRPr="00EF7399">
        <w:rPr>
          <w:rFonts w:ascii="Times New Roman" w:hAnsi="Times New Roman" w:cs="Times New Roman"/>
          <w:lang w:val="af-ZA"/>
        </w:rPr>
        <w:t xml:space="preserve">2009, </w:t>
      </w:r>
      <w:r w:rsidR="00873234" w:rsidRPr="00EF7399">
        <w:rPr>
          <w:rFonts w:ascii="Times New Roman" w:hAnsi="Times New Roman" w:cs="Times New Roman"/>
          <w:lang w:val="af-ZA"/>
        </w:rPr>
        <w:t>§ </w:t>
      </w:r>
      <w:r w:rsidRPr="00EF7399">
        <w:rPr>
          <w:rFonts w:ascii="Times New Roman" w:hAnsi="Times New Roman" w:cs="Times New Roman"/>
          <w:lang w:val="af-ZA"/>
        </w:rPr>
        <w:t>35)</w:t>
      </w:r>
      <w:r w:rsidR="0067718A" w:rsidRPr="00EF7399">
        <w:rPr>
          <w:rFonts w:ascii="Times New Roman" w:hAnsi="Times New Roman" w:cs="Times New Roman"/>
          <w:lang w:val="af-ZA"/>
        </w:rPr>
        <w:t xml:space="preserve">: Գրանցման </w:t>
      </w:r>
      <w:r w:rsidR="00661C7C" w:rsidRPr="00EF7399">
        <w:rPr>
          <w:rFonts w:ascii="Times New Roman" w:hAnsi="Times New Roman" w:cs="Times New Roman"/>
          <w:lang w:val="af-ZA"/>
        </w:rPr>
        <w:t>ընթացակարգի</w:t>
      </w:r>
      <w:r w:rsidR="0067718A" w:rsidRPr="00EF7399">
        <w:rPr>
          <w:rFonts w:ascii="Times New Roman" w:hAnsi="Times New Roman" w:cs="Times New Roman"/>
          <w:lang w:val="af-ZA"/>
        </w:rPr>
        <w:t xml:space="preserve"> զգալի  </w:t>
      </w:r>
      <w:r w:rsidR="00661C7C" w:rsidRPr="00EF7399">
        <w:rPr>
          <w:rFonts w:ascii="Times New Roman" w:hAnsi="Times New Roman" w:cs="Times New Roman"/>
          <w:lang w:val="af-ZA"/>
        </w:rPr>
        <w:t xml:space="preserve">ձգձգումները նույնպես համարվում են նման միջամտություն </w:t>
      </w:r>
      <w:r w:rsidRPr="00EF7399">
        <w:rPr>
          <w:rFonts w:ascii="Times New Roman" w:hAnsi="Times New Roman" w:cs="Times New Roman"/>
          <w:lang w:val="af-ZA"/>
        </w:rPr>
        <w:t>(</w:t>
      </w:r>
      <w:hyperlink r:id="rId336" w:history="1">
        <w:r w:rsidRPr="00EF7399">
          <w:rPr>
            <w:rStyle w:val="Hyperlink"/>
            <w:rFonts w:ascii="Times New Roman" w:hAnsi="Times New Roman" w:cs="Times New Roman"/>
            <w:lang w:val="af-ZA"/>
          </w:rPr>
          <w:t>Ramazanova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Azerbaijan</w:t>
        </w:r>
      </w:hyperlink>
      <w:r w:rsidRPr="00EF7399">
        <w:rPr>
          <w:rFonts w:ascii="Times New Roman" w:hAnsi="Times New Roman" w:cs="Times New Roman"/>
          <w:lang w:val="af-ZA"/>
        </w:rPr>
        <w:t xml:space="preserve">, </w:t>
      </w:r>
      <w:r w:rsidR="00F11699" w:rsidRPr="00EF7399">
        <w:rPr>
          <w:rFonts w:ascii="Times New Roman" w:hAnsi="Times New Roman" w:cs="Times New Roman"/>
          <w:lang w:val="af-ZA"/>
        </w:rPr>
        <w:t xml:space="preserve">2007,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60; </w:t>
      </w:r>
      <w:hyperlink r:id="rId337" w:history="1">
        <w:r w:rsidRPr="00EF7399">
          <w:rPr>
            <w:rStyle w:val="Hyperlink"/>
            <w:rFonts w:ascii="Times New Roman" w:hAnsi="Times New Roman" w:cs="Times New Roman"/>
            <w:lang w:val="af-ZA"/>
          </w:rPr>
          <w:t>Aliyev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Azerbaijan</w:t>
        </w:r>
      </w:hyperlink>
      <w:r w:rsidRPr="00EF7399">
        <w:rPr>
          <w:rFonts w:ascii="Times New Roman" w:hAnsi="Times New Roman" w:cs="Times New Roman"/>
          <w:lang w:val="af-ZA"/>
        </w:rPr>
        <w:t xml:space="preserve">, </w:t>
      </w:r>
      <w:r w:rsidR="00F11699" w:rsidRPr="00EF7399">
        <w:rPr>
          <w:rFonts w:ascii="Times New Roman" w:hAnsi="Times New Roman" w:cs="Times New Roman"/>
          <w:lang w:val="af-ZA"/>
        </w:rPr>
        <w:t xml:space="preserve">2008, </w:t>
      </w:r>
      <w:r w:rsidR="00873234" w:rsidRPr="00EF7399">
        <w:rPr>
          <w:rFonts w:ascii="Times New Roman" w:hAnsi="Times New Roman" w:cs="Times New Roman"/>
          <w:lang w:val="af-ZA"/>
        </w:rPr>
        <w:t>§ </w:t>
      </w:r>
      <w:r w:rsidRPr="00EF7399">
        <w:rPr>
          <w:rFonts w:ascii="Times New Roman" w:hAnsi="Times New Roman" w:cs="Times New Roman"/>
          <w:lang w:val="af-ZA"/>
        </w:rPr>
        <w:t>33)</w:t>
      </w:r>
      <w:r w:rsidR="00661C7C" w:rsidRPr="00EF7399">
        <w:rPr>
          <w:rFonts w:ascii="Times New Roman" w:hAnsi="Times New Roman" w:cs="Times New Roman"/>
          <w:lang w:val="af-ZA"/>
        </w:rPr>
        <w:t>:</w:t>
      </w:r>
    </w:p>
    <w:p w14:paraId="72D443FF" w14:textId="51198AD6" w:rsidR="009F65D1" w:rsidRPr="00EF7399" w:rsidRDefault="009F65D1" w:rsidP="009F65D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133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E97BC4" w:rsidRPr="00EF7399">
        <w:rPr>
          <w:rFonts w:ascii="Times New Roman" w:hAnsi="Times New Roman" w:cs="Times New Roman"/>
          <w:lang w:val="af-ZA"/>
        </w:rPr>
        <w:t>Իշխանությունների</w:t>
      </w:r>
      <w:r w:rsidR="00602119" w:rsidRPr="00EF7399">
        <w:rPr>
          <w:rFonts w:ascii="Times New Roman" w:hAnsi="Times New Roman" w:cs="Times New Roman"/>
          <w:lang w:val="hy-AM"/>
        </w:rPr>
        <w:t xml:space="preserve"> կողմից</w:t>
      </w:r>
      <w:r w:rsidR="00E97BC4" w:rsidRPr="00EF7399">
        <w:rPr>
          <w:rFonts w:ascii="Times New Roman" w:hAnsi="Times New Roman" w:cs="Times New Roman"/>
          <w:lang w:val="af-ZA"/>
        </w:rPr>
        <w:t xml:space="preserve"> խ</w:t>
      </w:r>
      <w:r w:rsidR="00602119" w:rsidRPr="00EF7399">
        <w:rPr>
          <w:rFonts w:ascii="Times New Roman" w:hAnsi="Times New Roman" w:cs="Times New Roman"/>
          <w:lang w:val="hy-AM"/>
        </w:rPr>
        <w:t>մբի</w:t>
      </w:r>
      <w:r w:rsidR="00E97BC4" w:rsidRPr="00EF7399">
        <w:rPr>
          <w:rFonts w:ascii="Times New Roman" w:hAnsi="Times New Roman" w:cs="Times New Roman"/>
          <w:lang w:val="af-ZA"/>
        </w:rPr>
        <w:t xml:space="preserve"> գրանցման մերժումն անմիջականորեն ազդում է </w:t>
      </w:r>
      <w:r w:rsidR="00602119" w:rsidRPr="00EF7399">
        <w:rPr>
          <w:rFonts w:ascii="Times New Roman" w:hAnsi="Times New Roman" w:cs="Times New Roman"/>
          <w:lang w:val="hy-AM"/>
        </w:rPr>
        <w:t>ինչպես</w:t>
      </w:r>
      <w:r w:rsidR="00602119" w:rsidRPr="00EF7399">
        <w:rPr>
          <w:rFonts w:ascii="Times New Roman" w:hAnsi="Times New Roman" w:cs="Times New Roman"/>
          <w:lang w:val="af-ZA"/>
        </w:rPr>
        <w:t xml:space="preserve"> </w:t>
      </w:r>
      <w:r w:rsidR="00E97BC4" w:rsidRPr="00EF7399">
        <w:rPr>
          <w:rFonts w:ascii="Times New Roman" w:hAnsi="Times New Roman" w:cs="Times New Roman"/>
          <w:lang w:val="af-ZA"/>
        </w:rPr>
        <w:t xml:space="preserve">խմբի, </w:t>
      </w:r>
      <w:r w:rsidR="00602119" w:rsidRPr="00EF7399">
        <w:rPr>
          <w:rFonts w:ascii="Times New Roman" w:hAnsi="Times New Roman" w:cs="Times New Roman"/>
          <w:lang w:val="hy-AM"/>
        </w:rPr>
        <w:t>այնպես էլ</w:t>
      </w:r>
      <w:r w:rsidR="00E97BC4" w:rsidRPr="00EF7399">
        <w:rPr>
          <w:rFonts w:ascii="Times New Roman" w:hAnsi="Times New Roman" w:cs="Times New Roman"/>
          <w:lang w:val="af-ZA"/>
        </w:rPr>
        <w:t xml:space="preserve"> դրա նախագահների, հիմնադիրների կամ անհատ անդամների վրա </w:t>
      </w:r>
      <w:r w:rsidRPr="00EF7399">
        <w:rPr>
          <w:rFonts w:ascii="Times New Roman" w:hAnsi="Times New Roman" w:cs="Times New Roman"/>
          <w:lang w:val="af-ZA"/>
        </w:rPr>
        <w:t>(</w:t>
      </w:r>
      <w:hyperlink r:id="rId338" w:history="1">
        <w:r w:rsidRPr="00EF7399">
          <w:rPr>
            <w:rStyle w:val="Hyperlink"/>
            <w:rFonts w:ascii="Times New Roman" w:hAnsi="Times New Roman" w:cs="Times New Roman"/>
            <w:lang w:val="af-ZA"/>
          </w:rPr>
          <w:t>Kimlya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Russia</w:t>
        </w:r>
      </w:hyperlink>
      <w:r w:rsidR="00D639BC" w:rsidRPr="00EF7399">
        <w:rPr>
          <w:rFonts w:ascii="Times New Roman" w:hAnsi="Times New Roman" w:cs="Times New Roman"/>
          <w:lang w:val="af-ZA"/>
        </w:rPr>
        <w:t xml:space="preserve">, </w:t>
      </w:r>
      <w:r w:rsidR="00F11699" w:rsidRPr="00EF7399">
        <w:rPr>
          <w:rFonts w:ascii="Times New Roman" w:hAnsi="Times New Roman" w:cs="Times New Roman"/>
          <w:lang w:val="af-ZA"/>
        </w:rPr>
        <w:t xml:space="preserve">2009, </w:t>
      </w:r>
      <w:r w:rsidR="00873234" w:rsidRPr="00EF7399">
        <w:rPr>
          <w:rFonts w:ascii="Times New Roman" w:hAnsi="Times New Roman" w:cs="Times New Roman"/>
          <w:lang w:val="af-ZA"/>
        </w:rPr>
        <w:t>§ </w:t>
      </w:r>
      <w:r w:rsidR="00D639BC" w:rsidRPr="00EF7399">
        <w:rPr>
          <w:rFonts w:ascii="Times New Roman" w:hAnsi="Times New Roman" w:cs="Times New Roman"/>
          <w:lang w:val="af-ZA"/>
        </w:rPr>
        <w:t>84</w:t>
      </w:r>
      <w:r w:rsidRPr="00EF7399">
        <w:rPr>
          <w:rFonts w:ascii="Times New Roman" w:hAnsi="Times New Roman" w:cs="Times New Roman"/>
          <w:lang w:val="af-ZA"/>
        </w:rPr>
        <w:t>)</w:t>
      </w:r>
      <w:r w:rsidR="00E97BC4" w:rsidRPr="00EF7399">
        <w:rPr>
          <w:rFonts w:ascii="Times New Roman" w:hAnsi="Times New Roman" w:cs="Times New Roman"/>
          <w:lang w:val="af-ZA"/>
        </w:rPr>
        <w:t>:</w:t>
      </w:r>
    </w:p>
    <w:p w14:paraId="544186CB" w14:textId="1D8BB8EB" w:rsidR="009F65D1" w:rsidRPr="00EF7399" w:rsidRDefault="009F65D1" w:rsidP="009F65D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134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E97BC4" w:rsidRPr="00EF7399">
        <w:rPr>
          <w:rFonts w:ascii="Times New Roman" w:hAnsi="Times New Roman" w:cs="Times New Roman"/>
          <w:lang w:val="af-ZA"/>
        </w:rPr>
        <w:t>Միավորմանը չի կար</w:t>
      </w:r>
      <w:r w:rsidR="00602119" w:rsidRPr="00EF7399">
        <w:rPr>
          <w:rFonts w:ascii="Times New Roman" w:hAnsi="Times New Roman" w:cs="Times New Roman"/>
          <w:lang w:val="hy-AM"/>
        </w:rPr>
        <w:t>ող</w:t>
      </w:r>
      <w:r w:rsidR="00E97BC4" w:rsidRPr="00EF7399">
        <w:rPr>
          <w:rFonts w:ascii="Times New Roman" w:hAnsi="Times New Roman" w:cs="Times New Roman"/>
          <w:lang w:val="af-ZA"/>
        </w:rPr>
        <w:t xml:space="preserve"> պարտադր</w:t>
      </w:r>
      <w:r w:rsidR="00602119" w:rsidRPr="00EF7399">
        <w:rPr>
          <w:rFonts w:ascii="Times New Roman" w:hAnsi="Times New Roman" w:cs="Times New Roman"/>
          <w:lang w:val="hy-AM"/>
        </w:rPr>
        <w:t>վ</w:t>
      </w:r>
      <w:r w:rsidR="00E97BC4" w:rsidRPr="00EF7399">
        <w:rPr>
          <w:rFonts w:ascii="Times New Roman" w:hAnsi="Times New Roman" w:cs="Times New Roman"/>
          <w:lang w:val="af-ZA"/>
        </w:rPr>
        <w:t>ել իրավական ձև, որ</w:t>
      </w:r>
      <w:r w:rsidR="00602119" w:rsidRPr="00EF7399">
        <w:rPr>
          <w:rFonts w:ascii="Times New Roman" w:hAnsi="Times New Roman" w:cs="Times New Roman"/>
          <w:lang w:val="hy-AM"/>
        </w:rPr>
        <w:t>ին</w:t>
      </w:r>
      <w:r w:rsidR="00E97BC4" w:rsidRPr="00EF7399">
        <w:rPr>
          <w:rFonts w:ascii="Times New Roman" w:hAnsi="Times New Roman" w:cs="Times New Roman"/>
          <w:lang w:val="af-ZA"/>
        </w:rPr>
        <w:t xml:space="preserve"> </w:t>
      </w:r>
      <w:r w:rsidR="00A3364E" w:rsidRPr="00EF7399">
        <w:rPr>
          <w:rFonts w:ascii="Times New Roman" w:hAnsi="Times New Roman" w:cs="Times New Roman"/>
          <w:lang w:val="af-ZA"/>
        </w:rPr>
        <w:t>այն</w:t>
      </w:r>
      <w:r w:rsidR="00E97BC4" w:rsidRPr="00EF7399">
        <w:rPr>
          <w:rFonts w:ascii="Times New Roman" w:hAnsi="Times New Roman" w:cs="Times New Roman"/>
          <w:lang w:val="af-ZA"/>
        </w:rPr>
        <w:t xml:space="preserve"> չի </w:t>
      </w:r>
      <w:r w:rsidR="00602119" w:rsidRPr="00EF7399">
        <w:rPr>
          <w:rFonts w:ascii="Times New Roman" w:hAnsi="Times New Roman" w:cs="Times New Roman"/>
          <w:lang w:val="hy-AM"/>
        </w:rPr>
        <w:t>ձգտում</w:t>
      </w:r>
      <w:r w:rsidR="00A3364E" w:rsidRPr="00EF7399">
        <w:rPr>
          <w:rFonts w:ascii="Times New Roman" w:hAnsi="Times New Roman" w:cs="Times New Roman"/>
          <w:lang w:val="af-ZA"/>
        </w:rPr>
        <w:t>, քանի որ դա կսահմանափակի հիմնադիրների և անդամների միավորման ազատությունը</w:t>
      </w:r>
      <w:r w:rsidR="00602119" w:rsidRPr="00EF7399">
        <w:rPr>
          <w:rFonts w:ascii="Times New Roman" w:hAnsi="Times New Roman" w:cs="Times New Roman"/>
          <w:lang w:val="hy-AM"/>
        </w:rPr>
        <w:t>՝</w:t>
      </w:r>
      <w:r w:rsidR="00A3364E" w:rsidRPr="00EF7399">
        <w:rPr>
          <w:rFonts w:ascii="Times New Roman" w:hAnsi="Times New Roman" w:cs="Times New Roman"/>
          <w:lang w:val="af-ZA"/>
        </w:rPr>
        <w:t xml:space="preserve"> դարձնելով այն գոյություն կամ գործնական արժեք չունեցող </w:t>
      </w:r>
      <w:r w:rsidRPr="00EF7399">
        <w:rPr>
          <w:rFonts w:ascii="Times New Roman" w:hAnsi="Times New Roman" w:cs="Times New Roman"/>
          <w:lang w:val="af-ZA"/>
        </w:rPr>
        <w:t>(</w:t>
      </w:r>
      <w:hyperlink r:id="rId339" w:history="1">
        <w:r w:rsidRPr="00EF7399">
          <w:rPr>
            <w:rStyle w:val="Hyperlink"/>
            <w:rFonts w:ascii="Times New Roman" w:hAnsi="Times New Roman" w:cs="Times New Roman"/>
            <w:lang w:val="af-ZA"/>
          </w:rPr>
          <w:t>Republican Party of Russia</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Russia</w:t>
        </w:r>
      </w:hyperlink>
      <w:r w:rsidRPr="00EF7399">
        <w:rPr>
          <w:rFonts w:ascii="Times New Roman" w:hAnsi="Times New Roman" w:cs="Times New Roman"/>
          <w:lang w:val="af-ZA"/>
        </w:rPr>
        <w:t xml:space="preserve">, </w:t>
      </w:r>
      <w:r w:rsidR="00F11699" w:rsidRPr="00EF7399">
        <w:rPr>
          <w:rFonts w:ascii="Times New Roman" w:hAnsi="Times New Roman" w:cs="Times New Roman"/>
          <w:lang w:val="af-ZA"/>
        </w:rPr>
        <w:t xml:space="preserve">2011,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105; </w:t>
      </w:r>
      <w:hyperlink r:id="rId340" w:history="1">
        <w:r w:rsidRPr="00EF7399">
          <w:rPr>
            <w:rStyle w:val="Hyperlink"/>
            <w:rFonts w:ascii="Times New Roman" w:hAnsi="Times New Roman" w:cs="Times New Roman"/>
            <w:lang w:val="af-ZA"/>
          </w:rPr>
          <w:t>Zhechev</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Bulgaria</w:t>
        </w:r>
      </w:hyperlink>
      <w:r w:rsidRPr="00EF7399">
        <w:rPr>
          <w:rFonts w:ascii="Times New Roman" w:hAnsi="Times New Roman" w:cs="Times New Roman"/>
          <w:lang w:val="af-ZA"/>
        </w:rPr>
        <w:t xml:space="preserve">, </w:t>
      </w:r>
      <w:r w:rsidR="00983154" w:rsidRPr="00EF7399">
        <w:rPr>
          <w:rFonts w:ascii="Times New Roman" w:hAnsi="Times New Roman" w:cs="Times New Roman"/>
          <w:lang w:val="af-ZA"/>
        </w:rPr>
        <w:t xml:space="preserve">2007,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56; </w:t>
      </w:r>
      <w:hyperlink r:id="rId341" w:history="1">
        <w:r w:rsidRPr="00EF7399">
          <w:rPr>
            <w:rStyle w:val="Hyperlink"/>
            <w:rFonts w:ascii="Times New Roman" w:hAnsi="Times New Roman" w:cs="Times New Roman"/>
            <w:iCs/>
            <w:lang w:val="af-ZA"/>
          </w:rPr>
          <w:t>National Turkish Union Kungyun</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Bulgaria</w:t>
        </w:r>
      </w:hyperlink>
      <w:r w:rsidRPr="00EF7399">
        <w:rPr>
          <w:rFonts w:ascii="Times New Roman" w:hAnsi="Times New Roman" w:cs="Times New Roman"/>
          <w:lang w:val="af-ZA"/>
        </w:rPr>
        <w:t xml:space="preserve">, </w:t>
      </w:r>
      <w:r w:rsidR="00F11699" w:rsidRPr="00EF7399">
        <w:rPr>
          <w:rFonts w:ascii="Times New Roman" w:hAnsi="Times New Roman" w:cs="Times New Roman"/>
          <w:lang w:val="af-ZA"/>
        </w:rPr>
        <w:t xml:space="preserve">2017, </w:t>
      </w:r>
      <w:r w:rsidR="00873234" w:rsidRPr="00EF7399">
        <w:rPr>
          <w:rFonts w:ascii="Times New Roman" w:hAnsi="Times New Roman" w:cs="Times New Roman"/>
          <w:lang w:val="af-ZA"/>
        </w:rPr>
        <w:t>§ </w:t>
      </w:r>
      <w:r w:rsidRPr="00EF7399">
        <w:rPr>
          <w:rFonts w:ascii="Times New Roman" w:hAnsi="Times New Roman" w:cs="Times New Roman"/>
          <w:lang w:val="af-ZA"/>
        </w:rPr>
        <w:t>41).</w:t>
      </w:r>
      <w:r w:rsidRPr="00EF7399">
        <w:rPr>
          <w:rFonts w:ascii="Times New Roman" w:hAnsi="Times New Roman" w:cs="Times New Roman"/>
          <w:i/>
          <w:lang w:val="af-ZA"/>
        </w:rPr>
        <w:t xml:space="preserve"> </w:t>
      </w:r>
      <w:r w:rsidR="00602119" w:rsidRPr="00EF7399">
        <w:rPr>
          <w:rFonts w:ascii="Times New Roman" w:hAnsi="Times New Roman" w:cs="Times New Roman"/>
          <w:lang w:val="hy-AM"/>
        </w:rPr>
        <w:t>Ասվածով հանդերձ</w:t>
      </w:r>
      <w:r w:rsidR="00A3364E" w:rsidRPr="00EF7399">
        <w:rPr>
          <w:rFonts w:ascii="Times New Roman" w:hAnsi="Times New Roman" w:cs="Times New Roman"/>
          <w:lang w:val="af-ZA"/>
        </w:rPr>
        <w:t xml:space="preserve">, 11-րդ հոդվածով </w:t>
      </w:r>
      <w:r w:rsidR="000D2D55" w:rsidRPr="00EF7399">
        <w:rPr>
          <w:rFonts w:ascii="Times New Roman" w:hAnsi="Times New Roman" w:cs="Times New Roman"/>
          <w:lang w:val="af-ZA"/>
        </w:rPr>
        <w:t xml:space="preserve">միավորումների համար </w:t>
      </w:r>
      <w:r w:rsidR="00A3364E" w:rsidRPr="00EF7399">
        <w:rPr>
          <w:rFonts w:ascii="Times New Roman" w:hAnsi="Times New Roman" w:cs="Times New Roman"/>
          <w:lang w:val="af-ZA"/>
        </w:rPr>
        <w:t xml:space="preserve">նախատեսված չէ </w:t>
      </w:r>
      <w:r w:rsidR="000D2D55" w:rsidRPr="00EF7399">
        <w:rPr>
          <w:rFonts w:ascii="Times New Roman" w:hAnsi="Times New Roman" w:cs="Times New Roman"/>
          <w:lang w:val="af-ZA"/>
        </w:rPr>
        <w:t>որոշակի իրավական կարգավ</w:t>
      </w:r>
      <w:r w:rsidR="00A3364E" w:rsidRPr="00EF7399">
        <w:rPr>
          <w:rFonts w:ascii="Times New Roman" w:hAnsi="Times New Roman" w:cs="Times New Roman"/>
          <w:lang w:val="af-ZA"/>
        </w:rPr>
        <w:t>ի</w:t>
      </w:r>
      <w:r w:rsidR="000D2D55" w:rsidRPr="00EF7399">
        <w:rPr>
          <w:rFonts w:ascii="Times New Roman" w:hAnsi="Times New Roman" w:cs="Times New Roman"/>
          <w:lang w:val="af-ZA"/>
        </w:rPr>
        <w:t>ճակ ունենալու ի</w:t>
      </w:r>
      <w:r w:rsidR="00A3364E" w:rsidRPr="00EF7399">
        <w:rPr>
          <w:rFonts w:ascii="Times New Roman" w:hAnsi="Times New Roman" w:cs="Times New Roman"/>
          <w:lang w:val="af-ZA"/>
        </w:rPr>
        <w:t xml:space="preserve">րավունք </w:t>
      </w:r>
      <w:r w:rsidRPr="00EF7399">
        <w:rPr>
          <w:rFonts w:ascii="Times New Roman" w:hAnsi="Times New Roman" w:cs="Times New Roman"/>
          <w:lang w:val="af-ZA"/>
        </w:rPr>
        <w:t>(</w:t>
      </w:r>
      <w:hyperlink r:id="rId342" w:history="1">
        <w:r w:rsidRPr="00EF7399">
          <w:rPr>
            <w:rStyle w:val="Hyperlink"/>
            <w:rFonts w:ascii="Times New Roman" w:hAnsi="Times New Roman" w:cs="Times New Roman"/>
            <w:lang w:val="af-ZA"/>
          </w:rPr>
          <w:t>Magyar Keresztény Mennonita Egyház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Hungary</w:t>
        </w:r>
      </w:hyperlink>
      <w:r w:rsidRPr="00EF7399">
        <w:rPr>
          <w:rFonts w:ascii="Times New Roman" w:hAnsi="Times New Roman" w:cs="Times New Roman"/>
          <w:lang w:val="af-ZA"/>
        </w:rPr>
        <w:t xml:space="preserve">, </w:t>
      </w:r>
      <w:r w:rsidR="00F11699"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Pr="00EF7399">
        <w:rPr>
          <w:rFonts w:ascii="Times New Roman" w:hAnsi="Times New Roman" w:cs="Times New Roman"/>
          <w:lang w:val="af-ZA"/>
        </w:rPr>
        <w:t>91)</w:t>
      </w:r>
      <w:r w:rsidR="000D2D55" w:rsidRPr="00EF7399">
        <w:rPr>
          <w:rFonts w:ascii="Times New Roman" w:hAnsi="Times New Roman" w:cs="Times New Roman"/>
          <w:lang w:val="af-ZA"/>
        </w:rPr>
        <w:t>:</w:t>
      </w:r>
    </w:p>
    <w:p w14:paraId="70DD0F02" w14:textId="3D049FB1" w:rsidR="009F65D1" w:rsidRPr="00EF7399" w:rsidRDefault="00763E4B" w:rsidP="009F65D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135</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0D2D55" w:rsidRPr="00EF7399">
        <w:rPr>
          <w:rFonts w:ascii="Times New Roman" w:hAnsi="Times New Roman" w:cs="Times New Roman"/>
          <w:lang w:val="af-ZA"/>
        </w:rPr>
        <w:t>Թեև ոչ ֆորմալ միավորումները նույնպես օգտվում են 11-րդ հոդվածի պաշտպանությունից</w:t>
      </w:r>
      <w:r w:rsidR="00602119" w:rsidRPr="00EF7399">
        <w:rPr>
          <w:rFonts w:ascii="Times New Roman" w:hAnsi="Times New Roman" w:cs="Times New Roman"/>
          <w:lang w:val="hy-AM"/>
        </w:rPr>
        <w:t>,</w:t>
      </w:r>
      <w:r w:rsidR="000D2D55" w:rsidRPr="00EF7399">
        <w:rPr>
          <w:rFonts w:ascii="Times New Roman" w:hAnsi="Times New Roman" w:cs="Times New Roman"/>
          <w:lang w:val="af-ZA"/>
        </w:rPr>
        <w:t xml:space="preserve"> իրավաբանական անձի կարգավիճակի բացակայությունը կարող է բացասական ազդեցություն ունենալ դրանց</w:t>
      </w:r>
      <w:r w:rsidR="007E5F22" w:rsidRPr="00EF7399">
        <w:rPr>
          <w:rFonts w:ascii="Times New Roman" w:hAnsi="Times New Roman" w:cs="Times New Roman"/>
          <w:lang w:val="af-ZA"/>
        </w:rPr>
        <w:t xml:space="preserve"> </w:t>
      </w:r>
      <w:r w:rsidR="0070532A" w:rsidRPr="00EF7399">
        <w:rPr>
          <w:rFonts w:ascii="Times New Roman" w:hAnsi="Times New Roman" w:cs="Times New Roman"/>
          <w:lang w:val="hy-AM"/>
        </w:rPr>
        <w:t>գործառութավորման</w:t>
      </w:r>
      <w:r w:rsidR="0070532A" w:rsidRPr="00EF7399">
        <w:rPr>
          <w:rFonts w:ascii="Times New Roman" w:hAnsi="Times New Roman" w:cs="Times New Roman"/>
          <w:lang w:val="af-ZA"/>
        </w:rPr>
        <w:t xml:space="preserve"> </w:t>
      </w:r>
      <w:r w:rsidR="007E5F22" w:rsidRPr="00EF7399">
        <w:rPr>
          <w:rFonts w:ascii="Times New Roman" w:hAnsi="Times New Roman" w:cs="Times New Roman"/>
          <w:lang w:val="af-ZA"/>
        </w:rPr>
        <w:t>և</w:t>
      </w:r>
      <w:r w:rsidR="000D2D55" w:rsidRPr="00EF7399">
        <w:rPr>
          <w:rFonts w:ascii="Times New Roman" w:hAnsi="Times New Roman" w:cs="Times New Roman"/>
          <w:lang w:val="af-ZA"/>
        </w:rPr>
        <w:t xml:space="preserve"> գործունեության վրա </w:t>
      </w:r>
      <w:r w:rsidR="009F65D1" w:rsidRPr="00EF7399">
        <w:rPr>
          <w:rFonts w:ascii="Times New Roman" w:hAnsi="Times New Roman" w:cs="Times New Roman"/>
          <w:lang w:val="af-ZA"/>
        </w:rPr>
        <w:t>(</w:t>
      </w:r>
      <w:hyperlink r:id="rId343" w:history="1">
        <w:r w:rsidR="003F7A5C" w:rsidRPr="00EF7399">
          <w:rPr>
            <w:rStyle w:val="Hyperlink"/>
            <w:rFonts w:ascii="Times New Roman" w:hAnsi="Times New Roman" w:cs="Times New Roman"/>
            <w:lang w:val="af-ZA"/>
          </w:rPr>
          <w:t>The United Macedonian Organisation Ilinden and Others</w:t>
        </w:r>
        <w:r w:rsidR="00873234" w:rsidRPr="00EF7399">
          <w:rPr>
            <w:rStyle w:val="Hyperlink"/>
            <w:rFonts w:ascii="Times New Roman" w:hAnsi="Times New Roman" w:cs="Times New Roman"/>
            <w:lang w:val="af-ZA"/>
          </w:rPr>
          <w:t xml:space="preserve"> v. </w:t>
        </w:r>
        <w:r w:rsidR="003F7A5C" w:rsidRPr="00EF7399">
          <w:rPr>
            <w:rStyle w:val="Hyperlink"/>
            <w:rFonts w:ascii="Times New Roman" w:hAnsi="Times New Roman" w:cs="Times New Roman"/>
            <w:lang w:val="af-ZA"/>
          </w:rPr>
          <w:t>Bulgaria</w:t>
        </w:r>
      </w:hyperlink>
      <w:r w:rsidR="009F65D1" w:rsidRPr="00EF7399">
        <w:rPr>
          <w:rFonts w:ascii="Times New Roman" w:hAnsi="Times New Roman" w:cs="Times New Roman"/>
          <w:lang w:val="af-ZA"/>
        </w:rPr>
        <w:t xml:space="preserve">, </w:t>
      </w:r>
      <w:r w:rsidR="001821E6" w:rsidRPr="00EF7399">
        <w:rPr>
          <w:rFonts w:ascii="Times New Roman" w:hAnsi="Times New Roman" w:cs="Times New Roman"/>
          <w:lang w:val="af-ZA"/>
        </w:rPr>
        <w:t xml:space="preserve">2006, </w:t>
      </w:r>
      <w:r w:rsidR="00873234" w:rsidRPr="00EF7399">
        <w:rPr>
          <w:rFonts w:ascii="Times New Roman" w:hAnsi="Times New Roman" w:cs="Times New Roman"/>
          <w:lang w:val="af-ZA"/>
        </w:rPr>
        <w:t>§ </w:t>
      </w:r>
      <w:r w:rsidR="009F65D1" w:rsidRPr="00EF7399">
        <w:rPr>
          <w:rFonts w:ascii="Times New Roman" w:hAnsi="Times New Roman" w:cs="Times New Roman"/>
          <w:lang w:val="af-ZA"/>
        </w:rPr>
        <w:t xml:space="preserve">53; </w:t>
      </w:r>
      <w:hyperlink r:id="rId344" w:history="1">
        <w:r w:rsidR="009F65D1" w:rsidRPr="00EF7399">
          <w:rPr>
            <w:rStyle w:val="Hyperlink"/>
            <w:rFonts w:ascii="Times New Roman" w:hAnsi="Times New Roman" w:cs="Times New Roman"/>
            <w:lang w:val="af-ZA"/>
          </w:rPr>
          <w:t>Moscow Branch of the Salvation Army</w:t>
        </w:r>
        <w:r w:rsidR="00873234" w:rsidRPr="00EF7399">
          <w:rPr>
            <w:rStyle w:val="Hyperlink"/>
            <w:rFonts w:ascii="Times New Roman" w:hAnsi="Times New Roman" w:cs="Times New Roman"/>
            <w:lang w:val="af-ZA"/>
          </w:rPr>
          <w:t xml:space="preserve"> v. </w:t>
        </w:r>
        <w:r w:rsidR="009F65D1" w:rsidRPr="00EF7399">
          <w:rPr>
            <w:rStyle w:val="Hyperlink"/>
            <w:rFonts w:ascii="Times New Roman" w:hAnsi="Times New Roman" w:cs="Times New Roman"/>
            <w:lang w:val="af-ZA"/>
          </w:rPr>
          <w:t>Russia</w:t>
        </w:r>
      </w:hyperlink>
      <w:r w:rsidR="00A145D5" w:rsidRPr="00EF7399">
        <w:rPr>
          <w:rFonts w:ascii="Times New Roman" w:hAnsi="Times New Roman" w:cs="Times New Roman"/>
          <w:lang w:val="af-ZA"/>
        </w:rPr>
        <w:t xml:space="preserve">, </w:t>
      </w:r>
      <w:r w:rsidR="007A38BA" w:rsidRPr="00EF7399">
        <w:rPr>
          <w:rFonts w:ascii="Times New Roman" w:hAnsi="Times New Roman" w:cs="Times New Roman"/>
          <w:lang w:val="af-ZA"/>
        </w:rPr>
        <w:t xml:space="preserve">2006, </w:t>
      </w:r>
      <w:r w:rsidR="00873234" w:rsidRPr="00EF7399">
        <w:rPr>
          <w:rFonts w:ascii="Times New Roman" w:hAnsi="Times New Roman" w:cs="Times New Roman"/>
          <w:lang w:val="af-ZA"/>
        </w:rPr>
        <w:t>§ </w:t>
      </w:r>
      <w:r w:rsidR="009F65D1" w:rsidRPr="00EF7399">
        <w:rPr>
          <w:rFonts w:ascii="Times New Roman" w:hAnsi="Times New Roman" w:cs="Times New Roman"/>
          <w:lang w:val="af-ZA"/>
        </w:rPr>
        <w:t>73-74)</w:t>
      </w:r>
      <w:r w:rsidR="007E5F22" w:rsidRPr="00EF7399">
        <w:rPr>
          <w:rFonts w:ascii="Times New Roman" w:hAnsi="Times New Roman" w:cs="Times New Roman"/>
          <w:lang w:val="af-ZA"/>
        </w:rPr>
        <w:t>: Սակայն, եթե ոչ ֆորմալ միավորումն ընդու</w:t>
      </w:r>
      <w:r w:rsidR="00732048" w:rsidRPr="00EF7399">
        <w:rPr>
          <w:rFonts w:ascii="Times New Roman" w:hAnsi="Times New Roman" w:cs="Times New Roman"/>
          <w:lang w:val="af-ZA"/>
        </w:rPr>
        <w:t>ն</w:t>
      </w:r>
      <w:r w:rsidR="007E5F22" w:rsidRPr="00EF7399">
        <w:rPr>
          <w:rFonts w:ascii="Times New Roman" w:hAnsi="Times New Roman" w:cs="Times New Roman"/>
          <w:lang w:val="af-ZA"/>
        </w:rPr>
        <w:t>ակ է իրականացնել իր հիմնական գործունեությունը, գրանցման մերժումը կարող է լինել 11-րդ հոդվածի</w:t>
      </w:r>
      <w:r w:rsidR="0070532A" w:rsidRPr="00EF7399">
        <w:rPr>
          <w:rFonts w:ascii="Times New Roman" w:hAnsi="Times New Roman" w:cs="Times New Roman"/>
          <w:lang w:val="hy-AM"/>
        </w:rPr>
        <w:t>ն համապատասխան</w:t>
      </w:r>
      <w:r w:rsidR="007E5F22" w:rsidRPr="00EF7399">
        <w:rPr>
          <w:rFonts w:ascii="Times New Roman" w:hAnsi="Times New Roman" w:cs="Times New Roman"/>
          <w:lang w:val="af-ZA"/>
        </w:rPr>
        <w:t xml:space="preserve"> </w:t>
      </w:r>
      <w:r w:rsidR="009F65D1" w:rsidRPr="00EF7399">
        <w:rPr>
          <w:rFonts w:ascii="Times New Roman" w:hAnsi="Times New Roman" w:cs="Times New Roman"/>
          <w:lang w:val="af-ZA"/>
        </w:rPr>
        <w:t>(</w:t>
      </w:r>
      <w:hyperlink r:id="rId345" w:history="1">
        <w:r w:rsidR="009F65D1" w:rsidRPr="00EF7399">
          <w:rPr>
            <w:rStyle w:val="Hyperlink"/>
            <w:rFonts w:ascii="Times New Roman" w:hAnsi="Times New Roman" w:cs="Times New Roman"/>
            <w:lang w:val="af-ZA"/>
          </w:rPr>
          <w:t>Lavisse</w:t>
        </w:r>
        <w:r w:rsidR="00873234" w:rsidRPr="00EF7399">
          <w:rPr>
            <w:rStyle w:val="Hyperlink"/>
            <w:rFonts w:ascii="Times New Roman" w:hAnsi="Times New Roman" w:cs="Times New Roman"/>
            <w:lang w:val="af-ZA"/>
          </w:rPr>
          <w:t xml:space="preserve"> v. </w:t>
        </w:r>
        <w:r w:rsidR="009F65D1" w:rsidRPr="00EF7399">
          <w:rPr>
            <w:rStyle w:val="Hyperlink"/>
            <w:rFonts w:ascii="Times New Roman" w:hAnsi="Times New Roman" w:cs="Times New Roman"/>
            <w:lang w:val="af-ZA"/>
          </w:rPr>
          <w:t>France</w:t>
        </w:r>
      </w:hyperlink>
      <w:r w:rsidR="009F65D1" w:rsidRPr="00EF7399">
        <w:rPr>
          <w:rFonts w:ascii="Times New Roman" w:hAnsi="Times New Roman" w:cs="Times New Roman"/>
          <w:lang w:val="af-ZA"/>
        </w:rPr>
        <w:t xml:space="preserve">, </w:t>
      </w:r>
      <w:r w:rsidR="007E5F22" w:rsidRPr="00EF7399">
        <w:rPr>
          <w:rFonts w:ascii="Times New Roman" w:hAnsi="Times New Roman" w:cs="Times New Roman"/>
          <w:lang w:val="af-ZA"/>
        </w:rPr>
        <w:t>Հանձնաժողովի որոշում</w:t>
      </w:r>
      <w:r w:rsidR="001821E6" w:rsidRPr="00EF7399">
        <w:rPr>
          <w:rFonts w:ascii="Times New Roman" w:hAnsi="Times New Roman" w:cs="Times New Roman"/>
          <w:lang w:val="af-ZA"/>
        </w:rPr>
        <w:t>, 1991</w:t>
      </w:r>
      <w:r w:rsidR="009F65D1" w:rsidRPr="00EF7399">
        <w:rPr>
          <w:rFonts w:ascii="Times New Roman" w:hAnsi="Times New Roman" w:cs="Times New Roman"/>
          <w:lang w:val="af-ZA"/>
        </w:rPr>
        <w:t xml:space="preserve">; </w:t>
      </w:r>
      <w:hyperlink r:id="rId346" w:history="1">
        <w:r w:rsidR="009F65D1" w:rsidRPr="00EF7399">
          <w:rPr>
            <w:rStyle w:val="Hyperlink"/>
            <w:rFonts w:ascii="Times New Roman" w:hAnsi="Times New Roman" w:cs="Times New Roman"/>
            <w:lang w:val="af-ZA"/>
          </w:rPr>
          <w:t>Larmela</w:t>
        </w:r>
        <w:r w:rsidR="00873234" w:rsidRPr="00EF7399">
          <w:rPr>
            <w:rStyle w:val="Hyperlink"/>
            <w:rFonts w:ascii="Times New Roman" w:hAnsi="Times New Roman" w:cs="Times New Roman"/>
            <w:lang w:val="af-ZA"/>
          </w:rPr>
          <w:t xml:space="preserve"> v. </w:t>
        </w:r>
        <w:r w:rsidR="009F65D1" w:rsidRPr="00EF7399">
          <w:rPr>
            <w:rStyle w:val="Hyperlink"/>
            <w:rFonts w:ascii="Times New Roman" w:hAnsi="Times New Roman" w:cs="Times New Roman"/>
            <w:lang w:val="af-ZA"/>
          </w:rPr>
          <w:t>Finland</w:t>
        </w:r>
      </w:hyperlink>
      <w:r w:rsidR="009F65D1" w:rsidRPr="00EF7399">
        <w:rPr>
          <w:rFonts w:ascii="Times New Roman" w:hAnsi="Times New Roman" w:cs="Times New Roman"/>
          <w:i/>
          <w:lang w:val="af-ZA"/>
        </w:rPr>
        <w:t xml:space="preserve">, </w:t>
      </w:r>
      <w:r w:rsidR="007E5F22" w:rsidRPr="00EF7399">
        <w:rPr>
          <w:rFonts w:ascii="Times New Roman" w:hAnsi="Times New Roman" w:cs="Times New Roman"/>
          <w:lang w:val="af-ZA"/>
        </w:rPr>
        <w:t>Հանձնաժողովի որոշում</w:t>
      </w:r>
      <w:r w:rsidR="001821E6" w:rsidRPr="00EF7399">
        <w:rPr>
          <w:rFonts w:ascii="Times New Roman" w:hAnsi="Times New Roman" w:cs="Times New Roman"/>
          <w:lang w:val="af-ZA"/>
        </w:rPr>
        <w:t>, 1997</w:t>
      </w:r>
      <w:r w:rsidR="009F65D1" w:rsidRPr="00EF7399">
        <w:rPr>
          <w:rFonts w:ascii="Times New Roman" w:hAnsi="Times New Roman" w:cs="Times New Roman"/>
          <w:lang w:val="af-ZA"/>
        </w:rPr>
        <w:t xml:space="preserve">; </w:t>
      </w:r>
      <w:hyperlink r:id="rId347" w:history="1">
        <w:r w:rsidR="009F65D1" w:rsidRPr="00EF7399">
          <w:rPr>
            <w:rStyle w:val="Hyperlink"/>
            <w:rFonts w:ascii="Times New Roman" w:hAnsi="Times New Roman" w:cs="Times New Roman"/>
            <w:lang w:val="af-ZA"/>
          </w:rPr>
          <w:t>Movement for Democratic Kingdom</w:t>
        </w:r>
        <w:r w:rsidR="00873234" w:rsidRPr="00EF7399">
          <w:rPr>
            <w:rStyle w:val="Hyperlink"/>
            <w:rFonts w:ascii="Times New Roman" w:hAnsi="Times New Roman" w:cs="Times New Roman"/>
            <w:lang w:val="af-ZA"/>
          </w:rPr>
          <w:t xml:space="preserve"> v. </w:t>
        </w:r>
        <w:r w:rsidR="009F65D1" w:rsidRPr="00EF7399">
          <w:rPr>
            <w:rStyle w:val="Hyperlink"/>
            <w:rFonts w:ascii="Times New Roman" w:hAnsi="Times New Roman" w:cs="Times New Roman"/>
            <w:lang w:val="af-ZA"/>
          </w:rPr>
          <w:t>Bulgaria</w:t>
        </w:r>
      </w:hyperlink>
      <w:r w:rsidR="009F65D1" w:rsidRPr="00EF7399">
        <w:rPr>
          <w:rFonts w:ascii="Times New Roman" w:hAnsi="Times New Roman" w:cs="Times New Roman"/>
          <w:lang w:val="af-ZA"/>
        </w:rPr>
        <w:t xml:space="preserve">, </w:t>
      </w:r>
      <w:r w:rsidR="007E5F22" w:rsidRPr="00EF7399">
        <w:rPr>
          <w:rFonts w:ascii="Times New Roman" w:hAnsi="Times New Roman" w:cs="Times New Roman"/>
          <w:lang w:val="af-ZA"/>
        </w:rPr>
        <w:t>Հանձնաժողովի որոշում</w:t>
      </w:r>
      <w:r w:rsidR="001821E6" w:rsidRPr="00EF7399">
        <w:rPr>
          <w:rFonts w:ascii="Times New Roman" w:hAnsi="Times New Roman" w:cs="Times New Roman"/>
          <w:lang w:val="af-ZA"/>
        </w:rPr>
        <w:t>, 1995</w:t>
      </w:r>
      <w:r w:rsidR="009F65D1" w:rsidRPr="00EF7399">
        <w:rPr>
          <w:rFonts w:ascii="Times New Roman" w:hAnsi="Times New Roman" w:cs="Times New Roman"/>
          <w:lang w:val="af-ZA"/>
        </w:rPr>
        <w:t>)</w:t>
      </w:r>
      <w:r w:rsidR="007E5F22" w:rsidRPr="00EF7399">
        <w:rPr>
          <w:rFonts w:ascii="Times New Roman" w:hAnsi="Times New Roman" w:cs="Times New Roman"/>
          <w:lang w:val="af-ZA"/>
        </w:rPr>
        <w:t>:</w:t>
      </w:r>
    </w:p>
    <w:p w14:paraId="6B95A3D4" w14:textId="460E275B" w:rsidR="00034A8D" w:rsidRPr="00EF7399" w:rsidRDefault="009F65D1" w:rsidP="009F65D1">
      <w:pPr>
        <w:pStyle w:val="ECHRParaSpaced"/>
        <w:rPr>
          <w:rFonts w:ascii="Times New Roman" w:hAnsi="Times New Roman" w:cs="Times New Roman"/>
          <w:lang w:val="af-ZA"/>
        </w:rPr>
      </w:pPr>
      <w:r w:rsidRPr="00EF7399">
        <w:rPr>
          <w:rFonts w:ascii="Times New Roman" w:hAnsi="Times New Roman" w:cs="Times New Roman"/>
          <w:lang w:val="af-ZA"/>
        </w:rPr>
        <w:lastRenderedPageBreak/>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136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7E5F22" w:rsidRPr="00EF7399">
        <w:rPr>
          <w:rFonts w:ascii="Times New Roman" w:hAnsi="Times New Roman" w:cs="Times New Roman"/>
          <w:lang w:val="af-ZA"/>
        </w:rPr>
        <w:t xml:space="preserve">11-րդ հոդվածով երաշխավորված իրավունքը չի սահմանափակվում միավորման հիմնադրմամբ, այլ պաշտպանում է միավորումը գոյության ամբողջ ընթացքում </w:t>
      </w:r>
      <w:r w:rsidRPr="00EF7399">
        <w:rPr>
          <w:rFonts w:ascii="Times New Roman" w:hAnsi="Times New Roman" w:cs="Times New Roman"/>
          <w:lang w:val="af-ZA"/>
        </w:rPr>
        <w:t>(</w:t>
      </w:r>
      <w:hyperlink r:id="rId348" w:history="1">
        <w:r w:rsidRPr="00EF7399">
          <w:rPr>
            <w:rStyle w:val="Hyperlink"/>
            <w:rFonts w:ascii="Times New Roman" w:hAnsi="Times New Roman" w:cs="Times New Roman"/>
            <w:lang w:val="af-ZA"/>
          </w:rPr>
          <w:t>United Communist Party of Turkey and Others</w:t>
        </w:r>
      </w:hyperlink>
      <w:r w:rsidRPr="00EF7399">
        <w:rPr>
          <w:rFonts w:ascii="Times New Roman" w:hAnsi="Times New Roman" w:cs="Times New Roman"/>
          <w:lang w:val="af-ZA"/>
        </w:rPr>
        <w:t xml:space="preserve">, </w:t>
      </w:r>
      <w:r w:rsidR="001821E6" w:rsidRPr="00EF7399">
        <w:rPr>
          <w:rFonts w:ascii="Times New Roman" w:hAnsi="Times New Roman" w:cs="Times New Roman"/>
          <w:lang w:val="af-ZA"/>
        </w:rPr>
        <w:t xml:space="preserve">1998, </w:t>
      </w:r>
      <w:r w:rsidR="00873234" w:rsidRPr="00EF7399">
        <w:rPr>
          <w:rFonts w:ascii="Times New Roman" w:hAnsi="Times New Roman" w:cs="Times New Roman"/>
          <w:lang w:val="af-ZA"/>
        </w:rPr>
        <w:t>§ </w:t>
      </w:r>
      <w:r w:rsidRPr="00EF7399">
        <w:rPr>
          <w:rFonts w:ascii="Times New Roman" w:hAnsi="Times New Roman" w:cs="Times New Roman"/>
          <w:lang w:val="af-ZA"/>
        </w:rPr>
        <w:t>33)</w:t>
      </w:r>
      <w:r w:rsidR="007E5F22" w:rsidRPr="00EF7399">
        <w:rPr>
          <w:rFonts w:ascii="Times New Roman" w:hAnsi="Times New Roman" w:cs="Times New Roman"/>
          <w:lang w:val="af-ZA"/>
        </w:rPr>
        <w:t>:</w:t>
      </w:r>
    </w:p>
    <w:p w14:paraId="66BAEFA1" w14:textId="573ACAC9" w:rsidR="00217603" w:rsidRPr="00EF7399" w:rsidRDefault="007E5F22" w:rsidP="00217603">
      <w:pPr>
        <w:pStyle w:val="ECHRHeading3"/>
        <w:rPr>
          <w:rFonts w:ascii="Times New Roman" w:eastAsiaTheme="minorHAnsi" w:hAnsi="Times New Roman" w:cs="Times New Roman"/>
          <w:color w:val="auto"/>
          <w:sz w:val="22"/>
          <w:lang w:val="af-ZA"/>
        </w:rPr>
      </w:pPr>
      <w:bookmarkStart w:id="79" w:name="_Toc159945238"/>
      <w:r w:rsidRPr="00EF7399">
        <w:rPr>
          <w:rFonts w:ascii="Times New Roman" w:hAnsi="Times New Roman" w:cs="Times New Roman"/>
          <w:lang w:val="af-ZA"/>
        </w:rPr>
        <w:t>Միավորումների ինքնավարությունը, ներքին կառավարումը և անդամակցությունը</w:t>
      </w:r>
      <w:bookmarkEnd w:id="79"/>
    </w:p>
    <w:p w14:paraId="2C87D7D2" w14:textId="1ADBB345" w:rsidR="009F65D1" w:rsidRPr="00EF7399" w:rsidRDefault="0036651F" w:rsidP="009F65D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137</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6928C1" w:rsidRPr="00EF7399">
        <w:rPr>
          <w:rFonts w:ascii="Times New Roman" w:hAnsi="Times New Roman" w:cs="Times New Roman"/>
          <w:lang w:val="af-ZA"/>
        </w:rPr>
        <w:t>Միավորումների կազմակերպչական ինքնավարությունը 11-րդ հոդվածով պաշտպանված</w:t>
      </w:r>
      <w:r w:rsidR="00216DBC" w:rsidRPr="00EF7399">
        <w:rPr>
          <w:rFonts w:ascii="Times New Roman" w:hAnsi="Times New Roman" w:cs="Times New Roman"/>
          <w:lang w:val="hy-AM"/>
        </w:rPr>
        <w:t>՝</w:t>
      </w:r>
      <w:r w:rsidR="006928C1" w:rsidRPr="00EF7399">
        <w:rPr>
          <w:rFonts w:ascii="Times New Roman" w:hAnsi="Times New Roman" w:cs="Times New Roman"/>
          <w:lang w:val="af-ZA"/>
        </w:rPr>
        <w:t xml:space="preserve"> դրանց միավորման ազատության կարևոր մաս </w:t>
      </w:r>
      <w:r w:rsidR="00216DBC" w:rsidRPr="00EF7399">
        <w:rPr>
          <w:rFonts w:ascii="Times New Roman" w:hAnsi="Times New Roman" w:cs="Times New Roman"/>
          <w:lang w:val="hy-AM"/>
        </w:rPr>
        <w:t xml:space="preserve">է </w:t>
      </w:r>
      <w:r w:rsidR="009F65D1" w:rsidRPr="00EF7399">
        <w:rPr>
          <w:rFonts w:ascii="Times New Roman" w:hAnsi="Times New Roman" w:cs="Times New Roman"/>
          <w:lang w:val="af-ZA"/>
        </w:rPr>
        <w:t>(</w:t>
      </w:r>
      <w:hyperlink r:id="rId349" w:history="1">
        <w:r w:rsidR="009F65D1" w:rsidRPr="00EF7399">
          <w:rPr>
            <w:rStyle w:val="Hyperlink"/>
            <w:rFonts w:ascii="Times New Roman" w:hAnsi="Times New Roman" w:cs="Times New Roman"/>
            <w:lang w:val="af-ZA"/>
          </w:rPr>
          <w:t>Lovrić</w:t>
        </w:r>
        <w:r w:rsidR="00873234" w:rsidRPr="00EF7399">
          <w:rPr>
            <w:rStyle w:val="Hyperlink"/>
            <w:rFonts w:ascii="Times New Roman" w:hAnsi="Times New Roman" w:cs="Times New Roman"/>
            <w:lang w:val="af-ZA"/>
          </w:rPr>
          <w:t xml:space="preserve"> v. </w:t>
        </w:r>
        <w:r w:rsidR="009F65D1" w:rsidRPr="00EF7399">
          <w:rPr>
            <w:rStyle w:val="Hyperlink"/>
            <w:rFonts w:ascii="Times New Roman" w:hAnsi="Times New Roman" w:cs="Times New Roman"/>
            <w:lang w:val="af-ZA"/>
          </w:rPr>
          <w:t>Croatia</w:t>
        </w:r>
      </w:hyperlink>
      <w:r w:rsidR="009F65D1" w:rsidRPr="00EF7399">
        <w:rPr>
          <w:rFonts w:ascii="Times New Roman" w:hAnsi="Times New Roman" w:cs="Times New Roman"/>
          <w:lang w:val="af-ZA"/>
        </w:rPr>
        <w:t xml:space="preserve">, </w:t>
      </w:r>
      <w:r w:rsidR="001821E6" w:rsidRPr="00EF7399">
        <w:rPr>
          <w:rFonts w:ascii="Times New Roman" w:hAnsi="Times New Roman" w:cs="Times New Roman"/>
          <w:lang w:val="af-ZA"/>
        </w:rPr>
        <w:t xml:space="preserve">2017, </w:t>
      </w:r>
      <w:r w:rsidR="00873234" w:rsidRPr="00EF7399">
        <w:rPr>
          <w:rFonts w:ascii="Times New Roman" w:hAnsi="Times New Roman" w:cs="Times New Roman"/>
          <w:lang w:val="af-ZA"/>
        </w:rPr>
        <w:t>§ </w:t>
      </w:r>
      <w:r w:rsidR="009F65D1" w:rsidRPr="00EF7399">
        <w:rPr>
          <w:rFonts w:ascii="Times New Roman" w:hAnsi="Times New Roman" w:cs="Times New Roman"/>
          <w:lang w:val="af-ZA"/>
        </w:rPr>
        <w:t>71)</w:t>
      </w:r>
      <w:r w:rsidR="006928C1" w:rsidRPr="00EF7399">
        <w:rPr>
          <w:rFonts w:ascii="Times New Roman" w:hAnsi="Times New Roman" w:cs="Times New Roman"/>
          <w:lang w:val="af-ZA"/>
        </w:rPr>
        <w:t>:</w:t>
      </w:r>
      <w:r w:rsidR="009F65D1" w:rsidRPr="00EF7399">
        <w:rPr>
          <w:rFonts w:ascii="Times New Roman" w:hAnsi="Times New Roman" w:cs="Times New Roman"/>
          <w:lang w:val="af-ZA"/>
        </w:rPr>
        <w:t xml:space="preserve"> </w:t>
      </w:r>
      <w:r w:rsidR="006928C1" w:rsidRPr="00EF7399">
        <w:rPr>
          <w:rFonts w:ascii="Times New Roman" w:hAnsi="Times New Roman" w:cs="Times New Roman"/>
          <w:lang w:val="af-ZA"/>
        </w:rPr>
        <w:t xml:space="preserve">Միավորումներն ունեն սեփական կանոնները սահմանելու և սեփական գործերը վարելու իրավունք </w:t>
      </w:r>
      <w:r w:rsidR="009F65D1" w:rsidRPr="00EF7399">
        <w:rPr>
          <w:rFonts w:ascii="Times New Roman" w:hAnsi="Times New Roman" w:cs="Times New Roman"/>
          <w:lang w:val="af-ZA"/>
        </w:rPr>
        <w:t>(</w:t>
      </w:r>
      <w:hyperlink r:id="rId350" w:history="1">
        <w:r w:rsidR="009F65D1" w:rsidRPr="00EF7399">
          <w:rPr>
            <w:rStyle w:val="Hyperlink"/>
            <w:rFonts w:ascii="Times New Roman" w:hAnsi="Times New Roman" w:cs="Times New Roman"/>
            <w:lang w:val="af-ZA"/>
          </w:rPr>
          <w:t>Cheall</w:t>
        </w:r>
        <w:r w:rsidR="00873234" w:rsidRPr="00EF7399">
          <w:rPr>
            <w:rStyle w:val="Hyperlink"/>
            <w:rFonts w:ascii="Times New Roman" w:hAnsi="Times New Roman" w:cs="Times New Roman"/>
            <w:lang w:val="af-ZA"/>
          </w:rPr>
          <w:t xml:space="preserve"> v. </w:t>
        </w:r>
        <w:r w:rsidR="009F65D1" w:rsidRPr="00EF7399">
          <w:rPr>
            <w:rStyle w:val="Hyperlink"/>
            <w:rFonts w:ascii="Times New Roman" w:hAnsi="Times New Roman" w:cs="Times New Roman"/>
            <w:lang w:val="af-ZA"/>
          </w:rPr>
          <w:t>the United Kingdom</w:t>
        </w:r>
      </w:hyperlink>
      <w:r w:rsidR="009F65D1" w:rsidRPr="00EF7399">
        <w:rPr>
          <w:rFonts w:ascii="Times New Roman" w:hAnsi="Times New Roman" w:cs="Times New Roman"/>
          <w:lang w:val="af-ZA"/>
        </w:rPr>
        <w:t xml:space="preserve">, </w:t>
      </w:r>
      <w:r w:rsidR="006928C1" w:rsidRPr="00EF7399">
        <w:rPr>
          <w:rFonts w:ascii="Times New Roman" w:hAnsi="Times New Roman" w:cs="Times New Roman"/>
          <w:lang w:val="af-ZA"/>
        </w:rPr>
        <w:t>Հանձնաժողովի որոշում</w:t>
      </w:r>
      <w:r w:rsidR="001821E6" w:rsidRPr="00EF7399">
        <w:rPr>
          <w:rFonts w:ascii="Times New Roman" w:hAnsi="Times New Roman" w:cs="Times New Roman"/>
          <w:lang w:val="af-ZA"/>
        </w:rPr>
        <w:t>, 1985</w:t>
      </w:r>
      <w:r w:rsidR="009F65D1" w:rsidRPr="00EF7399">
        <w:rPr>
          <w:rFonts w:ascii="Times New Roman" w:hAnsi="Times New Roman" w:cs="Times New Roman"/>
          <w:lang w:val="af-ZA"/>
        </w:rPr>
        <w:t>)</w:t>
      </w:r>
      <w:r w:rsidR="006928C1" w:rsidRPr="00EF7399">
        <w:rPr>
          <w:rFonts w:ascii="Times New Roman" w:hAnsi="Times New Roman" w:cs="Times New Roman"/>
          <w:lang w:val="af-ZA"/>
        </w:rPr>
        <w:t>:</w:t>
      </w:r>
    </w:p>
    <w:p w14:paraId="726F4F14" w14:textId="353E0C2F" w:rsidR="009F65D1" w:rsidRPr="00EF7399" w:rsidRDefault="009F65D1" w:rsidP="009F65D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138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6928C1" w:rsidRPr="00EF7399">
        <w:rPr>
          <w:rFonts w:ascii="Times New Roman" w:hAnsi="Times New Roman" w:cs="Times New Roman"/>
          <w:lang w:val="af-ZA"/>
        </w:rPr>
        <w:t xml:space="preserve">Միավորման ազատությունը, սակայն, չի արգելում պետություններին սահմանել կորպորատիվ </w:t>
      </w:r>
      <w:r w:rsidR="008D4E1A" w:rsidRPr="00EF7399">
        <w:rPr>
          <w:rFonts w:ascii="Times New Roman" w:hAnsi="Times New Roman" w:cs="Times New Roman"/>
          <w:lang w:val="af-ZA"/>
        </w:rPr>
        <w:t xml:space="preserve">ղեկավարման և </w:t>
      </w:r>
      <w:r w:rsidR="006928C1" w:rsidRPr="00EF7399">
        <w:rPr>
          <w:rFonts w:ascii="Times New Roman" w:hAnsi="Times New Roman" w:cs="Times New Roman"/>
          <w:lang w:val="af-ZA"/>
        </w:rPr>
        <w:t>կառավարման կանոններ և պահանջներ</w:t>
      </w:r>
      <w:r w:rsidR="008D4E1A" w:rsidRPr="00EF7399">
        <w:rPr>
          <w:rFonts w:ascii="Times New Roman" w:hAnsi="Times New Roman" w:cs="Times New Roman"/>
          <w:lang w:val="af-ZA"/>
        </w:rPr>
        <w:t>, ինչպես նաև հետևել դրանց պահպանմանը: Թեև պետություններն իրավասու են սահմանել միավորման ղեկավար մարմինների դերի և կառուցվածքի որոշակի նվազագույն պահանջներ</w:t>
      </w:r>
      <w:r w:rsidRPr="00EF7399">
        <w:rPr>
          <w:rFonts w:ascii="Times New Roman" w:hAnsi="Times New Roman" w:cs="Times New Roman"/>
          <w:lang w:val="af-ZA"/>
        </w:rPr>
        <w:t>,</w:t>
      </w:r>
      <w:r w:rsidR="008D4E1A" w:rsidRPr="00EF7399">
        <w:rPr>
          <w:rFonts w:ascii="Times New Roman" w:hAnsi="Times New Roman" w:cs="Times New Roman"/>
          <w:lang w:val="af-ZA"/>
        </w:rPr>
        <w:t xml:space="preserve"> իշխանությունների խնդիրը չէ ապահովել միավորման կանոնադրության մեջ սահմանված յուրաքանչյուր </w:t>
      </w:r>
      <w:r w:rsidR="007A605B" w:rsidRPr="00EF7399">
        <w:rPr>
          <w:rFonts w:ascii="Times New Roman" w:hAnsi="Times New Roman" w:cs="Times New Roman"/>
          <w:lang w:val="hy-AM"/>
        </w:rPr>
        <w:t>ձևականության</w:t>
      </w:r>
      <w:r w:rsidR="007A605B" w:rsidRPr="00EF7399">
        <w:rPr>
          <w:rFonts w:ascii="Times New Roman" w:hAnsi="Times New Roman" w:cs="Times New Roman"/>
          <w:lang w:val="af-ZA"/>
        </w:rPr>
        <w:t xml:space="preserve"> </w:t>
      </w:r>
      <w:r w:rsidR="008D4E1A" w:rsidRPr="00EF7399">
        <w:rPr>
          <w:rFonts w:ascii="Times New Roman" w:hAnsi="Times New Roman" w:cs="Times New Roman"/>
          <w:lang w:val="af-ZA"/>
        </w:rPr>
        <w:t xml:space="preserve">պահպանումը </w:t>
      </w:r>
      <w:r w:rsidRPr="00EF7399">
        <w:rPr>
          <w:rFonts w:ascii="Times New Roman" w:hAnsi="Times New Roman" w:cs="Times New Roman"/>
          <w:lang w:val="af-ZA"/>
        </w:rPr>
        <w:t xml:space="preserve"> (</w:t>
      </w:r>
      <w:hyperlink r:id="rId351" w:history="1">
        <w:r w:rsidRPr="00EF7399">
          <w:rPr>
            <w:rStyle w:val="Hyperlink"/>
            <w:rFonts w:ascii="Times New Roman" w:hAnsi="Times New Roman" w:cs="Times New Roman"/>
            <w:lang w:val="af-ZA"/>
          </w:rPr>
          <w:t>Tebieti Mühafize Cemiyyeti and Israfilov</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Azerbaijan</w:t>
        </w:r>
      </w:hyperlink>
      <w:r w:rsidRPr="00EF7399">
        <w:rPr>
          <w:rFonts w:ascii="Times New Roman" w:hAnsi="Times New Roman" w:cs="Times New Roman"/>
          <w:lang w:val="af-ZA"/>
        </w:rPr>
        <w:t xml:space="preserve">, </w:t>
      </w:r>
      <w:r w:rsidR="001821E6" w:rsidRPr="00EF7399">
        <w:rPr>
          <w:rFonts w:ascii="Times New Roman" w:hAnsi="Times New Roman" w:cs="Times New Roman"/>
          <w:lang w:val="af-ZA"/>
        </w:rPr>
        <w:t xml:space="preserve">2009,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72 </w:t>
      </w:r>
      <w:r w:rsidR="000A2013" w:rsidRPr="00EF7399">
        <w:rPr>
          <w:rFonts w:ascii="Times New Roman" w:hAnsi="Times New Roman" w:cs="Times New Roman"/>
          <w:lang w:val="af-ZA"/>
        </w:rPr>
        <w:t>և</w:t>
      </w:r>
      <w:r w:rsidRPr="00EF7399">
        <w:rPr>
          <w:rFonts w:ascii="Times New Roman" w:hAnsi="Times New Roman" w:cs="Times New Roman"/>
          <w:lang w:val="af-ZA"/>
        </w:rPr>
        <w:t xml:space="preserve"> 78)</w:t>
      </w:r>
      <w:r w:rsidR="000A2013" w:rsidRPr="00EF7399">
        <w:rPr>
          <w:rFonts w:ascii="Times New Roman" w:hAnsi="Times New Roman" w:cs="Times New Roman"/>
          <w:lang w:val="af-ZA"/>
        </w:rPr>
        <w:t>:</w:t>
      </w:r>
    </w:p>
    <w:p w14:paraId="3339B085" w14:textId="385F63B6" w:rsidR="009F65D1" w:rsidRPr="00EF7399" w:rsidRDefault="009F65D1" w:rsidP="009F65D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139</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0A2013" w:rsidRPr="00EF7399">
        <w:rPr>
          <w:rFonts w:ascii="Times New Roman" w:hAnsi="Times New Roman" w:cs="Times New Roman"/>
          <w:lang w:val="af-ZA"/>
        </w:rPr>
        <w:t>11-րդ հոդվածը չի կարող մեկնաբանվել որպես միավորումներին կամ կազմակերպություններին միանալու ցանկություն ունեցող յուր</w:t>
      </w:r>
      <w:r w:rsidR="007A605B" w:rsidRPr="00EF7399">
        <w:rPr>
          <w:rFonts w:ascii="Times New Roman" w:hAnsi="Times New Roman" w:cs="Times New Roman"/>
          <w:lang w:val="hy-AM"/>
        </w:rPr>
        <w:t>ա</w:t>
      </w:r>
      <w:r w:rsidR="000A2013" w:rsidRPr="00EF7399">
        <w:rPr>
          <w:rFonts w:ascii="Times New Roman" w:hAnsi="Times New Roman" w:cs="Times New Roman"/>
          <w:lang w:val="af-ZA"/>
        </w:rPr>
        <w:t>քանչյուր անհատի ընդունելու պարտավորություն</w:t>
      </w:r>
      <w:r w:rsidR="001F35F9" w:rsidRPr="00EF7399">
        <w:rPr>
          <w:rFonts w:ascii="Times New Roman" w:hAnsi="Times New Roman" w:cs="Times New Roman"/>
          <w:lang w:val="af-ZA"/>
        </w:rPr>
        <w:t>: Եթե միավորումները ստեղծել են մարդիկ, ովքեր, որդեգրելով որոշակի արժեքներ կամ իդեալներ, մտադիր են հետապնդել ընդհանուր նպատակներ, ապա անդամակցության նկատմամբ հսկողություն չունենալը կհակասի խնդրո առարկա ազատության արդյունավետ իրա</w:t>
      </w:r>
      <w:r w:rsidR="00B94AC7" w:rsidRPr="00EF7399">
        <w:rPr>
          <w:rFonts w:ascii="Times New Roman" w:hAnsi="Times New Roman" w:cs="Times New Roman"/>
          <w:lang w:val="hy-AM"/>
        </w:rPr>
        <w:t>ց</w:t>
      </w:r>
      <w:r w:rsidR="001F35F9" w:rsidRPr="00EF7399">
        <w:rPr>
          <w:rFonts w:ascii="Times New Roman" w:hAnsi="Times New Roman" w:cs="Times New Roman"/>
          <w:lang w:val="af-ZA"/>
        </w:rPr>
        <w:t>մանը: Օրինակ, ընդունված է, որ կրոնական կառույցները և քաղաքական կուսակցությունները կարող են, ընդհանուր առմամբ, կանոնակարգել իրենց անդամ</w:t>
      </w:r>
      <w:r w:rsidR="008B77E1" w:rsidRPr="00EF7399">
        <w:rPr>
          <w:rFonts w:ascii="Times New Roman" w:hAnsi="Times New Roman" w:cs="Times New Roman"/>
          <w:lang w:val="hy-AM"/>
        </w:rPr>
        <w:t>ա</w:t>
      </w:r>
      <w:r w:rsidR="001F35F9" w:rsidRPr="00EF7399">
        <w:rPr>
          <w:rFonts w:ascii="Times New Roman" w:hAnsi="Times New Roman" w:cs="Times New Roman"/>
          <w:lang w:val="af-ZA"/>
        </w:rPr>
        <w:t xml:space="preserve">կցությունը և ընդունել միայն անձանց, ովքեր կիսում են </w:t>
      </w:r>
      <w:r w:rsidR="008B77E1" w:rsidRPr="00EF7399">
        <w:rPr>
          <w:rFonts w:ascii="Times New Roman" w:hAnsi="Times New Roman" w:cs="Times New Roman"/>
          <w:lang w:val="hy-AM"/>
        </w:rPr>
        <w:t>իրենց</w:t>
      </w:r>
      <w:r w:rsidR="008B77E1" w:rsidRPr="00EF7399">
        <w:rPr>
          <w:rFonts w:ascii="Times New Roman" w:hAnsi="Times New Roman" w:cs="Times New Roman"/>
          <w:lang w:val="af-ZA"/>
        </w:rPr>
        <w:t xml:space="preserve"> </w:t>
      </w:r>
      <w:r w:rsidR="001F35F9" w:rsidRPr="00EF7399">
        <w:rPr>
          <w:rFonts w:ascii="Times New Roman" w:hAnsi="Times New Roman" w:cs="Times New Roman"/>
          <w:lang w:val="af-ZA"/>
        </w:rPr>
        <w:t>համոզ</w:t>
      </w:r>
      <w:r w:rsidR="008B77E1" w:rsidRPr="00EF7399">
        <w:rPr>
          <w:rFonts w:ascii="Times New Roman" w:hAnsi="Times New Roman" w:cs="Times New Roman"/>
          <w:lang w:val="hy-AM"/>
        </w:rPr>
        <w:t>մունք</w:t>
      </w:r>
      <w:r w:rsidR="001F35F9" w:rsidRPr="00EF7399">
        <w:rPr>
          <w:rFonts w:ascii="Times New Roman" w:hAnsi="Times New Roman" w:cs="Times New Roman"/>
          <w:lang w:val="af-ZA"/>
        </w:rPr>
        <w:t xml:space="preserve">ները և իդեալները </w:t>
      </w:r>
      <w:r w:rsidRPr="00EF7399">
        <w:rPr>
          <w:rFonts w:ascii="Times New Roman" w:hAnsi="Times New Roman" w:cs="Times New Roman"/>
          <w:lang w:val="af-ZA"/>
        </w:rPr>
        <w:t>(</w:t>
      </w:r>
      <w:hyperlink r:id="rId352" w:history="1">
        <w:r w:rsidRPr="00EF7399">
          <w:rPr>
            <w:rStyle w:val="Hyperlink"/>
            <w:rFonts w:ascii="Times New Roman" w:hAnsi="Times New Roman" w:cs="Times New Roman"/>
            <w:lang w:val="af-ZA"/>
          </w:rPr>
          <w:t>Associated Society of Locomotive Engineers and Firemen (ASLEF)</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the United Kingdom</w:t>
        </w:r>
      </w:hyperlink>
      <w:r w:rsidRPr="00EF7399">
        <w:rPr>
          <w:rFonts w:ascii="Times New Roman" w:hAnsi="Times New Roman" w:cs="Times New Roman"/>
          <w:lang w:val="af-ZA"/>
        </w:rPr>
        <w:t xml:space="preserve">, </w:t>
      </w:r>
      <w:r w:rsidR="001821E6" w:rsidRPr="00EF7399">
        <w:rPr>
          <w:rFonts w:ascii="Times New Roman" w:hAnsi="Times New Roman" w:cs="Times New Roman"/>
          <w:lang w:val="af-ZA"/>
        </w:rPr>
        <w:t xml:space="preserve">2007, </w:t>
      </w:r>
      <w:r w:rsidR="00873234" w:rsidRPr="00EF7399">
        <w:rPr>
          <w:rFonts w:ascii="Times New Roman" w:hAnsi="Times New Roman" w:cs="Times New Roman"/>
          <w:lang w:val="af-ZA"/>
        </w:rPr>
        <w:t>§ </w:t>
      </w:r>
      <w:r w:rsidRPr="00EF7399">
        <w:rPr>
          <w:rFonts w:ascii="Times New Roman" w:hAnsi="Times New Roman" w:cs="Times New Roman"/>
          <w:lang w:val="af-ZA"/>
        </w:rPr>
        <w:t>39)</w:t>
      </w:r>
      <w:r w:rsidR="001F35F9" w:rsidRPr="00EF7399">
        <w:rPr>
          <w:rFonts w:ascii="Times New Roman" w:hAnsi="Times New Roman" w:cs="Times New Roman"/>
          <w:lang w:val="af-ZA"/>
        </w:rPr>
        <w:t>:</w:t>
      </w:r>
    </w:p>
    <w:p w14:paraId="4735BAB4" w14:textId="0F33DE22" w:rsidR="009F65D1" w:rsidRPr="00EF7399" w:rsidRDefault="009F65D1" w:rsidP="009F65D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140</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F35F9" w:rsidRPr="00EF7399">
        <w:rPr>
          <w:rFonts w:ascii="Times New Roman" w:hAnsi="Times New Roman" w:cs="Times New Roman"/>
          <w:lang w:val="af-ZA"/>
        </w:rPr>
        <w:t xml:space="preserve">Միավորման ազատության իրավունքը չի ներառում որոշակի միավորման անդամ դառնալու իրավունքը </w:t>
      </w:r>
      <w:r w:rsidRPr="00EF7399">
        <w:rPr>
          <w:rFonts w:ascii="Times New Roman" w:hAnsi="Times New Roman" w:cs="Times New Roman"/>
          <w:lang w:val="af-ZA"/>
        </w:rPr>
        <w:t>(</w:t>
      </w:r>
      <w:r w:rsidR="001F35F9" w:rsidRPr="00EF7399">
        <w:rPr>
          <w:rFonts w:ascii="Times New Roman" w:hAnsi="Times New Roman" w:cs="Times New Roman"/>
          <w:lang w:val="af-ZA"/>
        </w:rPr>
        <w:t>տե՛ս</w:t>
      </w:r>
      <w:r w:rsidRPr="00EF7399">
        <w:rPr>
          <w:rFonts w:ascii="Times New Roman" w:hAnsi="Times New Roman" w:cs="Times New Roman"/>
          <w:lang w:val="af-ZA"/>
        </w:rPr>
        <w:t xml:space="preserve"> </w:t>
      </w:r>
      <w:hyperlink r:id="rId353" w:history="1">
        <w:r w:rsidRPr="00EF7399">
          <w:rPr>
            <w:rStyle w:val="Hyperlink"/>
            <w:rFonts w:ascii="Times New Roman" w:hAnsi="Times New Roman" w:cs="Times New Roman"/>
            <w:lang w:val="af-ZA"/>
          </w:rPr>
          <w:t>Cheall</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the United Kingdom</w:t>
        </w:r>
      </w:hyperlink>
      <w:r w:rsidRPr="00EF7399">
        <w:rPr>
          <w:rFonts w:ascii="Times New Roman" w:hAnsi="Times New Roman" w:cs="Times New Roman"/>
          <w:lang w:val="af-ZA"/>
        </w:rPr>
        <w:t xml:space="preserve">, </w:t>
      </w:r>
      <w:r w:rsidR="001F35F9" w:rsidRPr="00EF7399">
        <w:rPr>
          <w:rFonts w:ascii="Times New Roman" w:hAnsi="Times New Roman" w:cs="Times New Roman"/>
          <w:lang w:val="af-ZA"/>
        </w:rPr>
        <w:t>Հանձնաժողովի որոշում</w:t>
      </w:r>
      <w:r w:rsidR="001821E6" w:rsidRPr="00EF7399">
        <w:rPr>
          <w:rFonts w:ascii="Times New Roman" w:hAnsi="Times New Roman" w:cs="Times New Roman"/>
          <w:lang w:val="af-ZA"/>
        </w:rPr>
        <w:t>, 1985</w:t>
      </w:r>
      <w:r w:rsidRPr="00EF7399">
        <w:rPr>
          <w:rFonts w:ascii="Times New Roman" w:hAnsi="Times New Roman" w:cs="Times New Roman"/>
          <w:lang w:val="af-ZA"/>
        </w:rPr>
        <w:t>)</w:t>
      </w:r>
      <w:r w:rsidR="005D241C" w:rsidRPr="00EF7399">
        <w:rPr>
          <w:rFonts w:ascii="Times New Roman" w:hAnsi="Times New Roman" w:cs="Times New Roman"/>
          <w:lang w:val="hy-AM"/>
        </w:rPr>
        <w:t xml:space="preserve">, ոչ էլ </w:t>
      </w:r>
      <w:r w:rsidR="00956FC4" w:rsidRPr="00EF7399">
        <w:rPr>
          <w:rFonts w:ascii="Times New Roman" w:hAnsi="Times New Roman" w:cs="Times New Roman"/>
          <w:lang w:val="af-ZA"/>
        </w:rPr>
        <w:t xml:space="preserve">միավորման կազմում որոշակի պաշտոն զբաղեցնելու իրավունքը </w:t>
      </w:r>
      <w:r w:rsidRPr="00EF7399">
        <w:rPr>
          <w:rFonts w:ascii="Times New Roman" w:hAnsi="Times New Roman" w:cs="Times New Roman"/>
          <w:lang w:val="af-ZA"/>
        </w:rPr>
        <w:t>(</w:t>
      </w:r>
      <w:hyperlink r:id="rId354" w:history="1">
        <w:r w:rsidRPr="00EF7399">
          <w:rPr>
            <w:rStyle w:val="Hyperlink"/>
            <w:rFonts w:ascii="Times New Roman" w:hAnsi="Times New Roman" w:cs="Times New Roman"/>
            <w:lang w:val="af-ZA"/>
          </w:rPr>
          <w:t>Fedotov</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Russia</w:t>
        </w:r>
      </w:hyperlink>
      <w:r w:rsidRPr="00EF7399">
        <w:rPr>
          <w:rFonts w:ascii="Times New Roman" w:hAnsi="Times New Roman" w:cs="Times New Roman"/>
          <w:lang w:val="af-ZA"/>
        </w:rPr>
        <w:t xml:space="preserve"> (dec.), 2004)</w:t>
      </w:r>
      <w:r w:rsidR="00956FC4" w:rsidRPr="00EF7399">
        <w:rPr>
          <w:rFonts w:ascii="Times New Roman" w:hAnsi="Times New Roman" w:cs="Times New Roman"/>
          <w:lang w:val="af-ZA"/>
        </w:rPr>
        <w:t>:</w:t>
      </w:r>
    </w:p>
    <w:p w14:paraId="734863CE" w14:textId="7C333881" w:rsidR="00034A8D" w:rsidRPr="00EF7399" w:rsidRDefault="00956FC4" w:rsidP="009F65D1">
      <w:pPr>
        <w:pStyle w:val="ECHRParaSpaced"/>
        <w:rPr>
          <w:rFonts w:ascii="Times New Roman" w:hAnsi="Times New Roman" w:cs="Times New Roman"/>
          <w:lang w:val="af-ZA"/>
        </w:rPr>
      </w:pPr>
      <w:r w:rsidRPr="00EF7399">
        <w:rPr>
          <w:rFonts w:ascii="Times New Roman" w:hAnsi="Times New Roman" w:cs="Times New Roman"/>
          <w:lang w:val="af-ZA"/>
        </w:rPr>
        <w:t>Սակայն, միավորումից վտարելը կարող է խախտել տվյալ անդամի միավորման ազատությունը, եթե դա արվում է միավորման կանոններ</w:t>
      </w:r>
      <w:r w:rsidR="005D241C" w:rsidRPr="00EF7399">
        <w:rPr>
          <w:rFonts w:ascii="Times New Roman" w:hAnsi="Times New Roman" w:cs="Times New Roman"/>
          <w:lang w:val="hy-AM"/>
        </w:rPr>
        <w:t xml:space="preserve">ի </w:t>
      </w:r>
      <w:r w:rsidR="005D241C" w:rsidRPr="00EF7399">
        <w:rPr>
          <w:rFonts w:ascii="Times New Roman" w:hAnsi="Times New Roman" w:cs="Times New Roman"/>
          <w:lang w:val="af-ZA"/>
        </w:rPr>
        <w:t>խախտ</w:t>
      </w:r>
      <w:r w:rsidR="005D241C" w:rsidRPr="00EF7399">
        <w:rPr>
          <w:rFonts w:ascii="Times New Roman" w:hAnsi="Times New Roman" w:cs="Times New Roman"/>
          <w:lang w:val="hy-AM"/>
        </w:rPr>
        <w:t>մամբ</w:t>
      </w:r>
      <w:r w:rsidRPr="00EF7399">
        <w:rPr>
          <w:rFonts w:ascii="Times New Roman" w:hAnsi="Times New Roman" w:cs="Times New Roman"/>
          <w:lang w:val="af-ZA"/>
        </w:rPr>
        <w:t xml:space="preserve">, կամայական է կամ բացառիկ դժվարություններ է ստեղծում անհատի համար </w:t>
      </w:r>
      <w:r w:rsidR="009F65D1" w:rsidRPr="00EF7399">
        <w:rPr>
          <w:rFonts w:ascii="Times New Roman" w:hAnsi="Times New Roman" w:cs="Times New Roman"/>
          <w:lang w:val="af-ZA"/>
        </w:rPr>
        <w:t>(</w:t>
      </w:r>
      <w:hyperlink r:id="rId355" w:history="1">
        <w:r w:rsidR="009F65D1" w:rsidRPr="00EF7399">
          <w:rPr>
            <w:rStyle w:val="Hyperlink"/>
            <w:rFonts w:ascii="Times New Roman" w:hAnsi="Times New Roman" w:cs="Times New Roman"/>
            <w:lang w:val="af-ZA"/>
          </w:rPr>
          <w:t>Lovrić</w:t>
        </w:r>
        <w:r w:rsidR="00873234" w:rsidRPr="00EF7399">
          <w:rPr>
            <w:rStyle w:val="Hyperlink"/>
            <w:rFonts w:ascii="Times New Roman" w:hAnsi="Times New Roman" w:cs="Times New Roman"/>
            <w:lang w:val="af-ZA"/>
          </w:rPr>
          <w:t xml:space="preserve"> v. </w:t>
        </w:r>
        <w:r w:rsidR="009F65D1" w:rsidRPr="00EF7399">
          <w:rPr>
            <w:rStyle w:val="Hyperlink"/>
            <w:rFonts w:ascii="Times New Roman" w:hAnsi="Times New Roman" w:cs="Times New Roman"/>
            <w:lang w:val="af-ZA"/>
          </w:rPr>
          <w:t>Croatia</w:t>
        </w:r>
      </w:hyperlink>
      <w:r w:rsidR="009F65D1" w:rsidRPr="00EF7399">
        <w:rPr>
          <w:rFonts w:ascii="Times New Roman" w:hAnsi="Times New Roman" w:cs="Times New Roman"/>
          <w:lang w:val="af-ZA"/>
        </w:rPr>
        <w:t xml:space="preserve">, </w:t>
      </w:r>
      <w:r w:rsidR="001821E6" w:rsidRPr="00EF7399">
        <w:rPr>
          <w:rFonts w:ascii="Times New Roman" w:hAnsi="Times New Roman" w:cs="Times New Roman"/>
          <w:lang w:val="af-ZA"/>
        </w:rPr>
        <w:t xml:space="preserve">2017, </w:t>
      </w:r>
      <w:r w:rsidR="009F65D1" w:rsidRPr="00EF7399">
        <w:rPr>
          <w:rFonts w:ascii="Times New Roman" w:hAnsi="Times New Roman" w:cs="Times New Roman"/>
          <w:lang w:val="af-ZA"/>
        </w:rPr>
        <w:t>§</w:t>
      </w:r>
      <w:r w:rsidR="00873234" w:rsidRPr="00EF7399">
        <w:rPr>
          <w:rFonts w:ascii="Times New Roman" w:hAnsi="Times New Roman" w:cs="Times New Roman"/>
          <w:lang w:val="af-ZA"/>
        </w:rPr>
        <w:t>§ </w:t>
      </w:r>
      <w:r w:rsidR="009F65D1" w:rsidRPr="00EF7399">
        <w:rPr>
          <w:rFonts w:ascii="Times New Roman" w:hAnsi="Times New Roman" w:cs="Times New Roman"/>
          <w:lang w:val="af-ZA"/>
        </w:rPr>
        <w:t xml:space="preserve">54 </w:t>
      </w:r>
      <w:r w:rsidRPr="00EF7399">
        <w:rPr>
          <w:rFonts w:ascii="Times New Roman" w:hAnsi="Times New Roman" w:cs="Times New Roman"/>
          <w:lang w:val="af-ZA"/>
        </w:rPr>
        <w:t>և</w:t>
      </w:r>
      <w:r w:rsidR="009F65D1" w:rsidRPr="00EF7399">
        <w:rPr>
          <w:rFonts w:ascii="Times New Roman" w:hAnsi="Times New Roman" w:cs="Times New Roman"/>
          <w:lang w:val="af-ZA"/>
        </w:rPr>
        <w:t xml:space="preserve"> 72)</w:t>
      </w:r>
      <w:r w:rsidRPr="00EF7399">
        <w:rPr>
          <w:rFonts w:ascii="Times New Roman" w:hAnsi="Times New Roman" w:cs="Times New Roman"/>
          <w:lang w:val="af-ZA"/>
        </w:rPr>
        <w:t>:</w:t>
      </w:r>
    </w:p>
    <w:p w14:paraId="3B29BC90" w14:textId="400FD892" w:rsidR="00217603" w:rsidRPr="00EF7399" w:rsidRDefault="00956FC4" w:rsidP="00217603">
      <w:pPr>
        <w:pStyle w:val="ECHRHeading3"/>
        <w:rPr>
          <w:rFonts w:ascii="Times New Roman" w:eastAsiaTheme="minorHAnsi" w:hAnsi="Times New Roman" w:cs="Times New Roman"/>
          <w:color w:val="auto"/>
          <w:sz w:val="22"/>
          <w:lang w:val="af-ZA"/>
        </w:rPr>
      </w:pPr>
      <w:bookmarkStart w:id="80" w:name="_Toc159945239"/>
      <w:r w:rsidRPr="00EF7399">
        <w:rPr>
          <w:rFonts w:ascii="Times New Roman" w:hAnsi="Times New Roman" w:cs="Times New Roman"/>
          <w:lang w:val="af-ZA"/>
        </w:rPr>
        <w:t>Միավորման նեգատիվ ազատությունը</w:t>
      </w:r>
      <w:bookmarkEnd w:id="80"/>
    </w:p>
    <w:p w14:paraId="4B33BB5A" w14:textId="540BB6CE" w:rsidR="009F65D1" w:rsidRPr="00EF7399" w:rsidRDefault="009F65D1" w:rsidP="009F65D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141</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46D45" w:rsidRPr="00EF7399">
        <w:rPr>
          <w:rFonts w:ascii="Times New Roman" w:hAnsi="Times New Roman" w:cs="Times New Roman"/>
          <w:lang w:val="af-ZA"/>
        </w:rPr>
        <w:t>Քանի որ միավորման ազատությունը ենթադրում է այն իրա</w:t>
      </w:r>
      <w:r w:rsidR="0049355E" w:rsidRPr="00EF7399">
        <w:rPr>
          <w:rFonts w:ascii="Times New Roman" w:hAnsi="Times New Roman" w:cs="Times New Roman"/>
          <w:lang w:val="hy-AM"/>
        </w:rPr>
        <w:t>ցն</w:t>
      </w:r>
      <w:r w:rsidR="00146D45" w:rsidRPr="00EF7399">
        <w:rPr>
          <w:rFonts w:ascii="Times New Roman" w:hAnsi="Times New Roman" w:cs="Times New Roman"/>
          <w:lang w:val="af-ZA"/>
        </w:rPr>
        <w:t>ելու իմաստով ընտրության որոշակի ազատություն</w:t>
      </w:r>
      <w:r w:rsidR="00833FE9" w:rsidRPr="00EF7399">
        <w:rPr>
          <w:rFonts w:ascii="Times New Roman" w:hAnsi="Times New Roman" w:cs="Times New Roman"/>
          <w:lang w:val="af-ZA"/>
        </w:rPr>
        <w:t xml:space="preserve">, 11-րդ հոդվածն ընդգրկում է նաև միավորման նեգատիվ ազատություն, այսինքն` միավորմանը չմիանալու կամ դրանից դուրս գալու իրավունք </w:t>
      </w:r>
      <w:r w:rsidR="00146D45"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356" w:history="1">
        <w:r w:rsidRPr="00EF7399">
          <w:rPr>
            <w:rStyle w:val="Hyperlink"/>
            <w:rFonts w:ascii="Times New Roman" w:hAnsi="Times New Roman" w:cs="Times New Roman"/>
            <w:lang w:val="af-ZA"/>
          </w:rPr>
          <w:t>Sigurður A. Sigurjónsson</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Iceland</w:t>
        </w:r>
      </w:hyperlink>
      <w:r w:rsidRPr="00EF7399">
        <w:rPr>
          <w:rFonts w:ascii="Times New Roman" w:hAnsi="Times New Roman" w:cs="Times New Roman"/>
          <w:i/>
          <w:lang w:val="af-ZA"/>
        </w:rPr>
        <w:t>,</w:t>
      </w:r>
      <w:r w:rsidRPr="00EF7399">
        <w:rPr>
          <w:rFonts w:ascii="Times New Roman" w:hAnsi="Times New Roman" w:cs="Times New Roman"/>
          <w:lang w:val="af-ZA"/>
        </w:rPr>
        <w:t xml:space="preserve"> </w:t>
      </w:r>
      <w:r w:rsidR="001821E6" w:rsidRPr="00EF7399">
        <w:rPr>
          <w:rFonts w:ascii="Times New Roman" w:hAnsi="Times New Roman" w:cs="Times New Roman"/>
          <w:lang w:val="af-ZA"/>
        </w:rPr>
        <w:t xml:space="preserve">1993,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35; </w:t>
      </w:r>
      <w:hyperlink r:id="rId357" w:history="1">
        <w:r w:rsidRPr="00EF7399">
          <w:rPr>
            <w:rStyle w:val="Hyperlink"/>
            <w:rFonts w:ascii="Times New Roman" w:hAnsi="Times New Roman" w:cs="Times New Roman"/>
            <w:lang w:val="af-ZA"/>
          </w:rPr>
          <w:t>Vörður Ólafsson</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Iceland</w:t>
        </w:r>
      </w:hyperlink>
      <w:r w:rsidRPr="00EF7399">
        <w:rPr>
          <w:rFonts w:ascii="Times New Roman" w:hAnsi="Times New Roman" w:cs="Times New Roman"/>
          <w:lang w:val="af-ZA"/>
        </w:rPr>
        <w:t xml:space="preserve">, </w:t>
      </w:r>
      <w:r w:rsidR="002762F8" w:rsidRPr="00EF7399">
        <w:rPr>
          <w:rFonts w:ascii="Times New Roman" w:hAnsi="Times New Roman" w:cs="Times New Roman"/>
          <w:lang w:val="af-ZA"/>
        </w:rPr>
        <w:t xml:space="preserve">2021, </w:t>
      </w:r>
      <w:r w:rsidR="00873234" w:rsidRPr="00EF7399">
        <w:rPr>
          <w:rFonts w:ascii="Times New Roman" w:hAnsi="Times New Roman" w:cs="Times New Roman"/>
          <w:lang w:val="af-ZA"/>
        </w:rPr>
        <w:t>§ </w:t>
      </w:r>
      <w:r w:rsidRPr="00EF7399">
        <w:rPr>
          <w:rFonts w:ascii="Times New Roman" w:hAnsi="Times New Roman" w:cs="Times New Roman"/>
          <w:lang w:val="af-ZA"/>
        </w:rPr>
        <w:t>45)</w:t>
      </w:r>
      <w:r w:rsidR="00833FE9" w:rsidRPr="00EF7399">
        <w:rPr>
          <w:rFonts w:ascii="Times New Roman" w:hAnsi="Times New Roman" w:cs="Times New Roman"/>
          <w:lang w:val="af-ZA"/>
        </w:rPr>
        <w:t>:</w:t>
      </w:r>
    </w:p>
    <w:p w14:paraId="1AA739C6" w14:textId="349F8F26" w:rsidR="009F65D1" w:rsidRPr="00EF7399" w:rsidRDefault="009F65D1" w:rsidP="009F65D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142</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833FE9" w:rsidRPr="00EF7399">
        <w:rPr>
          <w:rFonts w:ascii="Times New Roman" w:hAnsi="Times New Roman" w:cs="Times New Roman"/>
          <w:lang w:val="af-ZA"/>
        </w:rPr>
        <w:t>Անձնական ինքնավարության գաղափարն անհատի` 11-րդ հոդվածով ենթադրվող</w:t>
      </w:r>
      <w:r w:rsidR="00845AFD" w:rsidRPr="00EF7399">
        <w:rPr>
          <w:rFonts w:ascii="Times New Roman" w:hAnsi="Times New Roman" w:cs="Times New Roman"/>
          <w:lang w:val="af-ZA"/>
        </w:rPr>
        <w:t>`</w:t>
      </w:r>
      <w:r w:rsidR="00833FE9" w:rsidRPr="00EF7399">
        <w:rPr>
          <w:rFonts w:ascii="Times New Roman" w:hAnsi="Times New Roman" w:cs="Times New Roman"/>
          <w:lang w:val="af-ZA"/>
        </w:rPr>
        <w:t xml:space="preserve"> ընտրության ազատության կարևորագույն հետևանք է </w:t>
      </w:r>
      <w:r w:rsidR="006B6FEB" w:rsidRPr="00EF7399">
        <w:rPr>
          <w:rFonts w:ascii="Times New Roman" w:hAnsi="Times New Roman" w:cs="Times New Roman"/>
          <w:lang w:val="af-ZA"/>
        </w:rPr>
        <w:t>(</w:t>
      </w:r>
      <w:hyperlink r:id="rId358" w:history="1">
        <w:r w:rsidR="006B6FEB" w:rsidRPr="00EF7399">
          <w:rPr>
            <w:rStyle w:val="Hyperlink"/>
            <w:rFonts w:ascii="Times New Roman" w:hAnsi="Times New Roman" w:cs="Times New Roman"/>
            <w:lang w:val="af-ZA"/>
          </w:rPr>
          <w:t>Sørensen and Rasmussen</w:t>
        </w:r>
        <w:r w:rsidR="00873234" w:rsidRPr="00EF7399">
          <w:rPr>
            <w:rStyle w:val="Hyperlink"/>
            <w:rFonts w:ascii="Times New Roman" w:hAnsi="Times New Roman" w:cs="Times New Roman"/>
            <w:lang w:val="af-ZA"/>
          </w:rPr>
          <w:t xml:space="preserve"> v. </w:t>
        </w:r>
        <w:r w:rsidR="006B6FEB" w:rsidRPr="00EF7399">
          <w:rPr>
            <w:rStyle w:val="Hyperlink"/>
            <w:rFonts w:ascii="Times New Roman" w:hAnsi="Times New Roman" w:cs="Times New Roman"/>
            <w:lang w:val="af-ZA"/>
          </w:rPr>
          <w:t>Denmark</w:t>
        </w:r>
      </w:hyperlink>
      <w:r w:rsidR="006B6FEB" w:rsidRPr="00EF7399">
        <w:rPr>
          <w:rFonts w:ascii="Times New Roman" w:hAnsi="Times New Roman" w:cs="Times New Roman"/>
          <w:lang w:val="af-ZA"/>
        </w:rPr>
        <w:t xml:space="preserve"> [GC], </w:t>
      </w:r>
      <w:r w:rsidR="002762F8" w:rsidRPr="00EF7399">
        <w:rPr>
          <w:rFonts w:ascii="Times New Roman" w:hAnsi="Times New Roman" w:cs="Times New Roman"/>
          <w:lang w:val="af-ZA"/>
        </w:rPr>
        <w:t xml:space="preserve">2006, </w:t>
      </w:r>
      <w:r w:rsidR="00873234" w:rsidRPr="00EF7399">
        <w:rPr>
          <w:rFonts w:ascii="Times New Roman" w:hAnsi="Times New Roman" w:cs="Times New Roman"/>
          <w:lang w:val="af-ZA"/>
        </w:rPr>
        <w:t>§ </w:t>
      </w:r>
      <w:r w:rsidR="006B6FEB" w:rsidRPr="00EF7399">
        <w:rPr>
          <w:rFonts w:ascii="Times New Roman" w:hAnsi="Times New Roman" w:cs="Times New Roman"/>
          <w:lang w:val="af-ZA"/>
        </w:rPr>
        <w:t>54)</w:t>
      </w:r>
      <w:r w:rsidR="00833FE9" w:rsidRPr="00EF7399">
        <w:rPr>
          <w:rFonts w:ascii="Times New Roman" w:hAnsi="Times New Roman" w:cs="Times New Roman"/>
          <w:lang w:val="af-ZA"/>
        </w:rPr>
        <w:t>:</w:t>
      </w:r>
    </w:p>
    <w:p w14:paraId="1C601EBF" w14:textId="060DC159" w:rsidR="009F65D1" w:rsidRPr="00EF7399" w:rsidRDefault="009F65D1" w:rsidP="009F65D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143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DA2DF6" w:rsidRPr="00EF7399">
        <w:rPr>
          <w:rFonts w:ascii="Times New Roman" w:hAnsi="Times New Roman" w:cs="Times New Roman"/>
          <w:lang w:val="af-ZA"/>
        </w:rPr>
        <w:t xml:space="preserve">Անհատը չի օգտվում միավորման ազատության իրավունքից, եթե, իրականում, նրան հասանելի գործողության կամ ընտրության ազատությունը </w:t>
      </w:r>
      <w:r w:rsidR="00845AFD" w:rsidRPr="00EF7399">
        <w:rPr>
          <w:rFonts w:ascii="Times New Roman" w:hAnsi="Times New Roman" w:cs="Times New Roman"/>
          <w:lang w:val="hy-AM"/>
        </w:rPr>
        <w:t xml:space="preserve">կա՛մ </w:t>
      </w:r>
      <w:r w:rsidR="00DA2DF6" w:rsidRPr="00EF7399">
        <w:rPr>
          <w:rFonts w:ascii="Times New Roman" w:hAnsi="Times New Roman" w:cs="Times New Roman"/>
          <w:lang w:val="af-ZA"/>
        </w:rPr>
        <w:t>գոյություն չունի</w:t>
      </w:r>
      <w:r w:rsidR="00845AFD" w:rsidRPr="00EF7399">
        <w:rPr>
          <w:rFonts w:ascii="Times New Roman" w:hAnsi="Times New Roman" w:cs="Times New Roman"/>
          <w:lang w:val="hy-AM"/>
        </w:rPr>
        <w:t>,</w:t>
      </w:r>
      <w:r w:rsidR="00DA2DF6" w:rsidRPr="00EF7399">
        <w:rPr>
          <w:rFonts w:ascii="Times New Roman" w:hAnsi="Times New Roman" w:cs="Times New Roman"/>
          <w:lang w:val="af-ZA"/>
        </w:rPr>
        <w:t xml:space="preserve"> կա</w:t>
      </w:r>
      <w:r w:rsidR="00845AFD" w:rsidRPr="00EF7399">
        <w:rPr>
          <w:rFonts w:ascii="Times New Roman" w:hAnsi="Times New Roman" w:cs="Times New Roman"/>
          <w:lang w:val="hy-AM"/>
        </w:rPr>
        <w:t>՛</w:t>
      </w:r>
      <w:r w:rsidR="00DA2DF6" w:rsidRPr="00EF7399">
        <w:rPr>
          <w:rFonts w:ascii="Times New Roman" w:hAnsi="Times New Roman" w:cs="Times New Roman"/>
          <w:lang w:val="af-ZA"/>
        </w:rPr>
        <w:t xml:space="preserve">մ այնքան սահմանափակ է, որ չունի գործնական արժեք </w:t>
      </w:r>
      <w:r w:rsidRPr="00EF7399">
        <w:rPr>
          <w:rFonts w:ascii="Times New Roman" w:hAnsi="Times New Roman" w:cs="Times New Roman"/>
          <w:lang w:val="af-ZA"/>
        </w:rPr>
        <w:t>(</w:t>
      </w:r>
      <w:hyperlink r:id="rId359" w:history="1">
        <w:r w:rsidRPr="00EF7399">
          <w:rPr>
            <w:rStyle w:val="Hyperlink"/>
            <w:rFonts w:ascii="Times New Roman" w:hAnsi="Times New Roman" w:cs="Times New Roman"/>
            <w:lang w:val="af-ZA"/>
          </w:rPr>
          <w:t>Chassagnou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France</w:t>
        </w:r>
      </w:hyperlink>
      <w:r w:rsidRPr="00EF7399">
        <w:rPr>
          <w:rFonts w:ascii="Times New Roman" w:hAnsi="Times New Roman" w:cs="Times New Roman"/>
          <w:lang w:val="af-ZA"/>
        </w:rPr>
        <w:t xml:space="preserve"> [GC], </w:t>
      </w:r>
      <w:r w:rsidR="00983154" w:rsidRPr="00EF7399">
        <w:rPr>
          <w:rFonts w:ascii="Times New Roman" w:hAnsi="Times New Roman" w:cs="Times New Roman"/>
          <w:lang w:val="af-ZA"/>
        </w:rPr>
        <w:t xml:space="preserve">1999, </w:t>
      </w:r>
      <w:r w:rsidR="00873234" w:rsidRPr="00EF7399">
        <w:rPr>
          <w:rFonts w:ascii="Times New Roman" w:hAnsi="Times New Roman" w:cs="Times New Roman"/>
          <w:lang w:val="af-ZA"/>
        </w:rPr>
        <w:t>§ </w:t>
      </w:r>
      <w:r w:rsidRPr="00EF7399">
        <w:rPr>
          <w:rFonts w:ascii="Times New Roman" w:hAnsi="Times New Roman" w:cs="Times New Roman"/>
          <w:lang w:val="af-ZA"/>
        </w:rPr>
        <w:t>114)</w:t>
      </w:r>
      <w:r w:rsidR="00DA2DF6" w:rsidRPr="00EF7399">
        <w:rPr>
          <w:rFonts w:ascii="Times New Roman" w:hAnsi="Times New Roman" w:cs="Times New Roman"/>
          <w:lang w:val="af-ZA"/>
        </w:rPr>
        <w:t>:</w:t>
      </w:r>
    </w:p>
    <w:p w14:paraId="2E88599C" w14:textId="6638A1E0" w:rsidR="009F65D1" w:rsidRPr="00EF7399" w:rsidRDefault="009F65D1" w:rsidP="009F65D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144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CC42CD" w:rsidRPr="00EF7399">
        <w:rPr>
          <w:rFonts w:ascii="Times New Roman" w:hAnsi="Times New Roman" w:cs="Times New Roman"/>
          <w:lang w:val="af-ZA"/>
        </w:rPr>
        <w:t xml:space="preserve">Թեև որոշակի միավորման միանալու պարտավորությունը միշտ չէ, որ հակասում է Կոնվենցիային, սակայն նման պարտավորության ձևը, որը </w:t>
      </w:r>
      <w:r w:rsidR="00845AFD" w:rsidRPr="00EF7399">
        <w:rPr>
          <w:rFonts w:ascii="Times New Roman" w:hAnsi="Times New Roman" w:cs="Times New Roman"/>
          <w:lang w:val="hy-AM"/>
        </w:rPr>
        <w:t>թիրախավորում</w:t>
      </w:r>
      <w:r w:rsidR="00845AFD" w:rsidRPr="00EF7399">
        <w:rPr>
          <w:rFonts w:ascii="Times New Roman" w:hAnsi="Times New Roman" w:cs="Times New Roman"/>
          <w:lang w:val="af-ZA"/>
        </w:rPr>
        <w:t xml:space="preserve"> </w:t>
      </w:r>
      <w:r w:rsidR="00CC42CD" w:rsidRPr="00EF7399">
        <w:rPr>
          <w:rFonts w:ascii="Times New Roman" w:hAnsi="Times New Roman" w:cs="Times New Roman"/>
          <w:lang w:val="af-ZA"/>
        </w:rPr>
        <w:t xml:space="preserve">է 11-րդ հոդվածով երաշխավորված միավորման ազատության բուն էությունը, կհանդիսանա միջամտություն այդ ազատությանը </w:t>
      </w:r>
      <w:r w:rsidR="006B6FEB" w:rsidRPr="00EF7399">
        <w:rPr>
          <w:rFonts w:ascii="Times New Roman" w:hAnsi="Times New Roman" w:cs="Times New Roman"/>
          <w:lang w:val="af-ZA"/>
        </w:rPr>
        <w:t>(</w:t>
      </w:r>
      <w:hyperlink r:id="rId360" w:history="1">
        <w:r w:rsidR="006B6FEB" w:rsidRPr="00EF7399">
          <w:rPr>
            <w:rStyle w:val="Hyperlink"/>
            <w:rFonts w:ascii="Times New Roman" w:hAnsi="Times New Roman" w:cs="Times New Roman"/>
            <w:lang w:val="af-ZA"/>
          </w:rPr>
          <w:t>Young</w:t>
        </w:r>
        <w:r w:rsidR="006B6FEB" w:rsidRPr="00EF7399">
          <w:rPr>
            <w:rStyle w:val="Hyperlink"/>
            <w:rFonts w:ascii="Times New Roman" w:hAnsi="Times New Roman" w:cs="Times New Roman"/>
            <w:iCs/>
            <w:lang w:val="af-ZA"/>
          </w:rPr>
          <w:t>,</w:t>
        </w:r>
        <w:r w:rsidR="006B6FEB" w:rsidRPr="00EF7399">
          <w:rPr>
            <w:rStyle w:val="Hyperlink"/>
            <w:rFonts w:ascii="Times New Roman" w:hAnsi="Times New Roman" w:cs="Times New Roman"/>
            <w:lang w:val="af-ZA"/>
          </w:rPr>
          <w:t xml:space="preserve"> James and Webster</w:t>
        </w:r>
        <w:r w:rsidR="00873234" w:rsidRPr="00EF7399">
          <w:rPr>
            <w:rStyle w:val="Hyperlink"/>
            <w:rFonts w:ascii="Times New Roman" w:hAnsi="Times New Roman" w:cs="Times New Roman"/>
            <w:lang w:val="af-ZA"/>
          </w:rPr>
          <w:t xml:space="preserve"> v. </w:t>
        </w:r>
        <w:r w:rsidR="006B6FEB" w:rsidRPr="00EF7399">
          <w:rPr>
            <w:rStyle w:val="Hyperlink"/>
            <w:rFonts w:ascii="Times New Roman" w:hAnsi="Times New Roman" w:cs="Times New Roman"/>
            <w:lang w:val="af-ZA"/>
          </w:rPr>
          <w:t>the United Kingdom</w:t>
        </w:r>
      </w:hyperlink>
      <w:r w:rsidR="006B6FEB" w:rsidRPr="00EF7399">
        <w:rPr>
          <w:rFonts w:ascii="Times New Roman" w:hAnsi="Times New Roman" w:cs="Times New Roman"/>
          <w:lang w:val="af-ZA"/>
        </w:rPr>
        <w:t xml:space="preserve">, </w:t>
      </w:r>
      <w:r w:rsidR="00B42939" w:rsidRPr="00EF7399">
        <w:rPr>
          <w:rFonts w:ascii="Times New Roman" w:hAnsi="Times New Roman" w:cs="Times New Roman"/>
          <w:lang w:val="af-ZA"/>
        </w:rPr>
        <w:t>1981,</w:t>
      </w:r>
      <w:r w:rsidR="002762F8" w:rsidRPr="00EF7399">
        <w:rPr>
          <w:rFonts w:ascii="Times New Roman" w:hAnsi="Times New Roman" w:cs="Times New Roman"/>
          <w:lang w:val="af-ZA"/>
        </w:rPr>
        <w:t xml:space="preserve"> </w:t>
      </w:r>
      <w:r w:rsidR="00873234" w:rsidRPr="00EF7399">
        <w:rPr>
          <w:rFonts w:ascii="Times New Roman" w:hAnsi="Times New Roman" w:cs="Times New Roman"/>
          <w:lang w:val="af-ZA"/>
        </w:rPr>
        <w:t>§ </w:t>
      </w:r>
      <w:r w:rsidR="006B6FEB" w:rsidRPr="00EF7399">
        <w:rPr>
          <w:rFonts w:ascii="Times New Roman" w:hAnsi="Times New Roman" w:cs="Times New Roman"/>
          <w:lang w:val="af-ZA"/>
        </w:rPr>
        <w:t xml:space="preserve">55, </w:t>
      </w:r>
      <w:r w:rsidR="00CC42CD" w:rsidRPr="00EF7399">
        <w:rPr>
          <w:rFonts w:ascii="Times New Roman" w:hAnsi="Times New Roman" w:cs="Times New Roman"/>
          <w:lang w:val="af-ZA"/>
        </w:rPr>
        <w:t>և</w:t>
      </w:r>
      <w:r w:rsidR="006B6FEB" w:rsidRPr="00EF7399">
        <w:rPr>
          <w:rFonts w:ascii="Times New Roman" w:hAnsi="Times New Roman" w:cs="Times New Roman"/>
          <w:lang w:val="af-ZA"/>
        </w:rPr>
        <w:t xml:space="preserve"> </w:t>
      </w:r>
      <w:hyperlink r:id="rId361" w:history="1">
        <w:r w:rsidR="006B6FEB" w:rsidRPr="00EF7399">
          <w:rPr>
            <w:rStyle w:val="Hyperlink"/>
            <w:rFonts w:ascii="Times New Roman" w:hAnsi="Times New Roman" w:cs="Times New Roman"/>
            <w:lang w:val="af-ZA"/>
          </w:rPr>
          <w:t xml:space="preserve">Sørensen and </w:t>
        </w:r>
        <w:r w:rsidR="006B6FEB" w:rsidRPr="00EF7399">
          <w:rPr>
            <w:rStyle w:val="Hyperlink"/>
            <w:rFonts w:ascii="Times New Roman" w:hAnsi="Times New Roman" w:cs="Times New Roman"/>
            <w:lang w:val="af-ZA"/>
          </w:rPr>
          <w:lastRenderedPageBreak/>
          <w:t>Rasmussen</w:t>
        </w:r>
      </w:hyperlink>
      <w:r w:rsidR="001821E6" w:rsidRPr="00EF7399">
        <w:rPr>
          <w:rFonts w:ascii="Times New Roman" w:hAnsi="Times New Roman" w:cs="Times New Roman"/>
          <w:lang w:val="af-ZA"/>
        </w:rPr>
        <w:t xml:space="preserve"> [GC]</w:t>
      </w:r>
      <w:r w:rsidR="00C46086" w:rsidRPr="00EF7399">
        <w:rPr>
          <w:rFonts w:ascii="Times New Roman" w:hAnsi="Times New Roman" w:cs="Times New Roman"/>
          <w:lang w:val="af-ZA"/>
        </w:rPr>
        <w:t>, 2006,</w:t>
      </w:r>
      <w:r w:rsidR="006B6FEB" w:rsidRPr="00EF7399">
        <w:rPr>
          <w:rFonts w:ascii="Times New Roman" w:hAnsi="Times New Roman" w:cs="Times New Roman"/>
          <w:lang w:val="af-ZA"/>
        </w:rPr>
        <w:t xml:space="preserve"> </w:t>
      </w:r>
      <w:r w:rsidR="00873234" w:rsidRPr="00EF7399">
        <w:rPr>
          <w:rFonts w:ascii="Times New Roman" w:hAnsi="Times New Roman" w:cs="Times New Roman"/>
          <w:lang w:val="af-ZA"/>
        </w:rPr>
        <w:t>§ </w:t>
      </w:r>
      <w:r w:rsidR="006B6FEB" w:rsidRPr="00EF7399">
        <w:rPr>
          <w:rFonts w:ascii="Times New Roman" w:hAnsi="Times New Roman" w:cs="Times New Roman"/>
          <w:lang w:val="af-ZA"/>
        </w:rPr>
        <w:t xml:space="preserve">56, </w:t>
      </w:r>
      <w:r w:rsidR="00CC42CD" w:rsidRPr="00EF7399">
        <w:rPr>
          <w:rFonts w:ascii="Times New Roman" w:hAnsi="Times New Roman" w:cs="Times New Roman"/>
          <w:lang w:val="af-ZA"/>
        </w:rPr>
        <w:t>առնչվում է «փակ ձեռնարկության» համաձայն</w:t>
      </w:r>
      <w:r w:rsidR="00451D94" w:rsidRPr="00EF7399">
        <w:rPr>
          <w:rFonts w:ascii="Times New Roman" w:hAnsi="Times New Roman" w:cs="Times New Roman"/>
          <w:lang w:val="af-ZA"/>
        </w:rPr>
        <w:t>ություններին</w:t>
      </w:r>
      <w:r w:rsidR="00CC42CD" w:rsidRPr="00EF7399">
        <w:rPr>
          <w:rFonts w:ascii="Times New Roman" w:hAnsi="Times New Roman" w:cs="Times New Roman"/>
          <w:lang w:val="af-ZA"/>
        </w:rPr>
        <w:t>, որո</w:t>
      </w:r>
      <w:r w:rsidR="00485A0E" w:rsidRPr="00EF7399">
        <w:rPr>
          <w:rFonts w:ascii="Times New Roman" w:hAnsi="Times New Roman" w:cs="Times New Roman"/>
          <w:lang w:val="af-ZA"/>
        </w:rPr>
        <w:t xml:space="preserve">նք աշխատանքի ընդունելը պայմանավորում են </w:t>
      </w:r>
      <w:r w:rsidR="00E20D3A" w:rsidRPr="00EF7399">
        <w:rPr>
          <w:rFonts w:ascii="Times New Roman" w:hAnsi="Times New Roman" w:cs="Times New Roman"/>
          <w:lang w:val="af-ZA"/>
        </w:rPr>
        <w:t xml:space="preserve">որոշակի </w:t>
      </w:r>
      <w:r w:rsidR="00485A0E" w:rsidRPr="00EF7399">
        <w:rPr>
          <w:rFonts w:ascii="Times New Roman" w:hAnsi="Times New Roman" w:cs="Times New Roman"/>
          <w:lang w:val="af-ZA"/>
        </w:rPr>
        <w:t xml:space="preserve">արհեստակցական միության անդամությամբ, </w:t>
      </w:r>
      <w:hyperlink r:id="rId362" w:history="1">
        <w:r w:rsidR="00C46086" w:rsidRPr="00EF7399">
          <w:rPr>
            <w:rStyle w:val="Hyperlink"/>
            <w:rFonts w:ascii="Times New Roman" w:hAnsi="Times New Roman" w:cs="Times New Roman"/>
            <w:lang w:val="af-ZA"/>
          </w:rPr>
          <w:t>Sigurður A. Sigurjónsson</w:t>
        </w:r>
        <w:r w:rsidR="00873234" w:rsidRPr="00EF7399">
          <w:rPr>
            <w:rStyle w:val="Hyperlink"/>
            <w:rFonts w:ascii="Times New Roman" w:hAnsi="Times New Roman" w:cs="Times New Roman"/>
            <w:lang w:val="af-ZA"/>
          </w:rPr>
          <w:t xml:space="preserve"> v. </w:t>
        </w:r>
        <w:r w:rsidR="00C46086" w:rsidRPr="00EF7399">
          <w:rPr>
            <w:rStyle w:val="Hyperlink"/>
            <w:rFonts w:ascii="Times New Roman" w:hAnsi="Times New Roman" w:cs="Times New Roman"/>
            <w:lang w:val="af-ZA"/>
          </w:rPr>
          <w:t>Iceland</w:t>
        </w:r>
      </w:hyperlink>
      <w:r w:rsidR="006B6FEB" w:rsidRPr="00EF7399">
        <w:rPr>
          <w:rFonts w:ascii="Times New Roman" w:hAnsi="Times New Roman" w:cs="Times New Roman"/>
          <w:lang w:val="af-ZA"/>
        </w:rPr>
        <w:t xml:space="preserve">, </w:t>
      </w:r>
      <w:r w:rsidR="00C46086" w:rsidRPr="00EF7399">
        <w:rPr>
          <w:rFonts w:ascii="Times New Roman" w:hAnsi="Times New Roman" w:cs="Times New Roman"/>
          <w:lang w:val="af-ZA"/>
        </w:rPr>
        <w:t xml:space="preserve">1993, </w:t>
      </w:r>
      <w:r w:rsidR="00873234" w:rsidRPr="00EF7399">
        <w:rPr>
          <w:rFonts w:ascii="Times New Roman" w:hAnsi="Times New Roman" w:cs="Times New Roman"/>
          <w:lang w:val="af-ZA"/>
        </w:rPr>
        <w:t>§ </w:t>
      </w:r>
      <w:r w:rsidR="006B6FEB" w:rsidRPr="00EF7399">
        <w:rPr>
          <w:rFonts w:ascii="Times New Roman" w:hAnsi="Times New Roman" w:cs="Times New Roman"/>
          <w:lang w:val="af-ZA"/>
        </w:rPr>
        <w:t xml:space="preserve">36, </w:t>
      </w:r>
      <w:r w:rsidR="00485A0E" w:rsidRPr="00EF7399">
        <w:rPr>
          <w:rFonts w:ascii="Times New Roman" w:hAnsi="Times New Roman" w:cs="Times New Roman"/>
          <w:lang w:val="af-ZA"/>
        </w:rPr>
        <w:t>առնչվում է տաքսու վարորդների վրա` տաքսի ծառայության օպերատորների որոշակի կազմակերպության անդամ լինելու</w:t>
      </w:r>
      <w:r w:rsidR="00845AFD" w:rsidRPr="00EF7399">
        <w:rPr>
          <w:rFonts w:ascii="Times New Roman" w:hAnsi="Times New Roman" w:cs="Times New Roman"/>
          <w:lang w:val="hy-AM"/>
        </w:rPr>
        <w:t>՝</w:t>
      </w:r>
      <w:r w:rsidR="00485A0E" w:rsidRPr="00EF7399">
        <w:rPr>
          <w:rFonts w:ascii="Times New Roman" w:hAnsi="Times New Roman" w:cs="Times New Roman"/>
          <w:lang w:val="af-ZA"/>
        </w:rPr>
        <w:t xml:space="preserve"> օրենքով դրված պարտավորությանը</w:t>
      </w:r>
      <w:r w:rsidR="006B6FEB" w:rsidRPr="00EF7399">
        <w:rPr>
          <w:rFonts w:ascii="Times New Roman" w:hAnsi="Times New Roman" w:cs="Times New Roman"/>
          <w:lang w:val="af-ZA"/>
        </w:rPr>
        <w:t xml:space="preserve">; </w:t>
      </w:r>
      <w:hyperlink r:id="rId363" w:history="1">
        <w:r w:rsidR="006B6FEB" w:rsidRPr="00EF7399">
          <w:rPr>
            <w:rStyle w:val="Hyperlink"/>
            <w:rFonts w:ascii="Times New Roman" w:hAnsi="Times New Roman" w:cs="Times New Roman"/>
            <w:lang w:val="af-ZA"/>
          </w:rPr>
          <w:t>Mytilinaios and Kostakis</w:t>
        </w:r>
        <w:r w:rsidR="00873234" w:rsidRPr="00EF7399">
          <w:rPr>
            <w:rStyle w:val="Hyperlink"/>
            <w:rFonts w:ascii="Times New Roman" w:hAnsi="Times New Roman" w:cs="Times New Roman"/>
            <w:lang w:val="af-ZA"/>
          </w:rPr>
          <w:t xml:space="preserve"> v. </w:t>
        </w:r>
        <w:r w:rsidR="006B6FEB" w:rsidRPr="00EF7399">
          <w:rPr>
            <w:rStyle w:val="Hyperlink"/>
            <w:rFonts w:ascii="Times New Roman" w:hAnsi="Times New Roman" w:cs="Times New Roman"/>
            <w:lang w:val="af-ZA"/>
          </w:rPr>
          <w:t>Greece</w:t>
        </w:r>
      </w:hyperlink>
      <w:r w:rsidR="006B6FEB" w:rsidRPr="00EF7399">
        <w:rPr>
          <w:rFonts w:ascii="Times New Roman" w:hAnsi="Times New Roman" w:cs="Times New Roman"/>
          <w:i/>
          <w:lang w:val="af-ZA"/>
        </w:rPr>
        <w:t>,</w:t>
      </w:r>
      <w:r w:rsidR="006B6FEB" w:rsidRPr="00EF7399">
        <w:rPr>
          <w:rFonts w:ascii="Times New Roman" w:hAnsi="Times New Roman" w:cs="Times New Roman"/>
          <w:lang w:val="af-ZA"/>
        </w:rPr>
        <w:t xml:space="preserve"> </w:t>
      </w:r>
      <w:r w:rsidR="00DC38EC" w:rsidRPr="00EF7399">
        <w:rPr>
          <w:rFonts w:ascii="Times New Roman" w:hAnsi="Times New Roman" w:cs="Times New Roman"/>
          <w:lang w:val="af-ZA"/>
        </w:rPr>
        <w:t xml:space="preserve">2015, </w:t>
      </w:r>
      <w:r w:rsidR="00485A0E" w:rsidRPr="00EF7399">
        <w:rPr>
          <w:rFonts w:ascii="Times New Roman" w:hAnsi="Times New Roman" w:cs="Times New Roman"/>
          <w:lang w:val="af-ZA"/>
        </w:rPr>
        <w:t>առնչվում է միության անդամ լինելու գինեգործների պարտավորությանը</w:t>
      </w:r>
      <w:r w:rsidR="006B6FEB" w:rsidRPr="00EF7399">
        <w:rPr>
          <w:rFonts w:ascii="Times New Roman" w:hAnsi="Times New Roman" w:cs="Times New Roman"/>
          <w:lang w:val="af-ZA"/>
        </w:rPr>
        <w:t>, §</w:t>
      </w:r>
      <w:r w:rsidR="00873234" w:rsidRPr="00EF7399">
        <w:rPr>
          <w:rFonts w:ascii="Times New Roman" w:hAnsi="Times New Roman" w:cs="Times New Roman"/>
          <w:lang w:val="af-ZA"/>
        </w:rPr>
        <w:t>§ </w:t>
      </w:r>
      <w:r w:rsidR="006B6FEB" w:rsidRPr="00EF7399">
        <w:rPr>
          <w:rFonts w:ascii="Times New Roman" w:hAnsi="Times New Roman" w:cs="Times New Roman"/>
          <w:lang w:val="af-ZA"/>
        </w:rPr>
        <w:t xml:space="preserve">53 </w:t>
      </w:r>
      <w:r w:rsidR="00485A0E" w:rsidRPr="00EF7399">
        <w:rPr>
          <w:rFonts w:ascii="Times New Roman" w:hAnsi="Times New Roman" w:cs="Times New Roman"/>
          <w:lang w:val="af-ZA"/>
        </w:rPr>
        <w:t>և</w:t>
      </w:r>
      <w:r w:rsidR="006B6FEB" w:rsidRPr="00EF7399">
        <w:rPr>
          <w:rFonts w:ascii="Times New Roman" w:hAnsi="Times New Roman" w:cs="Times New Roman"/>
          <w:lang w:val="af-ZA"/>
        </w:rPr>
        <w:t xml:space="preserve"> 65)</w:t>
      </w:r>
      <w:r w:rsidR="00485A0E" w:rsidRPr="00EF7399">
        <w:rPr>
          <w:rFonts w:ascii="Times New Roman" w:hAnsi="Times New Roman" w:cs="Times New Roman"/>
          <w:lang w:val="af-ZA"/>
        </w:rPr>
        <w:t>:</w:t>
      </w:r>
    </w:p>
    <w:p w14:paraId="3FE26F71" w14:textId="7C607AF2" w:rsidR="00217603" w:rsidRPr="00EF7399" w:rsidRDefault="009F65D1" w:rsidP="009F65D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145</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A41BA3" w:rsidRPr="00EF7399">
        <w:rPr>
          <w:rFonts w:ascii="Times New Roman" w:hAnsi="Times New Roman" w:cs="Times New Roman"/>
          <w:lang w:val="af-ZA"/>
        </w:rPr>
        <w:t>Միավորմանը</w:t>
      </w:r>
      <w:r w:rsidR="00AA5AD1" w:rsidRPr="00EF7399">
        <w:rPr>
          <w:rFonts w:ascii="Times New Roman" w:hAnsi="Times New Roman" w:cs="Times New Roman"/>
          <w:lang w:val="af-ZA"/>
        </w:rPr>
        <w:t>`</w:t>
      </w:r>
      <w:r w:rsidR="00A41BA3" w:rsidRPr="00EF7399">
        <w:rPr>
          <w:rFonts w:ascii="Times New Roman" w:hAnsi="Times New Roman" w:cs="Times New Roman"/>
          <w:lang w:val="af-ZA"/>
        </w:rPr>
        <w:t xml:space="preserve"> </w:t>
      </w:r>
      <w:r w:rsidR="00AA5AD1" w:rsidRPr="00EF7399">
        <w:rPr>
          <w:rFonts w:ascii="Times New Roman" w:hAnsi="Times New Roman" w:cs="Times New Roman"/>
          <w:lang w:val="af-ZA"/>
        </w:rPr>
        <w:t xml:space="preserve">առանց ֆորմալ անդամակցության, </w:t>
      </w:r>
      <w:r w:rsidR="00A41BA3" w:rsidRPr="00EF7399">
        <w:rPr>
          <w:rFonts w:ascii="Times New Roman" w:hAnsi="Times New Roman" w:cs="Times New Roman"/>
          <w:lang w:val="af-ZA"/>
        </w:rPr>
        <w:t xml:space="preserve">ֆինանսական հատկացումներ </w:t>
      </w:r>
      <w:r w:rsidR="00AA5AD1" w:rsidRPr="00EF7399">
        <w:rPr>
          <w:rFonts w:ascii="Times New Roman" w:hAnsi="Times New Roman" w:cs="Times New Roman"/>
          <w:lang w:val="af-ZA"/>
        </w:rPr>
        <w:t>կատարելու</w:t>
      </w:r>
      <w:r w:rsidR="00A41BA3" w:rsidRPr="00EF7399">
        <w:rPr>
          <w:rFonts w:ascii="Times New Roman" w:hAnsi="Times New Roman" w:cs="Times New Roman"/>
          <w:lang w:val="af-ZA"/>
        </w:rPr>
        <w:t xml:space="preserve"> պարտավորությունը</w:t>
      </w:r>
      <w:r w:rsidR="00AA5AD1" w:rsidRPr="00EF7399">
        <w:rPr>
          <w:rFonts w:ascii="Times New Roman" w:hAnsi="Times New Roman" w:cs="Times New Roman"/>
          <w:lang w:val="af-ZA"/>
        </w:rPr>
        <w:t xml:space="preserve"> </w:t>
      </w:r>
      <w:r w:rsidR="00A41BA3" w:rsidRPr="00EF7399">
        <w:rPr>
          <w:rFonts w:ascii="Times New Roman" w:hAnsi="Times New Roman" w:cs="Times New Roman"/>
          <w:lang w:val="af-ZA"/>
        </w:rPr>
        <w:t xml:space="preserve">կարող է </w:t>
      </w:r>
      <w:r w:rsidR="00AA5AD1" w:rsidRPr="00EF7399">
        <w:rPr>
          <w:rFonts w:ascii="Times New Roman" w:hAnsi="Times New Roman" w:cs="Times New Roman"/>
          <w:lang w:val="af-ZA"/>
        </w:rPr>
        <w:t>ունենալ</w:t>
      </w:r>
      <w:r w:rsidR="00A41BA3" w:rsidRPr="00EF7399">
        <w:rPr>
          <w:rFonts w:ascii="Times New Roman" w:hAnsi="Times New Roman" w:cs="Times New Roman"/>
          <w:lang w:val="af-ZA"/>
        </w:rPr>
        <w:t xml:space="preserve"> </w:t>
      </w:r>
      <w:r w:rsidR="00AA5AD1" w:rsidRPr="00EF7399">
        <w:rPr>
          <w:rFonts w:ascii="Times New Roman" w:hAnsi="Times New Roman" w:cs="Times New Roman"/>
          <w:lang w:val="af-ZA"/>
        </w:rPr>
        <w:t xml:space="preserve">մի կարևոր հատկանիշ, որն ընդհանուր է </w:t>
      </w:r>
      <w:r w:rsidR="00A41BA3" w:rsidRPr="00EF7399">
        <w:rPr>
          <w:rFonts w:ascii="Times New Roman" w:hAnsi="Times New Roman" w:cs="Times New Roman"/>
          <w:lang w:val="af-ZA"/>
        </w:rPr>
        <w:t xml:space="preserve">միավորմանը միանալու </w:t>
      </w:r>
      <w:r w:rsidR="00AA5AD1" w:rsidRPr="00EF7399">
        <w:rPr>
          <w:rFonts w:ascii="Times New Roman" w:hAnsi="Times New Roman" w:cs="Times New Roman"/>
          <w:lang w:val="af-ZA"/>
        </w:rPr>
        <w:t>պարտավորության</w:t>
      </w:r>
      <w:r w:rsidR="00A41BA3" w:rsidRPr="00EF7399">
        <w:rPr>
          <w:rFonts w:ascii="Times New Roman" w:hAnsi="Times New Roman" w:cs="Times New Roman"/>
          <w:lang w:val="af-ZA"/>
        </w:rPr>
        <w:t xml:space="preserve"> հետ, և </w:t>
      </w:r>
      <w:r w:rsidR="00845AFD" w:rsidRPr="00EF7399">
        <w:rPr>
          <w:rFonts w:ascii="Times New Roman" w:hAnsi="Times New Roman" w:cs="Times New Roman"/>
          <w:lang w:val="hy-AM"/>
        </w:rPr>
        <w:t>պարունակել</w:t>
      </w:r>
      <w:r w:rsidR="00845AFD" w:rsidRPr="00EF7399">
        <w:rPr>
          <w:rFonts w:ascii="Times New Roman" w:hAnsi="Times New Roman" w:cs="Times New Roman"/>
          <w:lang w:val="af-ZA"/>
        </w:rPr>
        <w:t xml:space="preserve"> </w:t>
      </w:r>
      <w:r w:rsidR="00A41BA3" w:rsidRPr="00EF7399">
        <w:rPr>
          <w:rFonts w:ascii="Times New Roman" w:hAnsi="Times New Roman" w:cs="Times New Roman"/>
          <w:lang w:val="af-ZA"/>
        </w:rPr>
        <w:t xml:space="preserve">միջամտություն միավորման ազատության նեգատիվ իրավունքին </w:t>
      </w:r>
      <w:r w:rsidRPr="00EF7399">
        <w:rPr>
          <w:rFonts w:ascii="Times New Roman" w:hAnsi="Times New Roman" w:cs="Times New Roman"/>
          <w:lang w:val="af-ZA"/>
        </w:rPr>
        <w:t>(</w:t>
      </w:r>
      <w:hyperlink r:id="rId364" w:history="1">
        <w:r w:rsidRPr="00EF7399">
          <w:rPr>
            <w:rStyle w:val="Hyperlink"/>
            <w:rFonts w:ascii="Times New Roman" w:hAnsi="Times New Roman" w:cs="Times New Roman"/>
            <w:lang w:val="af-ZA"/>
          </w:rPr>
          <w:t>Vörður Ólafsson</w:t>
        </w:r>
      </w:hyperlink>
      <w:r w:rsidRPr="00EF7399">
        <w:rPr>
          <w:rFonts w:ascii="Times New Roman" w:hAnsi="Times New Roman" w:cs="Times New Roman"/>
          <w:lang w:val="af-ZA"/>
        </w:rPr>
        <w:t xml:space="preserve">, </w:t>
      </w:r>
      <w:r w:rsidR="00C46086" w:rsidRPr="00EF7399">
        <w:rPr>
          <w:rFonts w:ascii="Times New Roman" w:hAnsi="Times New Roman" w:cs="Times New Roman"/>
          <w:lang w:val="af-ZA"/>
        </w:rPr>
        <w:t xml:space="preserve">2010,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48, </w:t>
      </w:r>
      <w:r w:rsidR="00A41BA3" w:rsidRPr="00EF7399">
        <w:rPr>
          <w:rFonts w:ascii="Times New Roman" w:hAnsi="Times New Roman" w:cs="Times New Roman"/>
          <w:lang w:val="af-ZA"/>
        </w:rPr>
        <w:t xml:space="preserve">առնչվում է </w:t>
      </w:r>
      <w:r w:rsidR="00AA5AD1" w:rsidRPr="00EF7399">
        <w:rPr>
          <w:rFonts w:ascii="Times New Roman" w:hAnsi="Times New Roman" w:cs="Times New Roman"/>
          <w:lang w:val="af-ZA"/>
        </w:rPr>
        <w:t>մասնավոր արդյունաբերական միության անդամ չհանդիսացող անձի կողմից ֆինանսական հատկացում կատարելու պարտավորությանը</w:t>
      </w:r>
      <w:r w:rsidRPr="00EF7399">
        <w:rPr>
          <w:rFonts w:ascii="Times New Roman" w:hAnsi="Times New Roman" w:cs="Times New Roman"/>
          <w:lang w:val="af-ZA"/>
        </w:rPr>
        <w:t xml:space="preserve">; </w:t>
      </w:r>
      <w:hyperlink r:id="rId365" w:history="1">
        <w:r w:rsidRPr="00EF7399">
          <w:rPr>
            <w:rStyle w:val="Hyperlink"/>
            <w:rFonts w:ascii="Times New Roman" w:hAnsi="Times New Roman" w:cs="Times New Roman"/>
            <w:lang w:val="af-ZA"/>
          </w:rPr>
          <w:t>Geotech Kancev GmbH</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Germany</w:t>
        </w:r>
      </w:hyperlink>
      <w:r w:rsidRPr="00EF7399">
        <w:rPr>
          <w:rFonts w:ascii="Times New Roman" w:hAnsi="Times New Roman" w:cs="Times New Roman"/>
          <w:lang w:val="af-ZA"/>
        </w:rPr>
        <w:t xml:space="preserve">, </w:t>
      </w:r>
      <w:r w:rsidR="00C46086" w:rsidRPr="00EF7399">
        <w:rPr>
          <w:rFonts w:ascii="Times New Roman" w:hAnsi="Times New Roman" w:cs="Times New Roman"/>
          <w:lang w:val="af-ZA"/>
        </w:rPr>
        <w:t xml:space="preserve">2016,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53, </w:t>
      </w:r>
      <w:r w:rsidR="00A41BA3" w:rsidRPr="00EF7399">
        <w:rPr>
          <w:rFonts w:ascii="Times New Roman" w:hAnsi="Times New Roman" w:cs="Times New Roman"/>
          <w:lang w:val="af-ZA"/>
        </w:rPr>
        <w:t>առնչվում է մասնավոր միավորումների ստեղծած հիմնադրամին անդամ չհանդիսացող անձի կողմից ֆինանսական հատկացում կատարելու պարտավորությանը</w:t>
      </w:r>
      <w:r w:rsidRPr="00EF7399">
        <w:rPr>
          <w:rFonts w:ascii="Times New Roman" w:hAnsi="Times New Roman" w:cs="Times New Roman"/>
          <w:lang w:val="af-ZA"/>
        </w:rPr>
        <w:t>)</w:t>
      </w:r>
      <w:r w:rsidR="00A41BA3" w:rsidRPr="00EF7399">
        <w:rPr>
          <w:rFonts w:ascii="Times New Roman" w:hAnsi="Times New Roman" w:cs="Times New Roman"/>
          <w:lang w:val="af-ZA"/>
        </w:rPr>
        <w:t>:</w:t>
      </w:r>
    </w:p>
    <w:p w14:paraId="6CDA1D9C" w14:textId="09430F6F" w:rsidR="0046283B" w:rsidRPr="00EF7399" w:rsidRDefault="00A83DAB" w:rsidP="00A83DAB">
      <w:pPr>
        <w:pStyle w:val="ECHRHeading2"/>
        <w:numPr>
          <w:ilvl w:val="0"/>
          <w:numId w:val="0"/>
        </w:numPr>
        <w:rPr>
          <w:rFonts w:ascii="Times New Roman" w:hAnsi="Times New Roman" w:cs="Times New Roman"/>
          <w:lang w:val="af-ZA"/>
        </w:rPr>
      </w:pPr>
      <w:bookmarkStart w:id="81" w:name="_Toc159945240"/>
      <w:r>
        <w:rPr>
          <w:rFonts w:ascii="Times New Roman" w:hAnsi="Times New Roman" w:cs="Times New Roman"/>
          <w:lang w:val="hy-AM"/>
        </w:rPr>
        <w:t xml:space="preserve">Դ․ </w:t>
      </w:r>
      <w:r w:rsidR="002F0016" w:rsidRPr="00EF7399">
        <w:rPr>
          <w:rFonts w:ascii="Times New Roman" w:hAnsi="Times New Roman" w:cs="Times New Roman"/>
          <w:lang w:val="af-ZA"/>
        </w:rPr>
        <w:t>Միավորման ազատության սահմանափակումները</w:t>
      </w:r>
      <w:bookmarkEnd w:id="81"/>
      <w:r w:rsidR="002F0016" w:rsidRPr="00EF7399">
        <w:rPr>
          <w:rFonts w:ascii="Times New Roman" w:hAnsi="Times New Roman" w:cs="Times New Roman"/>
          <w:lang w:val="af-ZA"/>
        </w:rPr>
        <w:t xml:space="preserve"> </w:t>
      </w:r>
    </w:p>
    <w:p w14:paraId="06AEE888" w14:textId="59B8DD56" w:rsidR="0046283B" w:rsidRPr="00EF7399" w:rsidRDefault="0046283B" w:rsidP="0046283B">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146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AA5AD1" w:rsidRPr="00EF7399">
        <w:rPr>
          <w:rFonts w:ascii="Times New Roman" w:hAnsi="Times New Roman" w:cs="Times New Roman"/>
          <w:lang w:val="af-ZA"/>
        </w:rPr>
        <w:t>11-րդ հոդվածը պաշտպանում է միավորումները պետության</w:t>
      </w:r>
      <w:r w:rsidR="001B2B5E" w:rsidRPr="00EF7399">
        <w:rPr>
          <w:rFonts w:ascii="Times New Roman" w:hAnsi="Times New Roman" w:cs="Times New Roman"/>
          <w:lang w:val="af-ZA"/>
        </w:rPr>
        <w:t xml:space="preserve"> անհիմն միջամտությունից, որը, սովորաբար, կապված է գրանցման մերժման կամ միավորման լուծարման հետ, բայց կարող է նաև ստանալ միավորման գործունեությանը խոչընդոտելու այլ </w:t>
      </w:r>
      <w:r w:rsidR="00D50E35" w:rsidRPr="00EF7399">
        <w:rPr>
          <w:rFonts w:ascii="Times New Roman" w:hAnsi="Times New Roman" w:cs="Times New Roman"/>
          <w:lang w:val="hy-AM"/>
        </w:rPr>
        <w:t>դրսևորումներ</w:t>
      </w:r>
      <w:r w:rsidR="00D50E35" w:rsidRPr="00EF7399">
        <w:rPr>
          <w:rFonts w:ascii="Times New Roman" w:hAnsi="Times New Roman" w:cs="Times New Roman"/>
          <w:lang w:val="af-ZA"/>
        </w:rPr>
        <w:t xml:space="preserve"> </w:t>
      </w:r>
      <w:r w:rsidRPr="00EF7399">
        <w:rPr>
          <w:rFonts w:ascii="Times New Roman" w:hAnsi="Times New Roman" w:cs="Times New Roman"/>
          <w:lang w:val="af-ZA"/>
        </w:rPr>
        <w:t>(</w:t>
      </w:r>
      <w:r w:rsidR="001B2B5E" w:rsidRPr="00EF7399">
        <w:rPr>
          <w:rFonts w:ascii="Times New Roman" w:hAnsi="Times New Roman" w:cs="Times New Roman"/>
          <w:lang w:val="af-ZA"/>
        </w:rPr>
        <w:t>օրինակ` ստուգումների կամ ֆինանսավորման սահմանափակումների միջոցով</w:t>
      </w:r>
      <w:r w:rsidRPr="00EF7399">
        <w:rPr>
          <w:rFonts w:ascii="Times New Roman" w:hAnsi="Times New Roman" w:cs="Times New Roman"/>
          <w:lang w:val="af-ZA"/>
        </w:rPr>
        <w:t>)</w:t>
      </w:r>
      <w:r w:rsidR="00490B47" w:rsidRPr="00EF7399">
        <w:rPr>
          <w:rFonts w:ascii="Times New Roman" w:hAnsi="Times New Roman" w:cs="Times New Roman"/>
          <w:lang w:val="af-ZA"/>
        </w:rPr>
        <w:t xml:space="preserve"> (</w:t>
      </w:r>
      <w:r w:rsidR="001B2B5E" w:rsidRPr="00EF7399">
        <w:rPr>
          <w:rFonts w:ascii="Times New Roman" w:hAnsi="Times New Roman" w:cs="Times New Roman"/>
          <w:lang w:val="af-ZA"/>
        </w:rPr>
        <w:t>տե՛ս</w:t>
      </w:r>
      <w:r w:rsidR="00490B47" w:rsidRPr="00EF7399">
        <w:rPr>
          <w:rFonts w:ascii="Times New Roman" w:hAnsi="Times New Roman" w:cs="Times New Roman"/>
          <w:i/>
          <w:lang w:val="af-ZA"/>
        </w:rPr>
        <w:t xml:space="preserve"> </w:t>
      </w:r>
      <w:hyperlink r:id="rId366" w:history="1">
        <w:r w:rsidR="00490B47" w:rsidRPr="00EF7399">
          <w:rPr>
            <w:rStyle w:val="Hyperlink"/>
            <w:rFonts w:ascii="Times New Roman" w:hAnsi="Times New Roman" w:cs="Times New Roman"/>
            <w:lang w:val="af-ZA"/>
          </w:rPr>
          <w:t>Yordanovi</w:t>
        </w:r>
        <w:r w:rsidR="00873234" w:rsidRPr="00EF7399">
          <w:rPr>
            <w:rStyle w:val="Hyperlink"/>
            <w:rFonts w:ascii="Times New Roman" w:hAnsi="Times New Roman" w:cs="Times New Roman"/>
            <w:lang w:val="af-ZA"/>
          </w:rPr>
          <w:t xml:space="preserve"> v. </w:t>
        </w:r>
        <w:r w:rsidR="00490B47" w:rsidRPr="00EF7399">
          <w:rPr>
            <w:rStyle w:val="Hyperlink"/>
            <w:rFonts w:ascii="Times New Roman" w:hAnsi="Times New Roman" w:cs="Times New Roman"/>
            <w:lang w:val="af-ZA"/>
          </w:rPr>
          <w:t>Bulgaria</w:t>
        </w:r>
      </w:hyperlink>
      <w:r w:rsidR="00490B47" w:rsidRPr="00EF7399">
        <w:rPr>
          <w:rFonts w:ascii="Times New Roman" w:hAnsi="Times New Roman" w:cs="Times New Roman"/>
          <w:iCs/>
          <w:lang w:val="af-ZA"/>
        </w:rPr>
        <w:t xml:space="preserve">, </w:t>
      </w:r>
      <w:r w:rsidR="00C46086" w:rsidRPr="00EF7399">
        <w:rPr>
          <w:rFonts w:ascii="Times New Roman" w:hAnsi="Times New Roman" w:cs="Times New Roman"/>
          <w:iCs/>
          <w:lang w:val="af-ZA"/>
        </w:rPr>
        <w:t xml:space="preserve">2020, </w:t>
      </w:r>
      <w:r w:rsidR="00490B47" w:rsidRPr="00EF7399">
        <w:rPr>
          <w:rFonts w:ascii="Times New Roman" w:hAnsi="Times New Roman" w:cs="Times New Roman"/>
          <w:iCs/>
          <w:lang w:val="af-ZA"/>
        </w:rPr>
        <w:t>§</w:t>
      </w:r>
      <w:r w:rsidR="00873234" w:rsidRPr="00EF7399">
        <w:rPr>
          <w:rFonts w:ascii="Times New Roman" w:hAnsi="Times New Roman" w:cs="Times New Roman"/>
          <w:iCs/>
          <w:lang w:val="af-ZA"/>
        </w:rPr>
        <w:t>§ </w:t>
      </w:r>
      <w:r w:rsidR="00490B47" w:rsidRPr="00EF7399">
        <w:rPr>
          <w:rFonts w:ascii="Times New Roman" w:hAnsi="Times New Roman" w:cs="Times New Roman"/>
          <w:iCs/>
          <w:lang w:val="af-ZA"/>
        </w:rPr>
        <w:t>62-63</w:t>
      </w:r>
      <w:r w:rsidR="001E15A5" w:rsidRPr="00EF7399">
        <w:rPr>
          <w:rFonts w:ascii="Times New Roman" w:hAnsi="Times New Roman" w:cs="Times New Roman"/>
          <w:iCs/>
          <w:lang w:val="af-ZA"/>
        </w:rPr>
        <w:t xml:space="preserve">, </w:t>
      </w:r>
      <w:r w:rsidR="001B2B5E" w:rsidRPr="00EF7399">
        <w:rPr>
          <w:rFonts w:ascii="Times New Roman" w:hAnsi="Times New Roman" w:cs="Times New Roman"/>
          <w:iCs/>
          <w:lang w:val="af-ZA"/>
        </w:rPr>
        <w:t>և</w:t>
      </w:r>
      <w:r w:rsidR="00AF1971" w:rsidRPr="00EF7399">
        <w:rPr>
          <w:rFonts w:ascii="Times New Roman" w:hAnsi="Times New Roman" w:cs="Times New Roman"/>
          <w:iCs/>
          <w:lang w:val="af-ZA"/>
        </w:rPr>
        <w:t xml:space="preserve"> </w:t>
      </w:r>
      <w:hyperlink r:id="rId367" w:history="1">
        <w:r w:rsidR="00AF1971" w:rsidRPr="00EF7399">
          <w:rPr>
            <w:rStyle w:val="Hyperlink"/>
            <w:rFonts w:ascii="Times New Roman" w:hAnsi="Times New Roman" w:cs="Times New Roman"/>
            <w:iCs/>
            <w:lang w:val="af-ZA"/>
          </w:rPr>
          <w:t>Ecodefence and Others</w:t>
        </w:r>
        <w:r w:rsidR="00873234" w:rsidRPr="00EF7399">
          <w:rPr>
            <w:rStyle w:val="Hyperlink"/>
            <w:rFonts w:ascii="Times New Roman" w:hAnsi="Times New Roman" w:cs="Times New Roman"/>
            <w:iCs/>
            <w:lang w:val="af-ZA"/>
          </w:rPr>
          <w:t xml:space="preserve"> v. </w:t>
        </w:r>
        <w:r w:rsidR="00AF1971" w:rsidRPr="00EF7399">
          <w:rPr>
            <w:rStyle w:val="Hyperlink"/>
            <w:rFonts w:ascii="Times New Roman" w:hAnsi="Times New Roman" w:cs="Times New Roman"/>
            <w:iCs/>
            <w:lang w:val="af-ZA"/>
          </w:rPr>
          <w:t>Russia</w:t>
        </w:r>
      </w:hyperlink>
      <w:r w:rsidR="001E15A5" w:rsidRPr="00EF7399">
        <w:rPr>
          <w:rFonts w:ascii="Times New Roman" w:hAnsi="Times New Roman" w:cs="Times New Roman"/>
          <w:iCs/>
          <w:lang w:val="af-ZA"/>
        </w:rPr>
        <w:t>, 2022, §</w:t>
      </w:r>
      <w:r w:rsidR="00873234" w:rsidRPr="00EF7399">
        <w:rPr>
          <w:rFonts w:ascii="Times New Roman" w:hAnsi="Times New Roman" w:cs="Times New Roman"/>
          <w:iCs/>
          <w:lang w:val="af-ZA"/>
        </w:rPr>
        <w:t>§ </w:t>
      </w:r>
      <w:r w:rsidR="001E15A5" w:rsidRPr="00EF7399">
        <w:rPr>
          <w:rFonts w:ascii="Times New Roman" w:hAnsi="Times New Roman" w:cs="Times New Roman"/>
          <w:iCs/>
          <w:lang w:val="af-ZA"/>
        </w:rPr>
        <w:t xml:space="preserve">81 </w:t>
      </w:r>
      <w:r w:rsidR="001B2B5E" w:rsidRPr="00EF7399">
        <w:rPr>
          <w:rFonts w:ascii="Times New Roman" w:hAnsi="Times New Roman" w:cs="Times New Roman"/>
          <w:iCs/>
          <w:lang w:val="af-ZA"/>
        </w:rPr>
        <w:t>և</w:t>
      </w:r>
      <w:r w:rsidR="001E15A5" w:rsidRPr="00EF7399">
        <w:rPr>
          <w:rFonts w:ascii="Times New Roman" w:hAnsi="Times New Roman" w:cs="Times New Roman"/>
          <w:iCs/>
          <w:lang w:val="af-ZA"/>
        </w:rPr>
        <w:t xml:space="preserve"> 87, </w:t>
      </w:r>
      <w:r w:rsidR="001B2B5E" w:rsidRPr="00EF7399">
        <w:rPr>
          <w:rFonts w:ascii="Times New Roman" w:hAnsi="Times New Roman" w:cs="Times New Roman"/>
          <w:iCs/>
          <w:lang w:val="af-ZA"/>
        </w:rPr>
        <w:t>սահմանափակումների զանազան ձևերի ընդհանուր վերլուծության համար</w:t>
      </w:r>
      <w:r w:rsidR="00490B47" w:rsidRPr="00EF7399">
        <w:rPr>
          <w:rFonts w:ascii="Times New Roman" w:hAnsi="Times New Roman" w:cs="Times New Roman"/>
          <w:iCs/>
          <w:lang w:val="af-ZA"/>
        </w:rPr>
        <w:t>)</w:t>
      </w:r>
      <w:r w:rsidR="001B2B5E" w:rsidRPr="00EF7399">
        <w:rPr>
          <w:rFonts w:ascii="Times New Roman" w:hAnsi="Times New Roman" w:cs="Times New Roman"/>
          <w:iCs/>
          <w:lang w:val="af-ZA"/>
        </w:rPr>
        <w:t>:</w:t>
      </w:r>
    </w:p>
    <w:p w14:paraId="7F1B4A72" w14:textId="7478BE75" w:rsidR="00217603" w:rsidRPr="001B2612" w:rsidRDefault="0046283B" w:rsidP="0046283B">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147</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B2B5E" w:rsidRPr="00EF7399">
        <w:rPr>
          <w:rFonts w:ascii="Times New Roman" w:hAnsi="Times New Roman" w:cs="Times New Roman"/>
          <w:lang w:val="af-ZA"/>
        </w:rPr>
        <w:t>Միջամտությունը միավորման ազատության իրավունքին հիմնավոր է, եթե</w:t>
      </w:r>
      <w:r w:rsidR="00D50E35" w:rsidRPr="00EF7399">
        <w:rPr>
          <w:rFonts w:ascii="Times New Roman" w:hAnsi="Times New Roman" w:cs="Times New Roman"/>
          <w:lang w:val="hy-AM"/>
        </w:rPr>
        <w:t xml:space="preserve"> այն</w:t>
      </w:r>
      <w:r w:rsidR="001B2B5E" w:rsidRPr="00EF7399">
        <w:rPr>
          <w:rFonts w:ascii="Times New Roman" w:hAnsi="Times New Roman" w:cs="Times New Roman"/>
          <w:lang w:val="af-ZA"/>
        </w:rPr>
        <w:t xml:space="preserve"> բավարար</w:t>
      </w:r>
      <w:r w:rsidR="00D50E35" w:rsidRPr="00EF7399">
        <w:rPr>
          <w:rFonts w:ascii="Times New Roman" w:hAnsi="Times New Roman" w:cs="Times New Roman"/>
          <w:lang w:val="hy-AM"/>
        </w:rPr>
        <w:t>ում</w:t>
      </w:r>
      <w:r w:rsidR="001B2B5E" w:rsidRPr="00EF7399">
        <w:rPr>
          <w:rFonts w:ascii="Times New Roman" w:hAnsi="Times New Roman" w:cs="Times New Roman"/>
          <w:lang w:val="af-ZA"/>
        </w:rPr>
        <w:t xml:space="preserve"> </w:t>
      </w:r>
      <w:r w:rsidR="00D50E35" w:rsidRPr="00EF7399">
        <w:rPr>
          <w:rFonts w:ascii="Times New Roman" w:hAnsi="Times New Roman" w:cs="Times New Roman"/>
          <w:lang w:val="hy-AM"/>
        </w:rPr>
        <w:t>է</w:t>
      </w:r>
      <w:r w:rsidR="001B2B5E" w:rsidRPr="00EF7399">
        <w:rPr>
          <w:rFonts w:ascii="Times New Roman" w:hAnsi="Times New Roman" w:cs="Times New Roman"/>
          <w:lang w:val="af-ZA"/>
        </w:rPr>
        <w:t xml:space="preserve"> 11-րդ հոդվածի 2-րդ մասի պահանջները</w:t>
      </w:r>
      <w:r w:rsidR="004D4671" w:rsidRPr="00EF7399">
        <w:rPr>
          <w:rFonts w:ascii="Times New Roman" w:hAnsi="Times New Roman" w:cs="Times New Roman"/>
          <w:lang w:val="af-ZA"/>
        </w:rPr>
        <w:t>,</w:t>
      </w:r>
      <w:r w:rsidR="001B2B5E" w:rsidRPr="00EF7399">
        <w:rPr>
          <w:rFonts w:ascii="Times New Roman" w:hAnsi="Times New Roman" w:cs="Times New Roman"/>
          <w:lang w:val="af-ZA"/>
        </w:rPr>
        <w:t xml:space="preserve"> </w:t>
      </w:r>
      <w:r w:rsidR="00D50E35" w:rsidRPr="00EF7399">
        <w:rPr>
          <w:rFonts w:ascii="Times New Roman" w:hAnsi="Times New Roman" w:cs="Times New Roman"/>
          <w:lang w:val="hy-AM"/>
        </w:rPr>
        <w:t>դրանք են</w:t>
      </w:r>
      <w:r w:rsidR="004D4671" w:rsidRPr="00EF7399">
        <w:rPr>
          <w:rFonts w:ascii="Times New Roman" w:hAnsi="Times New Roman" w:cs="Times New Roman"/>
          <w:lang w:val="af-ZA"/>
        </w:rPr>
        <w:t>`</w:t>
      </w:r>
      <w:r w:rsidR="001B2B5E" w:rsidRPr="00EF7399">
        <w:rPr>
          <w:rFonts w:ascii="Times New Roman" w:hAnsi="Times New Roman" w:cs="Times New Roman"/>
          <w:lang w:val="af-ZA"/>
        </w:rPr>
        <w:t xml:space="preserve"> «նախատեսված է</w:t>
      </w:r>
      <w:r w:rsidR="00D50E35" w:rsidRPr="00EF7399">
        <w:rPr>
          <w:rFonts w:ascii="Times New Roman" w:hAnsi="Times New Roman" w:cs="Times New Roman"/>
          <w:lang w:val="hy-AM"/>
        </w:rPr>
        <w:t xml:space="preserve"> </w:t>
      </w:r>
      <w:r w:rsidR="001B2B5E" w:rsidRPr="00EF7399">
        <w:rPr>
          <w:rFonts w:ascii="Times New Roman" w:hAnsi="Times New Roman" w:cs="Times New Roman"/>
          <w:lang w:val="af-ZA"/>
        </w:rPr>
        <w:t>օրենքով»</w:t>
      </w:r>
      <w:r w:rsidR="004D4671" w:rsidRPr="00EF7399">
        <w:rPr>
          <w:rFonts w:ascii="Times New Roman" w:hAnsi="Times New Roman" w:cs="Times New Roman"/>
          <w:lang w:val="af-ZA"/>
        </w:rPr>
        <w:t>, հետապնդում է իրավաչափ նպատակ կամ նպատակներ, «անհրաժեշտ է ժողովրդավարական հասարակությունում»:</w:t>
      </w:r>
    </w:p>
    <w:p w14:paraId="5503FB96" w14:textId="5FD5E8D3" w:rsidR="00F64E7B" w:rsidRPr="00E44946" w:rsidRDefault="002F0016" w:rsidP="00E44946">
      <w:pPr>
        <w:pStyle w:val="ECHRHeading3"/>
        <w:numPr>
          <w:ilvl w:val="2"/>
          <w:numId w:val="55"/>
        </w:numPr>
        <w:rPr>
          <w:rFonts w:ascii="Times New Roman" w:eastAsiaTheme="minorHAnsi" w:hAnsi="Times New Roman" w:cs="Times New Roman"/>
          <w:color w:val="auto"/>
          <w:sz w:val="22"/>
          <w:lang w:val="af-ZA"/>
        </w:rPr>
      </w:pPr>
      <w:bookmarkStart w:id="82" w:name="_Toc159945241"/>
      <w:r w:rsidRPr="00E44946">
        <w:rPr>
          <w:rFonts w:ascii="Times New Roman" w:hAnsi="Times New Roman" w:cs="Times New Roman"/>
          <w:lang w:val="af-ZA"/>
        </w:rPr>
        <w:t>Նախատեսված</w:t>
      </w:r>
      <w:r w:rsidR="004D4671" w:rsidRPr="00E44946">
        <w:rPr>
          <w:rFonts w:ascii="Times New Roman" w:hAnsi="Times New Roman" w:cs="Times New Roman"/>
          <w:lang w:val="af-ZA"/>
        </w:rPr>
        <w:t xml:space="preserve"> է</w:t>
      </w:r>
      <w:r w:rsidRPr="00E44946">
        <w:rPr>
          <w:rFonts w:ascii="Times New Roman" w:hAnsi="Times New Roman" w:cs="Times New Roman"/>
          <w:lang w:val="af-ZA"/>
        </w:rPr>
        <w:t xml:space="preserve"> օրենքով</w:t>
      </w:r>
      <w:bookmarkEnd w:id="82"/>
    </w:p>
    <w:p w14:paraId="14D79338" w14:textId="3E228FCA" w:rsidR="00F64E7B" w:rsidRPr="00EF7399" w:rsidRDefault="00F64E7B" w:rsidP="00F64E7B">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148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4D4671" w:rsidRPr="00EF7399">
        <w:rPr>
          <w:rFonts w:ascii="Times New Roman" w:hAnsi="Times New Roman" w:cs="Times New Roman"/>
          <w:lang w:val="af-ZA"/>
        </w:rPr>
        <w:t>«Նախատեսված է օրենքով» արտահայտությունն</w:t>
      </w:r>
      <w:r w:rsidR="00D50E35" w:rsidRPr="00EF7399">
        <w:rPr>
          <w:rFonts w:ascii="Times New Roman" w:hAnsi="Times New Roman" w:cs="Times New Roman"/>
          <w:lang w:val="hy-AM"/>
        </w:rPr>
        <w:t>,</w:t>
      </w:r>
      <w:r w:rsidR="004D4671" w:rsidRPr="00EF7399">
        <w:rPr>
          <w:rFonts w:ascii="Times New Roman" w:hAnsi="Times New Roman" w:cs="Times New Roman"/>
          <w:lang w:val="af-ZA"/>
        </w:rPr>
        <w:t xml:space="preserve"> առաջին հերթին</w:t>
      </w:r>
      <w:r w:rsidR="00D50E35" w:rsidRPr="00EF7399">
        <w:rPr>
          <w:rFonts w:ascii="Times New Roman" w:hAnsi="Times New Roman" w:cs="Times New Roman"/>
          <w:lang w:val="hy-AM"/>
        </w:rPr>
        <w:t>,</w:t>
      </w:r>
      <w:r w:rsidR="004D4671" w:rsidRPr="00EF7399">
        <w:rPr>
          <w:rFonts w:ascii="Times New Roman" w:hAnsi="Times New Roman" w:cs="Times New Roman"/>
          <w:lang w:val="af-ZA"/>
        </w:rPr>
        <w:t xml:space="preserve"> պահանջում է, որ վիճարկվող միջոցը ունենա ներպետական օրենսդրությամբ սահմանված հիմք: Այն նաև </w:t>
      </w:r>
      <w:r w:rsidR="00327CAC" w:rsidRPr="00EF7399">
        <w:rPr>
          <w:rFonts w:ascii="Times New Roman" w:hAnsi="Times New Roman" w:cs="Times New Roman"/>
          <w:lang w:val="hy-AM"/>
        </w:rPr>
        <w:t>վերաբերում</w:t>
      </w:r>
      <w:r w:rsidR="00327CAC" w:rsidRPr="00EF7399">
        <w:rPr>
          <w:rFonts w:ascii="Times New Roman" w:hAnsi="Times New Roman" w:cs="Times New Roman"/>
          <w:lang w:val="af-ZA"/>
        </w:rPr>
        <w:t xml:space="preserve"> </w:t>
      </w:r>
      <w:r w:rsidR="004D4671" w:rsidRPr="00EF7399">
        <w:rPr>
          <w:rFonts w:ascii="Times New Roman" w:hAnsi="Times New Roman" w:cs="Times New Roman"/>
          <w:lang w:val="af-ZA"/>
        </w:rPr>
        <w:t>է խնդրո առարկա օրենքի որակին, որը պետք է մատչելի լինի շահագրգիռ անձանց և կանխատեսելի</w:t>
      </w:r>
      <w:r w:rsidR="00327CAC" w:rsidRPr="00EF7399">
        <w:rPr>
          <w:rFonts w:ascii="Times New Roman" w:hAnsi="Times New Roman" w:cs="Times New Roman"/>
          <w:lang w:val="hy-AM"/>
        </w:rPr>
        <w:t xml:space="preserve">՝ </w:t>
      </w:r>
      <w:r w:rsidR="00327CAC" w:rsidRPr="00EF7399">
        <w:rPr>
          <w:rFonts w:ascii="Times New Roman" w:hAnsi="Times New Roman" w:cs="Times New Roman"/>
          <w:lang w:val="af-ZA"/>
        </w:rPr>
        <w:t>դրա հետևանքներ</w:t>
      </w:r>
      <w:r w:rsidR="00327CAC" w:rsidRPr="00EF7399">
        <w:rPr>
          <w:rFonts w:ascii="Times New Roman" w:hAnsi="Times New Roman" w:cs="Times New Roman"/>
          <w:lang w:val="hy-AM"/>
        </w:rPr>
        <w:t>ի առումով</w:t>
      </w:r>
      <w:r w:rsidR="004D4671" w:rsidRPr="00EF7399">
        <w:rPr>
          <w:rFonts w:ascii="Times New Roman" w:hAnsi="Times New Roman" w:cs="Times New Roman"/>
          <w:lang w:val="af-ZA"/>
        </w:rPr>
        <w:t xml:space="preserve">: </w:t>
      </w:r>
      <w:r w:rsidR="006070B9" w:rsidRPr="00EF7399">
        <w:rPr>
          <w:rFonts w:ascii="Times New Roman" w:hAnsi="Times New Roman" w:cs="Times New Roman"/>
          <w:lang w:val="af-ZA"/>
        </w:rPr>
        <w:t>Օրենքը «կանխատեսելի» է, եթե ձևակերպված է բավարար ճշգրտությամբ, որը հնարավորություն կտա անհատին, անհրաժեշտությա</w:t>
      </w:r>
      <w:r w:rsidR="006C288B" w:rsidRPr="00EF7399">
        <w:rPr>
          <w:rFonts w:ascii="Times New Roman" w:hAnsi="Times New Roman" w:cs="Times New Roman"/>
          <w:lang w:val="af-ZA"/>
        </w:rPr>
        <w:t>ն</w:t>
      </w:r>
      <w:r w:rsidR="006070B9" w:rsidRPr="00EF7399">
        <w:rPr>
          <w:rFonts w:ascii="Times New Roman" w:hAnsi="Times New Roman" w:cs="Times New Roman"/>
          <w:lang w:val="af-ZA"/>
        </w:rPr>
        <w:t xml:space="preserve"> դեպքում պատշաճ խորհրդատվությամբ, </w:t>
      </w:r>
      <w:r w:rsidR="00327CAC" w:rsidRPr="00EF7399">
        <w:rPr>
          <w:rFonts w:ascii="Times New Roman" w:hAnsi="Times New Roman" w:cs="Times New Roman"/>
          <w:lang w:val="hy-AM"/>
        </w:rPr>
        <w:t>կարգավորել</w:t>
      </w:r>
      <w:r w:rsidR="00327CAC" w:rsidRPr="00EF7399">
        <w:rPr>
          <w:rFonts w:ascii="Times New Roman" w:hAnsi="Times New Roman" w:cs="Times New Roman"/>
          <w:lang w:val="af-ZA"/>
        </w:rPr>
        <w:t xml:space="preserve"> </w:t>
      </w:r>
      <w:r w:rsidR="006070B9" w:rsidRPr="00EF7399">
        <w:rPr>
          <w:rFonts w:ascii="Times New Roman" w:hAnsi="Times New Roman" w:cs="Times New Roman"/>
          <w:lang w:val="af-ZA"/>
        </w:rPr>
        <w:t xml:space="preserve">սեփական </w:t>
      </w:r>
      <w:r w:rsidR="00327CAC" w:rsidRPr="00EF7399">
        <w:rPr>
          <w:rFonts w:ascii="Times New Roman" w:hAnsi="Times New Roman" w:cs="Times New Roman"/>
          <w:lang w:val="hy-AM"/>
        </w:rPr>
        <w:t>վարքագիծը</w:t>
      </w:r>
      <w:r w:rsidR="00327CAC"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368" w:history="1">
        <w:r w:rsidRPr="00EF7399">
          <w:rPr>
            <w:rStyle w:val="Hyperlink"/>
            <w:rFonts w:ascii="Times New Roman" w:hAnsi="Times New Roman" w:cs="Times New Roman"/>
            <w:lang w:val="af-ZA"/>
          </w:rPr>
          <w:t>N.F.</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Italy</w:t>
        </w:r>
      </w:hyperlink>
      <w:r w:rsidRPr="00EF7399">
        <w:rPr>
          <w:rFonts w:ascii="Times New Roman" w:hAnsi="Times New Roman" w:cs="Times New Roman"/>
          <w:lang w:val="af-ZA"/>
        </w:rPr>
        <w:t xml:space="preserve">, </w:t>
      </w:r>
      <w:r w:rsidR="00C46086" w:rsidRPr="00EF7399">
        <w:rPr>
          <w:rFonts w:ascii="Times New Roman" w:hAnsi="Times New Roman" w:cs="Times New Roman"/>
          <w:lang w:val="af-ZA"/>
        </w:rPr>
        <w:t xml:space="preserve">2001,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26 </w:t>
      </w:r>
      <w:r w:rsidR="006070B9" w:rsidRPr="00EF7399">
        <w:rPr>
          <w:rFonts w:ascii="Times New Roman" w:hAnsi="Times New Roman" w:cs="Times New Roman"/>
          <w:lang w:val="af-ZA"/>
        </w:rPr>
        <w:t>և</w:t>
      </w:r>
      <w:r w:rsidRPr="00EF7399">
        <w:rPr>
          <w:rFonts w:ascii="Times New Roman" w:hAnsi="Times New Roman" w:cs="Times New Roman"/>
          <w:lang w:val="af-ZA"/>
        </w:rPr>
        <w:t xml:space="preserve"> 29)</w:t>
      </w:r>
      <w:r w:rsidR="006070B9" w:rsidRPr="00EF7399">
        <w:rPr>
          <w:rFonts w:ascii="Times New Roman" w:hAnsi="Times New Roman" w:cs="Times New Roman"/>
          <w:lang w:val="af-ZA"/>
        </w:rPr>
        <w:t xml:space="preserve">: Այս պահանջները բավարարելու համար ներպետական օրենսդրությունը պետք է ապահովի իշխանությունների կամայական միջամտություններից Կոնվենցիայով երաշխավորված իրավունքները պաշտպանելու իրավական միջոց: Օրենքը պետք է բավարար հստակությամբ </w:t>
      </w:r>
      <w:r w:rsidR="00986193" w:rsidRPr="00EF7399">
        <w:rPr>
          <w:rFonts w:ascii="Times New Roman" w:hAnsi="Times New Roman" w:cs="Times New Roman"/>
          <w:lang w:val="af-ZA"/>
        </w:rPr>
        <w:t>նշի</w:t>
      </w:r>
      <w:r w:rsidR="00327CAC" w:rsidRPr="00EF7399">
        <w:rPr>
          <w:rFonts w:ascii="Times New Roman" w:hAnsi="Times New Roman" w:cs="Times New Roman"/>
          <w:lang w:val="hy-AM"/>
        </w:rPr>
        <w:t xml:space="preserve"> ցանկացած</w:t>
      </w:r>
      <w:r w:rsidR="00986193" w:rsidRPr="00EF7399">
        <w:rPr>
          <w:rFonts w:ascii="Times New Roman" w:hAnsi="Times New Roman" w:cs="Times New Roman"/>
          <w:lang w:val="af-ZA"/>
        </w:rPr>
        <w:t xml:space="preserve"> նման հայեցողության շրջանակը և դրա կիրառման եղանակը </w:t>
      </w:r>
      <w:r w:rsidRPr="00EF7399">
        <w:rPr>
          <w:rFonts w:ascii="Times New Roman" w:hAnsi="Times New Roman" w:cs="Times New Roman"/>
          <w:lang w:val="af-ZA"/>
        </w:rPr>
        <w:t>(</w:t>
      </w:r>
      <w:hyperlink r:id="rId369" w:history="1">
        <w:r w:rsidRPr="00EF7399">
          <w:rPr>
            <w:rStyle w:val="Hyperlink"/>
            <w:rFonts w:ascii="Times New Roman" w:hAnsi="Times New Roman" w:cs="Times New Roman"/>
            <w:lang w:val="af-ZA"/>
          </w:rPr>
          <w:t>Maestri</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Italy</w:t>
        </w:r>
      </w:hyperlink>
      <w:r w:rsidRPr="00EF7399">
        <w:rPr>
          <w:rFonts w:ascii="Times New Roman" w:hAnsi="Times New Roman" w:cs="Times New Roman"/>
          <w:lang w:val="af-ZA"/>
        </w:rPr>
        <w:t xml:space="preserve"> [GC], </w:t>
      </w:r>
      <w:r w:rsidR="00C46086" w:rsidRPr="00EF7399">
        <w:rPr>
          <w:rFonts w:ascii="Times New Roman" w:hAnsi="Times New Roman" w:cs="Times New Roman"/>
          <w:lang w:val="af-ZA"/>
        </w:rPr>
        <w:t xml:space="preserve">2004, </w:t>
      </w:r>
      <w:r w:rsidR="00873234" w:rsidRPr="00EF7399">
        <w:rPr>
          <w:rFonts w:ascii="Times New Roman" w:hAnsi="Times New Roman" w:cs="Times New Roman"/>
          <w:lang w:val="af-ZA"/>
        </w:rPr>
        <w:t>§ </w:t>
      </w:r>
      <w:r w:rsidRPr="00EF7399">
        <w:rPr>
          <w:rFonts w:ascii="Times New Roman" w:hAnsi="Times New Roman" w:cs="Times New Roman"/>
          <w:lang w:val="af-ZA"/>
        </w:rPr>
        <w:t>30)</w:t>
      </w:r>
      <w:r w:rsidR="00986193" w:rsidRPr="00EF7399">
        <w:rPr>
          <w:rFonts w:ascii="Times New Roman" w:hAnsi="Times New Roman" w:cs="Times New Roman"/>
          <w:lang w:val="af-ZA"/>
        </w:rPr>
        <w:t>:</w:t>
      </w:r>
      <w:r w:rsidR="00F40CBA">
        <w:rPr>
          <w:rFonts w:ascii="Times New Roman" w:hAnsi="Times New Roman" w:cs="Times New Roman"/>
          <w:lang w:val="af-ZA"/>
        </w:rPr>
        <w:t xml:space="preserve"> </w:t>
      </w:r>
    </w:p>
    <w:p w14:paraId="2D378A23" w14:textId="0D59A86A" w:rsidR="00F64E7B" w:rsidRPr="00EF7399" w:rsidRDefault="00F64E7B" w:rsidP="00F64E7B">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149</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9625F9" w:rsidRPr="00EF7399">
        <w:rPr>
          <w:rFonts w:ascii="Times New Roman" w:hAnsi="Times New Roman" w:cs="Times New Roman"/>
          <w:lang w:val="af-ZA"/>
        </w:rPr>
        <w:t>Դատարանը գտավ, որ կանխատեսելիության պայմանը չէր բավարարվել, երբ դատավորը չէր կարողացել գիտակցել, որ իր անդամությունը մասոնական օթյակին կարող էր հանգեցնել իր նկատմամբ կարգապահական պատժի</w:t>
      </w:r>
      <w:r w:rsidR="00327CAC" w:rsidRPr="00EF7399">
        <w:rPr>
          <w:rFonts w:ascii="Times New Roman" w:hAnsi="Times New Roman" w:cs="Times New Roman"/>
          <w:lang w:val="hy-AM"/>
        </w:rPr>
        <w:t xml:space="preserve"> </w:t>
      </w:r>
      <w:r w:rsidR="00327CAC" w:rsidRPr="00EF7399">
        <w:rPr>
          <w:rFonts w:ascii="Times New Roman" w:hAnsi="Times New Roman" w:cs="Times New Roman"/>
          <w:lang w:val="af-ZA"/>
        </w:rPr>
        <w:t>կիրառ</w:t>
      </w:r>
      <w:r w:rsidR="00327CAC" w:rsidRPr="00EF7399">
        <w:rPr>
          <w:rFonts w:ascii="Times New Roman" w:hAnsi="Times New Roman" w:cs="Times New Roman"/>
          <w:lang w:val="hy-AM"/>
        </w:rPr>
        <w:t xml:space="preserve">ման </w:t>
      </w:r>
      <w:r w:rsidRPr="00EF7399">
        <w:rPr>
          <w:rFonts w:ascii="Times New Roman" w:hAnsi="Times New Roman" w:cs="Times New Roman"/>
          <w:lang w:val="af-ZA"/>
        </w:rPr>
        <w:t>(</w:t>
      </w:r>
      <w:hyperlink r:id="rId370" w:history="1">
        <w:r w:rsidRPr="00EF7399">
          <w:rPr>
            <w:rStyle w:val="Hyperlink"/>
            <w:rFonts w:ascii="Times New Roman" w:hAnsi="Times New Roman" w:cs="Times New Roman"/>
            <w:lang w:val="af-ZA"/>
          </w:rPr>
          <w:t>N.F.</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Italy</w:t>
        </w:r>
      </w:hyperlink>
      <w:r w:rsidRPr="00EF7399">
        <w:rPr>
          <w:rFonts w:ascii="Times New Roman" w:hAnsi="Times New Roman" w:cs="Times New Roman"/>
          <w:lang w:val="af-ZA"/>
        </w:rPr>
        <w:t xml:space="preserve">, </w:t>
      </w:r>
      <w:r w:rsidR="00C46086" w:rsidRPr="00EF7399">
        <w:rPr>
          <w:rFonts w:ascii="Times New Roman" w:hAnsi="Times New Roman" w:cs="Times New Roman"/>
          <w:lang w:val="af-ZA"/>
        </w:rPr>
        <w:t xml:space="preserve">2001,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30-32; </w:t>
      </w:r>
      <w:hyperlink r:id="rId371" w:history="1">
        <w:r w:rsidRPr="00EF7399">
          <w:rPr>
            <w:rStyle w:val="Hyperlink"/>
            <w:rFonts w:ascii="Times New Roman" w:hAnsi="Times New Roman" w:cs="Times New Roman"/>
            <w:lang w:val="af-ZA"/>
          </w:rPr>
          <w:t>Maestri</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Italy</w:t>
        </w:r>
      </w:hyperlink>
      <w:r w:rsidRPr="00EF7399">
        <w:rPr>
          <w:rFonts w:ascii="Times New Roman" w:hAnsi="Times New Roman" w:cs="Times New Roman"/>
          <w:lang w:val="af-ZA"/>
        </w:rPr>
        <w:t xml:space="preserve"> [GC], </w:t>
      </w:r>
      <w:r w:rsidR="00C46086" w:rsidRPr="00EF7399">
        <w:rPr>
          <w:rFonts w:ascii="Times New Roman" w:hAnsi="Times New Roman" w:cs="Times New Roman"/>
          <w:lang w:val="af-ZA"/>
        </w:rPr>
        <w:t xml:space="preserve">2004,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43-42)</w:t>
      </w:r>
      <w:r w:rsidR="009625F9" w:rsidRPr="00EF7399">
        <w:rPr>
          <w:rFonts w:ascii="Times New Roman" w:hAnsi="Times New Roman" w:cs="Times New Roman"/>
          <w:lang w:val="af-ZA"/>
        </w:rPr>
        <w:t>:</w:t>
      </w:r>
    </w:p>
    <w:p w14:paraId="46BB1C6F" w14:textId="789A5058" w:rsidR="00F64E7B" w:rsidRPr="00EF7399" w:rsidRDefault="00F64E7B" w:rsidP="00F64E7B">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150</w:t>
      </w:r>
      <w:r w:rsidRPr="00EF7399">
        <w:rPr>
          <w:rFonts w:ascii="Times New Roman" w:hAnsi="Times New Roman" w:cs="Times New Roman"/>
          <w:lang w:val="af-ZA"/>
        </w:rPr>
        <w:fldChar w:fldCharType="end"/>
      </w:r>
      <w:r w:rsidRPr="00EF7399">
        <w:rPr>
          <w:rFonts w:ascii="Times New Roman" w:hAnsi="Times New Roman" w:cs="Times New Roman"/>
          <w:lang w:val="af-ZA"/>
        </w:rPr>
        <w:t xml:space="preserve">.   </w:t>
      </w:r>
      <w:hyperlink r:id="rId372" w:history="1">
        <w:r w:rsidRPr="00EF7399">
          <w:rPr>
            <w:rStyle w:val="Hyperlink"/>
            <w:rFonts w:ascii="Times New Roman" w:hAnsi="Times New Roman" w:cs="Times New Roman"/>
            <w:lang w:val="af-ZA"/>
          </w:rPr>
          <w:t>Koretskyy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Ukraine</w:t>
        </w:r>
      </w:hyperlink>
      <w:r w:rsidRPr="00EF7399">
        <w:rPr>
          <w:rFonts w:ascii="Times New Roman" w:hAnsi="Times New Roman" w:cs="Times New Roman"/>
          <w:lang w:val="af-ZA"/>
        </w:rPr>
        <w:t xml:space="preserve">, </w:t>
      </w:r>
      <w:r w:rsidR="00F11699" w:rsidRPr="00EF7399">
        <w:rPr>
          <w:rFonts w:ascii="Times New Roman" w:hAnsi="Times New Roman" w:cs="Times New Roman"/>
          <w:lang w:val="af-ZA"/>
        </w:rPr>
        <w:t xml:space="preserve">2008, </w:t>
      </w:r>
      <w:r w:rsidR="009625F9" w:rsidRPr="00EF7399">
        <w:rPr>
          <w:rFonts w:ascii="Times New Roman" w:hAnsi="Times New Roman" w:cs="Times New Roman"/>
          <w:lang w:val="af-ZA"/>
        </w:rPr>
        <w:t>գործով իշխանությունները մերժել էին գրանցել հասարակական</w:t>
      </w:r>
      <w:r w:rsidR="00811239" w:rsidRPr="00EF7399">
        <w:rPr>
          <w:rFonts w:ascii="Times New Roman" w:hAnsi="Times New Roman" w:cs="Times New Roman"/>
          <w:lang w:val="af-ZA"/>
        </w:rPr>
        <w:t xml:space="preserve"> (ոչ պետական)</w:t>
      </w:r>
      <w:r w:rsidR="009625F9" w:rsidRPr="00EF7399">
        <w:rPr>
          <w:rFonts w:ascii="Times New Roman" w:hAnsi="Times New Roman" w:cs="Times New Roman"/>
          <w:lang w:val="af-ZA"/>
        </w:rPr>
        <w:t xml:space="preserve"> միավորում: Դատարանը գտավ, որ միավորումների գրանցումը կանոնակարգող ներպետական օրենսդրության նորմերը չափազանց </w:t>
      </w:r>
      <w:r w:rsidR="0054694C" w:rsidRPr="00EF7399">
        <w:rPr>
          <w:rFonts w:ascii="Times New Roman" w:hAnsi="Times New Roman" w:cs="Times New Roman"/>
          <w:lang w:val="hy-AM"/>
        </w:rPr>
        <w:t>անորոշ</w:t>
      </w:r>
      <w:r w:rsidR="00327CAC" w:rsidRPr="00EF7399">
        <w:rPr>
          <w:rFonts w:ascii="Times New Roman" w:hAnsi="Times New Roman" w:cs="Times New Roman"/>
          <w:lang w:val="af-ZA"/>
        </w:rPr>
        <w:t xml:space="preserve"> </w:t>
      </w:r>
      <w:r w:rsidR="009625F9" w:rsidRPr="00EF7399">
        <w:rPr>
          <w:rFonts w:ascii="Times New Roman" w:hAnsi="Times New Roman" w:cs="Times New Roman"/>
          <w:lang w:val="af-ZA"/>
        </w:rPr>
        <w:t>էին` բավարար «կանխատեսելի» լինելու համար, և միավորման գրանցման մասին որոշում ընդունելու հարցում իշխանություններին</w:t>
      </w:r>
      <w:r w:rsidR="00327CAC" w:rsidRPr="00EF7399">
        <w:rPr>
          <w:rFonts w:ascii="Times New Roman" w:hAnsi="Times New Roman" w:cs="Times New Roman"/>
          <w:lang w:val="hy-AM"/>
        </w:rPr>
        <w:t xml:space="preserve"> ընձեռում էին</w:t>
      </w:r>
      <w:r w:rsidR="009625F9" w:rsidRPr="00EF7399">
        <w:rPr>
          <w:rFonts w:ascii="Times New Roman" w:hAnsi="Times New Roman" w:cs="Times New Roman"/>
          <w:lang w:val="af-ZA"/>
        </w:rPr>
        <w:t xml:space="preserve"> հայեցողությ</w:t>
      </w:r>
      <w:r w:rsidR="00327CAC" w:rsidRPr="00EF7399">
        <w:rPr>
          <w:rFonts w:ascii="Times New Roman" w:hAnsi="Times New Roman" w:cs="Times New Roman"/>
          <w:lang w:val="hy-AM"/>
        </w:rPr>
        <w:t>ա</w:t>
      </w:r>
      <w:r w:rsidR="009625F9" w:rsidRPr="00EF7399">
        <w:rPr>
          <w:rFonts w:ascii="Times New Roman" w:hAnsi="Times New Roman" w:cs="Times New Roman"/>
          <w:lang w:val="af-ZA"/>
        </w:rPr>
        <w:t>ն</w:t>
      </w:r>
      <w:r w:rsidR="00327CAC" w:rsidRPr="00EF7399">
        <w:rPr>
          <w:rFonts w:ascii="Times New Roman" w:hAnsi="Times New Roman" w:cs="Times New Roman"/>
          <w:lang w:val="hy-AM"/>
        </w:rPr>
        <w:t xml:space="preserve"> չափազանց լայն շրջանակ</w:t>
      </w:r>
      <w:r w:rsidR="009625F9" w:rsidRPr="00EF7399">
        <w:rPr>
          <w:rFonts w:ascii="Times New Roman" w:hAnsi="Times New Roman" w:cs="Times New Roman"/>
          <w:lang w:val="af-ZA"/>
        </w:rPr>
        <w:t xml:space="preserve">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48)</w:t>
      </w:r>
      <w:r w:rsidR="00811239" w:rsidRPr="00EF7399">
        <w:rPr>
          <w:rFonts w:ascii="Times New Roman" w:hAnsi="Times New Roman" w:cs="Times New Roman"/>
          <w:lang w:val="af-ZA"/>
        </w:rPr>
        <w:t>:</w:t>
      </w:r>
    </w:p>
    <w:p w14:paraId="133E9F40" w14:textId="36955DA9" w:rsidR="00217603" w:rsidRPr="00EF7399" w:rsidRDefault="00F64E7B" w:rsidP="00F64E7B">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151</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0E589D" w:rsidRPr="00EF7399">
        <w:rPr>
          <w:rFonts w:ascii="Times New Roman" w:hAnsi="Times New Roman" w:cs="Times New Roman"/>
          <w:lang w:val="af-ZA"/>
        </w:rPr>
        <w:t xml:space="preserve">«Օրենքի որակի» պահանջի հետ կապված խնդիր առաջացել էր նաև </w:t>
      </w:r>
      <w:hyperlink r:id="rId373" w:history="1">
        <w:r w:rsidRPr="00EF7399">
          <w:rPr>
            <w:rStyle w:val="Hyperlink"/>
            <w:rFonts w:ascii="Times New Roman" w:hAnsi="Times New Roman" w:cs="Times New Roman"/>
            <w:lang w:val="af-ZA"/>
          </w:rPr>
          <w:t>Tebieti Mühafize Cemiyyeti and Israfilov</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Azerbaijan</w:t>
        </w:r>
      </w:hyperlink>
      <w:r w:rsidRPr="00EF7399">
        <w:rPr>
          <w:rFonts w:ascii="Times New Roman" w:hAnsi="Times New Roman" w:cs="Times New Roman"/>
          <w:lang w:val="af-ZA"/>
        </w:rPr>
        <w:t xml:space="preserve">, </w:t>
      </w:r>
      <w:r w:rsidR="001821E6" w:rsidRPr="00EF7399">
        <w:rPr>
          <w:rFonts w:ascii="Times New Roman" w:hAnsi="Times New Roman" w:cs="Times New Roman"/>
          <w:lang w:val="af-ZA"/>
        </w:rPr>
        <w:t>2009</w:t>
      </w:r>
      <w:r w:rsidR="000E589D" w:rsidRPr="00EF7399">
        <w:rPr>
          <w:rFonts w:ascii="Times New Roman" w:hAnsi="Times New Roman" w:cs="Times New Roman"/>
          <w:lang w:val="af-ZA"/>
        </w:rPr>
        <w:t>, գործով,</w:t>
      </w:r>
      <w:r w:rsidR="00B932AC" w:rsidRPr="00EF7399">
        <w:rPr>
          <w:rFonts w:ascii="Times New Roman" w:hAnsi="Times New Roman" w:cs="Times New Roman"/>
          <w:lang w:val="af-ZA"/>
        </w:rPr>
        <w:t xml:space="preserve"> որ</w:t>
      </w:r>
      <w:r w:rsidR="0054694C" w:rsidRPr="00EF7399">
        <w:rPr>
          <w:rFonts w:ascii="Times New Roman" w:hAnsi="Times New Roman" w:cs="Times New Roman"/>
          <w:lang w:val="hy-AM"/>
        </w:rPr>
        <w:t xml:space="preserve">ում </w:t>
      </w:r>
      <w:r w:rsidR="000E589D" w:rsidRPr="00EF7399">
        <w:rPr>
          <w:rFonts w:ascii="Times New Roman" w:hAnsi="Times New Roman" w:cs="Times New Roman"/>
          <w:lang w:val="af-ZA"/>
        </w:rPr>
        <w:t xml:space="preserve">միավորումը լուծարվել էր </w:t>
      </w:r>
      <w:r w:rsidR="0054694C" w:rsidRPr="00EF7399">
        <w:rPr>
          <w:rFonts w:ascii="Times New Roman" w:hAnsi="Times New Roman" w:cs="Times New Roman"/>
          <w:lang w:val="hy-AM"/>
        </w:rPr>
        <w:lastRenderedPageBreak/>
        <w:t>օրենսդրության</w:t>
      </w:r>
      <w:r w:rsidR="0054694C" w:rsidRPr="00EF7399">
        <w:rPr>
          <w:rFonts w:ascii="Times New Roman" w:hAnsi="Times New Roman" w:cs="Times New Roman"/>
          <w:lang w:val="af-ZA"/>
        </w:rPr>
        <w:t xml:space="preserve"> </w:t>
      </w:r>
      <w:r w:rsidR="000E589D" w:rsidRPr="00EF7399">
        <w:rPr>
          <w:rFonts w:ascii="Times New Roman" w:hAnsi="Times New Roman" w:cs="Times New Roman"/>
          <w:lang w:val="af-ZA"/>
        </w:rPr>
        <w:t>հիմ</w:t>
      </w:r>
      <w:r w:rsidR="0054694C" w:rsidRPr="00EF7399">
        <w:rPr>
          <w:rFonts w:ascii="Times New Roman" w:hAnsi="Times New Roman" w:cs="Times New Roman"/>
          <w:lang w:val="hy-AM"/>
        </w:rPr>
        <w:t>ան վրա</w:t>
      </w:r>
      <w:r w:rsidR="000E589D" w:rsidRPr="00EF7399">
        <w:rPr>
          <w:rFonts w:ascii="Times New Roman" w:hAnsi="Times New Roman" w:cs="Times New Roman"/>
          <w:lang w:val="af-ZA"/>
        </w:rPr>
        <w:t>, որի ձևակերպումները ընդհանրական էին և լայն հայեցողություն էին տալիս արդարադատության նախարարությանը</w:t>
      </w:r>
      <w:r w:rsidR="0054694C" w:rsidRPr="00EF7399">
        <w:rPr>
          <w:rFonts w:ascii="Times New Roman" w:hAnsi="Times New Roman" w:cs="Times New Roman"/>
          <w:lang w:val="hy-AM"/>
        </w:rPr>
        <w:t>՝</w:t>
      </w:r>
      <w:r w:rsidR="000E589D" w:rsidRPr="00EF7399">
        <w:rPr>
          <w:rFonts w:ascii="Times New Roman" w:hAnsi="Times New Roman" w:cs="Times New Roman"/>
          <w:lang w:val="af-ZA"/>
        </w:rPr>
        <w:t xml:space="preserve"> </w:t>
      </w:r>
      <w:r w:rsidR="00B932AC" w:rsidRPr="00EF7399">
        <w:rPr>
          <w:rFonts w:ascii="Times New Roman" w:hAnsi="Times New Roman" w:cs="Times New Roman"/>
          <w:lang w:val="af-ZA"/>
        </w:rPr>
        <w:t xml:space="preserve">միջամտելու միավորման գոյության ցանկացած հարցի, այդ թվում` դրա ներքին կառավարմանը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61-64)</w:t>
      </w:r>
      <w:r w:rsidR="00B932AC" w:rsidRPr="00EF7399">
        <w:rPr>
          <w:rFonts w:ascii="Times New Roman" w:hAnsi="Times New Roman" w:cs="Times New Roman"/>
          <w:lang w:val="af-ZA"/>
        </w:rPr>
        <w:t>:</w:t>
      </w:r>
    </w:p>
    <w:p w14:paraId="13CE02C9" w14:textId="3733BEBE" w:rsidR="00262E0D" w:rsidRPr="00EF7399" w:rsidRDefault="00340B04" w:rsidP="00F64E7B">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 MERGEFORMAT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152</w:t>
      </w:r>
      <w:r w:rsidRPr="00EF7399">
        <w:rPr>
          <w:rFonts w:ascii="Times New Roman" w:hAnsi="Times New Roman" w:cs="Times New Roman"/>
          <w:lang w:val="af-ZA"/>
        </w:rPr>
        <w:fldChar w:fldCharType="end"/>
      </w:r>
      <w:r w:rsidR="00262E0D" w:rsidRPr="00EF7399">
        <w:rPr>
          <w:rFonts w:ascii="Times New Roman" w:hAnsi="Times New Roman" w:cs="Times New Roman"/>
          <w:lang w:val="af-ZA"/>
        </w:rPr>
        <w:t>.  </w:t>
      </w:r>
      <w:hyperlink r:id="rId374" w:history="1">
        <w:r w:rsidR="00262E0D" w:rsidRPr="00EF7399">
          <w:rPr>
            <w:rStyle w:val="Hyperlink"/>
            <w:rFonts w:ascii="Times New Roman" w:hAnsi="Times New Roman" w:cs="Times New Roman"/>
            <w:lang w:val="af-ZA"/>
          </w:rPr>
          <w:t>Yefimov and Youth Human Rights Group</w:t>
        </w:r>
        <w:r w:rsidR="00873234" w:rsidRPr="00EF7399">
          <w:rPr>
            <w:rStyle w:val="Hyperlink"/>
            <w:rFonts w:ascii="Times New Roman" w:hAnsi="Times New Roman" w:cs="Times New Roman"/>
            <w:lang w:val="af-ZA"/>
          </w:rPr>
          <w:t xml:space="preserve"> v. </w:t>
        </w:r>
        <w:r w:rsidR="00262E0D" w:rsidRPr="00EF7399">
          <w:rPr>
            <w:rStyle w:val="Hyperlink"/>
            <w:rFonts w:ascii="Times New Roman" w:hAnsi="Times New Roman" w:cs="Times New Roman"/>
            <w:lang w:val="af-ZA"/>
          </w:rPr>
          <w:t>Russia</w:t>
        </w:r>
      </w:hyperlink>
      <w:r w:rsidR="00262E0D" w:rsidRPr="00EF7399">
        <w:rPr>
          <w:rFonts w:ascii="Times New Roman" w:hAnsi="Times New Roman" w:cs="Times New Roman"/>
          <w:lang w:val="af-ZA"/>
        </w:rPr>
        <w:t>, 2021,</w:t>
      </w:r>
      <w:r w:rsidR="00095D6F" w:rsidRPr="00EF7399">
        <w:rPr>
          <w:rFonts w:ascii="Times New Roman" w:hAnsi="Times New Roman" w:cs="Times New Roman"/>
          <w:lang w:val="af-ZA"/>
        </w:rPr>
        <w:t xml:space="preserve"> գործով Դատարանը գտավ, որ ազգային օրենսդրության նորմերը, որոն</w:t>
      </w:r>
      <w:r w:rsidR="0054694C" w:rsidRPr="00EF7399">
        <w:rPr>
          <w:rFonts w:ascii="Times New Roman" w:hAnsi="Times New Roman" w:cs="Times New Roman"/>
          <w:lang w:val="hy-AM"/>
        </w:rPr>
        <w:t>ք</w:t>
      </w:r>
      <w:r w:rsidR="00095D6F" w:rsidRPr="00EF7399">
        <w:rPr>
          <w:rFonts w:ascii="Times New Roman" w:hAnsi="Times New Roman" w:cs="Times New Roman"/>
          <w:lang w:val="af-ZA"/>
        </w:rPr>
        <w:t xml:space="preserve"> անձի մասնակցությունը միավորմանը </w:t>
      </w:r>
      <w:r w:rsidR="0054694C" w:rsidRPr="00EF7399">
        <w:rPr>
          <w:rFonts w:ascii="Times New Roman" w:hAnsi="Times New Roman" w:cs="Times New Roman"/>
          <w:lang w:val="hy-AM"/>
        </w:rPr>
        <w:t xml:space="preserve">կախվածության մեջ էին դնում </w:t>
      </w:r>
      <w:r w:rsidR="0054694C" w:rsidRPr="00EF7399">
        <w:rPr>
          <w:rFonts w:ascii="Times New Roman" w:hAnsi="Times New Roman" w:cs="Times New Roman"/>
          <w:lang w:val="af-ZA"/>
        </w:rPr>
        <w:t>քննիչի</w:t>
      </w:r>
      <w:r w:rsidR="0054694C" w:rsidRPr="00EF7399">
        <w:rPr>
          <w:rFonts w:ascii="Times New Roman" w:hAnsi="Times New Roman" w:cs="Times New Roman"/>
          <w:lang w:val="hy-AM"/>
        </w:rPr>
        <w:t>՝</w:t>
      </w:r>
      <w:r w:rsidR="0054694C" w:rsidRPr="00EF7399">
        <w:rPr>
          <w:rFonts w:ascii="Times New Roman" w:hAnsi="Times New Roman" w:cs="Times New Roman"/>
          <w:lang w:val="af-ZA"/>
        </w:rPr>
        <w:t xml:space="preserve"> </w:t>
      </w:r>
      <w:r w:rsidR="00095D6F" w:rsidRPr="00EF7399">
        <w:rPr>
          <w:rFonts w:ascii="Times New Roman" w:hAnsi="Times New Roman" w:cs="Times New Roman"/>
          <w:lang w:val="af-ZA"/>
        </w:rPr>
        <w:t>ծայրահեղական հանցագործության</w:t>
      </w:r>
      <w:r w:rsidR="0054694C" w:rsidRPr="00EF7399">
        <w:rPr>
          <w:rFonts w:ascii="Times New Roman" w:hAnsi="Times New Roman" w:cs="Times New Roman"/>
          <w:lang w:val="hy-AM"/>
        </w:rPr>
        <w:t xml:space="preserve"> մեջ անձին</w:t>
      </w:r>
      <w:r w:rsidR="00095D6F" w:rsidRPr="00EF7399">
        <w:rPr>
          <w:rFonts w:ascii="Times New Roman" w:hAnsi="Times New Roman" w:cs="Times New Roman"/>
          <w:lang w:val="af-ZA"/>
        </w:rPr>
        <w:t xml:space="preserve"> կասկածյալ</w:t>
      </w:r>
      <w:r w:rsidR="0054694C" w:rsidRPr="00EF7399">
        <w:rPr>
          <w:rFonts w:ascii="Times New Roman" w:hAnsi="Times New Roman" w:cs="Times New Roman"/>
          <w:lang w:val="hy-AM"/>
        </w:rPr>
        <w:t xml:space="preserve"> ճանաչելու</w:t>
      </w:r>
      <w:r w:rsidR="00095D6F" w:rsidRPr="00EF7399">
        <w:rPr>
          <w:rFonts w:ascii="Times New Roman" w:hAnsi="Times New Roman" w:cs="Times New Roman"/>
          <w:lang w:val="af-ZA"/>
        </w:rPr>
        <w:t xml:space="preserve"> որոշումից</w:t>
      </w:r>
      <w:r w:rsidR="00AC37EF" w:rsidRPr="00EF7399">
        <w:rPr>
          <w:rFonts w:ascii="Times New Roman" w:hAnsi="Times New Roman" w:cs="Times New Roman"/>
          <w:lang w:val="af-ZA"/>
        </w:rPr>
        <w:t xml:space="preserve">, չեն բավարարել «օրենքի որակի» չափորոշիչը, քանի որ դրանք անսահմանափակ հայեցողություն էին տվել քննչական մարմիններին և չէին տրամադրել պաշտպանություն չարաշահումից </w:t>
      </w:r>
      <w:r w:rsidR="00FD2435" w:rsidRPr="00EF7399">
        <w:rPr>
          <w:rFonts w:ascii="Times New Roman" w:hAnsi="Times New Roman" w:cs="Times New Roman"/>
          <w:lang w:val="af-ZA"/>
        </w:rPr>
        <w:t>(§</w:t>
      </w:r>
      <w:r w:rsidR="00873234" w:rsidRPr="00EF7399">
        <w:rPr>
          <w:rFonts w:ascii="Times New Roman" w:hAnsi="Times New Roman" w:cs="Times New Roman"/>
          <w:lang w:val="af-ZA"/>
        </w:rPr>
        <w:t>§ </w:t>
      </w:r>
      <w:r w:rsidR="00FD2435" w:rsidRPr="00EF7399">
        <w:rPr>
          <w:rFonts w:ascii="Times New Roman" w:hAnsi="Times New Roman" w:cs="Times New Roman"/>
          <w:lang w:val="af-ZA"/>
        </w:rPr>
        <w:t>59-64)</w:t>
      </w:r>
      <w:r w:rsidR="00AC37EF" w:rsidRPr="00EF7399">
        <w:rPr>
          <w:rFonts w:ascii="Times New Roman" w:hAnsi="Times New Roman" w:cs="Times New Roman"/>
          <w:lang w:val="af-ZA"/>
        </w:rPr>
        <w:t xml:space="preserve">: </w:t>
      </w:r>
      <w:r w:rsidR="0054694C" w:rsidRPr="00EF7399">
        <w:rPr>
          <w:rFonts w:ascii="Times New Roman" w:hAnsi="Times New Roman" w:cs="Times New Roman"/>
          <w:lang w:val="hy-AM"/>
        </w:rPr>
        <w:t>Գ</w:t>
      </w:r>
      <w:r w:rsidR="00AC37EF" w:rsidRPr="00EF7399">
        <w:rPr>
          <w:rFonts w:ascii="Times New Roman" w:hAnsi="Times New Roman" w:cs="Times New Roman"/>
          <w:lang w:val="af-ZA"/>
        </w:rPr>
        <w:t>անգատաբերի միավորման լուծարում</w:t>
      </w:r>
      <w:r w:rsidR="0054694C" w:rsidRPr="00EF7399">
        <w:rPr>
          <w:rFonts w:ascii="Times New Roman" w:hAnsi="Times New Roman" w:cs="Times New Roman"/>
          <w:lang w:val="hy-AM"/>
        </w:rPr>
        <w:t>ը ևս</w:t>
      </w:r>
      <w:r w:rsidR="00AC37EF" w:rsidRPr="00EF7399">
        <w:rPr>
          <w:rFonts w:ascii="Times New Roman" w:hAnsi="Times New Roman" w:cs="Times New Roman"/>
          <w:lang w:val="af-ZA"/>
        </w:rPr>
        <w:t xml:space="preserve"> </w:t>
      </w:r>
      <w:r w:rsidR="0054694C" w:rsidRPr="00EF7399">
        <w:rPr>
          <w:rFonts w:ascii="Times New Roman" w:hAnsi="Times New Roman" w:cs="Times New Roman"/>
          <w:lang w:val="hy-AM"/>
        </w:rPr>
        <w:t>հիմնված չէր</w:t>
      </w:r>
      <w:r w:rsidR="0054694C" w:rsidRPr="00EF7399">
        <w:rPr>
          <w:rFonts w:ascii="Times New Roman" w:hAnsi="Times New Roman" w:cs="Times New Roman"/>
          <w:lang w:val="af-ZA"/>
        </w:rPr>
        <w:t xml:space="preserve"> </w:t>
      </w:r>
      <w:r w:rsidR="00AC37EF" w:rsidRPr="00EF7399">
        <w:rPr>
          <w:rFonts w:ascii="Times New Roman" w:hAnsi="Times New Roman" w:cs="Times New Roman"/>
          <w:lang w:val="af-ZA"/>
        </w:rPr>
        <w:t xml:space="preserve">հստակ և կանխատեսելի իրավական հիմքի վրա </w:t>
      </w:r>
      <w:r w:rsidR="00FD2435" w:rsidRPr="00EF7399">
        <w:rPr>
          <w:rFonts w:ascii="Times New Roman" w:hAnsi="Times New Roman" w:cs="Times New Roman"/>
          <w:lang w:val="af-ZA"/>
        </w:rPr>
        <w:t>(§</w:t>
      </w:r>
      <w:r w:rsidR="00873234" w:rsidRPr="00EF7399">
        <w:rPr>
          <w:rFonts w:ascii="Times New Roman" w:hAnsi="Times New Roman" w:cs="Times New Roman"/>
          <w:lang w:val="af-ZA"/>
        </w:rPr>
        <w:t>§ </w:t>
      </w:r>
      <w:r w:rsidR="00FD2435" w:rsidRPr="00EF7399">
        <w:rPr>
          <w:rFonts w:ascii="Times New Roman" w:hAnsi="Times New Roman" w:cs="Times New Roman"/>
          <w:lang w:val="af-ZA"/>
        </w:rPr>
        <w:t>65-73)</w:t>
      </w:r>
      <w:r w:rsidR="00AC37EF" w:rsidRPr="00EF7399">
        <w:rPr>
          <w:rFonts w:ascii="Times New Roman" w:hAnsi="Times New Roman" w:cs="Times New Roman"/>
          <w:lang w:val="af-ZA"/>
        </w:rPr>
        <w:t>:</w:t>
      </w:r>
    </w:p>
    <w:p w14:paraId="34AD55F5" w14:textId="41000226" w:rsidR="00CC165C" w:rsidRPr="00EF7399" w:rsidRDefault="00873234" w:rsidP="00F64E7B">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 MERGEFORMAT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153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AC37EF" w:rsidRPr="00EF7399">
        <w:rPr>
          <w:rFonts w:ascii="Times New Roman" w:hAnsi="Times New Roman" w:cs="Times New Roman"/>
          <w:lang w:val="af-ZA"/>
        </w:rPr>
        <w:t xml:space="preserve"> </w:t>
      </w:r>
      <w:hyperlink r:id="rId375" w:history="1">
        <w:r w:rsidR="00AF1971" w:rsidRPr="00EF7399">
          <w:rPr>
            <w:rStyle w:val="Hyperlink"/>
            <w:rFonts w:ascii="Times New Roman" w:hAnsi="Times New Roman" w:cs="Times New Roman"/>
            <w:iCs/>
            <w:lang w:val="af-ZA"/>
          </w:rPr>
          <w:t>Taganrog LRO and Others</w:t>
        </w:r>
        <w:r w:rsidRPr="00EF7399">
          <w:rPr>
            <w:rStyle w:val="Hyperlink"/>
            <w:rFonts w:ascii="Times New Roman" w:hAnsi="Times New Roman" w:cs="Times New Roman"/>
            <w:iCs/>
            <w:lang w:val="af-ZA"/>
          </w:rPr>
          <w:t xml:space="preserve"> v. </w:t>
        </w:r>
        <w:r w:rsidR="00AF1971" w:rsidRPr="00EF7399">
          <w:rPr>
            <w:rStyle w:val="Hyperlink"/>
            <w:rFonts w:ascii="Times New Roman" w:hAnsi="Times New Roman" w:cs="Times New Roman"/>
            <w:iCs/>
            <w:lang w:val="af-ZA"/>
          </w:rPr>
          <w:t>Russia</w:t>
        </w:r>
      </w:hyperlink>
      <w:r w:rsidR="00AF1971" w:rsidRPr="00EF7399">
        <w:rPr>
          <w:rFonts w:ascii="Times New Roman" w:hAnsi="Times New Roman" w:cs="Times New Roman"/>
          <w:lang w:val="af-ZA"/>
        </w:rPr>
        <w:t xml:space="preserve">, 2022, </w:t>
      </w:r>
      <w:r w:rsidR="00AC37EF" w:rsidRPr="00EF7399">
        <w:rPr>
          <w:rFonts w:ascii="Times New Roman" w:hAnsi="Times New Roman" w:cs="Times New Roman"/>
          <w:lang w:val="af-ZA"/>
        </w:rPr>
        <w:t>գործով Դատարանը համարեց, որ «ծայրահեղական գործունեության» անթույլատրելիորեն ընդհանրական սահմանումն ազգային օրենսդրության մեջ</w:t>
      </w:r>
      <w:r w:rsidR="0054694C" w:rsidRPr="00EF7399">
        <w:rPr>
          <w:rFonts w:ascii="Times New Roman" w:hAnsi="Times New Roman" w:cs="Times New Roman"/>
          <w:lang w:val="hy-AM"/>
        </w:rPr>
        <w:t xml:space="preserve">՝ զուգորդված </w:t>
      </w:r>
      <w:r w:rsidR="00AC37EF" w:rsidRPr="00EF7399">
        <w:rPr>
          <w:rFonts w:ascii="Times New Roman" w:hAnsi="Times New Roman" w:cs="Times New Roman"/>
          <w:lang w:val="af-ZA"/>
        </w:rPr>
        <w:t>դատական երաշխիքների բացակայությ</w:t>
      </w:r>
      <w:r w:rsidR="0054694C" w:rsidRPr="00EF7399">
        <w:rPr>
          <w:rFonts w:ascii="Times New Roman" w:hAnsi="Times New Roman" w:cs="Times New Roman"/>
          <w:lang w:val="hy-AM"/>
        </w:rPr>
        <w:t>ամբ</w:t>
      </w:r>
      <w:r w:rsidR="00915A8A" w:rsidRPr="00EF7399">
        <w:rPr>
          <w:rFonts w:ascii="Times New Roman" w:hAnsi="Times New Roman" w:cs="Times New Roman"/>
          <w:lang w:val="af-ZA"/>
        </w:rPr>
        <w:t xml:space="preserve">, չեն ապահովել բավականաչափ կանխատեսելի իրավական հիմք </w:t>
      </w:r>
      <w:r w:rsidR="00102C10" w:rsidRPr="00EF7399">
        <w:rPr>
          <w:rFonts w:ascii="Times New Roman" w:hAnsi="Times New Roman" w:cs="Times New Roman"/>
          <w:lang w:val="af-ZA"/>
        </w:rPr>
        <w:t>Եհովայի վկաների կրոնական կազմակերպութ</w:t>
      </w:r>
      <w:r w:rsidR="00EC3215" w:rsidRPr="00EF7399">
        <w:rPr>
          <w:rFonts w:ascii="Times New Roman" w:hAnsi="Times New Roman" w:cs="Times New Roman"/>
          <w:lang w:val="hy-AM"/>
        </w:rPr>
        <w:t>յունների</w:t>
      </w:r>
      <w:r w:rsidR="00102C10" w:rsidRPr="00EF7399">
        <w:rPr>
          <w:rFonts w:ascii="Times New Roman" w:hAnsi="Times New Roman" w:cs="Times New Roman"/>
          <w:lang w:val="af-ZA"/>
        </w:rPr>
        <w:t xml:space="preserve"> հարկադիր լուծարման համար</w:t>
      </w:r>
      <w:r w:rsidR="00915A8A" w:rsidRPr="00EF7399">
        <w:rPr>
          <w:rFonts w:ascii="Times New Roman" w:hAnsi="Times New Roman" w:cs="Times New Roman"/>
          <w:lang w:val="af-ZA"/>
        </w:rPr>
        <w:t xml:space="preserve"> </w:t>
      </w:r>
      <w:r w:rsidR="00AC37EF" w:rsidRPr="00EF7399">
        <w:rPr>
          <w:rFonts w:ascii="Times New Roman" w:hAnsi="Times New Roman" w:cs="Times New Roman"/>
          <w:lang w:val="af-ZA"/>
        </w:rPr>
        <w:t xml:space="preserve"> </w:t>
      </w:r>
      <w:r w:rsidR="00CC165C" w:rsidRPr="00EF7399">
        <w:rPr>
          <w:rFonts w:ascii="Times New Roman" w:hAnsi="Times New Roman" w:cs="Times New Roman"/>
          <w:lang w:val="af-ZA"/>
        </w:rPr>
        <w:t>(§</w:t>
      </w:r>
      <w:r w:rsidRPr="00EF7399">
        <w:rPr>
          <w:rFonts w:ascii="Times New Roman" w:hAnsi="Times New Roman" w:cs="Times New Roman"/>
          <w:lang w:val="af-ZA"/>
        </w:rPr>
        <w:t>§ </w:t>
      </w:r>
      <w:r w:rsidR="00CC165C" w:rsidRPr="00EF7399">
        <w:rPr>
          <w:rFonts w:ascii="Times New Roman" w:hAnsi="Times New Roman" w:cs="Times New Roman"/>
          <w:lang w:val="af-ZA"/>
        </w:rPr>
        <w:t>159</w:t>
      </w:r>
      <w:r w:rsidR="00AC0A30" w:rsidRPr="00EF7399">
        <w:rPr>
          <w:rFonts w:ascii="Times New Roman" w:hAnsi="Times New Roman" w:cs="Times New Roman"/>
          <w:lang w:val="af-ZA"/>
        </w:rPr>
        <w:t xml:space="preserve"> </w:t>
      </w:r>
      <w:r w:rsidR="00102C10" w:rsidRPr="00EF7399">
        <w:rPr>
          <w:rFonts w:ascii="Times New Roman" w:hAnsi="Times New Roman" w:cs="Times New Roman"/>
          <w:lang w:val="af-ZA"/>
        </w:rPr>
        <w:t>և</w:t>
      </w:r>
      <w:r w:rsidR="00AC0A30" w:rsidRPr="00EF7399">
        <w:rPr>
          <w:rFonts w:ascii="Times New Roman" w:hAnsi="Times New Roman" w:cs="Times New Roman"/>
          <w:lang w:val="af-ZA"/>
        </w:rPr>
        <w:t xml:space="preserve"> 242)</w:t>
      </w:r>
      <w:r w:rsidR="00102C10" w:rsidRPr="00EF7399">
        <w:rPr>
          <w:rFonts w:ascii="Times New Roman" w:hAnsi="Times New Roman" w:cs="Times New Roman"/>
          <w:lang w:val="af-ZA"/>
        </w:rPr>
        <w:t>:</w:t>
      </w:r>
    </w:p>
    <w:p w14:paraId="64701451" w14:textId="1C679933" w:rsidR="00B20606" w:rsidRPr="00EF7399" w:rsidRDefault="00B20606" w:rsidP="00F64E7B">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154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02C10" w:rsidRPr="00EF7399">
        <w:rPr>
          <w:rFonts w:ascii="Times New Roman" w:hAnsi="Times New Roman" w:cs="Times New Roman"/>
          <w:lang w:val="af-ZA"/>
        </w:rPr>
        <w:t xml:space="preserve">Միջամտության իրավաչափությունը և, մասնավորապես, խնդրո առարկա ներպետական օրենքի կանխատեսելիությունը գնահատելիս Դատարանը նկատի է առնում թե՛ օրենքի տեքստը, թե՛ ազգային իշխանությունների կողմից այն կիրառելու և մեկնաբանելու եղանակը </w:t>
      </w:r>
      <w:r w:rsidRPr="00EF7399">
        <w:rPr>
          <w:rFonts w:ascii="Times New Roman" w:hAnsi="Times New Roman" w:cs="Times New Roman"/>
          <w:lang w:val="af-ZA"/>
        </w:rPr>
        <w:t>(</w:t>
      </w:r>
      <w:hyperlink r:id="rId376" w:history="1">
        <w:r w:rsidR="000C7A73" w:rsidRPr="00EF7399">
          <w:rPr>
            <w:rStyle w:val="Hyperlink"/>
            <w:rFonts w:ascii="Times New Roman" w:hAnsi="Times New Roman" w:cs="Times New Roman"/>
            <w:lang w:val="af-ZA"/>
          </w:rPr>
          <w:t>Jafarov and Others</w:t>
        </w:r>
        <w:r w:rsidR="00873234" w:rsidRPr="00EF7399">
          <w:rPr>
            <w:rStyle w:val="Hyperlink"/>
            <w:rFonts w:ascii="Times New Roman" w:hAnsi="Times New Roman" w:cs="Times New Roman"/>
            <w:lang w:val="af-ZA"/>
          </w:rPr>
          <w:t xml:space="preserve"> v. </w:t>
        </w:r>
        <w:r w:rsidR="000C7A73" w:rsidRPr="00EF7399">
          <w:rPr>
            <w:rStyle w:val="Hyperlink"/>
            <w:rFonts w:ascii="Times New Roman" w:hAnsi="Times New Roman" w:cs="Times New Roman"/>
            <w:lang w:val="af-ZA"/>
          </w:rPr>
          <w:t>Azerbaijan</w:t>
        </w:r>
      </w:hyperlink>
      <w:r w:rsidR="0093090B" w:rsidRPr="00EF7399">
        <w:rPr>
          <w:rFonts w:ascii="Times New Roman" w:hAnsi="Times New Roman" w:cs="Times New Roman"/>
          <w:lang w:val="af-ZA"/>
        </w:rPr>
        <w:t xml:space="preserve">, </w:t>
      </w:r>
      <w:r w:rsidR="00C46086" w:rsidRPr="00EF7399">
        <w:rPr>
          <w:rFonts w:ascii="Times New Roman" w:hAnsi="Times New Roman" w:cs="Times New Roman"/>
          <w:lang w:val="af-ZA"/>
        </w:rPr>
        <w:t xml:space="preserve">2019, </w:t>
      </w:r>
      <w:r w:rsidR="0093090B" w:rsidRPr="00EF7399">
        <w:rPr>
          <w:rFonts w:ascii="Times New Roman" w:hAnsi="Times New Roman" w:cs="Times New Roman"/>
          <w:lang w:val="af-ZA"/>
        </w:rPr>
        <w:t>§</w:t>
      </w:r>
      <w:r w:rsidR="00873234" w:rsidRPr="00EF7399">
        <w:rPr>
          <w:rFonts w:ascii="Times New Roman" w:hAnsi="Times New Roman" w:cs="Times New Roman"/>
          <w:lang w:val="af-ZA"/>
        </w:rPr>
        <w:t>§ </w:t>
      </w:r>
      <w:r w:rsidR="0093090B" w:rsidRPr="00EF7399">
        <w:rPr>
          <w:rFonts w:ascii="Times New Roman" w:hAnsi="Times New Roman" w:cs="Times New Roman"/>
          <w:lang w:val="af-ZA"/>
        </w:rPr>
        <w:t xml:space="preserve">70 </w:t>
      </w:r>
      <w:r w:rsidR="00102C10" w:rsidRPr="00EF7399">
        <w:rPr>
          <w:rFonts w:ascii="Times New Roman" w:hAnsi="Times New Roman" w:cs="Times New Roman"/>
          <w:lang w:val="af-ZA"/>
        </w:rPr>
        <w:t>և</w:t>
      </w:r>
      <w:r w:rsidR="0093090B" w:rsidRPr="00EF7399">
        <w:rPr>
          <w:rFonts w:ascii="Times New Roman" w:hAnsi="Times New Roman" w:cs="Times New Roman"/>
          <w:lang w:val="af-ZA"/>
        </w:rPr>
        <w:t xml:space="preserve"> 85, </w:t>
      </w:r>
      <w:r w:rsidR="00102C10" w:rsidRPr="00EF7399">
        <w:rPr>
          <w:rFonts w:ascii="Times New Roman" w:hAnsi="Times New Roman" w:cs="Times New Roman"/>
          <w:lang w:val="af-ZA"/>
        </w:rPr>
        <w:t>առնչվում է միավորման գրանցումը ոչ իրավաչափորեն մերժելուն</w:t>
      </w:r>
      <w:r w:rsidR="0093090B" w:rsidRPr="00EF7399">
        <w:rPr>
          <w:rFonts w:ascii="Times New Roman" w:hAnsi="Times New Roman" w:cs="Times New Roman"/>
          <w:lang w:val="af-ZA"/>
        </w:rPr>
        <w:t>)</w:t>
      </w:r>
      <w:r w:rsidR="00102C10" w:rsidRPr="00EF7399">
        <w:rPr>
          <w:rFonts w:ascii="Times New Roman" w:hAnsi="Times New Roman" w:cs="Times New Roman"/>
          <w:lang w:val="af-ZA"/>
        </w:rPr>
        <w:t xml:space="preserve">: </w:t>
      </w:r>
    </w:p>
    <w:p w14:paraId="7B66CC1C" w14:textId="42F72E2C" w:rsidR="001E15A5" w:rsidRPr="00EF7399" w:rsidRDefault="00340B04" w:rsidP="00F64E7B">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 MERGEFORMAT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155</w:t>
      </w:r>
      <w:r w:rsidRPr="00EF7399">
        <w:rPr>
          <w:rFonts w:ascii="Times New Roman" w:hAnsi="Times New Roman" w:cs="Times New Roman"/>
          <w:lang w:val="af-ZA"/>
        </w:rPr>
        <w:fldChar w:fldCharType="end"/>
      </w:r>
      <w:r w:rsidR="00873234" w:rsidRPr="00EF7399">
        <w:rPr>
          <w:rFonts w:ascii="Times New Roman" w:hAnsi="Times New Roman" w:cs="Times New Roman"/>
          <w:lang w:val="af-ZA"/>
        </w:rPr>
        <w:t>.  </w:t>
      </w:r>
      <w:hyperlink r:id="rId377" w:history="1">
        <w:r w:rsidR="00AF1971" w:rsidRPr="00EF7399">
          <w:rPr>
            <w:rStyle w:val="Hyperlink"/>
            <w:rFonts w:ascii="Times New Roman" w:hAnsi="Times New Roman" w:cs="Times New Roman"/>
            <w:iCs/>
            <w:lang w:val="af-ZA"/>
          </w:rPr>
          <w:t>Ecodefence and Others</w:t>
        </w:r>
        <w:r w:rsidR="00873234" w:rsidRPr="00EF7399">
          <w:rPr>
            <w:rStyle w:val="Hyperlink"/>
            <w:rFonts w:ascii="Times New Roman" w:hAnsi="Times New Roman" w:cs="Times New Roman"/>
            <w:iCs/>
            <w:lang w:val="af-ZA"/>
          </w:rPr>
          <w:t xml:space="preserve"> v. </w:t>
        </w:r>
        <w:r w:rsidR="00AF1971" w:rsidRPr="00EF7399">
          <w:rPr>
            <w:rStyle w:val="Hyperlink"/>
            <w:rFonts w:ascii="Times New Roman" w:hAnsi="Times New Roman" w:cs="Times New Roman"/>
            <w:iCs/>
            <w:lang w:val="af-ZA"/>
          </w:rPr>
          <w:t>Russia</w:t>
        </w:r>
      </w:hyperlink>
      <w:r w:rsidR="001E15A5" w:rsidRPr="00EF7399">
        <w:rPr>
          <w:rFonts w:ascii="Times New Roman" w:hAnsi="Times New Roman" w:cs="Times New Roman"/>
          <w:lang w:val="af-ZA"/>
        </w:rPr>
        <w:t>,</w:t>
      </w:r>
      <w:r w:rsidR="00874557" w:rsidRPr="00EF7399">
        <w:rPr>
          <w:rFonts w:ascii="Times New Roman" w:hAnsi="Times New Roman" w:cs="Times New Roman"/>
          <w:lang w:val="af-ZA"/>
        </w:rPr>
        <w:t xml:space="preserve"> </w:t>
      </w:r>
      <w:r w:rsidR="00AF1971" w:rsidRPr="00EF7399">
        <w:rPr>
          <w:rFonts w:ascii="Times New Roman" w:hAnsi="Times New Roman" w:cs="Times New Roman"/>
          <w:lang w:val="af-ZA"/>
        </w:rPr>
        <w:t>2022</w:t>
      </w:r>
      <w:r w:rsidR="003761F3" w:rsidRPr="00EF7399">
        <w:rPr>
          <w:rFonts w:ascii="Times New Roman" w:hAnsi="Times New Roman" w:cs="Times New Roman"/>
          <w:lang w:val="af-ZA"/>
        </w:rPr>
        <w:t>,</w:t>
      </w:r>
      <w:r w:rsidR="00102C10" w:rsidRPr="00EF7399">
        <w:rPr>
          <w:rFonts w:ascii="Times New Roman" w:hAnsi="Times New Roman" w:cs="Times New Roman"/>
          <w:lang w:val="af-ZA"/>
        </w:rPr>
        <w:t xml:space="preserve"> գործով Դատարանը գտավ, որ </w:t>
      </w:r>
      <w:r w:rsidR="00C7348E" w:rsidRPr="00EF7399">
        <w:rPr>
          <w:rFonts w:ascii="Times New Roman" w:hAnsi="Times New Roman" w:cs="Times New Roman"/>
          <w:lang w:val="hy-AM"/>
        </w:rPr>
        <w:t>«</w:t>
      </w:r>
      <w:r w:rsidR="00102C10" w:rsidRPr="00EF7399">
        <w:rPr>
          <w:rFonts w:ascii="Times New Roman" w:hAnsi="Times New Roman" w:cs="Times New Roman"/>
          <w:lang w:val="af-ZA"/>
        </w:rPr>
        <w:t>Օտարերկրյա գործակալների մասին</w:t>
      </w:r>
      <w:r w:rsidR="00C7348E" w:rsidRPr="00EF7399">
        <w:rPr>
          <w:rFonts w:ascii="Times New Roman" w:hAnsi="Times New Roman" w:cs="Times New Roman"/>
          <w:lang w:val="hy-AM"/>
        </w:rPr>
        <w:t>»</w:t>
      </w:r>
      <w:r w:rsidR="00102C10" w:rsidRPr="00EF7399">
        <w:rPr>
          <w:rFonts w:ascii="Times New Roman" w:hAnsi="Times New Roman" w:cs="Times New Roman"/>
          <w:lang w:val="af-ZA"/>
        </w:rPr>
        <w:t xml:space="preserve"> օրենքի երկու առանցքային հասկացությունների («քաղաքական գործունեություն», «օտարերկրյա ֆինանսավորում») կիրառումը հասարակական կազմակերպությունների և դրանց տնօրենների</w:t>
      </w:r>
      <w:r w:rsidR="00173337" w:rsidRPr="00EF7399">
        <w:rPr>
          <w:rFonts w:ascii="Times New Roman" w:hAnsi="Times New Roman" w:cs="Times New Roman"/>
          <w:lang w:val="af-ZA"/>
        </w:rPr>
        <w:t xml:space="preserve"> նկատմամբ</w:t>
      </w:r>
      <w:r w:rsidR="00102C10" w:rsidRPr="00EF7399">
        <w:rPr>
          <w:rFonts w:ascii="Times New Roman" w:hAnsi="Times New Roman" w:cs="Times New Roman"/>
          <w:lang w:val="af-ZA"/>
        </w:rPr>
        <w:t xml:space="preserve"> չ</w:t>
      </w:r>
      <w:r w:rsidR="00173337" w:rsidRPr="00EF7399">
        <w:rPr>
          <w:rFonts w:ascii="Times New Roman" w:hAnsi="Times New Roman" w:cs="Times New Roman"/>
          <w:lang w:val="af-ZA"/>
        </w:rPr>
        <w:t>ի</w:t>
      </w:r>
      <w:r w:rsidR="00102C10" w:rsidRPr="00EF7399">
        <w:rPr>
          <w:rFonts w:ascii="Times New Roman" w:hAnsi="Times New Roman" w:cs="Times New Roman"/>
          <w:lang w:val="af-ZA"/>
        </w:rPr>
        <w:t xml:space="preserve"> բավարար</w:t>
      </w:r>
      <w:r w:rsidR="00173337" w:rsidRPr="00EF7399">
        <w:rPr>
          <w:rFonts w:ascii="Times New Roman" w:hAnsi="Times New Roman" w:cs="Times New Roman"/>
          <w:lang w:val="af-ZA"/>
        </w:rPr>
        <w:t>ել</w:t>
      </w:r>
      <w:r w:rsidR="00102C10" w:rsidRPr="00EF7399">
        <w:rPr>
          <w:rFonts w:ascii="Times New Roman" w:hAnsi="Times New Roman" w:cs="Times New Roman"/>
          <w:lang w:val="af-ZA"/>
        </w:rPr>
        <w:t xml:space="preserve"> կանխատեսելիության պահանջը, իսկ դատական </w:t>
      </w:r>
      <w:r w:rsidR="00173337" w:rsidRPr="00EF7399">
        <w:rPr>
          <w:rFonts w:ascii="Times New Roman" w:hAnsi="Times New Roman" w:cs="Times New Roman"/>
          <w:lang w:val="af-ZA"/>
        </w:rPr>
        <w:t xml:space="preserve">քննությունը չի ապահովել համարժեք և արդյունավետ պաշտպանության միջոցներ գործադիրին տրված լայն հայեցողության կամայական և խտրական </w:t>
      </w:r>
      <w:r w:rsidR="00C7348E" w:rsidRPr="00EF7399">
        <w:rPr>
          <w:rFonts w:ascii="Times New Roman" w:hAnsi="Times New Roman" w:cs="Times New Roman"/>
          <w:lang w:val="hy-AM"/>
        </w:rPr>
        <w:t xml:space="preserve">կիրառումից </w:t>
      </w:r>
      <w:r w:rsidR="00852168" w:rsidRPr="00EF7399">
        <w:rPr>
          <w:rFonts w:ascii="Times New Roman" w:hAnsi="Times New Roman" w:cs="Times New Roman"/>
          <w:lang w:val="af-ZA"/>
        </w:rPr>
        <w:t>(</w:t>
      </w:r>
      <w:r w:rsidR="00873234" w:rsidRPr="00EF7399">
        <w:rPr>
          <w:rFonts w:ascii="Times New Roman" w:hAnsi="Times New Roman" w:cs="Times New Roman"/>
          <w:lang w:val="af-ZA"/>
        </w:rPr>
        <w:t>§ </w:t>
      </w:r>
      <w:r w:rsidR="00852168" w:rsidRPr="00EF7399">
        <w:rPr>
          <w:rFonts w:ascii="Times New Roman" w:hAnsi="Times New Roman" w:cs="Times New Roman"/>
          <w:lang w:val="af-ZA"/>
        </w:rPr>
        <w:t>118)</w:t>
      </w:r>
      <w:r w:rsidR="00173337" w:rsidRPr="00EF7399">
        <w:rPr>
          <w:rFonts w:ascii="Times New Roman" w:hAnsi="Times New Roman" w:cs="Times New Roman"/>
          <w:lang w:val="af-ZA"/>
        </w:rPr>
        <w:t>:</w:t>
      </w:r>
    </w:p>
    <w:p w14:paraId="3AC85EDD" w14:textId="11EA2D24" w:rsidR="00F64E7B" w:rsidRPr="00EF7399" w:rsidRDefault="00173337" w:rsidP="00F64E7B">
      <w:pPr>
        <w:pStyle w:val="ECHRHeading3"/>
        <w:rPr>
          <w:rFonts w:ascii="Times New Roman" w:hAnsi="Times New Roman" w:cs="Times New Roman"/>
          <w:lang w:val="af-ZA"/>
        </w:rPr>
      </w:pPr>
      <w:bookmarkStart w:id="83" w:name="_Toc159945242"/>
      <w:r w:rsidRPr="00EF7399">
        <w:rPr>
          <w:rFonts w:ascii="Times New Roman" w:hAnsi="Times New Roman" w:cs="Times New Roman"/>
          <w:lang w:val="af-ZA"/>
        </w:rPr>
        <w:t>Իրավաչափ նպատակ</w:t>
      </w:r>
      <w:bookmarkEnd w:id="83"/>
    </w:p>
    <w:p w14:paraId="2359BD2D" w14:textId="385F5142" w:rsidR="00FA2A3C" w:rsidRPr="00EF7399" w:rsidRDefault="00F64E7B" w:rsidP="00A3262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156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FA2A3C" w:rsidRPr="00EF7399">
        <w:rPr>
          <w:rFonts w:ascii="Times New Roman" w:hAnsi="Times New Roman" w:cs="Times New Roman"/>
          <w:lang w:val="af-ZA"/>
        </w:rPr>
        <w:t>Ցանկացած միջամտություն միավորման ազատության իրավունքին պետք է հետապնդի 11-րդ հոդվածի 2-րդ մասում սահմանված իրավաչափ նպատակներից առնվազն մեկը.</w:t>
      </w:r>
      <w:r w:rsidR="007E14B5" w:rsidRPr="00EF7399">
        <w:rPr>
          <w:rFonts w:ascii="Times New Roman" w:hAnsi="Times New Roman" w:cs="Times New Roman"/>
          <w:lang w:val="af-ZA"/>
        </w:rPr>
        <w:t xml:space="preserve"> </w:t>
      </w:r>
      <w:r w:rsidR="007E14B5" w:rsidRPr="00EF7399">
        <w:rPr>
          <w:rFonts w:ascii="Times New Roman" w:hAnsi="Times New Roman" w:cs="Times New Roman"/>
          <w:color w:val="000000"/>
          <w:shd w:val="clear" w:color="auto" w:fill="FFFFFF"/>
          <w:lang w:val="af-ZA"/>
        </w:rPr>
        <w:t>պետական անվտանգություն կամ հասարակության անվտանգություն, անկարգությունների կամ հանցագործությունների կանխում, առողջությանը կամ բարոյականության պաշտպանություն, այլ անձանց իրավունքների ու ազատությունների պաշտպանություն: Միավորման ազատության բացառությունները պետք է ունենան նեղ մեկնաբանություն, որը խիստ սպառիչ է դարձնում դրանց թվարկումը և անհրա</w:t>
      </w:r>
      <w:r w:rsidR="00292C56" w:rsidRPr="00EF7399">
        <w:rPr>
          <w:rFonts w:ascii="Times New Roman" w:hAnsi="Times New Roman" w:cs="Times New Roman"/>
          <w:color w:val="000000"/>
          <w:shd w:val="clear" w:color="auto" w:fill="FFFFFF"/>
          <w:lang w:val="af-ZA"/>
        </w:rPr>
        <w:t>ժ</w:t>
      </w:r>
      <w:r w:rsidR="007E14B5" w:rsidRPr="00EF7399">
        <w:rPr>
          <w:rFonts w:ascii="Times New Roman" w:hAnsi="Times New Roman" w:cs="Times New Roman"/>
          <w:color w:val="000000"/>
          <w:shd w:val="clear" w:color="auto" w:fill="FFFFFF"/>
          <w:lang w:val="af-ZA"/>
        </w:rPr>
        <w:t>ե</w:t>
      </w:r>
      <w:r w:rsidR="00292C56" w:rsidRPr="00EF7399">
        <w:rPr>
          <w:rFonts w:ascii="Times New Roman" w:hAnsi="Times New Roman" w:cs="Times New Roman"/>
          <w:color w:val="000000"/>
          <w:shd w:val="clear" w:color="auto" w:fill="FFFFFF"/>
          <w:lang w:val="af-ZA"/>
        </w:rPr>
        <w:t>շ</w:t>
      </w:r>
      <w:r w:rsidR="007E14B5" w:rsidRPr="00EF7399">
        <w:rPr>
          <w:rFonts w:ascii="Times New Roman" w:hAnsi="Times New Roman" w:cs="Times New Roman"/>
          <w:color w:val="000000"/>
          <w:shd w:val="clear" w:color="auto" w:fill="FFFFFF"/>
          <w:lang w:val="af-ZA"/>
        </w:rPr>
        <w:t>տ չափ</w:t>
      </w:r>
      <w:r w:rsidR="00D27243" w:rsidRPr="00EF7399">
        <w:rPr>
          <w:rFonts w:ascii="Times New Roman" w:hAnsi="Times New Roman" w:cs="Times New Roman"/>
          <w:color w:val="000000"/>
          <w:shd w:val="clear" w:color="auto" w:fill="FFFFFF"/>
          <w:lang w:val="hy-AM"/>
        </w:rPr>
        <w:t>ո</w:t>
      </w:r>
      <w:r w:rsidR="007E14B5" w:rsidRPr="00EF7399">
        <w:rPr>
          <w:rFonts w:ascii="Times New Roman" w:hAnsi="Times New Roman" w:cs="Times New Roman"/>
          <w:color w:val="000000"/>
          <w:shd w:val="clear" w:color="auto" w:fill="FFFFFF"/>
          <w:lang w:val="af-ZA"/>
        </w:rPr>
        <w:t>վ սահմանափակող</w:t>
      </w:r>
      <w:r w:rsidR="00D27243" w:rsidRPr="00EF7399">
        <w:rPr>
          <w:rFonts w:ascii="Times New Roman" w:hAnsi="Times New Roman" w:cs="Times New Roman"/>
          <w:color w:val="000000"/>
          <w:shd w:val="clear" w:color="auto" w:fill="FFFFFF"/>
          <w:lang w:val="hy-AM"/>
        </w:rPr>
        <w:t>՝</w:t>
      </w:r>
      <w:r w:rsidR="007E14B5" w:rsidRPr="00EF7399">
        <w:rPr>
          <w:rFonts w:ascii="Times New Roman" w:hAnsi="Times New Roman" w:cs="Times New Roman"/>
          <w:color w:val="000000"/>
          <w:shd w:val="clear" w:color="auto" w:fill="FFFFFF"/>
          <w:lang w:val="af-ZA"/>
        </w:rPr>
        <w:t xml:space="preserve"> դրանց սահմանումը </w:t>
      </w:r>
      <w:r w:rsidRPr="00EF7399">
        <w:rPr>
          <w:rFonts w:ascii="Times New Roman" w:hAnsi="Times New Roman" w:cs="Times New Roman"/>
          <w:lang w:val="af-ZA"/>
        </w:rPr>
        <w:t>(</w:t>
      </w:r>
      <w:hyperlink r:id="rId378" w:history="1">
        <w:r w:rsidRPr="00EF7399">
          <w:rPr>
            <w:rStyle w:val="Hyperlink"/>
            <w:rFonts w:ascii="Times New Roman" w:hAnsi="Times New Roman" w:cs="Times New Roman"/>
            <w:lang w:val="af-ZA"/>
          </w:rPr>
          <w:t>Sidiropoulos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Greece</w:t>
        </w:r>
      </w:hyperlink>
      <w:r w:rsidRPr="00EF7399">
        <w:rPr>
          <w:rFonts w:ascii="Times New Roman" w:hAnsi="Times New Roman" w:cs="Times New Roman"/>
          <w:lang w:val="af-ZA"/>
        </w:rPr>
        <w:t xml:space="preserve">, </w:t>
      </w:r>
      <w:r w:rsidR="007A38BA" w:rsidRPr="00EF7399">
        <w:rPr>
          <w:rFonts w:ascii="Times New Roman" w:hAnsi="Times New Roman" w:cs="Times New Roman"/>
          <w:lang w:val="af-ZA"/>
        </w:rPr>
        <w:t xml:space="preserve">1998, </w:t>
      </w:r>
      <w:r w:rsidR="00873234" w:rsidRPr="00EF7399">
        <w:rPr>
          <w:rFonts w:ascii="Times New Roman" w:hAnsi="Times New Roman" w:cs="Times New Roman"/>
          <w:lang w:val="af-ZA"/>
        </w:rPr>
        <w:t>§ </w:t>
      </w:r>
      <w:r w:rsidRPr="00EF7399">
        <w:rPr>
          <w:rFonts w:ascii="Times New Roman" w:hAnsi="Times New Roman" w:cs="Times New Roman"/>
          <w:lang w:val="af-ZA"/>
        </w:rPr>
        <w:t>38)</w:t>
      </w:r>
      <w:r w:rsidR="007E14B5" w:rsidRPr="00EF7399">
        <w:rPr>
          <w:rFonts w:ascii="Times New Roman" w:hAnsi="Times New Roman" w:cs="Times New Roman"/>
          <w:lang w:val="af-ZA"/>
        </w:rPr>
        <w:t>:</w:t>
      </w:r>
    </w:p>
    <w:p w14:paraId="01A06215" w14:textId="664A65DE" w:rsidR="00F64E7B" w:rsidRPr="00EF7399" w:rsidRDefault="007E14B5" w:rsidP="00F64E7B">
      <w:pPr>
        <w:pStyle w:val="ECHRHeading3"/>
        <w:rPr>
          <w:rFonts w:ascii="Times New Roman" w:hAnsi="Times New Roman" w:cs="Times New Roman"/>
          <w:lang w:val="af-ZA"/>
        </w:rPr>
      </w:pPr>
      <w:bookmarkStart w:id="84" w:name="_Toc159945243"/>
      <w:r w:rsidRPr="00EF7399">
        <w:rPr>
          <w:rFonts w:ascii="Times New Roman" w:hAnsi="Times New Roman" w:cs="Times New Roman"/>
          <w:lang w:val="af-ZA"/>
        </w:rPr>
        <w:t>Անհրաժեշտ ժողովրդավարական հասարակությունում</w:t>
      </w:r>
      <w:bookmarkEnd w:id="84"/>
      <w:r w:rsidRPr="00EF7399">
        <w:rPr>
          <w:rFonts w:ascii="Times New Roman" w:hAnsi="Times New Roman" w:cs="Times New Roman"/>
          <w:lang w:val="af-ZA"/>
        </w:rPr>
        <w:t xml:space="preserve"> </w:t>
      </w:r>
    </w:p>
    <w:p w14:paraId="00DF6206" w14:textId="750592A6" w:rsidR="00F64E7B" w:rsidRPr="00EF7399" w:rsidRDefault="00F64E7B" w:rsidP="00F64E7B">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157</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7E14B5" w:rsidRPr="00EF7399">
        <w:rPr>
          <w:rFonts w:ascii="Times New Roman" w:hAnsi="Times New Roman" w:cs="Times New Roman"/>
          <w:lang w:val="af-ZA"/>
        </w:rPr>
        <w:t xml:space="preserve">Անհրաժեշտության հասկացությունը </w:t>
      </w:r>
      <w:r w:rsidR="001F71CC" w:rsidRPr="00EF7399">
        <w:rPr>
          <w:rFonts w:ascii="Times New Roman" w:hAnsi="Times New Roman" w:cs="Times New Roman"/>
          <w:lang w:val="af-ZA"/>
        </w:rPr>
        <w:t>ներառում է երկու պայման. ա</w:t>
      </w:r>
      <w:r w:rsidRPr="00EF7399">
        <w:rPr>
          <w:rFonts w:ascii="Times New Roman" w:hAnsi="Times New Roman" w:cs="Times New Roman"/>
          <w:lang w:val="af-ZA"/>
        </w:rPr>
        <w:t xml:space="preserve">) </w:t>
      </w:r>
      <w:r w:rsidR="001F71CC" w:rsidRPr="00EF7399">
        <w:rPr>
          <w:rFonts w:ascii="Times New Roman" w:hAnsi="Times New Roman" w:cs="Times New Roman"/>
          <w:lang w:val="af-ZA"/>
        </w:rPr>
        <w:t>ցանկացած միջամտություն պետք է համապատասխանի «ծայրահեղ սոցիալական անհրաժեշտության</w:t>
      </w:r>
      <w:r w:rsidR="00D27243" w:rsidRPr="00EF7399">
        <w:rPr>
          <w:rFonts w:ascii="Times New Roman" w:hAnsi="Times New Roman" w:cs="Times New Roman"/>
          <w:lang w:val="hy-AM"/>
        </w:rPr>
        <w:t>ը</w:t>
      </w:r>
      <w:r w:rsidR="001F71CC" w:rsidRPr="00EF7399">
        <w:rPr>
          <w:rFonts w:ascii="Times New Roman" w:hAnsi="Times New Roman" w:cs="Times New Roman"/>
          <w:lang w:val="af-ZA"/>
        </w:rPr>
        <w:t>» և բ</w:t>
      </w:r>
      <w:r w:rsidRPr="00EF7399">
        <w:rPr>
          <w:rFonts w:ascii="Times New Roman" w:hAnsi="Times New Roman" w:cs="Times New Roman"/>
          <w:lang w:val="af-ZA"/>
        </w:rPr>
        <w:t xml:space="preserve">) </w:t>
      </w:r>
      <w:r w:rsidR="001F71CC" w:rsidRPr="00EF7399">
        <w:rPr>
          <w:rFonts w:ascii="Times New Roman" w:hAnsi="Times New Roman" w:cs="Times New Roman"/>
          <w:lang w:val="af-ZA"/>
        </w:rPr>
        <w:t>միջամտությունը պետք է համաչափ լինի իր հետապնդած իրավաչափ նպատակին:</w:t>
      </w:r>
    </w:p>
    <w:p w14:paraId="14C041F9" w14:textId="15C51D43" w:rsidR="00F64E7B" w:rsidRPr="00EF7399" w:rsidRDefault="00F64E7B" w:rsidP="00F64E7B">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158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F71CC" w:rsidRPr="00EF7399">
        <w:rPr>
          <w:rFonts w:ascii="Times New Roman" w:hAnsi="Times New Roman" w:cs="Times New Roman"/>
          <w:lang w:val="af-ZA"/>
        </w:rPr>
        <w:t>«Անհրաժեշտություն» եզրույթը չունի այնպիսի արտահայտությունների ճկունություն, ինչպիսիք են</w:t>
      </w:r>
      <w:r w:rsidR="00D27243" w:rsidRPr="00EF7399">
        <w:rPr>
          <w:rFonts w:ascii="Times New Roman" w:hAnsi="Times New Roman" w:cs="Times New Roman"/>
          <w:lang w:val="hy-AM"/>
        </w:rPr>
        <w:t>՝</w:t>
      </w:r>
      <w:r w:rsidR="001F71CC" w:rsidRPr="00EF7399">
        <w:rPr>
          <w:rFonts w:ascii="Times New Roman" w:hAnsi="Times New Roman" w:cs="Times New Roman"/>
          <w:lang w:val="af-ZA"/>
        </w:rPr>
        <w:t xml:space="preserve"> «օգտակար»</w:t>
      </w:r>
      <w:r w:rsidR="0005027A" w:rsidRPr="00EF7399">
        <w:rPr>
          <w:rFonts w:ascii="Times New Roman" w:hAnsi="Times New Roman" w:cs="Times New Roman"/>
          <w:lang w:val="af-ZA"/>
        </w:rPr>
        <w:t>-ը</w:t>
      </w:r>
      <w:r w:rsidR="001F71CC" w:rsidRPr="00EF7399">
        <w:rPr>
          <w:rFonts w:ascii="Times New Roman" w:hAnsi="Times New Roman" w:cs="Times New Roman"/>
          <w:lang w:val="af-ZA"/>
        </w:rPr>
        <w:t xml:space="preserve"> կամ «ցանկալի»</w:t>
      </w:r>
      <w:r w:rsidR="0005027A" w:rsidRPr="00EF7399">
        <w:rPr>
          <w:rFonts w:ascii="Times New Roman" w:hAnsi="Times New Roman" w:cs="Times New Roman"/>
          <w:lang w:val="af-ZA"/>
        </w:rPr>
        <w:t>-ն</w:t>
      </w:r>
      <w:r w:rsidR="001F71CC" w:rsidRPr="00EF7399">
        <w:rPr>
          <w:rFonts w:ascii="Times New Roman" w:hAnsi="Times New Roman" w:cs="Times New Roman"/>
          <w:lang w:val="af-ZA"/>
        </w:rPr>
        <w:t xml:space="preserve">: Բացառությունները միավորման ազատության կանոնից պետք է </w:t>
      </w:r>
      <w:r w:rsidR="00593610" w:rsidRPr="00EF7399">
        <w:rPr>
          <w:rFonts w:ascii="Times New Roman" w:hAnsi="Times New Roman" w:cs="Times New Roman"/>
          <w:lang w:val="hy-AM"/>
        </w:rPr>
        <w:t>հստակ</w:t>
      </w:r>
      <w:r w:rsidR="00593610" w:rsidRPr="00EF7399">
        <w:rPr>
          <w:rFonts w:ascii="Times New Roman" w:hAnsi="Times New Roman" w:cs="Times New Roman"/>
          <w:lang w:val="af-ZA"/>
        </w:rPr>
        <w:t xml:space="preserve"> </w:t>
      </w:r>
      <w:r w:rsidR="001F71CC" w:rsidRPr="00EF7399">
        <w:rPr>
          <w:rFonts w:ascii="Times New Roman" w:hAnsi="Times New Roman" w:cs="Times New Roman"/>
          <w:lang w:val="af-ZA"/>
        </w:rPr>
        <w:t>մեկնաբանվեն</w:t>
      </w:r>
      <w:r w:rsidR="00593610" w:rsidRPr="00EF7399">
        <w:rPr>
          <w:rFonts w:ascii="Times New Roman" w:hAnsi="Times New Roman" w:cs="Times New Roman"/>
          <w:lang w:val="hy-AM"/>
        </w:rPr>
        <w:t>,</w:t>
      </w:r>
      <w:r w:rsidR="001F71CC" w:rsidRPr="00EF7399">
        <w:rPr>
          <w:rFonts w:ascii="Times New Roman" w:hAnsi="Times New Roman" w:cs="Times New Roman"/>
          <w:lang w:val="af-ZA"/>
        </w:rPr>
        <w:t xml:space="preserve"> և միայն համոզիչ ու անհերքելի </w:t>
      </w:r>
      <w:r w:rsidR="00615667" w:rsidRPr="00EF7399">
        <w:rPr>
          <w:rFonts w:ascii="Times New Roman" w:hAnsi="Times New Roman" w:cs="Times New Roman"/>
          <w:lang w:val="af-ZA"/>
        </w:rPr>
        <w:t xml:space="preserve">պատճառաբանությունները </w:t>
      </w:r>
      <w:r w:rsidR="001F71CC" w:rsidRPr="00EF7399">
        <w:rPr>
          <w:rFonts w:ascii="Times New Roman" w:hAnsi="Times New Roman" w:cs="Times New Roman"/>
          <w:lang w:val="af-ZA"/>
        </w:rPr>
        <w:t>կարող են հիմնավորել այդ ազատության սահմանափակումները:</w:t>
      </w:r>
      <w:r w:rsidR="00615667" w:rsidRPr="00EF7399">
        <w:rPr>
          <w:rFonts w:ascii="Times New Roman" w:hAnsi="Times New Roman" w:cs="Times New Roman"/>
          <w:lang w:val="af-ZA"/>
        </w:rPr>
        <w:t xml:space="preserve"> Առաջին հերթին</w:t>
      </w:r>
      <w:r w:rsidR="00DD70A3" w:rsidRPr="00EF7399">
        <w:rPr>
          <w:rFonts w:ascii="Times New Roman" w:hAnsi="Times New Roman" w:cs="Times New Roman"/>
          <w:lang w:val="hy-AM"/>
        </w:rPr>
        <w:t>,</w:t>
      </w:r>
      <w:r w:rsidR="00615667" w:rsidRPr="00EF7399">
        <w:rPr>
          <w:rFonts w:ascii="Times New Roman" w:hAnsi="Times New Roman" w:cs="Times New Roman"/>
          <w:lang w:val="af-ZA"/>
        </w:rPr>
        <w:t xml:space="preserve"> ազգային իշխանությունները պետք է գնահատեն «ծայրահեղ սոցիալական անհրաժեշտության» առկայությունը` կոնկրետ սահմանափակումներ կիրառելու համար: Դատարանի խնդիրն է</w:t>
      </w:r>
      <w:r w:rsidR="00DD70A3" w:rsidRPr="00EF7399">
        <w:rPr>
          <w:rFonts w:ascii="Times New Roman" w:hAnsi="Times New Roman" w:cs="Times New Roman"/>
          <w:lang w:val="hy-AM"/>
        </w:rPr>
        <w:t>՝</w:t>
      </w:r>
      <w:r w:rsidR="00615667" w:rsidRPr="00EF7399">
        <w:rPr>
          <w:rFonts w:ascii="Times New Roman" w:hAnsi="Times New Roman" w:cs="Times New Roman"/>
          <w:lang w:val="af-ZA"/>
        </w:rPr>
        <w:t xml:space="preserve"> քննել ազգային իշխանությունների` սեփական հայեցողությ</w:t>
      </w:r>
      <w:r w:rsidR="00DD70A3" w:rsidRPr="00EF7399">
        <w:rPr>
          <w:rFonts w:ascii="Times New Roman" w:hAnsi="Times New Roman" w:cs="Times New Roman"/>
          <w:lang w:val="hy-AM"/>
        </w:rPr>
        <w:t>ան</w:t>
      </w:r>
      <w:r w:rsidR="00615667" w:rsidRPr="00EF7399">
        <w:rPr>
          <w:rFonts w:ascii="Times New Roman" w:hAnsi="Times New Roman" w:cs="Times New Roman"/>
          <w:lang w:val="af-ZA"/>
        </w:rPr>
        <w:t xml:space="preserve"> </w:t>
      </w:r>
      <w:r w:rsidR="00DD70A3" w:rsidRPr="00EF7399">
        <w:rPr>
          <w:rFonts w:ascii="Times New Roman" w:hAnsi="Times New Roman" w:cs="Times New Roman"/>
          <w:lang w:val="hy-AM"/>
        </w:rPr>
        <w:t>կիրառմամբ</w:t>
      </w:r>
      <w:r w:rsidR="00DD70A3" w:rsidRPr="00EF7399">
        <w:rPr>
          <w:rFonts w:ascii="Times New Roman" w:hAnsi="Times New Roman" w:cs="Times New Roman"/>
          <w:lang w:val="af-ZA"/>
        </w:rPr>
        <w:t xml:space="preserve"> </w:t>
      </w:r>
      <w:r w:rsidR="00615667" w:rsidRPr="00EF7399">
        <w:rPr>
          <w:rFonts w:ascii="Times New Roman" w:hAnsi="Times New Roman" w:cs="Times New Roman"/>
          <w:lang w:val="af-ZA"/>
        </w:rPr>
        <w:t>ընդունած որոշումների համապատասխանությունը Կոնվենցիային, այլ ոչ թե փոխարինել ազգային իշխանությունների կարծիքը սեփականով</w:t>
      </w:r>
      <w:r w:rsidR="00B36CCE" w:rsidRPr="00EF7399">
        <w:rPr>
          <w:rFonts w:ascii="Times New Roman" w:hAnsi="Times New Roman" w:cs="Times New Roman"/>
          <w:lang w:val="af-ZA"/>
        </w:rPr>
        <w:t>:</w:t>
      </w:r>
    </w:p>
    <w:p w14:paraId="2EAF9881" w14:textId="7AF708E8" w:rsidR="00F64E7B" w:rsidRPr="00EF7399" w:rsidRDefault="00F64E7B" w:rsidP="00F64E7B">
      <w:pPr>
        <w:pStyle w:val="ECHRParaSpaced"/>
        <w:rPr>
          <w:rFonts w:ascii="Times New Roman" w:hAnsi="Times New Roman" w:cs="Times New Roman"/>
          <w:lang w:val="af-ZA"/>
        </w:rPr>
      </w:pPr>
      <w:r w:rsidRPr="00EF7399">
        <w:rPr>
          <w:rFonts w:ascii="Times New Roman" w:hAnsi="Times New Roman" w:cs="Times New Roman"/>
          <w:lang w:val="af-ZA"/>
        </w:rPr>
        <w:lastRenderedPageBreak/>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159</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7B7E43" w:rsidRPr="00EF7399">
        <w:rPr>
          <w:rFonts w:ascii="Times New Roman" w:hAnsi="Times New Roman" w:cs="Times New Roman"/>
          <w:lang w:val="af-ZA"/>
        </w:rPr>
        <w:t>Սա չի նշանակում, որ Դատարանի վերահսկողությունը սահմանափակվում է պատասխանող պետության կողմից իր հայեցողությունը ողջամտորեն, զգուշորեն և բարեխղճորեն  օգտագործելու փաստը պարզելով: Դատարանը պարտավոր է ուսումնասիրել բողոքարկվող միջամտությունն ամբողջական գործի լույսի ներքո և պարզել</w:t>
      </w:r>
      <w:r w:rsidR="00C747EC" w:rsidRPr="00EF7399">
        <w:rPr>
          <w:rFonts w:ascii="Times New Roman" w:hAnsi="Times New Roman" w:cs="Times New Roman"/>
          <w:lang w:val="hy-AM"/>
        </w:rPr>
        <w:t>՝</w:t>
      </w:r>
      <w:r w:rsidR="007B7E43" w:rsidRPr="00EF7399">
        <w:rPr>
          <w:rFonts w:ascii="Times New Roman" w:hAnsi="Times New Roman" w:cs="Times New Roman"/>
          <w:lang w:val="af-ZA"/>
        </w:rPr>
        <w:t xml:space="preserve"> արդյոք այն եղել է «հետապնդած իրավաչափ նպատակին համաչափ»</w:t>
      </w:r>
      <w:r w:rsidR="007A6C28">
        <w:rPr>
          <w:rFonts w:ascii="Times New Roman" w:hAnsi="Times New Roman" w:cs="Times New Roman"/>
          <w:lang w:val="hy-AM"/>
        </w:rPr>
        <w:t>,</w:t>
      </w:r>
      <w:r w:rsidR="007B7E43" w:rsidRPr="00EF7399">
        <w:rPr>
          <w:rFonts w:ascii="Times New Roman" w:hAnsi="Times New Roman" w:cs="Times New Roman"/>
          <w:lang w:val="af-ZA"/>
        </w:rPr>
        <w:t xml:space="preserve"> և արդյոք այն հիմնավորելու համար ազգային իշխանությունների ներկայացրած փաստարկները «վերաբերելի են և բավարար»: Այդ կերպ</w:t>
      </w:r>
      <w:r w:rsidR="00C747EC" w:rsidRPr="00EF7399">
        <w:rPr>
          <w:rFonts w:ascii="Times New Roman" w:hAnsi="Times New Roman" w:cs="Times New Roman"/>
          <w:lang w:val="hy-AM"/>
        </w:rPr>
        <w:t>,</w:t>
      </w:r>
      <w:r w:rsidR="007B7E43" w:rsidRPr="00EF7399">
        <w:rPr>
          <w:rFonts w:ascii="Times New Roman" w:hAnsi="Times New Roman" w:cs="Times New Roman"/>
          <w:lang w:val="af-ZA"/>
        </w:rPr>
        <w:t xml:space="preserve"> Դատարանը</w:t>
      </w:r>
      <w:r w:rsidR="00D643B8" w:rsidRPr="00EF7399">
        <w:rPr>
          <w:rFonts w:ascii="Times New Roman" w:hAnsi="Times New Roman" w:cs="Times New Roman"/>
          <w:lang w:val="af-ZA"/>
        </w:rPr>
        <w:t xml:space="preserve"> պետք է համոզվի, որ ազգային իշխանությունները կիրառել են չափանիշներ, որոնք համապատասխանել են 11-րդ հոդվածում ամրագրված սկզբունքներին և, ավելին, որ նրանք իրենց որոշումներում հիմնվել են վերաբերելի փաստերի ընդունելի գնահատման վրա </w:t>
      </w:r>
      <w:r w:rsidRPr="00EF7399">
        <w:rPr>
          <w:rFonts w:ascii="Times New Roman" w:hAnsi="Times New Roman" w:cs="Times New Roman"/>
          <w:lang w:val="af-ZA"/>
        </w:rPr>
        <w:t>(</w:t>
      </w:r>
      <w:hyperlink r:id="rId379" w:history="1">
        <w:r w:rsidRPr="00EF7399">
          <w:rPr>
            <w:rStyle w:val="Hyperlink"/>
            <w:rFonts w:ascii="Times New Roman" w:hAnsi="Times New Roman" w:cs="Times New Roman"/>
            <w:lang w:val="af-ZA"/>
          </w:rPr>
          <w:t>Gorzelik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Poland</w:t>
        </w:r>
      </w:hyperlink>
      <w:r w:rsidRPr="00EF7399">
        <w:rPr>
          <w:rFonts w:ascii="Times New Roman" w:hAnsi="Times New Roman" w:cs="Times New Roman"/>
          <w:lang w:val="af-ZA"/>
        </w:rPr>
        <w:t xml:space="preserve"> [GC], </w:t>
      </w:r>
      <w:r w:rsidR="007A38BA" w:rsidRPr="00EF7399">
        <w:rPr>
          <w:rFonts w:ascii="Times New Roman" w:hAnsi="Times New Roman" w:cs="Times New Roman"/>
          <w:lang w:val="af-ZA"/>
        </w:rPr>
        <w:t xml:space="preserve">2004,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95-96; </w:t>
      </w:r>
      <w:hyperlink r:id="rId380" w:history="1">
        <w:r w:rsidRPr="00EF7399">
          <w:rPr>
            <w:rStyle w:val="Hyperlink"/>
            <w:rFonts w:ascii="Times New Roman" w:hAnsi="Times New Roman" w:cs="Times New Roman"/>
            <w:bCs/>
            <w:lang w:val="af-ZA"/>
          </w:rPr>
          <w:t>Partidul Comunistilor (Nepeceristi) and Ungureanu</w:t>
        </w:r>
        <w:r w:rsidR="00873234" w:rsidRPr="00EF7399">
          <w:rPr>
            <w:rStyle w:val="Hyperlink"/>
            <w:rFonts w:ascii="Times New Roman" w:hAnsi="Times New Roman" w:cs="Times New Roman"/>
            <w:bCs/>
            <w:lang w:val="af-ZA"/>
          </w:rPr>
          <w:t xml:space="preserve"> v. </w:t>
        </w:r>
        <w:r w:rsidRPr="00EF7399">
          <w:rPr>
            <w:rStyle w:val="Hyperlink"/>
            <w:rFonts w:ascii="Times New Roman" w:hAnsi="Times New Roman" w:cs="Times New Roman"/>
            <w:bCs/>
            <w:lang w:val="af-ZA"/>
          </w:rPr>
          <w:t>Romania</w:t>
        </w:r>
      </w:hyperlink>
      <w:r w:rsidRPr="00EF7399">
        <w:rPr>
          <w:rFonts w:ascii="Times New Roman" w:hAnsi="Times New Roman" w:cs="Times New Roman"/>
          <w:bCs/>
          <w:i/>
          <w:lang w:val="af-ZA"/>
        </w:rPr>
        <w:t>,</w:t>
      </w:r>
      <w:r w:rsidRPr="00EF7399">
        <w:rPr>
          <w:rFonts w:ascii="Times New Roman" w:hAnsi="Times New Roman" w:cs="Times New Roman"/>
          <w:bCs/>
          <w:lang w:val="af-ZA"/>
        </w:rPr>
        <w:t xml:space="preserve"> </w:t>
      </w:r>
      <w:r w:rsidR="00C46086" w:rsidRPr="00EF7399">
        <w:rPr>
          <w:rFonts w:ascii="Times New Roman" w:hAnsi="Times New Roman" w:cs="Times New Roman"/>
          <w:bCs/>
          <w:lang w:val="af-ZA"/>
        </w:rPr>
        <w:t xml:space="preserve">2005, </w:t>
      </w:r>
      <w:r w:rsidR="00873234" w:rsidRPr="00EF7399">
        <w:rPr>
          <w:rFonts w:ascii="Times New Roman" w:hAnsi="Times New Roman" w:cs="Times New Roman"/>
          <w:bCs/>
          <w:lang w:val="af-ZA"/>
        </w:rPr>
        <w:t>§ </w:t>
      </w:r>
      <w:r w:rsidRPr="00EF7399">
        <w:rPr>
          <w:rFonts w:ascii="Times New Roman" w:hAnsi="Times New Roman" w:cs="Times New Roman"/>
          <w:bCs/>
          <w:lang w:val="af-ZA"/>
        </w:rPr>
        <w:t xml:space="preserve">49; </w:t>
      </w:r>
      <w:hyperlink r:id="rId381" w:history="1">
        <w:r w:rsidRPr="00EF7399">
          <w:rPr>
            <w:rStyle w:val="Hyperlink"/>
            <w:rFonts w:ascii="Times New Roman" w:hAnsi="Times New Roman" w:cs="Times New Roman"/>
            <w:bCs/>
            <w:lang w:val="af-ZA"/>
          </w:rPr>
          <w:t>Magyar Keresztény Mennonita Egyház and Others</w:t>
        </w:r>
        <w:r w:rsidR="00873234" w:rsidRPr="00EF7399">
          <w:rPr>
            <w:rStyle w:val="Hyperlink"/>
            <w:rFonts w:ascii="Times New Roman" w:hAnsi="Times New Roman" w:cs="Times New Roman"/>
            <w:bCs/>
            <w:lang w:val="af-ZA"/>
          </w:rPr>
          <w:t xml:space="preserve"> v. </w:t>
        </w:r>
        <w:r w:rsidRPr="00EF7399">
          <w:rPr>
            <w:rStyle w:val="Hyperlink"/>
            <w:rFonts w:ascii="Times New Roman" w:hAnsi="Times New Roman" w:cs="Times New Roman"/>
            <w:bCs/>
            <w:lang w:val="af-ZA"/>
          </w:rPr>
          <w:t>Hungary</w:t>
        </w:r>
      </w:hyperlink>
      <w:r w:rsidRPr="00EF7399">
        <w:rPr>
          <w:rFonts w:ascii="Times New Roman" w:hAnsi="Times New Roman" w:cs="Times New Roman"/>
          <w:bCs/>
          <w:lang w:val="af-ZA"/>
        </w:rPr>
        <w:t xml:space="preserve">, </w:t>
      </w:r>
      <w:r w:rsidR="00F11699" w:rsidRPr="00EF7399">
        <w:rPr>
          <w:rFonts w:ascii="Times New Roman" w:hAnsi="Times New Roman" w:cs="Times New Roman"/>
          <w:lang w:val="af-ZA"/>
        </w:rPr>
        <w:t xml:space="preserve">2014, </w:t>
      </w:r>
      <w:r w:rsidRPr="00EF7399">
        <w:rPr>
          <w:rFonts w:ascii="Times New Roman" w:hAnsi="Times New Roman" w:cs="Times New Roman"/>
          <w:bCs/>
          <w:lang w:val="af-ZA"/>
        </w:rPr>
        <w:t>§</w:t>
      </w:r>
      <w:r w:rsidR="00873234" w:rsidRPr="00EF7399">
        <w:rPr>
          <w:rFonts w:ascii="Times New Roman" w:hAnsi="Times New Roman" w:cs="Times New Roman"/>
          <w:bCs/>
          <w:lang w:val="af-ZA"/>
        </w:rPr>
        <w:t>§ </w:t>
      </w:r>
      <w:r w:rsidRPr="00EF7399">
        <w:rPr>
          <w:rFonts w:ascii="Times New Roman" w:hAnsi="Times New Roman" w:cs="Times New Roman"/>
          <w:bCs/>
          <w:lang w:val="af-ZA"/>
        </w:rPr>
        <w:t>79-80)</w:t>
      </w:r>
      <w:r w:rsidR="00D643B8" w:rsidRPr="00EF7399">
        <w:rPr>
          <w:rFonts w:ascii="Times New Roman" w:hAnsi="Times New Roman" w:cs="Times New Roman"/>
          <w:bCs/>
          <w:lang w:val="af-ZA"/>
        </w:rPr>
        <w:t>:</w:t>
      </w:r>
    </w:p>
    <w:p w14:paraId="217A4A0B" w14:textId="01C3258B" w:rsidR="00666246" w:rsidRPr="00EF7399" w:rsidRDefault="00A83DAB" w:rsidP="00A83DAB">
      <w:pPr>
        <w:pStyle w:val="ECHRHeading4"/>
        <w:numPr>
          <w:ilvl w:val="0"/>
          <w:numId w:val="0"/>
        </w:numPr>
        <w:rPr>
          <w:rFonts w:ascii="Times New Roman" w:eastAsiaTheme="minorHAnsi" w:hAnsi="Times New Roman" w:cs="Times New Roman"/>
          <w:color w:val="auto"/>
          <w:sz w:val="22"/>
          <w:lang w:val="af-ZA"/>
        </w:rPr>
      </w:pPr>
      <w:bookmarkStart w:id="85" w:name="_Toc159945244"/>
      <w:r>
        <w:rPr>
          <w:rFonts w:ascii="Times New Roman" w:hAnsi="Times New Roman" w:cs="Times New Roman"/>
          <w:lang w:val="hy-AM"/>
        </w:rPr>
        <w:t>ա․</w:t>
      </w:r>
      <w:r w:rsidR="00D643B8" w:rsidRPr="00EF7399">
        <w:rPr>
          <w:rFonts w:ascii="Times New Roman" w:hAnsi="Times New Roman" w:cs="Times New Roman"/>
          <w:lang w:val="af-ZA"/>
        </w:rPr>
        <w:t>Դատարանի ուսումնասիրության սահմանները</w:t>
      </w:r>
      <w:bookmarkEnd w:id="85"/>
      <w:r w:rsidR="00D643B8" w:rsidRPr="00EF7399">
        <w:rPr>
          <w:rFonts w:ascii="Times New Roman" w:hAnsi="Times New Roman" w:cs="Times New Roman"/>
          <w:lang w:val="af-ZA"/>
        </w:rPr>
        <w:t xml:space="preserve"> </w:t>
      </w:r>
    </w:p>
    <w:p w14:paraId="6B775A87" w14:textId="2377F45A" w:rsidR="00217603" w:rsidRPr="00EF7399" w:rsidRDefault="00666246" w:rsidP="00A3262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160</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D643B8" w:rsidRPr="00EF7399">
        <w:rPr>
          <w:rFonts w:ascii="Times New Roman" w:hAnsi="Times New Roman" w:cs="Times New Roman"/>
          <w:lang w:val="af-ZA"/>
        </w:rPr>
        <w:t xml:space="preserve">Դատարանի </w:t>
      </w:r>
      <w:r w:rsidR="00DC4103" w:rsidRPr="00EF7399">
        <w:rPr>
          <w:rFonts w:ascii="Times New Roman" w:hAnsi="Times New Roman" w:cs="Times New Roman"/>
          <w:lang w:val="hy-AM"/>
        </w:rPr>
        <w:t>հսկողության</w:t>
      </w:r>
      <w:r w:rsidR="00DC4103" w:rsidRPr="00EF7399">
        <w:rPr>
          <w:rFonts w:ascii="Times New Roman" w:hAnsi="Times New Roman" w:cs="Times New Roman"/>
          <w:lang w:val="af-ZA"/>
        </w:rPr>
        <w:t xml:space="preserve"> </w:t>
      </w:r>
      <w:r w:rsidR="00D643B8" w:rsidRPr="00EF7399">
        <w:rPr>
          <w:rFonts w:ascii="Times New Roman" w:hAnsi="Times New Roman" w:cs="Times New Roman"/>
          <w:lang w:val="af-ZA"/>
        </w:rPr>
        <w:t>խորությունը կախ</w:t>
      </w:r>
      <w:r w:rsidR="00DC4103" w:rsidRPr="00EF7399">
        <w:rPr>
          <w:rFonts w:ascii="Times New Roman" w:hAnsi="Times New Roman" w:cs="Times New Roman"/>
          <w:lang w:val="hy-AM"/>
        </w:rPr>
        <w:t>ված</w:t>
      </w:r>
      <w:r w:rsidR="00D643B8" w:rsidRPr="00EF7399">
        <w:rPr>
          <w:rFonts w:ascii="Times New Roman" w:hAnsi="Times New Roman" w:cs="Times New Roman"/>
          <w:lang w:val="af-ZA"/>
        </w:rPr>
        <w:t xml:space="preserve"> է միավորման տեսակից և դրա գործունեության բնույթից: </w:t>
      </w:r>
      <w:r w:rsidR="00200146" w:rsidRPr="00EF7399">
        <w:rPr>
          <w:rFonts w:ascii="Times New Roman" w:hAnsi="Times New Roman" w:cs="Times New Roman"/>
          <w:lang w:val="hy-AM"/>
        </w:rPr>
        <w:t>Ժ</w:t>
      </w:r>
      <w:r w:rsidR="00D643B8" w:rsidRPr="00EF7399">
        <w:rPr>
          <w:rFonts w:ascii="Times New Roman" w:hAnsi="Times New Roman" w:cs="Times New Roman"/>
          <w:lang w:val="af-ZA"/>
        </w:rPr>
        <w:t>ողովրդավարության համար քաղաքական կուսակցության և ոչ քաղաքական միավորման կարևորութ</w:t>
      </w:r>
      <w:r w:rsidR="00DC4103" w:rsidRPr="00EF7399">
        <w:rPr>
          <w:rFonts w:ascii="Times New Roman" w:hAnsi="Times New Roman" w:cs="Times New Roman"/>
          <w:lang w:val="hy-AM"/>
        </w:rPr>
        <w:t>յա</w:t>
      </w:r>
      <w:r w:rsidR="00D643B8" w:rsidRPr="00EF7399">
        <w:rPr>
          <w:rFonts w:ascii="Times New Roman" w:hAnsi="Times New Roman" w:cs="Times New Roman"/>
          <w:lang w:val="af-ZA"/>
        </w:rPr>
        <w:t>ն</w:t>
      </w:r>
      <w:r w:rsidR="00DC4103" w:rsidRPr="00EF7399">
        <w:rPr>
          <w:rFonts w:ascii="Times New Roman" w:hAnsi="Times New Roman" w:cs="Times New Roman"/>
          <w:lang w:val="hy-AM"/>
        </w:rPr>
        <w:t xml:space="preserve"> </w:t>
      </w:r>
      <w:r w:rsidR="00DC4103" w:rsidRPr="00EF7399">
        <w:rPr>
          <w:rFonts w:ascii="Times New Roman" w:hAnsi="Times New Roman" w:cs="Times New Roman"/>
          <w:lang w:val="af-ZA"/>
        </w:rPr>
        <w:t>միջև տարբերությ</w:t>
      </w:r>
      <w:r w:rsidR="00200146" w:rsidRPr="00EF7399">
        <w:rPr>
          <w:rFonts w:ascii="Times New Roman" w:hAnsi="Times New Roman" w:cs="Times New Roman"/>
          <w:lang w:val="hy-AM"/>
        </w:rPr>
        <w:t>ան հաշվառմամբ՝</w:t>
      </w:r>
      <w:r w:rsidR="00D643B8" w:rsidRPr="00EF7399">
        <w:rPr>
          <w:rFonts w:ascii="Times New Roman" w:hAnsi="Times New Roman" w:cs="Times New Roman"/>
          <w:lang w:val="af-ZA"/>
        </w:rPr>
        <w:t xml:space="preserve"> միայն առաջինն է միավոր</w:t>
      </w:r>
      <w:r w:rsidR="00200146" w:rsidRPr="00EF7399">
        <w:rPr>
          <w:rFonts w:ascii="Times New Roman" w:hAnsi="Times New Roman" w:cs="Times New Roman"/>
          <w:lang w:val="hy-AM"/>
        </w:rPr>
        <w:t>վելու</w:t>
      </w:r>
      <w:r w:rsidR="00D643B8" w:rsidRPr="00EF7399">
        <w:rPr>
          <w:rFonts w:ascii="Times New Roman" w:hAnsi="Times New Roman" w:cs="Times New Roman"/>
          <w:lang w:val="af-ZA"/>
        </w:rPr>
        <w:t xml:space="preserve"> իրավունքի սահմանափակման անհրաժեշտության առավել մանրակրկիտ քննության առարկա </w:t>
      </w:r>
      <w:r w:rsidRPr="00EF7399">
        <w:rPr>
          <w:rFonts w:ascii="Times New Roman" w:hAnsi="Times New Roman" w:cs="Times New Roman"/>
          <w:lang w:val="af-ZA"/>
        </w:rPr>
        <w:t>(</w:t>
      </w:r>
      <w:hyperlink r:id="rId382" w:history="1">
        <w:r w:rsidRPr="00EF7399">
          <w:rPr>
            <w:rStyle w:val="Hyperlink"/>
            <w:rFonts w:ascii="Times New Roman" w:hAnsi="Times New Roman" w:cs="Times New Roman"/>
            <w:lang w:val="af-ZA"/>
          </w:rPr>
          <w:t>Vona</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Hungary</w:t>
        </w:r>
      </w:hyperlink>
      <w:r w:rsidRPr="00EF7399">
        <w:rPr>
          <w:rFonts w:ascii="Times New Roman" w:hAnsi="Times New Roman" w:cs="Times New Roman"/>
          <w:lang w:val="af-ZA"/>
        </w:rPr>
        <w:t xml:space="preserve">, </w:t>
      </w:r>
      <w:r w:rsidR="002762F8" w:rsidRPr="00EF7399">
        <w:rPr>
          <w:rFonts w:ascii="Times New Roman" w:hAnsi="Times New Roman" w:cs="Times New Roman"/>
          <w:lang w:val="af-ZA"/>
        </w:rPr>
        <w:t xml:space="preserve">2013,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58; </w:t>
      </w:r>
      <w:hyperlink r:id="rId383" w:history="1">
        <w:r w:rsidRPr="00EF7399">
          <w:rPr>
            <w:rStyle w:val="Hyperlink"/>
            <w:rFonts w:ascii="Times New Roman" w:hAnsi="Times New Roman" w:cs="Times New Roman"/>
            <w:lang w:val="af-ZA"/>
          </w:rPr>
          <w:t>Les Authentiks and Supras Auteuil 91</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France</w:t>
        </w:r>
      </w:hyperlink>
      <w:r w:rsidRPr="00EF7399">
        <w:rPr>
          <w:rFonts w:ascii="Times New Roman" w:hAnsi="Times New Roman" w:cs="Times New Roman"/>
          <w:lang w:val="af-ZA"/>
        </w:rPr>
        <w:t xml:space="preserve">, </w:t>
      </w:r>
      <w:r w:rsidR="00C46086" w:rsidRPr="00EF7399">
        <w:rPr>
          <w:rFonts w:ascii="Times New Roman" w:hAnsi="Times New Roman" w:cs="Times New Roman"/>
          <w:lang w:val="af-ZA"/>
        </w:rPr>
        <w:t>2016,</w:t>
      </w:r>
      <w:r w:rsidRPr="00EF7399">
        <w:rPr>
          <w:rFonts w:ascii="Times New Roman" w:hAnsi="Times New Roman" w:cs="Times New Roman"/>
          <w:lang w:val="af-ZA"/>
        </w:rPr>
        <w:t xml:space="preserve">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74 </w:t>
      </w:r>
      <w:r w:rsidR="00D643B8" w:rsidRPr="00EF7399">
        <w:rPr>
          <w:rFonts w:ascii="Times New Roman" w:hAnsi="Times New Roman" w:cs="Times New Roman"/>
          <w:lang w:val="af-ZA"/>
        </w:rPr>
        <w:t>և</w:t>
      </w:r>
      <w:r w:rsidRPr="00EF7399">
        <w:rPr>
          <w:rFonts w:ascii="Times New Roman" w:hAnsi="Times New Roman" w:cs="Times New Roman"/>
          <w:lang w:val="af-ZA"/>
        </w:rPr>
        <w:t xml:space="preserve"> 84)</w:t>
      </w:r>
      <w:r w:rsidR="00D643B8" w:rsidRPr="00EF7399">
        <w:rPr>
          <w:rFonts w:ascii="Times New Roman" w:hAnsi="Times New Roman" w:cs="Times New Roman"/>
          <w:lang w:val="af-ZA"/>
        </w:rPr>
        <w:t xml:space="preserve">: Միջամտության անհրաժեշտությունը գնահատելիս ազգային իշխանություններն օգտվում են </w:t>
      </w:r>
      <w:r w:rsidR="00200146" w:rsidRPr="00EF7399">
        <w:rPr>
          <w:rFonts w:ascii="Times New Roman" w:hAnsi="Times New Roman" w:cs="Times New Roman"/>
          <w:lang w:val="af-ZA"/>
        </w:rPr>
        <w:t>հայեցողությ</w:t>
      </w:r>
      <w:r w:rsidR="00200146" w:rsidRPr="00EF7399">
        <w:rPr>
          <w:rFonts w:ascii="Times New Roman" w:hAnsi="Times New Roman" w:cs="Times New Roman"/>
          <w:lang w:val="hy-AM"/>
        </w:rPr>
        <w:t>ան</w:t>
      </w:r>
      <w:r w:rsidR="00200146" w:rsidRPr="00EF7399">
        <w:rPr>
          <w:rFonts w:ascii="Times New Roman" w:hAnsi="Times New Roman" w:cs="Times New Roman"/>
          <w:lang w:val="af-ZA"/>
        </w:rPr>
        <w:t xml:space="preserve"> </w:t>
      </w:r>
      <w:r w:rsidR="00D643B8" w:rsidRPr="00EF7399">
        <w:rPr>
          <w:rFonts w:ascii="Times New Roman" w:hAnsi="Times New Roman" w:cs="Times New Roman"/>
          <w:lang w:val="af-ZA"/>
        </w:rPr>
        <w:t>ավելի լայն</w:t>
      </w:r>
      <w:r w:rsidR="00200146" w:rsidRPr="00EF7399">
        <w:rPr>
          <w:rFonts w:ascii="Times New Roman" w:hAnsi="Times New Roman" w:cs="Times New Roman"/>
          <w:lang w:val="hy-AM"/>
        </w:rPr>
        <w:t xml:space="preserve"> շրջանակից</w:t>
      </w:r>
      <w:r w:rsidR="00D643B8" w:rsidRPr="00EF7399">
        <w:rPr>
          <w:rFonts w:ascii="Times New Roman" w:hAnsi="Times New Roman" w:cs="Times New Roman"/>
          <w:lang w:val="af-ZA"/>
        </w:rPr>
        <w:t xml:space="preserve"> նաև այն դեպքերում, երբ բռնություն է հրահրվել անհատի, պետության ներկայացուցչի կամ բնակչության որոշակի հատվածի դեմ </w:t>
      </w:r>
      <w:r w:rsidRPr="00EF7399">
        <w:rPr>
          <w:rFonts w:ascii="Times New Roman" w:hAnsi="Times New Roman" w:cs="Times New Roman"/>
          <w:lang w:val="af-ZA"/>
        </w:rPr>
        <w:t>(</w:t>
      </w:r>
      <w:hyperlink r:id="rId384" w:history="1">
        <w:r w:rsidRPr="00EF7399">
          <w:rPr>
            <w:rStyle w:val="Hyperlink"/>
            <w:rFonts w:ascii="Times New Roman" w:hAnsi="Times New Roman" w:cs="Times New Roman"/>
            <w:lang w:val="af-ZA"/>
          </w:rPr>
          <w:t>Les Authentiks and Supras Auteuil 91</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France</w:t>
        </w:r>
      </w:hyperlink>
      <w:r w:rsidRPr="00EF7399">
        <w:rPr>
          <w:rFonts w:ascii="Times New Roman" w:hAnsi="Times New Roman" w:cs="Times New Roman"/>
          <w:lang w:val="af-ZA"/>
        </w:rPr>
        <w:t xml:space="preserve">, </w:t>
      </w:r>
      <w:r w:rsidR="00C46086" w:rsidRPr="00EF7399">
        <w:rPr>
          <w:rFonts w:ascii="Times New Roman" w:hAnsi="Times New Roman" w:cs="Times New Roman"/>
          <w:lang w:val="af-ZA"/>
        </w:rPr>
        <w:t xml:space="preserve">2016, </w:t>
      </w:r>
      <w:r w:rsidR="00873234" w:rsidRPr="00EF7399">
        <w:rPr>
          <w:rFonts w:ascii="Times New Roman" w:hAnsi="Times New Roman" w:cs="Times New Roman"/>
          <w:lang w:val="af-ZA"/>
        </w:rPr>
        <w:t>§ </w:t>
      </w:r>
      <w:r w:rsidRPr="00EF7399">
        <w:rPr>
          <w:rFonts w:ascii="Times New Roman" w:hAnsi="Times New Roman" w:cs="Times New Roman"/>
          <w:lang w:val="af-ZA"/>
        </w:rPr>
        <w:t>84</w:t>
      </w:r>
      <w:r w:rsidR="00A90DB5" w:rsidRPr="00EF7399">
        <w:rPr>
          <w:rFonts w:ascii="Times New Roman" w:hAnsi="Times New Roman" w:cs="Times New Roman"/>
          <w:lang w:val="af-ZA"/>
        </w:rPr>
        <w:t xml:space="preserve">; </w:t>
      </w:r>
      <w:hyperlink r:id="rId385" w:history="1">
        <w:r w:rsidR="00A90DB5" w:rsidRPr="00EF7399">
          <w:rPr>
            <w:rStyle w:val="Hyperlink"/>
            <w:rFonts w:ascii="Times New Roman" w:hAnsi="Times New Roman" w:cs="Times New Roman"/>
            <w:lang w:val="af-ZA"/>
          </w:rPr>
          <w:t>Ayoub and Others</w:t>
        </w:r>
        <w:r w:rsidR="00873234" w:rsidRPr="00EF7399">
          <w:rPr>
            <w:rStyle w:val="Hyperlink"/>
            <w:rFonts w:ascii="Times New Roman" w:hAnsi="Times New Roman" w:cs="Times New Roman"/>
            <w:lang w:val="af-ZA"/>
          </w:rPr>
          <w:t xml:space="preserve"> v. </w:t>
        </w:r>
        <w:r w:rsidR="00A90DB5" w:rsidRPr="00EF7399">
          <w:rPr>
            <w:rStyle w:val="Hyperlink"/>
            <w:rFonts w:ascii="Times New Roman" w:hAnsi="Times New Roman" w:cs="Times New Roman"/>
            <w:lang w:val="af-ZA"/>
          </w:rPr>
          <w:t>France</w:t>
        </w:r>
      </w:hyperlink>
      <w:r w:rsidR="00A90DB5" w:rsidRPr="00EF7399">
        <w:rPr>
          <w:rFonts w:ascii="Times New Roman" w:hAnsi="Times New Roman" w:cs="Times New Roman"/>
          <w:lang w:val="af-ZA"/>
        </w:rPr>
        <w:t xml:space="preserve">, </w:t>
      </w:r>
      <w:r w:rsidR="007A38BA" w:rsidRPr="00EF7399">
        <w:rPr>
          <w:rFonts w:ascii="Times New Roman" w:hAnsi="Times New Roman" w:cs="Times New Roman"/>
          <w:lang w:val="af-ZA"/>
        </w:rPr>
        <w:t xml:space="preserve">2020, </w:t>
      </w:r>
      <w:r w:rsidR="00873234" w:rsidRPr="00EF7399">
        <w:rPr>
          <w:rFonts w:ascii="Times New Roman" w:hAnsi="Times New Roman" w:cs="Times New Roman"/>
          <w:lang w:val="af-ZA"/>
        </w:rPr>
        <w:t>§ </w:t>
      </w:r>
      <w:r w:rsidR="00A90DB5" w:rsidRPr="00EF7399">
        <w:rPr>
          <w:rFonts w:ascii="Times New Roman" w:hAnsi="Times New Roman" w:cs="Times New Roman"/>
          <w:lang w:val="af-ZA"/>
        </w:rPr>
        <w:t>121</w:t>
      </w:r>
      <w:r w:rsidRPr="00EF7399">
        <w:rPr>
          <w:rFonts w:ascii="Times New Roman" w:hAnsi="Times New Roman" w:cs="Times New Roman"/>
          <w:lang w:val="af-ZA"/>
        </w:rPr>
        <w:t>)</w:t>
      </w:r>
      <w:r w:rsidR="00D643B8" w:rsidRPr="00EF7399">
        <w:rPr>
          <w:rFonts w:ascii="Times New Roman" w:hAnsi="Times New Roman" w:cs="Times New Roman"/>
          <w:lang w:val="af-ZA"/>
        </w:rPr>
        <w:t xml:space="preserve">: Դատարանը </w:t>
      </w:r>
      <w:r w:rsidR="001A5962" w:rsidRPr="00EF7399">
        <w:rPr>
          <w:rFonts w:ascii="Times New Roman" w:hAnsi="Times New Roman" w:cs="Times New Roman"/>
          <w:lang w:val="af-ZA"/>
        </w:rPr>
        <w:t>գտել է նաև, որ միավորումը, որի առաջնորդներ</w:t>
      </w:r>
      <w:r w:rsidR="00C63ABA" w:rsidRPr="00EF7399">
        <w:rPr>
          <w:rFonts w:ascii="Times New Roman" w:hAnsi="Times New Roman" w:cs="Times New Roman"/>
          <w:lang w:val="af-ZA"/>
        </w:rPr>
        <w:t>ը քարոզ</w:t>
      </w:r>
      <w:r w:rsidR="004C779A" w:rsidRPr="00EF7399">
        <w:rPr>
          <w:rFonts w:ascii="Times New Roman" w:hAnsi="Times New Roman" w:cs="Times New Roman"/>
          <w:lang w:val="af-ZA"/>
        </w:rPr>
        <w:t>ում</w:t>
      </w:r>
      <w:r w:rsidR="00C63ABA" w:rsidRPr="00EF7399">
        <w:rPr>
          <w:rFonts w:ascii="Times New Roman" w:hAnsi="Times New Roman" w:cs="Times New Roman"/>
          <w:lang w:val="af-ZA"/>
        </w:rPr>
        <w:t xml:space="preserve"> են քաղաքականություն, որը </w:t>
      </w:r>
      <w:r w:rsidR="001A5962" w:rsidRPr="00EF7399">
        <w:rPr>
          <w:rFonts w:ascii="Times New Roman" w:hAnsi="Times New Roman" w:cs="Times New Roman"/>
          <w:lang w:val="af-ZA"/>
        </w:rPr>
        <w:t>չ</w:t>
      </w:r>
      <w:r w:rsidR="00C63ABA" w:rsidRPr="00EF7399">
        <w:rPr>
          <w:rFonts w:ascii="Times New Roman" w:hAnsi="Times New Roman" w:cs="Times New Roman"/>
          <w:lang w:val="af-ZA"/>
        </w:rPr>
        <w:t>ի</w:t>
      </w:r>
      <w:r w:rsidR="001A5962" w:rsidRPr="00EF7399">
        <w:rPr>
          <w:rFonts w:ascii="Times New Roman" w:hAnsi="Times New Roman" w:cs="Times New Roman"/>
          <w:lang w:val="af-ZA"/>
        </w:rPr>
        <w:t xml:space="preserve"> հարգ</w:t>
      </w:r>
      <w:r w:rsidR="00C63ABA" w:rsidRPr="00EF7399">
        <w:rPr>
          <w:rFonts w:ascii="Times New Roman" w:hAnsi="Times New Roman" w:cs="Times New Roman"/>
          <w:lang w:val="af-ZA"/>
        </w:rPr>
        <w:t>ում</w:t>
      </w:r>
      <w:r w:rsidR="001A5962" w:rsidRPr="00EF7399">
        <w:rPr>
          <w:rFonts w:ascii="Times New Roman" w:hAnsi="Times New Roman" w:cs="Times New Roman"/>
          <w:lang w:val="af-ZA"/>
        </w:rPr>
        <w:t xml:space="preserve"> ժողովրդավարության կանոնները </w:t>
      </w:r>
      <w:r w:rsidR="00C63ABA" w:rsidRPr="00EF7399">
        <w:rPr>
          <w:rFonts w:ascii="Times New Roman" w:hAnsi="Times New Roman" w:cs="Times New Roman"/>
          <w:lang w:val="af-ZA"/>
        </w:rPr>
        <w:t>կամ նպատակ ունի կազմաքանդել այն</w:t>
      </w:r>
      <w:r w:rsidR="004C779A" w:rsidRPr="00EF7399">
        <w:rPr>
          <w:rFonts w:ascii="Times New Roman" w:hAnsi="Times New Roman" w:cs="Times New Roman"/>
          <w:lang w:val="af-ZA"/>
        </w:rPr>
        <w:t xml:space="preserve"> և ոտնահարել ժողովրդավարական հասարակությունում ընդունված իրավունքներն ու ազատությունները, կարող է ենթարկվել պատիժների</w:t>
      </w:r>
      <w:r w:rsidRPr="00EF7399">
        <w:rPr>
          <w:rFonts w:ascii="Times New Roman" w:hAnsi="Times New Roman" w:cs="Times New Roman"/>
          <w:lang w:val="af-ZA"/>
        </w:rPr>
        <w:t xml:space="preserve"> (</w:t>
      </w:r>
      <w:hyperlink r:id="rId386" w:history="1">
        <w:r w:rsidRPr="00EF7399">
          <w:rPr>
            <w:rStyle w:val="Hyperlink"/>
            <w:rFonts w:ascii="Times New Roman" w:hAnsi="Times New Roman" w:cs="Times New Roman"/>
            <w:iCs/>
            <w:lang w:val="af-ZA"/>
          </w:rPr>
          <w:t>Zehra Foundation and Others</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Turkey</w:t>
        </w:r>
      </w:hyperlink>
      <w:r w:rsidRPr="00EF7399">
        <w:rPr>
          <w:rFonts w:ascii="Times New Roman" w:hAnsi="Times New Roman" w:cs="Times New Roman"/>
          <w:lang w:val="af-ZA"/>
        </w:rPr>
        <w:t xml:space="preserve">, </w:t>
      </w:r>
      <w:r w:rsidR="00983154" w:rsidRPr="00EF7399">
        <w:rPr>
          <w:rFonts w:ascii="Times New Roman" w:hAnsi="Times New Roman" w:cs="Times New Roman"/>
          <w:lang w:val="af-ZA"/>
        </w:rPr>
        <w:t xml:space="preserve">2018, </w:t>
      </w:r>
      <w:r w:rsidR="00873234" w:rsidRPr="00EF7399">
        <w:rPr>
          <w:rFonts w:ascii="Times New Roman" w:hAnsi="Times New Roman" w:cs="Times New Roman"/>
          <w:lang w:val="af-ZA"/>
        </w:rPr>
        <w:t>§ </w:t>
      </w:r>
      <w:r w:rsidRPr="00EF7399">
        <w:rPr>
          <w:rFonts w:ascii="Times New Roman" w:hAnsi="Times New Roman" w:cs="Times New Roman"/>
          <w:lang w:val="af-ZA"/>
        </w:rPr>
        <w:t>54)</w:t>
      </w:r>
      <w:r w:rsidR="004C779A" w:rsidRPr="00EF7399">
        <w:rPr>
          <w:rFonts w:ascii="Times New Roman" w:hAnsi="Times New Roman" w:cs="Times New Roman"/>
          <w:lang w:val="af-ZA"/>
        </w:rPr>
        <w:t>:</w:t>
      </w:r>
      <w:r w:rsidRPr="00EF7399">
        <w:rPr>
          <w:rFonts w:ascii="Times New Roman" w:hAnsi="Times New Roman" w:cs="Times New Roman"/>
          <w:lang w:val="af-ZA"/>
        </w:rPr>
        <w:t xml:space="preserve"> </w:t>
      </w:r>
      <w:r w:rsidR="00200146" w:rsidRPr="00EF7399">
        <w:rPr>
          <w:rFonts w:ascii="Times New Roman" w:hAnsi="Times New Roman" w:cs="Times New Roman"/>
          <w:lang w:val="hy-AM"/>
        </w:rPr>
        <w:t>Պ</w:t>
      </w:r>
      <w:r w:rsidR="00200146" w:rsidRPr="00EF7399">
        <w:rPr>
          <w:rFonts w:ascii="Times New Roman" w:hAnsi="Times New Roman" w:cs="Times New Roman"/>
          <w:lang w:val="af-ZA"/>
        </w:rPr>
        <w:t>ետության լիազորությունը</w:t>
      </w:r>
      <w:r w:rsidR="00200146" w:rsidRPr="00EF7399">
        <w:rPr>
          <w:rFonts w:ascii="Times New Roman" w:hAnsi="Times New Roman" w:cs="Times New Roman"/>
          <w:lang w:val="hy-AM"/>
        </w:rPr>
        <w:t xml:space="preserve">՝ </w:t>
      </w:r>
      <w:r w:rsidR="00200146" w:rsidRPr="00EF7399">
        <w:rPr>
          <w:rFonts w:ascii="Times New Roman" w:hAnsi="Times New Roman" w:cs="Times New Roman"/>
          <w:lang w:val="af-ZA"/>
        </w:rPr>
        <w:t xml:space="preserve">պաշտպանելու </w:t>
      </w:r>
      <w:r w:rsidR="00200146" w:rsidRPr="00EF7399">
        <w:rPr>
          <w:rFonts w:ascii="Times New Roman" w:hAnsi="Times New Roman" w:cs="Times New Roman"/>
          <w:lang w:val="hy-AM"/>
        </w:rPr>
        <w:t>ս</w:t>
      </w:r>
      <w:r w:rsidR="004C779A" w:rsidRPr="00EF7399">
        <w:rPr>
          <w:rFonts w:ascii="Times New Roman" w:hAnsi="Times New Roman" w:cs="Times New Roman"/>
          <w:lang w:val="af-ZA"/>
        </w:rPr>
        <w:t>եփական հաստատությունները և քաղաքացիներին դրանց սպառնացող միավորումներից</w:t>
      </w:r>
      <w:r w:rsidR="009B2F0A" w:rsidRPr="00EF7399">
        <w:rPr>
          <w:rFonts w:ascii="Times New Roman" w:hAnsi="Times New Roman" w:cs="Times New Roman"/>
          <w:lang w:val="af-ZA"/>
        </w:rPr>
        <w:t>,</w:t>
      </w:r>
      <w:r w:rsidR="004C779A" w:rsidRPr="00EF7399">
        <w:rPr>
          <w:rFonts w:ascii="Times New Roman" w:hAnsi="Times New Roman" w:cs="Times New Roman"/>
          <w:lang w:val="af-ZA"/>
        </w:rPr>
        <w:t xml:space="preserve"> պետք է ամեն դեպքում </w:t>
      </w:r>
      <w:r w:rsidR="00200146" w:rsidRPr="00EF7399">
        <w:rPr>
          <w:rFonts w:ascii="Times New Roman" w:hAnsi="Times New Roman" w:cs="Times New Roman"/>
          <w:lang w:val="hy-AM"/>
        </w:rPr>
        <w:t>գործադրվի</w:t>
      </w:r>
      <w:r w:rsidR="00200146" w:rsidRPr="00EF7399">
        <w:rPr>
          <w:rFonts w:ascii="Times New Roman" w:hAnsi="Times New Roman" w:cs="Times New Roman"/>
          <w:lang w:val="af-ZA"/>
        </w:rPr>
        <w:t xml:space="preserve"> </w:t>
      </w:r>
      <w:r w:rsidR="004C779A" w:rsidRPr="00EF7399">
        <w:rPr>
          <w:rFonts w:ascii="Times New Roman" w:hAnsi="Times New Roman" w:cs="Times New Roman"/>
          <w:lang w:val="af-ZA"/>
        </w:rPr>
        <w:t xml:space="preserve">զգուշությամբ </w:t>
      </w:r>
      <w:r w:rsidRPr="00EF7399">
        <w:rPr>
          <w:rFonts w:ascii="Times New Roman" w:hAnsi="Times New Roman" w:cs="Times New Roman"/>
          <w:lang w:val="af-ZA"/>
        </w:rPr>
        <w:t>(</w:t>
      </w:r>
      <w:hyperlink r:id="rId387" w:history="1">
        <w:r w:rsidRPr="00EF7399">
          <w:rPr>
            <w:rStyle w:val="Hyperlink"/>
            <w:rFonts w:ascii="Times New Roman" w:hAnsi="Times New Roman" w:cs="Times New Roman"/>
            <w:lang w:val="af-ZA"/>
          </w:rPr>
          <w:t>Magyar Keresztény Mennonita Egyház and Others</w:t>
        </w:r>
      </w:hyperlink>
      <w:r w:rsidRPr="00EF7399">
        <w:rPr>
          <w:rFonts w:ascii="Times New Roman" w:hAnsi="Times New Roman" w:cs="Times New Roman"/>
          <w:lang w:val="af-ZA"/>
        </w:rPr>
        <w:t xml:space="preserve">, </w:t>
      </w:r>
      <w:r w:rsidR="00C46086"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Pr="00EF7399">
        <w:rPr>
          <w:rFonts w:ascii="Times New Roman" w:hAnsi="Times New Roman" w:cs="Times New Roman"/>
          <w:lang w:val="af-ZA"/>
        </w:rPr>
        <w:t>79)</w:t>
      </w:r>
      <w:r w:rsidR="004C779A" w:rsidRPr="00EF7399">
        <w:rPr>
          <w:rFonts w:ascii="Times New Roman" w:hAnsi="Times New Roman" w:cs="Times New Roman"/>
          <w:lang w:val="af-ZA"/>
        </w:rPr>
        <w:t>:</w:t>
      </w:r>
    </w:p>
    <w:p w14:paraId="5CD8DD06" w14:textId="4776E44D" w:rsidR="00666246" w:rsidRPr="00EF7399" w:rsidRDefault="00A83DAB" w:rsidP="00A83DAB">
      <w:pPr>
        <w:pStyle w:val="ECHRHeading4"/>
        <w:numPr>
          <w:ilvl w:val="0"/>
          <w:numId w:val="0"/>
        </w:numPr>
        <w:rPr>
          <w:rFonts w:ascii="Times New Roman" w:eastAsiaTheme="minorHAnsi" w:hAnsi="Times New Roman" w:cs="Times New Roman"/>
          <w:color w:val="auto"/>
          <w:sz w:val="22"/>
          <w:lang w:val="af-ZA"/>
        </w:rPr>
      </w:pPr>
      <w:bookmarkStart w:id="86" w:name="_Toc159945245"/>
      <w:r>
        <w:rPr>
          <w:rFonts w:ascii="Times New Roman" w:hAnsi="Times New Roman" w:cs="Times New Roman"/>
          <w:lang w:val="hy-AM"/>
        </w:rPr>
        <w:t xml:space="preserve">բ․ </w:t>
      </w:r>
      <w:r w:rsidR="00AC42DF" w:rsidRPr="00EF7399">
        <w:rPr>
          <w:rFonts w:ascii="Times New Roman" w:hAnsi="Times New Roman" w:cs="Times New Roman"/>
          <w:lang w:val="af-ZA"/>
        </w:rPr>
        <w:t>Միջամտության խստությունը և համաչափության պահանջը</w:t>
      </w:r>
      <w:bookmarkEnd w:id="86"/>
    </w:p>
    <w:p w14:paraId="06A407AC" w14:textId="3336C454" w:rsidR="00666246" w:rsidRPr="00EF7399" w:rsidRDefault="00666246" w:rsidP="00666246">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161</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AC42DF" w:rsidRPr="00EF7399">
        <w:rPr>
          <w:rFonts w:ascii="Times New Roman" w:hAnsi="Times New Roman" w:cs="Times New Roman"/>
          <w:lang w:val="af-ZA"/>
        </w:rPr>
        <w:t>Հնարավոր չէ վերացական դիտարկել միջամտության աստիճանը</w:t>
      </w:r>
      <w:r w:rsidR="00200146" w:rsidRPr="00EF7399">
        <w:rPr>
          <w:rFonts w:ascii="Times New Roman" w:hAnsi="Times New Roman" w:cs="Times New Roman"/>
          <w:lang w:val="hy-AM"/>
        </w:rPr>
        <w:t>,</w:t>
      </w:r>
      <w:r w:rsidR="00AC42DF" w:rsidRPr="00EF7399">
        <w:rPr>
          <w:rFonts w:ascii="Times New Roman" w:hAnsi="Times New Roman" w:cs="Times New Roman"/>
          <w:lang w:val="af-ZA"/>
        </w:rPr>
        <w:t xml:space="preserve"> և այն պետք է գնահատվի գործի</w:t>
      </w:r>
      <w:r w:rsidR="00200146" w:rsidRPr="00EF7399">
        <w:rPr>
          <w:rFonts w:ascii="Times New Roman" w:hAnsi="Times New Roman" w:cs="Times New Roman"/>
          <w:lang w:val="hy-AM"/>
        </w:rPr>
        <w:t xml:space="preserve"> կոնկրետ</w:t>
      </w:r>
      <w:r w:rsidR="00AC42DF" w:rsidRPr="00EF7399">
        <w:rPr>
          <w:rFonts w:ascii="Times New Roman" w:hAnsi="Times New Roman" w:cs="Times New Roman"/>
          <w:lang w:val="af-ZA"/>
        </w:rPr>
        <w:t xml:space="preserve"> համատեքստում:</w:t>
      </w:r>
    </w:p>
    <w:p w14:paraId="5DC718D1" w14:textId="5F37A83D" w:rsidR="00D872C1" w:rsidRPr="00EF7399" w:rsidRDefault="00D872C1" w:rsidP="00666246">
      <w:pPr>
        <w:pStyle w:val="ECHRParaSpaced"/>
        <w:rPr>
          <w:rFonts w:ascii="Times New Roman" w:hAnsi="Times New Roman" w:cs="Times New Roman"/>
          <w:iCs/>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162</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AC42DF" w:rsidRPr="00EF7399">
        <w:rPr>
          <w:rFonts w:ascii="Times New Roman" w:hAnsi="Times New Roman" w:cs="Times New Roman"/>
          <w:lang w:val="af-ZA"/>
        </w:rPr>
        <w:t xml:space="preserve"> Միավորման ազատության իրավունքին, որի նպատակներից է կարծիքների պաշտպան</w:t>
      </w:r>
      <w:r w:rsidR="001118F9" w:rsidRPr="00EF7399">
        <w:rPr>
          <w:rFonts w:ascii="Times New Roman" w:hAnsi="Times New Roman" w:cs="Times New Roman"/>
          <w:lang w:val="af-ZA"/>
        </w:rPr>
        <w:t>ությունը</w:t>
      </w:r>
      <w:r w:rsidR="00AC42DF" w:rsidRPr="00EF7399">
        <w:rPr>
          <w:rFonts w:ascii="Times New Roman" w:hAnsi="Times New Roman" w:cs="Times New Roman"/>
          <w:lang w:val="af-ZA"/>
        </w:rPr>
        <w:t xml:space="preserve"> և դրանց արտահայտման ազատությունը</w:t>
      </w:r>
      <w:r w:rsidR="001118F9" w:rsidRPr="00EF7399">
        <w:rPr>
          <w:rFonts w:ascii="Times New Roman" w:hAnsi="Times New Roman" w:cs="Times New Roman"/>
          <w:lang w:val="af-ZA"/>
        </w:rPr>
        <w:t>, հատկապես, երբ խնդրո առարկա են քաղաքական կուսակցությունները,</w:t>
      </w:r>
      <w:r w:rsidR="00AC42DF" w:rsidRPr="00EF7399">
        <w:rPr>
          <w:rFonts w:ascii="Times New Roman" w:hAnsi="Times New Roman" w:cs="Times New Roman"/>
          <w:lang w:val="af-ZA"/>
        </w:rPr>
        <w:t xml:space="preserve"> միջամտ</w:t>
      </w:r>
      <w:r w:rsidR="00274CA9" w:rsidRPr="00EF7399">
        <w:rPr>
          <w:rFonts w:ascii="Times New Roman" w:hAnsi="Times New Roman" w:cs="Times New Roman"/>
          <w:lang w:val="hy-AM"/>
        </w:rPr>
        <w:t>ության</w:t>
      </w:r>
      <w:r w:rsidR="00AC42DF" w:rsidRPr="00EF7399">
        <w:rPr>
          <w:rFonts w:ascii="Times New Roman" w:hAnsi="Times New Roman" w:cs="Times New Roman"/>
          <w:lang w:val="af-ZA"/>
        </w:rPr>
        <w:t xml:space="preserve"> ամենալուրջ ձևերից է</w:t>
      </w:r>
      <w:r w:rsidR="001118F9" w:rsidRPr="00EF7399">
        <w:rPr>
          <w:rFonts w:ascii="Times New Roman" w:hAnsi="Times New Roman" w:cs="Times New Roman"/>
          <w:lang w:val="af-ZA"/>
        </w:rPr>
        <w:t xml:space="preserve"> </w:t>
      </w:r>
      <w:r w:rsidR="001118F9" w:rsidRPr="00EF7399">
        <w:rPr>
          <w:rFonts w:ascii="Times New Roman" w:hAnsi="Times New Roman" w:cs="Times New Roman"/>
          <w:i/>
          <w:iCs/>
          <w:lang w:val="af-ZA"/>
        </w:rPr>
        <w:t>քր</w:t>
      </w:r>
      <w:r w:rsidR="00AC42DF" w:rsidRPr="00EF7399">
        <w:rPr>
          <w:rFonts w:ascii="Times New Roman" w:hAnsi="Times New Roman" w:cs="Times New Roman"/>
          <w:i/>
          <w:iCs/>
          <w:lang w:val="af-ZA"/>
        </w:rPr>
        <w:t xml:space="preserve">եական </w:t>
      </w:r>
      <w:r w:rsidR="00274CA9" w:rsidRPr="00EF7399">
        <w:rPr>
          <w:rFonts w:ascii="Times New Roman" w:hAnsi="Times New Roman" w:cs="Times New Roman"/>
          <w:i/>
          <w:iCs/>
          <w:lang w:val="hy-AM"/>
        </w:rPr>
        <w:t>դատապարտումը</w:t>
      </w:r>
      <w:r w:rsidR="00274CA9"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388" w:history="1">
        <w:r w:rsidRPr="00EF7399">
          <w:rPr>
            <w:rStyle w:val="Hyperlink"/>
            <w:rFonts w:ascii="Times New Roman" w:hAnsi="Times New Roman" w:cs="Times New Roman"/>
            <w:lang w:val="af-ZA"/>
          </w:rPr>
          <w:t>Yordanovi</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Bulgaria</w:t>
        </w:r>
      </w:hyperlink>
      <w:r w:rsidR="00C46086" w:rsidRPr="00EF7399">
        <w:rPr>
          <w:rFonts w:ascii="Times New Roman" w:hAnsi="Times New Roman" w:cs="Times New Roman"/>
          <w:iCs/>
          <w:lang w:val="af-ZA"/>
        </w:rPr>
        <w:t xml:space="preserve">, 2020, </w:t>
      </w:r>
      <w:r w:rsidR="00873234" w:rsidRPr="00EF7399">
        <w:rPr>
          <w:rFonts w:ascii="Times New Roman" w:hAnsi="Times New Roman" w:cs="Times New Roman"/>
          <w:iCs/>
          <w:lang w:val="af-ZA"/>
        </w:rPr>
        <w:t>§ </w:t>
      </w:r>
      <w:r w:rsidRPr="00EF7399">
        <w:rPr>
          <w:rFonts w:ascii="Times New Roman" w:hAnsi="Times New Roman" w:cs="Times New Roman"/>
          <w:iCs/>
          <w:lang w:val="af-ZA"/>
        </w:rPr>
        <w:t xml:space="preserve">75, </w:t>
      </w:r>
      <w:r w:rsidR="001118F9" w:rsidRPr="00EF7399">
        <w:rPr>
          <w:rFonts w:ascii="Times New Roman" w:hAnsi="Times New Roman" w:cs="Times New Roman"/>
          <w:iCs/>
          <w:lang w:val="af-ZA"/>
        </w:rPr>
        <w:t xml:space="preserve">որտեղ Դատարանը գտավ, որ </w:t>
      </w:r>
      <w:r w:rsidR="002360ED" w:rsidRPr="00EF7399">
        <w:rPr>
          <w:rFonts w:ascii="Times New Roman" w:hAnsi="Times New Roman" w:cs="Times New Roman"/>
          <w:iCs/>
          <w:lang w:val="af-ZA"/>
        </w:rPr>
        <w:t>կրոնական հիմքերով քաղաքական կուսակցություն հիմնելու փորձի համար</w:t>
      </w:r>
      <w:r w:rsidR="001118F9" w:rsidRPr="00EF7399">
        <w:rPr>
          <w:rFonts w:ascii="Times New Roman" w:hAnsi="Times New Roman" w:cs="Times New Roman"/>
          <w:iCs/>
          <w:lang w:val="af-ZA"/>
        </w:rPr>
        <w:t xml:space="preserve"> </w:t>
      </w:r>
      <w:r w:rsidR="002360ED" w:rsidRPr="00EF7399">
        <w:rPr>
          <w:rFonts w:ascii="Times New Roman" w:hAnsi="Times New Roman" w:cs="Times New Roman"/>
          <w:iCs/>
          <w:lang w:val="af-ZA"/>
        </w:rPr>
        <w:t xml:space="preserve">գանգատաբերի դեմ քրեական վարույթ նախաձեռնելու </w:t>
      </w:r>
      <w:r w:rsidR="001118F9" w:rsidRPr="00EF7399">
        <w:rPr>
          <w:rFonts w:ascii="Times New Roman" w:hAnsi="Times New Roman" w:cs="Times New Roman"/>
          <w:iCs/>
          <w:lang w:val="af-ZA"/>
        </w:rPr>
        <w:t>անհրաժեշտ</w:t>
      </w:r>
      <w:r w:rsidR="002360ED" w:rsidRPr="00EF7399">
        <w:rPr>
          <w:rFonts w:ascii="Times New Roman" w:hAnsi="Times New Roman" w:cs="Times New Roman"/>
          <w:iCs/>
          <w:lang w:val="af-ZA"/>
        </w:rPr>
        <w:t>ություն</w:t>
      </w:r>
      <w:r w:rsidR="001118F9" w:rsidRPr="00EF7399">
        <w:rPr>
          <w:rFonts w:ascii="Times New Roman" w:hAnsi="Times New Roman" w:cs="Times New Roman"/>
          <w:iCs/>
          <w:lang w:val="af-ZA"/>
        </w:rPr>
        <w:t xml:space="preserve"> չկար</w:t>
      </w:r>
      <w:r w:rsidRPr="00EF7399">
        <w:rPr>
          <w:rFonts w:ascii="Times New Roman" w:hAnsi="Times New Roman" w:cs="Times New Roman"/>
          <w:iCs/>
          <w:lang w:val="af-ZA"/>
        </w:rPr>
        <w:t>)</w:t>
      </w:r>
      <w:r w:rsidR="002360ED" w:rsidRPr="00EF7399">
        <w:rPr>
          <w:rFonts w:ascii="Times New Roman" w:hAnsi="Times New Roman" w:cs="Times New Roman"/>
          <w:iCs/>
          <w:lang w:val="af-ZA"/>
        </w:rPr>
        <w:t>:</w:t>
      </w:r>
    </w:p>
    <w:p w14:paraId="3A0FE0C5" w14:textId="10705DEB" w:rsidR="00666246" w:rsidRPr="00EF7399" w:rsidRDefault="00666246" w:rsidP="00666246">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163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081DAD" w:rsidRPr="00EF7399">
        <w:rPr>
          <w:rFonts w:ascii="Times New Roman" w:hAnsi="Times New Roman" w:cs="Times New Roman"/>
          <w:lang w:val="af-ZA"/>
        </w:rPr>
        <w:t xml:space="preserve">Թեև պետություններն իրավասու են պահանջել պաշտոնական գրանցման </w:t>
      </w:r>
      <w:r w:rsidR="00274CA9" w:rsidRPr="00EF7399">
        <w:rPr>
          <w:rFonts w:ascii="Times New Roman" w:hAnsi="Times New Roman" w:cs="Times New Roman"/>
          <w:lang w:val="hy-AM"/>
        </w:rPr>
        <w:t xml:space="preserve">համար </w:t>
      </w:r>
      <w:r w:rsidR="00081DAD" w:rsidRPr="00EF7399">
        <w:rPr>
          <w:rFonts w:ascii="Times New Roman" w:hAnsi="Times New Roman" w:cs="Times New Roman"/>
          <w:lang w:val="af-ZA"/>
        </w:rPr>
        <w:t xml:space="preserve">դիմող կազմակերպություններից </w:t>
      </w:r>
      <w:r w:rsidR="003120FF" w:rsidRPr="00EF7399">
        <w:rPr>
          <w:rFonts w:ascii="Times New Roman" w:hAnsi="Times New Roman" w:cs="Times New Roman"/>
          <w:lang w:val="af-ZA"/>
        </w:rPr>
        <w:t>համապատասխանություն</w:t>
      </w:r>
      <w:r w:rsidR="00081DAD" w:rsidRPr="00EF7399">
        <w:rPr>
          <w:rFonts w:ascii="Times New Roman" w:hAnsi="Times New Roman" w:cs="Times New Roman"/>
          <w:lang w:val="af-ZA"/>
        </w:rPr>
        <w:t xml:space="preserve"> </w:t>
      </w:r>
      <w:r w:rsidR="00274CA9" w:rsidRPr="00EF7399">
        <w:rPr>
          <w:rFonts w:ascii="Times New Roman" w:hAnsi="Times New Roman" w:cs="Times New Roman"/>
          <w:lang w:val="hy-AM"/>
        </w:rPr>
        <w:t>ձևական-իրավական</w:t>
      </w:r>
      <w:r w:rsidR="00081DAD" w:rsidRPr="00EF7399">
        <w:rPr>
          <w:rFonts w:ascii="Times New Roman" w:hAnsi="Times New Roman" w:cs="Times New Roman"/>
          <w:lang w:val="af-ZA"/>
        </w:rPr>
        <w:t xml:space="preserve"> </w:t>
      </w:r>
      <w:r w:rsidR="00274CA9" w:rsidRPr="00EF7399">
        <w:rPr>
          <w:rFonts w:ascii="Times New Roman" w:hAnsi="Times New Roman" w:cs="Times New Roman"/>
          <w:lang w:val="af-ZA"/>
        </w:rPr>
        <w:t>ողջամիտ</w:t>
      </w:r>
      <w:r w:rsidR="00274CA9" w:rsidRPr="00EF7399">
        <w:rPr>
          <w:rFonts w:ascii="Times New Roman" w:hAnsi="Times New Roman" w:cs="Times New Roman"/>
          <w:lang w:val="hy-AM"/>
        </w:rPr>
        <w:t xml:space="preserve"> </w:t>
      </w:r>
      <w:r w:rsidR="003120FF" w:rsidRPr="00EF7399">
        <w:rPr>
          <w:rFonts w:ascii="Times New Roman" w:hAnsi="Times New Roman" w:cs="Times New Roman"/>
          <w:lang w:val="af-ZA"/>
        </w:rPr>
        <w:t>պա</w:t>
      </w:r>
      <w:r w:rsidR="00274CA9" w:rsidRPr="00EF7399">
        <w:rPr>
          <w:rFonts w:ascii="Times New Roman" w:hAnsi="Times New Roman" w:cs="Times New Roman"/>
          <w:lang w:val="hy-AM"/>
        </w:rPr>
        <w:t>յմաններին</w:t>
      </w:r>
      <w:r w:rsidR="00081DAD" w:rsidRPr="00EF7399">
        <w:rPr>
          <w:rFonts w:ascii="Times New Roman" w:hAnsi="Times New Roman" w:cs="Times New Roman"/>
          <w:lang w:val="af-ZA"/>
        </w:rPr>
        <w:t xml:space="preserve">, նման պահանջը պետք է միշտ </w:t>
      </w:r>
      <w:r w:rsidR="005C2582" w:rsidRPr="00EF7399">
        <w:rPr>
          <w:rFonts w:ascii="Times New Roman" w:hAnsi="Times New Roman" w:cs="Times New Roman"/>
          <w:lang w:val="af-ZA"/>
        </w:rPr>
        <w:t>բավարարի</w:t>
      </w:r>
      <w:r w:rsidR="00081DAD" w:rsidRPr="00EF7399">
        <w:rPr>
          <w:rFonts w:ascii="Times New Roman" w:hAnsi="Times New Roman" w:cs="Times New Roman"/>
          <w:lang w:val="af-ZA"/>
        </w:rPr>
        <w:t xml:space="preserve"> համաչափության պայման</w:t>
      </w:r>
      <w:r w:rsidR="005C2582" w:rsidRPr="00EF7399">
        <w:rPr>
          <w:rFonts w:ascii="Times New Roman" w:hAnsi="Times New Roman" w:cs="Times New Roman"/>
          <w:lang w:val="af-ZA"/>
        </w:rPr>
        <w:t>ը</w:t>
      </w:r>
      <w:r w:rsidR="00081DAD"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389" w:history="1">
        <w:r w:rsidR="00A302DC" w:rsidRPr="00EF7399">
          <w:rPr>
            <w:rStyle w:val="Hyperlink"/>
            <w:rFonts w:ascii="Times New Roman" w:hAnsi="Times New Roman" w:cs="Times New Roman"/>
            <w:lang w:val="af-ZA"/>
          </w:rPr>
          <w:t>The United Macedonian Organisation Ilinden and Others</w:t>
        </w:r>
        <w:r w:rsidR="00873234" w:rsidRPr="00EF7399">
          <w:rPr>
            <w:rStyle w:val="Hyperlink"/>
            <w:rFonts w:ascii="Times New Roman" w:hAnsi="Times New Roman" w:cs="Times New Roman"/>
            <w:lang w:val="af-ZA"/>
          </w:rPr>
          <w:t xml:space="preserve"> v. </w:t>
        </w:r>
        <w:r w:rsidR="00A302DC" w:rsidRPr="00EF7399">
          <w:rPr>
            <w:rStyle w:val="Hyperlink"/>
            <w:rFonts w:ascii="Times New Roman" w:hAnsi="Times New Roman" w:cs="Times New Roman"/>
            <w:lang w:val="af-ZA"/>
          </w:rPr>
          <w:t>Bulgaria (no. 2)</w:t>
        </w:r>
      </w:hyperlink>
      <w:r w:rsidRPr="00EF7399">
        <w:rPr>
          <w:rFonts w:ascii="Times New Roman" w:hAnsi="Times New Roman" w:cs="Times New Roman"/>
          <w:lang w:val="af-ZA"/>
        </w:rPr>
        <w:t xml:space="preserve">, </w:t>
      </w:r>
      <w:r w:rsidR="001821E6" w:rsidRPr="00EF7399">
        <w:rPr>
          <w:rFonts w:ascii="Times New Roman" w:hAnsi="Times New Roman" w:cs="Times New Roman"/>
          <w:lang w:val="af-ZA"/>
        </w:rPr>
        <w:t xml:space="preserve">2011, </w:t>
      </w:r>
      <w:r w:rsidR="00873234" w:rsidRPr="00EF7399">
        <w:rPr>
          <w:rFonts w:ascii="Times New Roman" w:hAnsi="Times New Roman" w:cs="Times New Roman"/>
          <w:lang w:val="af-ZA"/>
        </w:rPr>
        <w:t>§ </w:t>
      </w:r>
      <w:r w:rsidRPr="00EF7399">
        <w:rPr>
          <w:rFonts w:ascii="Times New Roman" w:hAnsi="Times New Roman" w:cs="Times New Roman"/>
          <w:lang w:val="af-ZA"/>
        </w:rPr>
        <w:t>40)</w:t>
      </w:r>
      <w:r w:rsidR="00081DAD" w:rsidRPr="00EF7399">
        <w:rPr>
          <w:rFonts w:ascii="Times New Roman" w:hAnsi="Times New Roman" w:cs="Times New Roman"/>
          <w:lang w:val="af-ZA"/>
        </w:rPr>
        <w:t>:</w:t>
      </w:r>
    </w:p>
    <w:p w14:paraId="0E2EAD0D" w14:textId="0B152B95" w:rsidR="00666246" w:rsidRPr="00EF7399" w:rsidRDefault="00666246" w:rsidP="00666246">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164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B11AEC" w:rsidRPr="00EF7399">
        <w:rPr>
          <w:rFonts w:ascii="Times New Roman" w:hAnsi="Times New Roman" w:cs="Times New Roman"/>
          <w:i/>
          <w:iCs/>
          <w:lang w:val="af-ZA"/>
        </w:rPr>
        <w:t>Միավորումը գրանցելու մերժումն</w:t>
      </w:r>
      <w:r w:rsidR="00B11AEC" w:rsidRPr="00EF7399">
        <w:rPr>
          <w:rFonts w:ascii="Times New Roman" w:hAnsi="Times New Roman" w:cs="Times New Roman"/>
          <w:lang w:val="af-ZA"/>
        </w:rPr>
        <w:t xml:space="preserve"> արմատական միջոց է, քանի որ թույլ չի տալիս միավորմանը նույնիսկ սկսել գործունեություն</w:t>
      </w:r>
      <w:r w:rsidR="00274CA9" w:rsidRPr="00EF7399">
        <w:rPr>
          <w:rFonts w:ascii="Times New Roman" w:hAnsi="Times New Roman" w:cs="Times New Roman"/>
          <w:lang w:val="hy-AM"/>
        </w:rPr>
        <w:t>ը</w:t>
      </w:r>
      <w:r w:rsidR="00B11AEC"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390" w:history="1">
        <w:r w:rsidRPr="00EF7399">
          <w:rPr>
            <w:rStyle w:val="Hyperlink"/>
            <w:rFonts w:ascii="Times New Roman" w:hAnsi="Times New Roman" w:cs="Times New Roman"/>
            <w:lang w:val="af-ZA"/>
          </w:rPr>
          <w:t>Zhechev</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Bulgaria</w:t>
        </w:r>
      </w:hyperlink>
      <w:r w:rsidRPr="00EF7399">
        <w:rPr>
          <w:rFonts w:ascii="Times New Roman" w:hAnsi="Times New Roman" w:cs="Times New Roman"/>
          <w:lang w:val="af-ZA"/>
        </w:rPr>
        <w:t xml:space="preserve">, </w:t>
      </w:r>
      <w:r w:rsidR="00983154" w:rsidRPr="00EF7399">
        <w:rPr>
          <w:rFonts w:ascii="Times New Roman" w:hAnsi="Times New Roman" w:cs="Times New Roman"/>
          <w:lang w:val="af-ZA"/>
        </w:rPr>
        <w:t xml:space="preserve">2007,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58; </w:t>
      </w:r>
      <w:hyperlink r:id="rId391" w:history="1">
        <w:r w:rsidR="003F7A5C" w:rsidRPr="00EF7399">
          <w:rPr>
            <w:rStyle w:val="Hyperlink"/>
            <w:rFonts w:ascii="Times New Roman" w:hAnsi="Times New Roman" w:cs="Times New Roman"/>
            <w:lang w:val="af-ZA"/>
          </w:rPr>
          <w:t>The United Macedonian Organisation Ilinden and Others</w:t>
        </w:r>
        <w:r w:rsidR="00873234" w:rsidRPr="00EF7399">
          <w:rPr>
            <w:rStyle w:val="Hyperlink"/>
            <w:rFonts w:ascii="Times New Roman" w:hAnsi="Times New Roman" w:cs="Times New Roman"/>
            <w:lang w:val="af-ZA"/>
          </w:rPr>
          <w:t xml:space="preserve"> v. </w:t>
        </w:r>
        <w:r w:rsidR="003F7A5C" w:rsidRPr="00EF7399">
          <w:rPr>
            <w:rStyle w:val="Hyperlink"/>
            <w:rFonts w:ascii="Times New Roman" w:hAnsi="Times New Roman" w:cs="Times New Roman"/>
            <w:lang w:val="af-ZA"/>
          </w:rPr>
          <w:t>Bulgaria</w:t>
        </w:r>
      </w:hyperlink>
      <w:r w:rsidRPr="00EF7399">
        <w:rPr>
          <w:rFonts w:ascii="Times New Roman" w:hAnsi="Times New Roman" w:cs="Times New Roman"/>
          <w:lang w:val="af-ZA"/>
        </w:rPr>
        <w:t xml:space="preserve">, </w:t>
      </w:r>
      <w:r w:rsidR="001821E6" w:rsidRPr="00EF7399">
        <w:rPr>
          <w:rFonts w:ascii="Times New Roman" w:hAnsi="Times New Roman" w:cs="Times New Roman"/>
          <w:lang w:val="af-ZA"/>
        </w:rPr>
        <w:t xml:space="preserve">2006,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80; </w:t>
      </w:r>
      <w:hyperlink r:id="rId392" w:history="1">
        <w:r w:rsidRPr="00EF7399">
          <w:rPr>
            <w:rStyle w:val="Hyperlink"/>
            <w:rFonts w:ascii="Times New Roman" w:hAnsi="Times New Roman" w:cs="Times New Roman"/>
            <w:lang w:val="af-ZA"/>
          </w:rPr>
          <w:t>Bozgan</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Romania</w:t>
        </w:r>
      </w:hyperlink>
      <w:r w:rsidRPr="00EF7399">
        <w:rPr>
          <w:rFonts w:ascii="Times New Roman" w:hAnsi="Times New Roman" w:cs="Times New Roman"/>
          <w:lang w:val="af-ZA"/>
        </w:rPr>
        <w:t xml:space="preserve">, </w:t>
      </w:r>
      <w:r w:rsidR="006C6C81" w:rsidRPr="00EF7399">
        <w:rPr>
          <w:rFonts w:ascii="Times New Roman" w:hAnsi="Times New Roman" w:cs="Times New Roman"/>
          <w:lang w:val="af-ZA"/>
        </w:rPr>
        <w:t>2007</w:t>
      </w:r>
      <w:r w:rsidR="00B04B2E" w:rsidRPr="00EF7399">
        <w:rPr>
          <w:rFonts w:ascii="Times New Roman" w:hAnsi="Times New Roman" w:cs="Times New Roman"/>
          <w:lang w:val="af-ZA"/>
        </w:rPr>
        <w:t xml:space="preserve">, </w:t>
      </w:r>
      <w:r w:rsidR="00873234" w:rsidRPr="00EF7399">
        <w:rPr>
          <w:rFonts w:ascii="Times New Roman" w:hAnsi="Times New Roman" w:cs="Times New Roman"/>
          <w:lang w:val="af-ZA"/>
        </w:rPr>
        <w:t>§ </w:t>
      </w:r>
      <w:r w:rsidR="00B04B2E" w:rsidRPr="00EF7399">
        <w:rPr>
          <w:rFonts w:ascii="Times New Roman" w:hAnsi="Times New Roman" w:cs="Times New Roman"/>
          <w:lang w:val="af-ZA"/>
        </w:rPr>
        <w:t>27)</w:t>
      </w:r>
      <w:r w:rsidR="00B11AEC" w:rsidRPr="00EF7399">
        <w:rPr>
          <w:rFonts w:ascii="Times New Roman" w:hAnsi="Times New Roman" w:cs="Times New Roman"/>
          <w:lang w:val="af-ZA"/>
        </w:rPr>
        <w:t>:</w:t>
      </w:r>
    </w:p>
    <w:p w14:paraId="2FB18A24" w14:textId="57B20353" w:rsidR="00666246" w:rsidRPr="00EF7399" w:rsidRDefault="00666246" w:rsidP="00666246">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165</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B11AEC" w:rsidRPr="00EF7399">
        <w:rPr>
          <w:rFonts w:ascii="Times New Roman" w:hAnsi="Times New Roman" w:cs="Times New Roman"/>
          <w:lang w:val="af-ZA"/>
        </w:rPr>
        <w:t xml:space="preserve">Միավորման` գրանցման համար նորից դիմելու հնարավորությունը գործոն է, որը կարող է </w:t>
      </w:r>
      <w:r w:rsidR="00274CA9" w:rsidRPr="00EF7399">
        <w:rPr>
          <w:rFonts w:ascii="Times New Roman" w:hAnsi="Times New Roman" w:cs="Times New Roman"/>
          <w:lang w:val="hy-AM"/>
        </w:rPr>
        <w:t>հաշվի</w:t>
      </w:r>
      <w:r w:rsidR="00274CA9" w:rsidRPr="00EF7399">
        <w:rPr>
          <w:rFonts w:ascii="Times New Roman" w:hAnsi="Times New Roman" w:cs="Times New Roman"/>
          <w:lang w:val="af-ZA"/>
        </w:rPr>
        <w:t xml:space="preserve"> </w:t>
      </w:r>
      <w:r w:rsidR="00B11AEC" w:rsidRPr="00EF7399">
        <w:rPr>
          <w:rFonts w:ascii="Times New Roman" w:hAnsi="Times New Roman" w:cs="Times New Roman"/>
          <w:lang w:val="af-ZA"/>
        </w:rPr>
        <w:t xml:space="preserve">առնվել միջամտության համաչափությունը գնահատելիս </w:t>
      </w:r>
      <w:r w:rsidRPr="00EF7399">
        <w:rPr>
          <w:rFonts w:ascii="Times New Roman" w:hAnsi="Times New Roman" w:cs="Times New Roman"/>
          <w:lang w:val="af-ZA"/>
        </w:rPr>
        <w:t>(</w:t>
      </w:r>
      <w:hyperlink r:id="rId393" w:history="1">
        <w:r w:rsidR="00A302DC" w:rsidRPr="00EF7399">
          <w:rPr>
            <w:rStyle w:val="Hyperlink"/>
            <w:rFonts w:ascii="Times New Roman" w:hAnsi="Times New Roman" w:cs="Times New Roman"/>
            <w:lang w:val="af-ZA"/>
          </w:rPr>
          <w:t>The United Macedonian Organisation Ilinden and Others</w:t>
        </w:r>
        <w:r w:rsidR="00873234" w:rsidRPr="00EF7399">
          <w:rPr>
            <w:rStyle w:val="Hyperlink"/>
            <w:rFonts w:ascii="Times New Roman" w:hAnsi="Times New Roman" w:cs="Times New Roman"/>
            <w:lang w:val="af-ZA"/>
          </w:rPr>
          <w:t xml:space="preserve"> v. </w:t>
        </w:r>
        <w:r w:rsidR="00A302DC" w:rsidRPr="00EF7399">
          <w:rPr>
            <w:rStyle w:val="Hyperlink"/>
            <w:rFonts w:ascii="Times New Roman" w:hAnsi="Times New Roman" w:cs="Times New Roman"/>
            <w:lang w:val="af-ZA"/>
          </w:rPr>
          <w:t>Bulgaria (no. 2)</w:t>
        </w:r>
      </w:hyperlink>
      <w:r w:rsidRPr="00EF7399">
        <w:rPr>
          <w:rFonts w:ascii="Times New Roman" w:hAnsi="Times New Roman" w:cs="Times New Roman"/>
          <w:i/>
          <w:lang w:val="af-ZA"/>
        </w:rPr>
        <w:t>,</w:t>
      </w:r>
      <w:r w:rsidRPr="00EF7399">
        <w:rPr>
          <w:rFonts w:ascii="Times New Roman" w:hAnsi="Times New Roman" w:cs="Times New Roman"/>
          <w:lang w:val="af-ZA"/>
        </w:rPr>
        <w:t xml:space="preserve"> </w:t>
      </w:r>
      <w:r w:rsidR="001821E6" w:rsidRPr="00EF7399">
        <w:rPr>
          <w:rFonts w:ascii="Times New Roman" w:hAnsi="Times New Roman" w:cs="Times New Roman"/>
          <w:lang w:val="af-ZA"/>
        </w:rPr>
        <w:t xml:space="preserve">2011, </w:t>
      </w:r>
      <w:r w:rsidR="00873234" w:rsidRPr="00EF7399">
        <w:rPr>
          <w:rFonts w:ascii="Times New Roman" w:hAnsi="Times New Roman" w:cs="Times New Roman"/>
          <w:lang w:val="af-ZA"/>
        </w:rPr>
        <w:t>§ </w:t>
      </w:r>
      <w:r w:rsidRPr="00EF7399">
        <w:rPr>
          <w:rFonts w:ascii="Times New Roman" w:hAnsi="Times New Roman" w:cs="Times New Roman"/>
          <w:lang w:val="af-ZA"/>
        </w:rPr>
        <w:t>30)</w:t>
      </w:r>
      <w:r w:rsidR="00B11AEC" w:rsidRPr="00EF7399">
        <w:rPr>
          <w:rFonts w:ascii="Times New Roman" w:hAnsi="Times New Roman" w:cs="Times New Roman"/>
          <w:lang w:val="af-ZA"/>
        </w:rPr>
        <w:t>:</w:t>
      </w:r>
    </w:p>
    <w:p w14:paraId="490D4651" w14:textId="6F3D0E1B" w:rsidR="00666246" w:rsidRPr="00EF7399" w:rsidRDefault="00666246" w:rsidP="00666246">
      <w:pPr>
        <w:pStyle w:val="ECHRParaSpaced"/>
        <w:rPr>
          <w:rFonts w:ascii="Times New Roman" w:hAnsi="Times New Roman" w:cs="Times New Roman"/>
          <w:lang w:val="af-ZA"/>
        </w:rPr>
      </w:pPr>
      <w:r w:rsidRPr="00EF7399">
        <w:rPr>
          <w:rFonts w:ascii="Times New Roman" w:hAnsi="Times New Roman" w:cs="Times New Roman"/>
          <w:lang w:val="af-ZA"/>
        </w:rPr>
        <w:lastRenderedPageBreak/>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166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B11AEC" w:rsidRPr="00EF7399">
        <w:rPr>
          <w:rFonts w:ascii="Times New Roman" w:hAnsi="Times New Roman" w:cs="Times New Roman"/>
          <w:lang w:val="af-ZA"/>
        </w:rPr>
        <w:t>Միավորման գրանցման մերժումը</w:t>
      </w:r>
      <w:r w:rsidR="00702C0C" w:rsidRPr="00EF7399">
        <w:rPr>
          <w:rFonts w:ascii="Times New Roman" w:hAnsi="Times New Roman" w:cs="Times New Roman"/>
          <w:lang w:val="hy-AM"/>
        </w:rPr>
        <w:t>՝</w:t>
      </w:r>
      <w:r w:rsidR="00B11AEC" w:rsidRPr="00EF7399">
        <w:rPr>
          <w:rFonts w:ascii="Times New Roman" w:hAnsi="Times New Roman" w:cs="Times New Roman"/>
          <w:lang w:val="af-ZA"/>
        </w:rPr>
        <w:t xml:space="preserve"> դրա անվանման մոլորեցնող կամ վարկաբեկող լինելու հիմքով</w:t>
      </w:r>
      <w:r w:rsidR="00702C0C" w:rsidRPr="00EF7399">
        <w:rPr>
          <w:rFonts w:ascii="Times New Roman" w:hAnsi="Times New Roman" w:cs="Times New Roman"/>
          <w:lang w:val="hy-AM"/>
        </w:rPr>
        <w:t>, չի պարունակում</w:t>
      </w:r>
      <w:r w:rsidR="00B11AEC" w:rsidRPr="00EF7399">
        <w:rPr>
          <w:rFonts w:ascii="Times New Roman" w:hAnsi="Times New Roman" w:cs="Times New Roman"/>
          <w:lang w:val="af-ZA"/>
        </w:rPr>
        <w:t xml:space="preserve"> առանձնակի լուրջ միջամտություն, քանի որ գանգատաբերների</w:t>
      </w:r>
      <w:r w:rsidR="005C2582" w:rsidRPr="00EF7399">
        <w:rPr>
          <w:rFonts w:ascii="Times New Roman" w:hAnsi="Times New Roman" w:cs="Times New Roman"/>
          <w:lang w:val="af-ZA"/>
        </w:rPr>
        <w:t>ց</w:t>
      </w:r>
      <w:r w:rsidR="00B11AEC" w:rsidRPr="00EF7399">
        <w:rPr>
          <w:rFonts w:ascii="Times New Roman" w:hAnsi="Times New Roman" w:cs="Times New Roman"/>
          <w:lang w:val="af-ZA"/>
        </w:rPr>
        <w:t xml:space="preserve"> առաջարկվող անվան</w:t>
      </w:r>
      <w:r w:rsidR="005C2582" w:rsidRPr="00EF7399">
        <w:rPr>
          <w:rFonts w:ascii="Times New Roman" w:hAnsi="Times New Roman" w:cs="Times New Roman"/>
          <w:lang w:val="af-ZA"/>
        </w:rPr>
        <w:t>ման</w:t>
      </w:r>
      <w:r w:rsidR="00B11AEC" w:rsidRPr="00EF7399">
        <w:rPr>
          <w:rFonts w:ascii="Times New Roman" w:hAnsi="Times New Roman" w:cs="Times New Roman"/>
          <w:lang w:val="af-ZA"/>
        </w:rPr>
        <w:t xml:space="preserve"> փո</w:t>
      </w:r>
      <w:r w:rsidR="005C2582" w:rsidRPr="00EF7399">
        <w:rPr>
          <w:rFonts w:ascii="Times New Roman" w:hAnsi="Times New Roman" w:cs="Times New Roman"/>
          <w:lang w:val="af-ZA"/>
        </w:rPr>
        <w:t>փոխություն</w:t>
      </w:r>
      <w:r w:rsidR="00B11AEC" w:rsidRPr="00EF7399">
        <w:rPr>
          <w:rFonts w:ascii="Times New Roman" w:hAnsi="Times New Roman" w:cs="Times New Roman"/>
          <w:lang w:val="af-ZA"/>
        </w:rPr>
        <w:t xml:space="preserve"> պահանջ</w:t>
      </w:r>
      <w:r w:rsidR="005C2582" w:rsidRPr="00EF7399">
        <w:rPr>
          <w:rFonts w:ascii="Times New Roman" w:hAnsi="Times New Roman" w:cs="Times New Roman"/>
          <w:lang w:val="af-ZA"/>
        </w:rPr>
        <w:t>ելն</w:t>
      </w:r>
      <w:r w:rsidR="00B11AEC" w:rsidRPr="00EF7399">
        <w:rPr>
          <w:rFonts w:ascii="Times New Roman" w:hAnsi="Times New Roman" w:cs="Times New Roman"/>
          <w:lang w:val="af-ZA"/>
        </w:rPr>
        <w:t xml:space="preserve"> անհամաչափ չէ </w:t>
      </w:r>
      <w:r w:rsidRPr="00EF7399">
        <w:rPr>
          <w:rFonts w:ascii="Times New Roman" w:hAnsi="Times New Roman" w:cs="Times New Roman"/>
          <w:lang w:val="af-ZA"/>
        </w:rPr>
        <w:t>(</w:t>
      </w:r>
      <w:hyperlink r:id="rId394" w:history="1">
        <w:r w:rsidRPr="00EF7399">
          <w:rPr>
            <w:rStyle w:val="Hyperlink"/>
            <w:rFonts w:ascii="Times New Roman" w:hAnsi="Times New Roman" w:cs="Times New Roman"/>
            <w:lang w:val="af-ZA"/>
          </w:rPr>
          <w:t>APEH Üldözötteinek Szövetsége, Iványi, Róth and Szerdahelyi</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Hungary</w:t>
        </w:r>
      </w:hyperlink>
      <w:r w:rsidRPr="00EF7399">
        <w:rPr>
          <w:rFonts w:ascii="Times New Roman" w:hAnsi="Times New Roman" w:cs="Times New Roman"/>
          <w:lang w:val="af-ZA"/>
        </w:rPr>
        <w:t xml:space="preserve"> (dec.)</w:t>
      </w:r>
      <w:r w:rsidR="006C6C81" w:rsidRPr="00EF7399">
        <w:rPr>
          <w:rFonts w:ascii="Times New Roman" w:hAnsi="Times New Roman" w:cs="Times New Roman"/>
          <w:lang w:val="af-ZA"/>
        </w:rPr>
        <w:t>, 1999</w:t>
      </w:r>
      <w:r w:rsidRPr="00EF7399">
        <w:rPr>
          <w:rFonts w:ascii="Times New Roman" w:hAnsi="Times New Roman" w:cs="Times New Roman"/>
          <w:lang w:val="af-ZA"/>
        </w:rPr>
        <w:t xml:space="preserve">; </w:t>
      </w:r>
      <w:hyperlink r:id="rId395" w:history="1">
        <w:r w:rsidRPr="00EF7399">
          <w:rPr>
            <w:rStyle w:val="Hyperlink"/>
            <w:rFonts w:ascii="Times New Roman" w:hAnsi="Times New Roman" w:cs="Times New Roman"/>
            <w:lang w:val="af-ZA"/>
          </w:rPr>
          <w:t>W.P.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Poland</w:t>
        </w:r>
      </w:hyperlink>
      <w:r w:rsidRPr="00EF7399">
        <w:rPr>
          <w:rFonts w:ascii="Times New Roman" w:hAnsi="Times New Roman" w:cs="Times New Roman"/>
          <w:lang w:val="af-ZA"/>
        </w:rPr>
        <w:t xml:space="preserve"> (dec.)</w:t>
      </w:r>
      <w:r w:rsidR="007A38BA" w:rsidRPr="00EF7399">
        <w:rPr>
          <w:rFonts w:ascii="Times New Roman" w:hAnsi="Times New Roman" w:cs="Times New Roman"/>
          <w:lang w:val="af-ZA"/>
        </w:rPr>
        <w:t>, 2004</w:t>
      </w:r>
      <w:r w:rsidRPr="00EF7399">
        <w:rPr>
          <w:rFonts w:ascii="Times New Roman" w:hAnsi="Times New Roman" w:cs="Times New Roman"/>
          <w:lang w:val="af-ZA"/>
        </w:rPr>
        <w:t>)</w:t>
      </w:r>
      <w:r w:rsidR="005C2582" w:rsidRPr="00EF7399">
        <w:rPr>
          <w:rFonts w:ascii="Times New Roman" w:hAnsi="Times New Roman" w:cs="Times New Roman"/>
          <w:lang w:val="af-ZA"/>
        </w:rPr>
        <w:t>:</w:t>
      </w:r>
    </w:p>
    <w:p w14:paraId="5417C5FE" w14:textId="43AFAB45" w:rsidR="00274064" w:rsidRPr="00EF7399" w:rsidRDefault="00666246" w:rsidP="00666246">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167</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5C2582" w:rsidRPr="00EF7399">
        <w:rPr>
          <w:rFonts w:ascii="Times New Roman" w:hAnsi="Times New Roman" w:cs="Times New Roman"/>
          <w:lang w:val="af-ZA"/>
        </w:rPr>
        <w:t xml:space="preserve">Պետություններն իրավունք ունեն համոզվելու, որ միավորման նպատակն ու գործունեությունը համապատասխանում են օրենսդրությամբ սահմանված պահանջներին </w:t>
      </w:r>
      <w:r w:rsidRPr="00EF7399">
        <w:rPr>
          <w:rFonts w:ascii="Times New Roman" w:hAnsi="Times New Roman" w:cs="Times New Roman"/>
          <w:lang w:val="af-ZA"/>
        </w:rPr>
        <w:t>(</w:t>
      </w:r>
      <w:hyperlink r:id="rId396" w:history="1">
        <w:r w:rsidRPr="00EF7399">
          <w:rPr>
            <w:rStyle w:val="Hyperlink"/>
            <w:rFonts w:ascii="Times New Roman" w:hAnsi="Times New Roman" w:cs="Times New Roman"/>
            <w:lang w:val="af-ZA"/>
          </w:rPr>
          <w:t>Sidiropoulos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Greece</w:t>
        </w:r>
      </w:hyperlink>
      <w:r w:rsidRPr="00EF7399">
        <w:rPr>
          <w:rFonts w:ascii="Times New Roman" w:hAnsi="Times New Roman" w:cs="Times New Roman"/>
          <w:lang w:val="af-ZA"/>
        </w:rPr>
        <w:t xml:space="preserve">, </w:t>
      </w:r>
      <w:r w:rsidR="007A38BA" w:rsidRPr="00EF7399">
        <w:rPr>
          <w:rFonts w:ascii="Times New Roman" w:hAnsi="Times New Roman" w:cs="Times New Roman"/>
          <w:lang w:val="af-ZA"/>
        </w:rPr>
        <w:t xml:space="preserve">1998,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40; </w:t>
      </w:r>
      <w:hyperlink r:id="rId397" w:history="1">
        <w:r w:rsidRPr="00EF7399">
          <w:rPr>
            <w:rStyle w:val="Hyperlink"/>
            <w:rFonts w:ascii="Times New Roman" w:hAnsi="Times New Roman" w:cs="Times New Roman"/>
            <w:lang w:val="af-ZA"/>
          </w:rPr>
          <w:t>Moscow Branch of the Salvation Army</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Russia</w:t>
        </w:r>
      </w:hyperlink>
      <w:r w:rsidRPr="00EF7399">
        <w:rPr>
          <w:rFonts w:ascii="Times New Roman" w:hAnsi="Times New Roman" w:cs="Times New Roman"/>
          <w:lang w:val="af-ZA"/>
        </w:rPr>
        <w:t xml:space="preserve">, </w:t>
      </w:r>
      <w:r w:rsidR="007A38BA" w:rsidRPr="00EF7399">
        <w:rPr>
          <w:rFonts w:ascii="Times New Roman" w:hAnsi="Times New Roman" w:cs="Times New Roman"/>
          <w:lang w:val="af-ZA"/>
        </w:rPr>
        <w:t xml:space="preserve">2006, </w:t>
      </w:r>
      <w:r w:rsidR="00873234" w:rsidRPr="00EF7399">
        <w:rPr>
          <w:rFonts w:ascii="Times New Roman" w:hAnsi="Times New Roman" w:cs="Times New Roman"/>
          <w:lang w:val="af-ZA"/>
        </w:rPr>
        <w:t>§ </w:t>
      </w:r>
      <w:r w:rsidRPr="00EF7399">
        <w:rPr>
          <w:rFonts w:ascii="Times New Roman" w:hAnsi="Times New Roman" w:cs="Times New Roman"/>
          <w:lang w:val="af-ZA"/>
        </w:rPr>
        <w:t>59)</w:t>
      </w:r>
      <w:r w:rsidR="005C2582" w:rsidRPr="00EF7399">
        <w:rPr>
          <w:rFonts w:ascii="Times New Roman" w:hAnsi="Times New Roman" w:cs="Times New Roman"/>
          <w:lang w:val="af-ZA"/>
        </w:rPr>
        <w:t>: Եթե միավորումը չի ապահովում համապատասխանություն</w:t>
      </w:r>
      <w:r w:rsidR="004744CB" w:rsidRPr="00EF7399">
        <w:rPr>
          <w:rFonts w:ascii="Times New Roman" w:hAnsi="Times New Roman" w:cs="Times New Roman"/>
          <w:lang w:val="af-ZA"/>
        </w:rPr>
        <w:t xml:space="preserve">ն </w:t>
      </w:r>
      <w:r w:rsidR="00F53BAB" w:rsidRPr="00EF7399">
        <w:rPr>
          <w:rFonts w:ascii="Times New Roman" w:hAnsi="Times New Roman" w:cs="Times New Roman"/>
          <w:lang w:val="hy-AM"/>
        </w:rPr>
        <w:t>ձևական-իրավական</w:t>
      </w:r>
      <w:r w:rsidR="00F53BAB" w:rsidRPr="00EF7399">
        <w:rPr>
          <w:rFonts w:ascii="Times New Roman" w:hAnsi="Times New Roman" w:cs="Times New Roman"/>
          <w:lang w:val="af-ZA"/>
        </w:rPr>
        <w:t xml:space="preserve"> ողջամիտ</w:t>
      </w:r>
      <w:r w:rsidR="00F53BAB" w:rsidRPr="00EF7399">
        <w:rPr>
          <w:rFonts w:ascii="Times New Roman" w:hAnsi="Times New Roman" w:cs="Times New Roman"/>
          <w:lang w:val="hy-AM"/>
        </w:rPr>
        <w:t xml:space="preserve"> </w:t>
      </w:r>
      <w:r w:rsidR="00F53BAB" w:rsidRPr="00EF7399">
        <w:rPr>
          <w:rFonts w:ascii="Times New Roman" w:hAnsi="Times New Roman" w:cs="Times New Roman"/>
          <w:lang w:val="af-ZA"/>
        </w:rPr>
        <w:t>պա</w:t>
      </w:r>
      <w:r w:rsidR="00F53BAB" w:rsidRPr="00EF7399">
        <w:rPr>
          <w:rFonts w:ascii="Times New Roman" w:hAnsi="Times New Roman" w:cs="Times New Roman"/>
          <w:lang w:val="hy-AM"/>
        </w:rPr>
        <w:t>յմաններին</w:t>
      </w:r>
      <w:r w:rsidR="005C2582" w:rsidRPr="00EF7399">
        <w:rPr>
          <w:rFonts w:ascii="Times New Roman" w:hAnsi="Times New Roman" w:cs="Times New Roman"/>
          <w:lang w:val="af-ZA"/>
        </w:rPr>
        <w:t xml:space="preserve">, որոնք առնչվում են դրա ստեղծմանը, գործունեությանը կամ </w:t>
      </w:r>
      <w:r w:rsidR="004744CB" w:rsidRPr="00EF7399">
        <w:rPr>
          <w:rFonts w:ascii="Times New Roman" w:hAnsi="Times New Roman" w:cs="Times New Roman"/>
          <w:lang w:val="af-ZA"/>
        </w:rPr>
        <w:t>նե</w:t>
      </w:r>
      <w:r w:rsidR="005C2582" w:rsidRPr="00EF7399">
        <w:rPr>
          <w:rFonts w:ascii="Times New Roman" w:hAnsi="Times New Roman" w:cs="Times New Roman"/>
          <w:lang w:val="af-ZA"/>
        </w:rPr>
        <w:t>րքին կազմակերպչական կառուցվածքին, պետությունների հայեցողությ</w:t>
      </w:r>
      <w:r w:rsidR="00F53BAB" w:rsidRPr="00EF7399">
        <w:rPr>
          <w:rFonts w:ascii="Times New Roman" w:hAnsi="Times New Roman" w:cs="Times New Roman"/>
          <w:lang w:val="hy-AM"/>
        </w:rPr>
        <w:t>ա</w:t>
      </w:r>
      <w:r w:rsidR="005C2582" w:rsidRPr="00EF7399">
        <w:rPr>
          <w:rFonts w:ascii="Times New Roman" w:hAnsi="Times New Roman" w:cs="Times New Roman"/>
          <w:lang w:val="af-ZA"/>
        </w:rPr>
        <w:t>ն</w:t>
      </w:r>
      <w:r w:rsidR="00F53BAB" w:rsidRPr="00EF7399">
        <w:rPr>
          <w:rFonts w:ascii="Times New Roman" w:hAnsi="Times New Roman" w:cs="Times New Roman"/>
          <w:lang w:val="hy-AM"/>
        </w:rPr>
        <w:t xml:space="preserve"> շրջանակը</w:t>
      </w:r>
      <w:r w:rsidR="005C2582" w:rsidRPr="00EF7399">
        <w:rPr>
          <w:rFonts w:ascii="Times New Roman" w:hAnsi="Times New Roman" w:cs="Times New Roman"/>
          <w:lang w:val="af-ZA"/>
        </w:rPr>
        <w:t xml:space="preserve"> կարող է </w:t>
      </w:r>
      <w:r w:rsidR="00F53BAB" w:rsidRPr="00EF7399">
        <w:rPr>
          <w:rFonts w:ascii="Times New Roman" w:hAnsi="Times New Roman" w:cs="Times New Roman"/>
          <w:lang w:val="hy-AM"/>
        </w:rPr>
        <w:t>ներառել</w:t>
      </w:r>
      <w:r w:rsidR="00F53BAB" w:rsidRPr="00EF7399">
        <w:rPr>
          <w:rFonts w:ascii="Times New Roman" w:hAnsi="Times New Roman" w:cs="Times New Roman"/>
          <w:lang w:val="af-ZA"/>
        </w:rPr>
        <w:t xml:space="preserve"> </w:t>
      </w:r>
      <w:r w:rsidR="005C2582" w:rsidRPr="00EF7399">
        <w:rPr>
          <w:rFonts w:ascii="Times New Roman" w:hAnsi="Times New Roman" w:cs="Times New Roman"/>
          <w:lang w:val="af-ZA"/>
        </w:rPr>
        <w:t>միավորման ազատությանը միջամտելու իրավունք, որը պետք է բավարարի համաչափության պայմանը</w:t>
      </w:r>
      <w:r w:rsidR="003120FF"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398" w:history="1">
        <w:r w:rsidRPr="00EF7399">
          <w:rPr>
            <w:rStyle w:val="Hyperlink"/>
            <w:rFonts w:ascii="Times New Roman" w:hAnsi="Times New Roman" w:cs="Times New Roman"/>
            <w:lang w:val="af-ZA"/>
          </w:rPr>
          <w:t>Tebieti Mühafize Cemiyyeti and Israfilov</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Azerbaijan</w:t>
        </w:r>
      </w:hyperlink>
      <w:r w:rsidRPr="00EF7399">
        <w:rPr>
          <w:rFonts w:ascii="Times New Roman" w:hAnsi="Times New Roman" w:cs="Times New Roman"/>
          <w:lang w:val="af-ZA"/>
        </w:rPr>
        <w:t xml:space="preserve">, </w:t>
      </w:r>
      <w:r w:rsidR="001821E6" w:rsidRPr="00EF7399">
        <w:rPr>
          <w:rFonts w:ascii="Times New Roman" w:hAnsi="Times New Roman" w:cs="Times New Roman"/>
          <w:lang w:val="af-ZA"/>
        </w:rPr>
        <w:t xml:space="preserve">2009, </w:t>
      </w:r>
      <w:r w:rsidR="00873234" w:rsidRPr="00EF7399">
        <w:rPr>
          <w:rFonts w:ascii="Times New Roman" w:hAnsi="Times New Roman" w:cs="Times New Roman"/>
          <w:lang w:val="af-ZA"/>
        </w:rPr>
        <w:t>§ </w:t>
      </w:r>
      <w:r w:rsidRPr="00EF7399">
        <w:rPr>
          <w:rFonts w:ascii="Times New Roman" w:hAnsi="Times New Roman" w:cs="Times New Roman"/>
          <w:lang w:val="af-ZA"/>
        </w:rPr>
        <w:t>72</w:t>
      </w:r>
      <w:r w:rsidR="00C22AFC" w:rsidRPr="00EF7399">
        <w:rPr>
          <w:rFonts w:ascii="Times New Roman" w:hAnsi="Times New Roman" w:cs="Times New Roman"/>
          <w:lang w:val="af-ZA"/>
        </w:rPr>
        <w:t xml:space="preserve">; </w:t>
      </w:r>
      <w:hyperlink r:id="rId399" w:history="1">
        <w:r w:rsidR="00C22AFC" w:rsidRPr="00EF7399">
          <w:rPr>
            <w:rStyle w:val="Hyperlink"/>
            <w:rFonts w:ascii="Times New Roman" w:hAnsi="Times New Roman" w:cs="Times New Roman"/>
            <w:lang w:val="af-ZA"/>
          </w:rPr>
          <w:t>Savenko and Others</w:t>
        </w:r>
        <w:r w:rsidR="00873234" w:rsidRPr="00EF7399">
          <w:rPr>
            <w:rStyle w:val="Hyperlink"/>
            <w:rFonts w:ascii="Times New Roman" w:hAnsi="Times New Roman" w:cs="Times New Roman"/>
            <w:lang w:val="af-ZA"/>
          </w:rPr>
          <w:t xml:space="preserve"> v. </w:t>
        </w:r>
        <w:r w:rsidR="00C22AFC" w:rsidRPr="00EF7399">
          <w:rPr>
            <w:rStyle w:val="Hyperlink"/>
            <w:rFonts w:ascii="Times New Roman" w:hAnsi="Times New Roman" w:cs="Times New Roman"/>
            <w:lang w:val="af-ZA"/>
          </w:rPr>
          <w:t>Russia</w:t>
        </w:r>
      </w:hyperlink>
      <w:r w:rsidR="00C22AFC" w:rsidRPr="00EF7399">
        <w:rPr>
          <w:rFonts w:ascii="Times New Roman" w:hAnsi="Times New Roman" w:cs="Times New Roman"/>
          <w:lang w:val="af-ZA"/>
        </w:rPr>
        <w:t>, 2021, §</w:t>
      </w:r>
      <w:r w:rsidR="00873234" w:rsidRPr="00EF7399">
        <w:rPr>
          <w:rFonts w:ascii="Times New Roman" w:hAnsi="Times New Roman" w:cs="Times New Roman"/>
          <w:lang w:val="af-ZA"/>
        </w:rPr>
        <w:t>§ </w:t>
      </w:r>
      <w:r w:rsidR="00C22AFC" w:rsidRPr="00EF7399">
        <w:rPr>
          <w:rFonts w:ascii="Times New Roman" w:hAnsi="Times New Roman" w:cs="Times New Roman"/>
          <w:lang w:val="af-ZA"/>
        </w:rPr>
        <w:t>68-69</w:t>
      </w:r>
      <w:r w:rsidR="00E759F9" w:rsidRPr="00EF7399">
        <w:rPr>
          <w:rFonts w:ascii="Times New Roman" w:hAnsi="Times New Roman" w:cs="Times New Roman"/>
          <w:lang w:val="af-ZA"/>
        </w:rPr>
        <w:t xml:space="preserve">; </w:t>
      </w:r>
      <w:hyperlink r:id="rId400" w:history="1">
        <w:r w:rsidR="00E759F9" w:rsidRPr="00EF7399">
          <w:rPr>
            <w:rStyle w:val="Hyperlink"/>
            <w:rFonts w:ascii="Times New Roman" w:hAnsi="Times New Roman" w:cs="Times New Roman"/>
            <w:lang w:val="af-ZA"/>
          </w:rPr>
          <w:t>Yeşiller ve Sol Gelecek Partisi</w:t>
        </w:r>
        <w:r w:rsidR="00873234" w:rsidRPr="00EF7399">
          <w:rPr>
            <w:rStyle w:val="Hyperlink"/>
            <w:rFonts w:ascii="Times New Roman" w:hAnsi="Times New Roman" w:cs="Times New Roman"/>
            <w:lang w:val="af-ZA"/>
          </w:rPr>
          <w:t xml:space="preserve"> v. </w:t>
        </w:r>
        <w:r w:rsidR="00E759F9" w:rsidRPr="00EF7399">
          <w:rPr>
            <w:rStyle w:val="Hyperlink"/>
            <w:rFonts w:ascii="Times New Roman" w:hAnsi="Times New Roman" w:cs="Times New Roman"/>
            <w:lang w:val="af-ZA"/>
          </w:rPr>
          <w:t>Turkey</w:t>
        </w:r>
      </w:hyperlink>
      <w:r w:rsidR="00E759F9" w:rsidRPr="00EF7399">
        <w:rPr>
          <w:rFonts w:ascii="Times New Roman" w:hAnsi="Times New Roman" w:cs="Times New Roman"/>
          <w:lang w:val="af-ZA"/>
        </w:rPr>
        <w:t xml:space="preserve">, 2022, </w:t>
      </w:r>
      <w:r w:rsidR="00873234" w:rsidRPr="00EF7399">
        <w:rPr>
          <w:rFonts w:ascii="Times New Roman" w:hAnsi="Times New Roman" w:cs="Times New Roman"/>
          <w:lang w:val="af-ZA"/>
        </w:rPr>
        <w:t>§ </w:t>
      </w:r>
      <w:r w:rsidR="00E759F9" w:rsidRPr="00EF7399">
        <w:rPr>
          <w:rFonts w:ascii="Times New Roman" w:hAnsi="Times New Roman" w:cs="Times New Roman"/>
          <w:lang w:val="af-ZA"/>
        </w:rPr>
        <w:t xml:space="preserve">49, </w:t>
      </w:r>
      <w:r w:rsidR="003120FF" w:rsidRPr="00EF7399">
        <w:rPr>
          <w:rFonts w:ascii="Times New Roman" w:hAnsi="Times New Roman" w:cs="Times New Roman"/>
          <w:lang w:val="af-ZA"/>
        </w:rPr>
        <w:t xml:space="preserve">որտեղ Դատարանը </w:t>
      </w:r>
      <w:r w:rsidR="00CC146A" w:rsidRPr="00EF7399">
        <w:rPr>
          <w:rFonts w:ascii="Times New Roman" w:hAnsi="Times New Roman" w:cs="Times New Roman"/>
          <w:lang w:val="af-ZA"/>
        </w:rPr>
        <w:t>չ</w:t>
      </w:r>
      <w:r w:rsidR="003120FF" w:rsidRPr="00EF7399">
        <w:rPr>
          <w:rFonts w:ascii="Times New Roman" w:hAnsi="Times New Roman" w:cs="Times New Roman"/>
          <w:lang w:val="af-ZA"/>
        </w:rPr>
        <w:t>գտավ</w:t>
      </w:r>
      <w:r w:rsidR="00CC146A" w:rsidRPr="00EF7399">
        <w:rPr>
          <w:rFonts w:ascii="Times New Roman" w:hAnsi="Times New Roman" w:cs="Times New Roman"/>
          <w:lang w:val="af-ZA"/>
        </w:rPr>
        <w:t xml:space="preserve"> կամայականություն բավարար թվով տեղական մասնաճյուղեր չունենալու հիմքով զանազան քաղաքներում տեղական համաժողովներ անցկացնելու</w:t>
      </w:r>
      <w:r w:rsidR="00F53BAB" w:rsidRPr="00EF7399">
        <w:rPr>
          <w:rFonts w:ascii="Times New Roman" w:hAnsi="Times New Roman" w:cs="Times New Roman"/>
          <w:lang w:val="hy-AM"/>
        </w:rPr>
        <w:t>՝</w:t>
      </w:r>
      <w:r w:rsidR="00CC146A" w:rsidRPr="00EF7399">
        <w:rPr>
          <w:rFonts w:ascii="Times New Roman" w:hAnsi="Times New Roman" w:cs="Times New Roman"/>
          <w:lang w:val="af-ZA"/>
        </w:rPr>
        <w:t xml:space="preserve"> գանգատաբեր կուսակցության թույլտվության հայտը մերժելու մեջ, քանի որ մերժումը չէր </w:t>
      </w:r>
      <w:r w:rsidR="006200BD" w:rsidRPr="00EF7399">
        <w:rPr>
          <w:rFonts w:ascii="Times New Roman" w:hAnsi="Times New Roman" w:cs="Times New Roman"/>
          <w:lang w:val="af-ZA"/>
        </w:rPr>
        <w:t>խանգա</w:t>
      </w:r>
      <w:r w:rsidR="00B15DC9" w:rsidRPr="00EF7399">
        <w:rPr>
          <w:rFonts w:ascii="Times New Roman" w:hAnsi="Times New Roman" w:cs="Times New Roman"/>
          <w:lang w:val="af-ZA"/>
        </w:rPr>
        <w:t>ր</w:t>
      </w:r>
      <w:r w:rsidR="006200BD" w:rsidRPr="00EF7399">
        <w:rPr>
          <w:rFonts w:ascii="Times New Roman" w:hAnsi="Times New Roman" w:cs="Times New Roman"/>
          <w:lang w:val="af-ZA"/>
        </w:rPr>
        <w:t>ում</w:t>
      </w:r>
      <w:r w:rsidR="00CC146A" w:rsidRPr="00EF7399">
        <w:rPr>
          <w:rFonts w:ascii="Times New Roman" w:hAnsi="Times New Roman" w:cs="Times New Roman"/>
          <w:lang w:val="af-ZA"/>
        </w:rPr>
        <w:t xml:space="preserve"> կուսակցության</w:t>
      </w:r>
      <w:r w:rsidR="006200BD" w:rsidRPr="00EF7399">
        <w:rPr>
          <w:rFonts w:ascii="Times New Roman" w:hAnsi="Times New Roman" w:cs="Times New Roman"/>
          <w:lang w:val="af-ZA"/>
        </w:rPr>
        <w:t>ն օգտվել միավորման գործունեությունն իրականացնելու իր ազատությունից</w:t>
      </w:r>
      <w:r w:rsidR="004A0D8B" w:rsidRPr="00EF7399">
        <w:rPr>
          <w:rFonts w:ascii="Times New Roman" w:hAnsi="Times New Roman" w:cs="Times New Roman"/>
          <w:lang w:val="af-ZA"/>
        </w:rPr>
        <w:t>)</w:t>
      </w:r>
      <w:r w:rsidR="006200BD" w:rsidRPr="00EF7399">
        <w:rPr>
          <w:rFonts w:ascii="Times New Roman" w:hAnsi="Times New Roman" w:cs="Times New Roman"/>
          <w:lang w:val="af-ZA"/>
        </w:rPr>
        <w:t>:</w:t>
      </w:r>
    </w:p>
    <w:p w14:paraId="0C934D34" w14:textId="30ED546A" w:rsidR="00666246" w:rsidRPr="00EF7399" w:rsidRDefault="00666246" w:rsidP="00666246">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168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6200BD" w:rsidRPr="00EF7399">
        <w:rPr>
          <w:rFonts w:ascii="Times New Roman" w:hAnsi="Times New Roman" w:cs="Times New Roman"/>
          <w:lang w:val="af-ZA"/>
        </w:rPr>
        <w:t>Թեև պետություններն իրավասու են սահմանել միավորման ղեկավար մարմինների դերի և կառուցվածքի որոշակի նվազագույն պահանջներ, իշխանություններ</w:t>
      </w:r>
      <w:r w:rsidR="00913836" w:rsidRPr="00EF7399">
        <w:rPr>
          <w:rFonts w:ascii="Times New Roman" w:hAnsi="Times New Roman" w:cs="Times New Roman"/>
          <w:lang w:val="af-ZA"/>
        </w:rPr>
        <w:t>ը</w:t>
      </w:r>
      <w:r w:rsidR="006200BD" w:rsidRPr="00EF7399">
        <w:rPr>
          <w:rFonts w:ascii="Times New Roman" w:hAnsi="Times New Roman" w:cs="Times New Roman"/>
          <w:lang w:val="af-ZA"/>
        </w:rPr>
        <w:t xml:space="preserve"> </w:t>
      </w:r>
      <w:r w:rsidR="00913836" w:rsidRPr="00EF7399">
        <w:rPr>
          <w:rFonts w:ascii="Times New Roman" w:hAnsi="Times New Roman" w:cs="Times New Roman"/>
          <w:lang w:val="af-ZA"/>
        </w:rPr>
        <w:t xml:space="preserve">չպետք է </w:t>
      </w:r>
      <w:r w:rsidR="006200BD" w:rsidRPr="00EF7399">
        <w:rPr>
          <w:rFonts w:ascii="Times New Roman" w:hAnsi="Times New Roman" w:cs="Times New Roman"/>
          <w:lang w:val="af-ZA"/>
        </w:rPr>
        <w:t>միջամ</w:t>
      </w:r>
      <w:r w:rsidR="00913836" w:rsidRPr="00EF7399">
        <w:rPr>
          <w:rFonts w:ascii="Times New Roman" w:hAnsi="Times New Roman" w:cs="Times New Roman"/>
          <w:lang w:val="af-ZA"/>
        </w:rPr>
        <w:t>տեն</w:t>
      </w:r>
      <w:r w:rsidR="006200BD" w:rsidRPr="00EF7399">
        <w:rPr>
          <w:rFonts w:ascii="Times New Roman" w:hAnsi="Times New Roman" w:cs="Times New Roman"/>
          <w:lang w:val="af-ZA"/>
        </w:rPr>
        <w:t xml:space="preserve"> </w:t>
      </w:r>
      <w:r w:rsidR="006200BD" w:rsidRPr="00EF7399">
        <w:rPr>
          <w:rFonts w:ascii="Times New Roman" w:hAnsi="Times New Roman" w:cs="Times New Roman"/>
          <w:i/>
          <w:iCs/>
          <w:lang w:val="af-ZA"/>
        </w:rPr>
        <w:t>միավորումների ներքին կազմակերպական</w:t>
      </w:r>
      <w:r w:rsidR="00913836" w:rsidRPr="00EF7399">
        <w:rPr>
          <w:rFonts w:ascii="Times New Roman" w:hAnsi="Times New Roman" w:cs="Times New Roman"/>
          <w:i/>
          <w:iCs/>
          <w:lang w:val="af-ZA"/>
        </w:rPr>
        <w:t xml:space="preserve"> գործերին </w:t>
      </w:r>
      <w:r w:rsidR="00913836" w:rsidRPr="00EF7399">
        <w:rPr>
          <w:rFonts w:ascii="Times New Roman" w:hAnsi="Times New Roman" w:cs="Times New Roman"/>
          <w:lang w:val="af-ZA"/>
        </w:rPr>
        <w:t xml:space="preserve">այն չափով, որ ապահովեն </w:t>
      </w:r>
      <w:r w:rsidR="006200BD" w:rsidRPr="00EF7399">
        <w:rPr>
          <w:rFonts w:ascii="Times New Roman" w:hAnsi="Times New Roman" w:cs="Times New Roman"/>
          <w:lang w:val="af-ZA"/>
        </w:rPr>
        <w:t xml:space="preserve">միավորման կանոնադրության մեջ սահմանված յուրաքանչյուր </w:t>
      </w:r>
      <w:r w:rsidR="00F53BAB" w:rsidRPr="00EF7399">
        <w:rPr>
          <w:rFonts w:ascii="Times New Roman" w:hAnsi="Times New Roman" w:cs="Times New Roman"/>
          <w:lang w:val="hy-AM"/>
        </w:rPr>
        <w:t>ձևականության</w:t>
      </w:r>
      <w:r w:rsidR="00F53BAB" w:rsidRPr="00EF7399">
        <w:rPr>
          <w:rFonts w:ascii="Times New Roman" w:hAnsi="Times New Roman" w:cs="Times New Roman"/>
          <w:lang w:val="af-ZA"/>
        </w:rPr>
        <w:t xml:space="preserve"> </w:t>
      </w:r>
      <w:r w:rsidR="006200BD" w:rsidRPr="00EF7399">
        <w:rPr>
          <w:rFonts w:ascii="Times New Roman" w:hAnsi="Times New Roman" w:cs="Times New Roman"/>
          <w:lang w:val="af-ZA"/>
        </w:rPr>
        <w:t xml:space="preserve">պահպանումը </w:t>
      </w:r>
      <w:r w:rsidRPr="00EF7399">
        <w:rPr>
          <w:rFonts w:ascii="Times New Roman" w:hAnsi="Times New Roman" w:cs="Times New Roman"/>
          <w:lang w:val="af-ZA"/>
        </w:rPr>
        <w:t>(</w:t>
      </w:r>
      <w:hyperlink r:id="rId401" w:history="1">
        <w:r w:rsidR="006C6C81" w:rsidRPr="00EF7399">
          <w:rPr>
            <w:rStyle w:val="Hyperlink"/>
            <w:rFonts w:ascii="Times New Roman" w:hAnsi="Times New Roman" w:cs="Times New Roman"/>
            <w:lang w:val="af-ZA"/>
          </w:rPr>
          <w:t>Tebieti Mühafize Cemiyyeti and Israfilov</w:t>
        </w:r>
        <w:r w:rsidR="00873234" w:rsidRPr="00EF7399">
          <w:rPr>
            <w:rStyle w:val="Hyperlink"/>
            <w:rFonts w:ascii="Times New Roman" w:hAnsi="Times New Roman" w:cs="Times New Roman"/>
            <w:lang w:val="af-ZA"/>
          </w:rPr>
          <w:t xml:space="preserve"> v. </w:t>
        </w:r>
        <w:r w:rsidR="006C6C81" w:rsidRPr="00EF7399">
          <w:rPr>
            <w:rStyle w:val="Hyperlink"/>
            <w:rFonts w:ascii="Times New Roman" w:hAnsi="Times New Roman" w:cs="Times New Roman"/>
            <w:lang w:val="af-ZA"/>
          </w:rPr>
          <w:t>Azerbaijan</w:t>
        </w:r>
      </w:hyperlink>
      <w:r w:rsidRPr="00EF7399">
        <w:rPr>
          <w:rFonts w:ascii="Times New Roman" w:hAnsi="Times New Roman" w:cs="Times New Roman"/>
          <w:lang w:val="af-ZA"/>
        </w:rPr>
        <w:t xml:space="preserve">, </w:t>
      </w:r>
      <w:r w:rsidR="006C6C81" w:rsidRPr="00EF7399">
        <w:rPr>
          <w:rFonts w:ascii="Times New Roman" w:hAnsi="Times New Roman" w:cs="Times New Roman"/>
          <w:lang w:val="af-ZA"/>
        </w:rPr>
        <w:t xml:space="preserve">2009, </w:t>
      </w:r>
      <w:r w:rsidR="00873234" w:rsidRPr="00EF7399">
        <w:rPr>
          <w:rFonts w:ascii="Times New Roman" w:hAnsi="Times New Roman" w:cs="Times New Roman"/>
          <w:lang w:val="af-ZA"/>
        </w:rPr>
        <w:t>§ </w:t>
      </w:r>
      <w:r w:rsidRPr="00EF7399">
        <w:rPr>
          <w:rFonts w:ascii="Times New Roman" w:hAnsi="Times New Roman" w:cs="Times New Roman"/>
          <w:lang w:val="af-ZA"/>
        </w:rPr>
        <w:t>78)</w:t>
      </w:r>
      <w:r w:rsidR="006200BD" w:rsidRPr="00EF7399">
        <w:rPr>
          <w:rFonts w:ascii="Times New Roman" w:hAnsi="Times New Roman" w:cs="Times New Roman"/>
          <w:lang w:val="af-ZA"/>
        </w:rPr>
        <w:t>:</w:t>
      </w:r>
    </w:p>
    <w:p w14:paraId="0A058036" w14:textId="3C7206A6" w:rsidR="00666246" w:rsidRPr="001B2612" w:rsidRDefault="00666246" w:rsidP="00666246">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169</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913836" w:rsidRPr="00EF7399">
        <w:rPr>
          <w:rFonts w:ascii="Times New Roman" w:hAnsi="Times New Roman" w:cs="Times New Roman"/>
          <w:i/>
          <w:lang w:val="af-ZA"/>
        </w:rPr>
        <w:t>Միավորման լուծարումը</w:t>
      </w:r>
      <w:r w:rsidR="00913836" w:rsidRPr="00EF7399">
        <w:rPr>
          <w:rFonts w:ascii="Times New Roman" w:hAnsi="Times New Roman" w:cs="Times New Roman"/>
          <w:iCs/>
          <w:lang w:val="af-ZA"/>
        </w:rPr>
        <w:t xml:space="preserve"> ծանր հետևանքներ առաջացնող </w:t>
      </w:r>
      <w:r w:rsidR="00913836" w:rsidRPr="00EF7399">
        <w:rPr>
          <w:rFonts w:ascii="Times New Roman" w:hAnsi="Times New Roman" w:cs="Times New Roman"/>
          <w:lang w:val="af-ZA"/>
        </w:rPr>
        <w:t xml:space="preserve">կոշտ միջոց է, որը կարող է կիրառվել միայն ամենալուրջ դեպքերում  </w:t>
      </w:r>
      <w:r w:rsidRPr="00EF7399">
        <w:rPr>
          <w:rFonts w:ascii="Times New Roman" w:hAnsi="Times New Roman" w:cs="Times New Roman"/>
          <w:lang w:val="af-ZA"/>
        </w:rPr>
        <w:t>(</w:t>
      </w:r>
      <w:hyperlink r:id="rId402" w:history="1">
        <w:r w:rsidRPr="00EF7399">
          <w:rPr>
            <w:rStyle w:val="Hyperlink"/>
            <w:rFonts w:ascii="Times New Roman" w:hAnsi="Times New Roman" w:cs="Times New Roman"/>
            <w:lang w:val="af-ZA"/>
          </w:rPr>
          <w:t>Association Rhino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Switzerland</w:t>
        </w:r>
      </w:hyperlink>
      <w:r w:rsidR="00A145D5" w:rsidRPr="00EF7399">
        <w:rPr>
          <w:rFonts w:ascii="Times New Roman" w:hAnsi="Times New Roman" w:cs="Times New Roman"/>
          <w:lang w:val="af-ZA"/>
        </w:rPr>
        <w:t xml:space="preserve">, </w:t>
      </w:r>
      <w:r w:rsidR="007A38BA" w:rsidRPr="00EF7399">
        <w:rPr>
          <w:rFonts w:ascii="Times New Roman" w:hAnsi="Times New Roman" w:cs="Times New Roman"/>
          <w:lang w:val="af-ZA"/>
        </w:rPr>
        <w:t xml:space="preserve">2011, </w:t>
      </w:r>
      <w:r w:rsidR="00873234" w:rsidRPr="00EF7399">
        <w:rPr>
          <w:rFonts w:ascii="Times New Roman" w:hAnsi="Times New Roman" w:cs="Times New Roman"/>
          <w:lang w:val="af-ZA"/>
        </w:rPr>
        <w:t>§ </w:t>
      </w:r>
      <w:r w:rsidR="00A145D5" w:rsidRPr="00EF7399">
        <w:rPr>
          <w:rFonts w:ascii="Times New Roman" w:hAnsi="Times New Roman" w:cs="Times New Roman"/>
          <w:lang w:val="af-ZA"/>
        </w:rPr>
        <w:t>62</w:t>
      </w:r>
      <w:r w:rsidRPr="00EF7399">
        <w:rPr>
          <w:rFonts w:ascii="Times New Roman" w:hAnsi="Times New Roman" w:cs="Times New Roman"/>
          <w:lang w:val="af-ZA"/>
        </w:rPr>
        <w:t xml:space="preserve">; </w:t>
      </w:r>
      <w:hyperlink r:id="rId403" w:history="1">
        <w:r w:rsidRPr="00EF7399">
          <w:rPr>
            <w:rStyle w:val="Hyperlink"/>
            <w:rFonts w:ascii="Times New Roman" w:hAnsi="Times New Roman" w:cs="Times New Roman"/>
            <w:lang w:val="af-ZA"/>
          </w:rPr>
          <w:t>Vona</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Hungary</w:t>
        </w:r>
      </w:hyperlink>
      <w:r w:rsidRPr="00EF7399">
        <w:rPr>
          <w:rFonts w:ascii="Times New Roman" w:hAnsi="Times New Roman" w:cs="Times New Roman"/>
          <w:lang w:val="af-ZA"/>
        </w:rPr>
        <w:t xml:space="preserve">, </w:t>
      </w:r>
      <w:r w:rsidR="002762F8" w:rsidRPr="00EF7399">
        <w:rPr>
          <w:rFonts w:ascii="Times New Roman" w:hAnsi="Times New Roman" w:cs="Times New Roman"/>
          <w:lang w:val="af-ZA"/>
        </w:rPr>
        <w:t xml:space="preserve">2013,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58; </w:t>
      </w:r>
      <w:hyperlink r:id="rId404" w:history="1">
        <w:r w:rsidRPr="00EF7399">
          <w:rPr>
            <w:rStyle w:val="Hyperlink"/>
            <w:rFonts w:ascii="Times New Roman" w:hAnsi="Times New Roman" w:cs="Times New Roman"/>
            <w:lang w:val="af-ZA"/>
          </w:rPr>
          <w:t>Les Authentiks and Supras Auteuil 91</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France</w:t>
        </w:r>
      </w:hyperlink>
      <w:r w:rsidRPr="00EF7399">
        <w:rPr>
          <w:rFonts w:ascii="Times New Roman" w:hAnsi="Times New Roman" w:cs="Times New Roman"/>
          <w:lang w:val="af-ZA"/>
        </w:rPr>
        <w:t xml:space="preserve">, </w:t>
      </w:r>
      <w:r w:rsidR="00C46086" w:rsidRPr="00EF7399">
        <w:rPr>
          <w:rFonts w:ascii="Times New Roman" w:hAnsi="Times New Roman" w:cs="Times New Roman"/>
          <w:lang w:val="af-ZA"/>
        </w:rPr>
        <w:t xml:space="preserve">2016, </w:t>
      </w:r>
      <w:r w:rsidR="00873234" w:rsidRPr="00EF7399">
        <w:rPr>
          <w:rFonts w:ascii="Times New Roman" w:hAnsi="Times New Roman" w:cs="Times New Roman"/>
          <w:lang w:val="af-ZA"/>
        </w:rPr>
        <w:t>§ </w:t>
      </w:r>
      <w:r w:rsidRPr="00EF7399">
        <w:rPr>
          <w:rFonts w:ascii="Times New Roman" w:hAnsi="Times New Roman" w:cs="Times New Roman"/>
          <w:lang w:val="af-ZA"/>
        </w:rPr>
        <w:t>84)</w:t>
      </w:r>
      <w:r w:rsidR="00913836" w:rsidRPr="00EF7399">
        <w:rPr>
          <w:rFonts w:ascii="Times New Roman" w:hAnsi="Times New Roman" w:cs="Times New Roman"/>
          <w:lang w:val="af-ZA"/>
        </w:rPr>
        <w:t>: Պետություններ</w:t>
      </w:r>
      <w:r w:rsidR="00DD3576" w:rsidRPr="00EF7399">
        <w:rPr>
          <w:rFonts w:ascii="Times New Roman" w:hAnsi="Times New Roman" w:cs="Times New Roman"/>
          <w:lang w:val="af-ZA"/>
        </w:rPr>
        <w:t xml:space="preserve">ը կրում են նման միջոցի կիրառումը հիմնավորող պատճառներ ներկայացնելու ավելի բարձր պատասխանատվություն </w:t>
      </w:r>
      <w:r w:rsidR="008F1B4E" w:rsidRPr="00EF7399">
        <w:rPr>
          <w:rFonts w:ascii="Times New Roman" w:hAnsi="Times New Roman" w:cs="Times New Roman"/>
          <w:lang w:val="af-ZA"/>
        </w:rPr>
        <w:t>(</w:t>
      </w:r>
      <w:hyperlink r:id="rId405" w:history="1">
        <w:r w:rsidR="008F1B4E" w:rsidRPr="00EF7399">
          <w:rPr>
            <w:rStyle w:val="Hyperlink"/>
            <w:rFonts w:ascii="Times New Roman" w:hAnsi="Times New Roman" w:cs="Times New Roman"/>
            <w:lang w:val="af-ZA"/>
          </w:rPr>
          <w:t>Adana TAYAD</w:t>
        </w:r>
        <w:r w:rsidR="00873234" w:rsidRPr="00EF7399">
          <w:rPr>
            <w:rStyle w:val="Hyperlink"/>
            <w:rFonts w:ascii="Times New Roman" w:hAnsi="Times New Roman" w:cs="Times New Roman"/>
            <w:lang w:val="af-ZA"/>
          </w:rPr>
          <w:t xml:space="preserve"> v. </w:t>
        </w:r>
        <w:r w:rsidR="008F1B4E" w:rsidRPr="00EF7399">
          <w:rPr>
            <w:rStyle w:val="Hyperlink"/>
            <w:rFonts w:ascii="Times New Roman" w:hAnsi="Times New Roman" w:cs="Times New Roman"/>
            <w:lang w:val="af-ZA"/>
          </w:rPr>
          <w:t>Turkey</w:t>
        </w:r>
      </w:hyperlink>
      <w:r w:rsidR="008F1B4E" w:rsidRPr="00EF7399">
        <w:rPr>
          <w:rFonts w:ascii="Times New Roman" w:hAnsi="Times New Roman" w:cs="Times New Roman"/>
          <w:lang w:val="af-ZA"/>
        </w:rPr>
        <w:t>,</w:t>
      </w:r>
      <w:r w:rsidR="001877E6" w:rsidRPr="00EF7399">
        <w:rPr>
          <w:rFonts w:ascii="Times New Roman" w:hAnsi="Times New Roman" w:cs="Times New Roman"/>
          <w:lang w:val="af-ZA"/>
        </w:rPr>
        <w:t xml:space="preserve"> </w:t>
      </w:r>
      <w:r w:rsidR="006C6C81" w:rsidRPr="00EF7399">
        <w:rPr>
          <w:rFonts w:ascii="Times New Roman" w:hAnsi="Times New Roman" w:cs="Times New Roman"/>
          <w:lang w:val="af-ZA"/>
        </w:rPr>
        <w:t xml:space="preserve">2020, </w:t>
      </w:r>
      <w:r w:rsidR="00873234" w:rsidRPr="00EF7399">
        <w:rPr>
          <w:rFonts w:ascii="Times New Roman" w:hAnsi="Times New Roman" w:cs="Times New Roman"/>
          <w:lang w:val="af-ZA"/>
        </w:rPr>
        <w:t>§ </w:t>
      </w:r>
      <w:r w:rsidR="008F1B4E" w:rsidRPr="00EF7399">
        <w:rPr>
          <w:rFonts w:ascii="Times New Roman" w:hAnsi="Times New Roman" w:cs="Times New Roman"/>
          <w:lang w:val="af-ZA"/>
        </w:rPr>
        <w:t>35)</w:t>
      </w:r>
      <w:r w:rsidR="00DD3576" w:rsidRPr="00EF7399">
        <w:rPr>
          <w:rFonts w:ascii="Times New Roman" w:hAnsi="Times New Roman" w:cs="Times New Roman"/>
          <w:lang w:val="af-ZA"/>
        </w:rPr>
        <w:t xml:space="preserve">: Լուծարման որոշումը, որը հիմնված չէ ընդունելի և համոզիչ պատճառների վրա, կարող է </w:t>
      </w:r>
      <w:r w:rsidR="00933760" w:rsidRPr="00EF7399">
        <w:rPr>
          <w:rFonts w:ascii="Times New Roman" w:hAnsi="Times New Roman" w:cs="Times New Roman"/>
          <w:lang w:val="hy-AM"/>
        </w:rPr>
        <w:t>զսպող</w:t>
      </w:r>
      <w:r w:rsidR="00933760" w:rsidRPr="00EF7399">
        <w:rPr>
          <w:rFonts w:ascii="Times New Roman" w:hAnsi="Times New Roman" w:cs="Times New Roman"/>
          <w:lang w:val="af-ZA"/>
        </w:rPr>
        <w:t xml:space="preserve"> </w:t>
      </w:r>
      <w:r w:rsidR="00DD3576" w:rsidRPr="00EF7399">
        <w:rPr>
          <w:rFonts w:ascii="Times New Roman" w:hAnsi="Times New Roman" w:cs="Times New Roman"/>
          <w:lang w:val="af-ZA"/>
        </w:rPr>
        <w:t xml:space="preserve">ազդեցություն ունենալ գանգատաբերի միավորման և դրա առանձին անդամների, նաև ընդհանուր առմամբ, իրավապաշտպան կազմակերպությունների վրա </w:t>
      </w:r>
      <w:r w:rsidR="00894BD6" w:rsidRPr="00EF7399">
        <w:rPr>
          <w:rFonts w:ascii="Times New Roman" w:hAnsi="Times New Roman" w:cs="Times New Roman"/>
          <w:lang w:val="af-ZA"/>
        </w:rPr>
        <w:t>(</w:t>
      </w:r>
      <w:hyperlink r:id="rId406" w:history="1">
        <w:r w:rsidR="00894BD6" w:rsidRPr="00EF7399">
          <w:rPr>
            <w:rStyle w:val="Hyperlink"/>
            <w:rFonts w:ascii="Times New Roman" w:hAnsi="Times New Roman" w:cs="Times New Roman"/>
            <w:lang w:val="af-ZA"/>
          </w:rPr>
          <w:t>i</w:t>
        </w:r>
        <w:r w:rsidR="008F1B4E" w:rsidRPr="00EF7399">
          <w:rPr>
            <w:rStyle w:val="Hyperlink"/>
            <w:rFonts w:ascii="Times New Roman" w:hAnsi="Times New Roman" w:cs="Times New Roman"/>
            <w:lang w:val="af-ZA"/>
          </w:rPr>
          <w:t>bid</w:t>
        </w:r>
      </w:hyperlink>
      <w:r w:rsidR="00894BD6" w:rsidRPr="00EF7399">
        <w:rPr>
          <w:rFonts w:ascii="Times New Roman" w:hAnsi="Times New Roman" w:cs="Times New Roman"/>
          <w:lang w:val="af-ZA"/>
        </w:rPr>
        <w:t xml:space="preserve">., </w:t>
      </w:r>
      <w:r w:rsidR="00873234" w:rsidRPr="00EF7399">
        <w:rPr>
          <w:rFonts w:ascii="Times New Roman" w:hAnsi="Times New Roman" w:cs="Times New Roman"/>
          <w:lang w:val="af-ZA"/>
        </w:rPr>
        <w:t>§ </w:t>
      </w:r>
      <w:r w:rsidR="00894BD6" w:rsidRPr="00EF7399">
        <w:rPr>
          <w:rFonts w:ascii="Times New Roman" w:hAnsi="Times New Roman" w:cs="Times New Roman"/>
          <w:lang w:val="af-ZA"/>
        </w:rPr>
        <w:t>36)</w:t>
      </w:r>
      <w:r w:rsidR="00DD3576" w:rsidRPr="00EF7399">
        <w:rPr>
          <w:rFonts w:ascii="Times New Roman" w:hAnsi="Times New Roman" w:cs="Times New Roman"/>
          <w:lang w:val="af-ZA"/>
        </w:rPr>
        <w:t>:</w:t>
      </w:r>
    </w:p>
    <w:p w14:paraId="10145390" w14:textId="719D559D" w:rsidR="00666246" w:rsidRPr="00EF7399" w:rsidRDefault="00DD3576" w:rsidP="00666246">
      <w:pPr>
        <w:pStyle w:val="ECHRParaSpaced"/>
        <w:rPr>
          <w:rFonts w:ascii="Times New Roman" w:hAnsi="Times New Roman" w:cs="Times New Roman"/>
          <w:lang w:val="af-ZA"/>
        </w:rPr>
      </w:pPr>
      <w:r w:rsidRPr="00EF7399">
        <w:rPr>
          <w:rFonts w:ascii="Times New Roman" w:hAnsi="Times New Roman" w:cs="Times New Roman"/>
          <w:lang w:val="af-ZA"/>
        </w:rPr>
        <w:t xml:space="preserve">Թեպետ թե՛ միավորման գրանցման մերժումը, թե՛ դրա լուծարումն ունեն արմատական </w:t>
      </w:r>
      <w:r w:rsidR="00DC17F2" w:rsidRPr="00EF7399">
        <w:rPr>
          <w:rFonts w:ascii="Times New Roman" w:hAnsi="Times New Roman" w:cs="Times New Roman"/>
          <w:lang w:val="af-ZA"/>
        </w:rPr>
        <w:t>հետևանքներ, սակայն լուծարումն առանձնահատուկ հեռահար միջոց է, որը կարող է արդարացվել միայն խիստ սահմանափակ հանգամանքներում: Մերժումն ունի ավելի սահմանափակ հետևանքներ</w:t>
      </w:r>
      <w:r w:rsidR="00933760" w:rsidRPr="00EF7399">
        <w:rPr>
          <w:rFonts w:ascii="Times New Roman" w:hAnsi="Times New Roman" w:cs="Times New Roman"/>
          <w:lang w:val="hy-AM"/>
        </w:rPr>
        <w:t>,</w:t>
      </w:r>
      <w:r w:rsidR="00DC17F2" w:rsidRPr="00EF7399">
        <w:rPr>
          <w:rFonts w:ascii="Times New Roman" w:hAnsi="Times New Roman" w:cs="Times New Roman"/>
          <w:lang w:val="af-ZA"/>
        </w:rPr>
        <w:t xml:space="preserve"> և դրանք ավելի հեշտ է հաղթահարել</w:t>
      </w:r>
      <w:r w:rsidR="00933760" w:rsidRPr="00EF7399">
        <w:rPr>
          <w:rFonts w:ascii="Times New Roman" w:hAnsi="Times New Roman" w:cs="Times New Roman"/>
          <w:lang w:val="hy-AM"/>
        </w:rPr>
        <w:t>՝</w:t>
      </w:r>
      <w:r w:rsidR="00DC17F2" w:rsidRPr="00EF7399">
        <w:rPr>
          <w:rFonts w:ascii="Times New Roman" w:hAnsi="Times New Roman" w:cs="Times New Roman"/>
          <w:lang w:val="af-ZA"/>
        </w:rPr>
        <w:t xml:space="preserve"> գրանցման նոր դիմում ներկայացնելով  </w:t>
      </w:r>
      <w:r w:rsidR="006B6FEB" w:rsidRPr="00EF7399">
        <w:rPr>
          <w:rFonts w:ascii="Times New Roman" w:hAnsi="Times New Roman" w:cs="Times New Roman"/>
          <w:lang w:val="af-ZA"/>
        </w:rPr>
        <w:t>(</w:t>
      </w:r>
      <w:hyperlink r:id="rId407" w:history="1">
        <w:r w:rsidR="006B6FEB" w:rsidRPr="00EF7399">
          <w:rPr>
            <w:rStyle w:val="Hyperlink"/>
            <w:rFonts w:ascii="Times New Roman" w:hAnsi="Times New Roman" w:cs="Times New Roman"/>
            <w:lang w:val="af-ZA"/>
          </w:rPr>
          <w:t>The United Macedonian Organisation Ilinden – PIRIN and Others</w:t>
        </w:r>
        <w:r w:rsidR="00873234" w:rsidRPr="00EF7399">
          <w:rPr>
            <w:rStyle w:val="Hyperlink"/>
            <w:rFonts w:ascii="Times New Roman" w:hAnsi="Times New Roman" w:cs="Times New Roman"/>
            <w:lang w:val="af-ZA"/>
          </w:rPr>
          <w:t xml:space="preserve"> v. </w:t>
        </w:r>
        <w:r w:rsidR="006B6FEB" w:rsidRPr="00EF7399">
          <w:rPr>
            <w:rStyle w:val="Hyperlink"/>
            <w:rFonts w:ascii="Times New Roman" w:hAnsi="Times New Roman" w:cs="Times New Roman"/>
            <w:lang w:val="af-ZA"/>
          </w:rPr>
          <w:t>Bulgaria (no. 2)</w:t>
        </w:r>
      </w:hyperlink>
      <w:r w:rsidR="006B6FEB" w:rsidRPr="00EF7399">
        <w:rPr>
          <w:rFonts w:ascii="Times New Roman" w:hAnsi="Times New Roman" w:cs="Times New Roman"/>
          <w:iCs/>
          <w:lang w:val="af-ZA"/>
        </w:rPr>
        <w:t xml:space="preserve">, </w:t>
      </w:r>
      <w:r w:rsidR="006C6C81" w:rsidRPr="00EF7399">
        <w:rPr>
          <w:rFonts w:ascii="Times New Roman" w:hAnsi="Times New Roman" w:cs="Times New Roman"/>
          <w:iCs/>
          <w:lang w:val="af-ZA"/>
        </w:rPr>
        <w:t xml:space="preserve">2011, </w:t>
      </w:r>
      <w:r w:rsidR="00873234" w:rsidRPr="00EF7399">
        <w:rPr>
          <w:rFonts w:ascii="Times New Roman" w:hAnsi="Times New Roman" w:cs="Times New Roman"/>
          <w:lang w:val="af-ZA"/>
        </w:rPr>
        <w:t>§ </w:t>
      </w:r>
      <w:r w:rsidR="006B6FEB" w:rsidRPr="00EF7399">
        <w:rPr>
          <w:rFonts w:ascii="Times New Roman" w:hAnsi="Times New Roman" w:cs="Times New Roman"/>
          <w:lang w:val="af-ZA"/>
        </w:rPr>
        <w:t>94)</w:t>
      </w:r>
      <w:r w:rsidR="00DC17F2" w:rsidRPr="00EF7399">
        <w:rPr>
          <w:rFonts w:ascii="Times New Roman" w:hAnsi="Times New Roman" w:cs="Times New Roman"/>
          <w:lang w:val="af-ZA"/>
        </w:rPr>
        <w:t>:</w:t>
      </w:r>
    </w:p>
    <w:p w14:paraId="76D67AC6" w14:textId="3109C897" w:rsidR="00666246" w:rsidRPr="00EF7399" w:rsidRDefault="00666246" w:rsidP="00666246">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170</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DC17F2" w:rsidRPr="00EF7399">
        <w:rPr>
          <w:rFonts w:ascii="Times New Roman" w:hAnsi="Times New Roman" w:cs="Times New Roman"/>
          <w:lang w:val="af-ZA"/>
        </w:rPr>
        <w:t xml:space="preserve">Երբ, անկախ խնդրո առարկա խախտման ծանրությունից, միավորման լուծարումը ներպետական օրենսդրությամբ հասանելի միակ պատժամիջոցն է, </w:t>
      </w:r>
      <w:r w:rsidR="006C69FA" w:rsidRPr="00EF7399">
        <w:rPr>
          <w:rFonts w:ascii="Times New Roman" w:hAnsi="Times New Roman" w:cs="Times New Roman"/>
          <w:lang w:val="hy-AM"/>
        </w:rPr>
        <w:t>առավել</w:t>
      </w:r>
      <w:r w:rsidR="006C69FA" w:rsidRPr="00EF7399">
        <w:rPr>
          <w:rFonts w:ascii="Times New Roman" w:hAnsi="Times New Roman" w:cs="Times New Roman"/>
          <w:lang w:val="af-ZA"/>
        </w:rPr>
        <w:t xml:space="preserve"> </w:t>
      </w:r>
      <w:r w:rsidR="00DC17F2" w:rsidRPr="00EF7399">
        <w:rPr>
          <w:rFonts w:ascii="Times New Roman" w:hAnsi="Times New Roman" w:cs="Times New Roman"/>
          <w:lang w:val="af-ZA"/>
        </w:rPr>
        <w:t>համաչափ պատժամիջոցի ընտրության հարցում ավելի մեծ ճկունության հնարավոր է հասնել, եթե օրենքով նախատեսվեն նվազ արմատական, այլընտրանքային պատժամիջոցներ, ինչպիսիք են</w:t>
      </w:r>
      <w:r w:rsidR="006C69FA" w:rsidRPr="00EF7399">
        <w:rPr>
          <w:rFonts w:ascii="Times New Roman" w:hAnsi="Times New Roman" w:cs="Times New Roman"/>
          <w:lang w:val="hy-AM"/>
        </w:rPr>
        <w:t>՝</w:t>
      </w:r>
      <w:r w:rsidR="00DC17F2" w:rsidRPr="00EF7399">
        <w:rPr>
          <w:rFonts w:ascii="Times New Roman" w:hAnsi="Times New Roman" w:cs="Times New Roman"/>
          <w:lang w:val="af-ZA"/>
        </w:rPr>
        <w:t xml:space="preserve"> նախազգուշացումը, տուգանքը կամ հարկային արտոնություններից զրկելը </w:t>
      </w:r>
      <w:r w:rsidRPr="00EF7399">
        <w:rPr>
          <w:rFonts w:ascii="Times New Roman" w:hAnsi="Times New Roman" w:cs="Times New Roman"/>
          <w:lang w:val="af-ZA"/>
        </w:rPr>
        <w:t>(</w:t>
      </w:r>
      <w:hyperlink r:id="rId408" w:history="1">
        <w:r w:rsidRPr="00EF7399">
          <w:rPr>
            <w:rStyle w:val="Hyperlink"/>
            <w:rFonts w:ascii="Times New Roman" w:hAnsi="Times New Roman" w:cs="Times New Roman"/>
            <w:lang w:val="af-ZA"/>
          </w:rPr>
          <w:t>Tebieti Mühafize Cemiyyeti and Israfilov</w:t>
        </w:r>
      </w:hyperlink>
      <w:r w:rsidRPr="00EF7399">
        <w:rPr>
          <w:rFonts w:ascii="Times New Roman" w:hAnsi="Times New Roman" w:cs="Times New Roman"/>
          <w:lang w:val="af-ZA"/>
        </w:rPr>
        <w:t xml:space="preserve">, </w:t>
      </w:r>
      <w:r w:rsidR="006C6C81" w:rsidRPr="00EF7399">
        <w:rPr>
          <w:rFonts w:ascii="Times New Roman" w:hAnsi="Times New Roman" w:cs="Times New Roman"/>
          <w:lang w:val="af-ZA"/>
        </w:rPr>
        <w:t xml:space="preserve">2009,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82; </w:t>
      </w:r>
      <w:hyperlink r:id="rId409" w:history="1">
        <w:r w:rsidRPr="00EF7399">
          <w:rPr>
            <w:rStyle w:val="Hyperlink"/>
            <w:rFonts w:ascii="Times New Roman" w:hAnsi="Times New Roman" w:cs="Times New Roman"/>
            <w:lang w:val="af-ZA"/>
          </w:rPr>
          <w:t>Jehovah</w:t>
        </w:r>
        <w:r w:rsidR="00DF297D" w:rsidRPr="00EF7399">
          <w:rPr>
            <w:rStyle w:val="Hyperlink"/>
            <w:rFonts w:ascii="Times New Roman" w:hAnsi="Times New Roman" w:cs="Times New Roman"/>
            <w:lang w:val="af-ZA"/>
          </w:rPr>
          <w:t>’</w:t>
        </w:r>
        <w:r w:rsidRPr="00EF7399">
          <w:rPr>
            <w:rStyle w:val="Hyperlink"/>
            <w:rFonts w:ascii="Times New Roman" w:hAnsi="Times New Roman" w:cs="Times New Roman"/>
            <w:lang w:val="af-ZA"/>
          </w:rPr>
          <w:t>s Witnesses of Moscow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Russia</w:t>
        </w:r>
      </w:hyperlink>
      <w:r w:rsidRPr="00EF7399">
        <w:rPr>
          <w:rFonts w:ascii="Times New Roman" w:hAnsi="Times New Roman" w:cs="Times New Roman"/>
          <w:lang w:val="af-ZA"/>
        </w:rPr>
        <w:t xml:space="preserve">, </w:t>
      </w:r>
      <w:r w:rsidR="006C6C81" w:rsidRPr="00EF7399">
        <w:rPr>
          <w:rFonts w:ascii="Times New Roman" w:hAnsi="Times New Roman" w:cs="Times New Roman"/>
          <w:lang w:val="af-ZA"/>
        </w:rPr>
        <w:t>2010</w:t>
      </w:r>
      <w:r w:rsidRPr="00EF7399">
        <w:rPr>
          <w:rFonts w:ascii="Times New Roman" w:hAnsi="Times New Roman" w:cs="Times New Roman"/>
          <w:lang w:val="af-ZA"/>
        </w:rPr>
        <w:t xml:space="preserve">, </w:t>
      </w:r>
      <w:r w:rsidR="00873234" w:rsidRPr="00EF7399">
        <w:rPr>
          <w:rFonts w:ascii="Times New Roman" w:hAnsi="Times New Roman" w:cs="Times New Roman"/>
          <w:lang w:val="af-ZA"/>
        </w:rPr>
        <w:t>§ </w:t>
      </w:r>
      <w:r w:rsidRPr="00EF7399">
        <w:rPr>
          <w:rFonts w:ascii="Times New Roman" w:hAnsi="Times New Roman" w:cs="Times New Roman"/>
          <w:lang w:val="af-ZA"/>
        </w:rPr>
        <w:t>159)</w:t>
      </w:r>
      <w:r w:rsidR="00DC17F2" w:rsidRPr="00EF7399">
        <w:rPr>
          <w:rFonts w:ascii="Times New Roman" w:hAnsi="Times New Roman" w:cs="Times New Roman"/>
          <w:lang w:val="af-ZA"/>
        </w:rPr>
        <w:t>:</w:t>
      </w:r>
    </w:p>
    <w:p w14:paraId="1D30F85D" w14:textId="3C2E8E2A" w:rsidR="00B40BA9" w:rsidRPr="00EF7399" w:rsidRDefault="00666246" w:rsidP="00BC451D">
      <w:pPr>
        <w:pStyle w:val="ECHRParaSpaced"/>
        <w:rPr>
          <w:rFonts w:ascii="Times New Roman" w:hAnsi="Times New Roman" w:cs="Times New Roman"/>
          <w:iCs/>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171</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4744CB" w:rsidRPr="00EF7399">
        <w:rPr>
          <w:rFonts w:ascii="Times New Roman" w:hAnsi="Times New Roman" w:cs="Times New Roman"/>
          <w:lang w:val="af-ZA"/>
        </w:rPr>
        <w:t>Զուտ հ</w:t>
      </w:r>
      <w:r w:rsidR="00E055B7" w:rsidRPr="00EF7399">
        <w:rPr>
          <w:rFonts w:ascii="Times New Roman" w:hAnsi="Times New Roman" w:cs="Times New Roman"/>
          <w:lang w:val="af-ZA"/>
        </w:rPr>
        <w:t>ասարակական կազմակերպությունների ներքին կառավարման</w:t>
      </w:r>
      <w:r w:rsidR="004744CB" w:rsidRPr="00EF7399">
        <w:rPr>
          <w:rFonts w:ascii="Times New Roman" w:hAnsi="Times New Roman" w:cs="Times New Roman"/>
          <w:lang w:val="af-ZA"/>
        </w:rPr>
        <w:t xml:space="preserve">ը ներկայացվող իրավական </w:t>
      </w:r>
      <w:r w:rsidR="00E055B7" w:rsidRPr="00EF7399">
        <w:rPr>
          <w:rFonts w:ascii="Times New Roman" w:hAnsi="Times New Roman" w:cs="Times New Roman"/>
          <w:lang w:val="af-ZA"/>
        </w:rPr>
        <w:t xml:space="preserve">որոշակի </w:t>
      </w:r>
      <w:r w:rsidR="004744CB" w:rsidRPr="00EF7399">
        <w:rPr>
          <w:rFonts w:ascii="Times New Roman" w:hAnsi="Times New Roman" w:cs="Times New Roman"/>
          <w:lang w:val="af-ZA"/>
        </w:rPr>
        <w:t>պահանջները</w:t>
      </w:r>
      <w:r w:rsidR="00E055B7" w:rsidRPr="00EF7399">
        <w:rPr>
          <w:rFonts w:ascii="Times New Roman" w:hAnsi="Times New Roman" w:cs="Times New Roman"/>
          <w:lang w:val="af-ZA"/>
        </w:rPr>
        <w:t xml:space="preserve"> չպահպանելու հանգամանքը</w:t>
      </w:r>
      <w:r w:rsidR="004744CB" w:rsidRPr="00EF7399">
        <w:rPr>
          <w:rFonts w:ascii="Times New Roman" w:hAnsi="Times New Roman" w:cs="Times New Roman"/>
          <w:lang w:val="af-ZA"/>
        </w:rPr>
        <w:t xml:space="preserve"> չի կարող համարվել այնպիսի լուրջ զանցանք, որը պահանջում է </w:t>
      </w:r>
      <w:r w:rsidR="006C69FA" w:rsidRPr="00EF7399">
        <w:rPr>
          <w:rFonts w:ascii="Times New Roman" w:hAnsi="Times New Roman" w:cs="Times New Roman"/>
          <w:lang w:val="hy-AM"/>
        </w:rPr>
        <w:t>ամբողջական</w:t>
      </w:r>
      <w:r w:rsidR="006C69FA" w:rsidRPr="00EF7399">
        <w:rPr>
          <w:rFonts w:ascii="Times New Roman" w:hAnsi="Times New Roman" w:cs="Times New Roman"/>
          <w:lang w:val="af-ZA"/>
        </w:rPr>
        <w:t xml:space="preserve"> </w:t>
      </w:r>
      <w:r w:rsidR="004744CB" w:rsidRPr="00EF7399">
        <w:rPr>
          <w:rFonts w:ascii="Times New Roman" w:hAnsi="Times New Roman" w:cs="Times New Roman"/>
          <w:lang w:val="af-ZA"/>
        </w:rPr>
        <w:t xml:space="preserve">լուծարում </w:t>
      </w:r>
      <w:r w:rsidRPr="00EF7399">
        <w:rPr>
          <w:rFonts w:ascii="Times New Roman" w:hAnsi="Times New Roman" w:cs="Times New Roman"/>
          <w:iCs/>
          <w:lang w:val="af-ZA"/>
        </w:rPr>
        <w:t>(</w:t>
      </w:r>
      <w:hyperlink r:id="rId410" w:history="1">
        <w:r w:rsidRPr="00EF7399">
          <w:rPr>
            <w:rStyle w:val="Hyperlink"/>
            <w:rFonts w:ascii="Times New Roman" w:hAnsi="Times New Roman" w:cs="Times New Roman"/>
            <w:iCs/>
            <w:lang w:val="af-ZA"/>
          </w:rPr>
          <w:t>Tebieti Mühafize Cemiyyeti and Israfilov</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Azerbaijan</w:t>
        </w:r>
      </w:hyperlink>
      <w:r w:rsidRPr="00EF7399">
        <w:rPr>
          <w:rFonts w:ascii="Times New Roman" w:hAnsi="Times New Roman" w:cs="Times New Roman"/>
          <w:iCs/>
          <w:lang w:val="af-ZA"/>
        </w:rPr>
        <w:t xml:space="preserve">, </w:t>
      </w:r>
      <w:r w:rsidR="001821E6" w:rsidRPr="00EF7399">
        <w:rPr>
          <w:rFonts w:ascii="Times New Roman" w:hAnsi="Times New Roman" w:cs="Times New Roman"/>
          <w:lang w:val="af-ZA"/>
        </w:rPr>
        <w:t xml:space="preserve">2009, </w:t>
      </w:r>
      <w:r w:rsidR="00873234" w:rsidRPr="00EF7399">
        <w:rPr>
          <w:rFonts w:ascii="Times New Roman" w:hAnsi="Times New Roman" w:cs="Times New Roman"/>
          <w:iCs/>
          <w:lang w:val="af-ZA"/>
        </w:rPr>
        <w:t>§ </w:t>
      </w:r>
      <w:r w:rsidRPr="00EF7399">
        <w:rPr>
          <w:rFonts w:ascii="Times New Roman" w:hAnsi="Times New Roman" w:cs="Times New Roman"/>
          <w:iCs/>
          <w:lang w:val="af-ZA"/>
        </w:rPr>
        <w:t>82)</w:t>
      </w:r>
      <w:r w:rsidR="004744CB" w:rsidRPr="00EF7399">
        <w:rPr>
          <w:rFonts w:ascii="Times New Roman" w:hAnsi="Times New Roman" w:cs="Times New Roman"/>
          <w:iCs/>
          <w:lang w:val="af-ZA"/>
        </w:rPr>
        <w:t>:</w:t>
      </w:r>
      <w:r w:rsidRPr="00EF7399">
        <w:rPr>
          <w:rFonts w:ascii="Times New Roman" w:hAnsi="Times New Roman" w:cs="Times New Roman"/>
          <w:iCs/>
          <w:lang w:val="af-ZA"/>
        </w:rPr>
        <w:t xml:space="preserve"> </w:t>
      </w:r>
      <w:r w:rsidR="003B5D34" w:rsidRPr="00EF7399">
        <w:rPr>
          <w:rFonts w:ascii="Times New Roman" w:hAnsi="Times New Roman" w:cs="Times New Roman"/>
          <w:iCs/>
          <w:lang w:val="af-ZA"/>
        </w:rPr>
        <w:t>Սակայն, ե</w:t>
      </w:r>
      <w:r w:rsidR="00F42018" w:rsidRPr="00EF7399">
        <w:rPr>
          <w:rFonts w:ascii="Times New Roman" w:hAnsi="Times New Roman" w:cs="Times New Roman"/>
          <w:iCs/>
          <w:lang w:val="af-ZA"/>
        </w:rPr>
        <w:t>թե հանրային շահեր հետապնդող միավորումը այլևս ընդունակ չէ գործել իր նպատակներին համահունչ</w:t>
      </w:r>
      <w:r w:rsidR="006C69FA" w:rsidRPr="00EF7399">
        <w:rPr>
          <w:rFonts w:ascii="Times New Roman" w:hAnsi="Times New Roman" w:cs="Times New Roman"/>
          <w:iCs/>
          <w:lang w:val="hy-AM"/>
        </w:rPr>
        <w:t>՝</w:t>
      </w:r>
      <w:r w:rsidR="00F42018" w:rsidRPr="00EF7399">
        <w:rPr>
          <w:rFonts w:ascii="Times New Roman" w:hAnsi="Times New Roman" w:cs="Times New Roman"/>
          <w:iCs/>
          <w:lang w:val="af-ZA"/>
        </w:rPr>
        <w:t xml:space="preserve"> ֆինանսական միջոցների բացակայության պատճառով, դրա լուծարումը կար</w:t>
      </w:r>
      <w:r w:rsidR="006C69FA" w:rsidRPr="00EF7399">
        <w:rPr>
          <w:rFonts w:ascii="Times New Roman" w:hAnsi="Times New Roman" w:cs="Times New Roman"/>
          <w:iCs/>
          <w:lang w:val="hy-AM"/>
        </w:rPr>
        <w:t>ող</w:t>
      </w:r>
      <w:r w:rsidR="00F42018" w:rsidRPr="00EF7399">
        <w:rPr>
          <w:rFonts w:ascii="Times New Roman" w:hAnsi="Times New Roman" w:cs="Times New Roman"/>
          <w:iCs/>
          <w:lang w:val="af-ZA"/>
        </w:rPr>
        <w:t xml:space="preserve"> է </w:t>
      </w:r>
      <w:r w:rsidR="006C69FA" w:rsidRPr="00EF7399">
        <w:rPr>
          <w:rFonts w:ascii="Times New Roman" w:hAnsi="Times New Roman" w:cs="Times New Roman"/>
          <w:iCs/>
          <w:lang w:val="hy-AM"/>
        </w:rPr>
        <w:t>լինել</w:t>
      </w:r>
      <w:r w:rsidR="006C69FA" w:rsidRPr="00EF7399">
        <w:rPr>
          <w:rFonts w:ascii="Times New Roman" w:hAnsi="Times New Roman" w:cs="Times New Roman"/>
          <w:iCs/>
          <w:lang w:val="af-ZA"/>
        </w:rPr>
        <w:t xml:space="preserve"> </w:t>
      </w:r>
      <w:r w:rsidR="00F42018" w:rsidRPr="00EF7399">
        <w:rPr>
          <w:rFonts w:ascii="Times New Roman" w:hAnsi="Times New Roman" w:cs="Times New Roman"/>
          <w:iCs/>
          <w:lang w:val="af-ZA"/>
        </w:rPr>
        <w:t>արդարաց</w:t>
      </w:r>
      <w:r w:rsidR="006C69FA" w:rsidRPr="00EF7399">
        <w:rPr>
          <w:rFonts w:ascii="Times New Roman" w:hAnsi="Times New Roman" w:cs="Times New Roman"/>
          <w:iCs/>
          <w:lang w:val="hy-AM"/>
        </w:rPr>
        <w:t xml:space="preserve">ված </w:t>
      </w:r>
      <w:r w:rsidRPr="00EF7399">
        <w:rPr>
          <w:rFonts w:ascii="Times New Roman" w:hAnsi="Times New Roman" w:cs="Times New Roman"/>
          <w:iCs/>
          <w:lang w:val="af-ZA"/>
        </w:rPr>
        <w:t>(</w:t>
      </w:r>
      <w:hyperlink r:id="rId411" w:history="1">
        <w:r w:rsidRPr="00EF7399">
          <w:rPr>
            <w:rStyle w:val="Hyperlink"/>
            <w:rFonts w:ascii="Times New Roman" w:hAnsi="Times New Roman" w:cs="Times New Roman"/>
            <w:iCs/>
            <w:lang w:val="af-ZA"/>
          </w:rPr>
          <w:t>MİHR Foundation</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Turkey</w:t>
        </w:r>
      </w:hyperlink>
      <w:r w:rsidRPr="00EF7399">
        <w:rPr>
          <w:rFonts w:ascii="Times New Roman" w:hAnsi="Times New Roman" w:cs="Times New Roman"/>
          <w:lang w:val="af-ZA"/>
        </w:rPr>
        <w:t xml:space="preserve">, </w:t>
      </w:r>
      <w:r w:rsidR="006C6C81" w:rsidRPr="00EF7399">
        <w:rPr>
          <w:rFonts w:ascii="Times New Roman" w:hAnsi="Times New Roman" w:cs="Times New Roman"/>
          <w:lang w:val="af-ZA"/>
        </w:rPr>
        <w:t xml:space="preserve">2019, </w:t>
      </w:r>
      <w:r w:rsidRPr="00EF7399">
        <w:rPr>
          <w:rFonts w:ascii="Times New Roman" w:hAnsi="Times New Roman" w:cs="Times New Roman"/>
          <w:iCs/>
          <w:lang w:val="af-ZA"/>
        </w:rPr>
        <w:t>§</w:t>
      </w:r>
      <w:r w:rsidR="00873234" w:rsidRPr="00EF7399">
        <w:rPr>
          <w:rFonts w:ascii="Times New Roman" w:hAnsi="Times New Roman" w:cs="Times New Roman"/>
          <w:iCs/>
          <w:lang w:val="af-ZA"/>
        </w:rPr>
        <w:t>§ </w:t>
      </w:r>
      <w:r w:rsidRPr="00EF7399">
        <w:rPr>
          <w:rFonts w:ascii="Times New Roman" w:hAnsi="Times New Roman" w:cs="Times New Roman"/>
          <w:iCs/>
          <w:lang w:val="af-ZA"/>
        </w:rPr>
        <w:t>41-43)</w:t>
      </w:r>
      <w:r w:rsidR="00F42018" w:rsidRPr="00EF7399">
        <w:rPr>
          <w:rFonts w:ascii="Times New Roman" w:hAnsi="Times New Roman" w:cs="Times New Roman"/>
          <w:iCs/>
          <w:lang w:val="af-ZA"/>
        </w:rPr>
        <w:t xml:space="preserve">: Թեև սնանկության կամ երկարատև անգործության հիմքերով </w:t>
      </w:r>
      <w:r w:rsidR="00F42018" w:rsidRPr="00EF7399">
        <w:rPr>
          <w:rFonts w:ascii="Times New Roman" w:hAnsi="Times New Roman" w:cs="Times New Roman"/>
          <w:iCs/>
          <w:lang w:val="af-ZA"/>
        </w:rPr>
        <w:lastRenderedPageBreak/>
        <w:t>միավորման լուծարումը կարող է համարվել որպես իրավաչափ նպատակ հետապնդող</w:t>
      </w:r>
      <w:r w:rsidR="006C69FA" w:rsidRPr="00EF7399">
        <w:rPr>
          <w:rFonts w:ascii="Times New Roman" w:hAnsi="Times New Roman" w:cs="Times New Roman"/>
          <w:iCs/>
          <w:lang w:val="hy-AM"/>
        </w:rPr>
        <w:t xml:space="preserve">՝ </w:t>
      </w:r>
      <w:r w:rsidR="006C69FA" w:rsidRPr="00EF7399">
        <w:rPr>
          <w:rFonts w:ascii="Times New Roman" w:hAnsi="Times New Roman" w:cs="Times New Roman"/>
          <w:iCs/>
          <w:lang w:val="af-ZA"/>
        </w:rPr>
        <w:t>11-րդ հոդվածի 2-րդ մաս</w:t>
      </w:r>
      <w:r w:rsidR="006C69FA" w:rsidRPr="00EF7399">
        <w:rPr>
          <w:rFonts w:ascii="Times New Roman" w:hAnsi="Times New Roman" w:cs="Times New Roman"/>
          <w:iCs/>
          <w:lang w:val="hy-AM"/>
        </w:rPr>
        <w:t>ի ներքո</w:t>
      </w:r>
      <w:r w:rsidR="00F42018" w:rsidRPr="00EF7399">
        <w:rPr>
          <w:rFonts w:ascii="Times New Roman" w:hAnsi="Times New Roman" w:cs="Times New Roman"/>
          <w:iCs/>
          <w:lang w:val="af-ZA"/>
        </w:rPr>
        <w:t xml:space="preserve">, ներպետական իշխանությունների որոշումները պետք է հիմնվեն վերաբերելի փաստերի ընդունելի գնահատման վրա </w:t>
      </w:r>
      <w:r w:rsidR="00547AED" w:rsidRPr="00EF7399">
        <w:rPr>
          <w:rFonts w:ascii="Times New Roman" w:hAnsi="Times New Roman" w:cs="Times New Roman"/>
          <w:iCs/>
          <w:lang w:val="af-ZA"/>
        </w:rPr>
        <w:t>(</w:t>
      </w:r>
      <w:hyperlink r:id="rId412" w:history="1">
        <w:r w:rsidR="00BC451D" w:rsidRPr="00EF7399">
          <w:rPr>
            <w:rStyle w:val="Hyperlink"/>
            <w:rFonts w:ascii="Times New Roman" w:hAnsi="Times New Roman" w:cs="Times New Roman"/>
            <w:iCs/>
            <w:lang w:val="af-ZA"/>
          </w:rPr>
          <w:t>Croatian Golf Federation</w:t>
        </w:r>
        <w:r w:rsidR="00873234" w:rsidRPr="00EF7399">
          <w:rPr>
            <w:rStyle w:val="Hyperlink"/>
            <w:rFonts w:ascii="Times New Roman" w:hAnsi="Times New Roman" w:cs="Times New Roman"/>
            <w:iCs/>
            <w:lang w:val="af-ZA"/>
          </w:rPr>
          <w:t xml:space="preserve"> v. </w:t>
        </w:r>
        <w:r w:rsidR="00BC451D" w:rsidRPr="00EF7399">
          <w:rPr>
            <w:rStyle w:val="Hyperlink"/>
            <w:rFonts w:ascii="Times New Roman" w:hAnsi="Times New Roman" w:cs="Times New Roman"/>
            <w:iCs/>
            <w:lang w:val="af-ZA"/>
          </w:rPr>
          <w:t>Croatia</w:t>
        </w:r>
      </w:hyperlink>
      <w:r w:rsidR="00BC451D" w:rsidRPr="00EF7399">
        <w:rPr>
          <w:rFonts w:ascii="Times New Roman" w:hAnsi="Times New Roman" w:cs="Times New Roman"/>
          <w:iCs/>
          <w:lang w:val="af-ZA"/>
        </w:rPr>
        <w:t xml:space="preserve">, </w:t>
      </w:r>
      <w:r w:rsidR="006C6C81" w:rsidRPr="00EF7399">
        <w:rPr>
          <w:rFonts w:ascii="Times New Roman" w:hAnsi="Times New Roman" w:cs="Times New Roman"/>
          <w:iCs/>
          <w:lang w:val="af-ZA"/>
        </w:rPr>
        <w:t xml:space="preserve">2020, </w:t>
      </w:r>
      <w:r w:rsidR="00547AED" w:rsidRPr="00EF7399">
        <w:rPr>
          <w:rFonts w:ascii="Times New Roman" w:hAnsi="Times New Roman" w:cs="Times New Roman"/>
          <w:iCs/>
          <w:lang w:val="af-ZA"/>
        </w:rPr>
        <w:t>§</w:t>
      </w:r>
      <w:r w:rsidR="00873234" w:rsidRPr="00EF7399">
        <w:rPr>
          <w:rFonts w:ascii="Times New Roman" w:hAnsi="Times New Roman" w:cs="Times New Roman"/>
          <w:iCs/>
          <w:lang w:val="af-ZA"/>
        </w:rPr>
        <w:t>§ </w:t>
      </w:r>
      <w:r w:rsidR="00547AED" w:rsidRPr="00EF7399">
        <w:rPr>
          <w:rFonts w:ascii="Times New Roman" w:hAnsi="Times New Roman" w:cs="Times New Roman"/>
          <w:iCs/>
          <w:lang w:val="af-ZA"/>
        </w:rPr>
        <w:t xml:space="preserve">96 </w:t>
      </w:r>
      <w:r w:rsidR="00F42018" w:rsidRPr="00EF7399">
        <w:rPr>
          <w:rFonts w:ascii="Times New Roman" w:hAnsi="Times New Roman" w:cs="Times New Roman"/>
          <w:iCs/>
          <w:lang w:val="af-ZA"/>
        </w:rPr>
        <w:t>և</w:t>
      </w:r>
      <w:r w:rsidR="00547AED" w:rsidRPr="00EF7399">
        <w:rPr>
          <w:rFonts w:ascii="Times New Roman" w:hAnsi="Times New Roman" w:cs="Times New Roman"/>
          <w:iCs/>
          <w:lang w:val="af-ZA"/>
        </w:rPr>
        <w:t xml:space="preserve"> 100)</w:t>
      </w:r>
      <w:r w:rsidR="00F42018" w:rsidRPr="00EF7399">
        <w:rPr>
          <w:rFonts w:ascii="Times New Roman" w:hAnsi="Times New Roman" w:cs="Times New Roman"/>
          <w:iCs/>
          <w:lang w:val="af-ZA"/>
        </w:rPr>
        <w:t>:</w:t>
      </w:r>
    </w:p>
    <w:p w14:paraId="7AB4DA21" w14:textId="77D04248" w:rsidR="00666246" w:rsidRPr="00EF7399" w:rsidRDefault="00666246" w:rsidP="00666246">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172</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F42018" w:rsidRPr="00EF7399">
        <w:rPr>
          <w:rFonts w:ascii="Times New Roman" w:hAnsi="Times New Roman" w:cs="Times New Roman"/>
          <w:lang w:val="af-ZA"/>
        </w:rPr>
        <w:t xml:space="preserve">Լուծարման </w:t>
      </w:r>
      <w:r w:rsidR="00A63831" w:rsidRPr="00EF7399">
        <w:rPr>
          <w:rFonts w:ascii="Times New Roman" w:hAnsi="Times New Roman" w:cs="Times New Roman"/>
          <w:lang w:val="af-ZA"/>
        </w:rPr>
        <w:t>գործերով</w:t>
      </w:r>
      <w:r w:rsidR="00F42018" w:rsidRPr="00EF7399">
        <w:rPr>
          <w:rFonts w:ascii="Times New Roman" w:hAnsi="Times New Roman" w:cs="Times New Roman"/>
          <w:lang w:val="af-ZA"/>
        </w:rPr>
        <w:t xml:space="preserve"> համաչափության </w:t>
      </w:r>
      <w:r w:rsidR="00A63831" w:rsidRPr="00EF7399">
        <w:rPr>
          <w:rFonts w:ascii="Times New Roman" w:hAnsi="Times New Roman" w:cs="Times New Roman"/>
          <w:lang w:val="af-ZA"/>
        </w:rPr>
        <w:t xml:space="preserve">պահանջը բավարարելու համար իշխանությունները պետք է ցույց տան, որ </w:t>
      </w:r>
      <w:r w:rsidR="00015C14" w:rsidRPr="00EF7399">
        <w:rPr>
          <w:rFonts w:ascii="Times New Roman" w:hAnsi="Times New Roman" w:cs="Times New Roman"/>
          <w:lang w:val="af-ZA"/>
        </w:rPr>
        <w:t xml:space="preserve">նույն նպատակներին հասնելու համար </w:t>
      </w:r>
      <w:r w:rsidR="00A63831" w:rsidRPr="00EF7399">
        <w:rPr>
          <w:rFonts w:ascii="Times New Roman" w:hAnsi="Times New Roman" w:cs="Times New Roman"/>
          <w:lang w:val="af-ZA"/>
        </w:rPr>
        <w:t xml:space="preserve">չեն եղել </w:t>
      </w:r>
      <w:r w:rsidR="00015C14" w:rsidRPr="00EF7399">
        <w:rPr>
          <w:rFonts w:ascii="Times New Roman" w:hAnsi="Times New Roman" w:cs="Times New Roman"/>
          <w:lang w:val="af-ZA"/>
        </w:rPr>
        <w:t xml:space="preserve">միավորման ազատության իրավունքին </w:t>
      </w:r>
      <w:r w:rsidR="00150954" w:rsidRPr="00EF7399">
        <w:rPr>
          <w:rFonts w:ascii="Times New Roman" w:hAnsi="Times New Roman" w:cs="Times New Roman"/>
          <w:lang w:val="af-ZA"/>
        </w:rPr>
        <w:t xml:space="preserve">ավելի մեղմ </w:t>
      </w:r>
      <w:r w:rsidR="00015C14" w:rsidRPr="00EF7399">
        <w:rPr>
          <w:rFonts w:ascii="Times New Roman" w:hAnsi="Times New Roman" w:cs="Times New Roman"/>
          <w:lang w:val="af-ZA"/>
        </w:rPr>
        <w:t>միջամտ</w:t>
      </w:r>
      <w:r w:rsidR="00150954" w:rsidRPr="00EF7399">
        <w:rPr>
          <w:rFonts w:ascii="Times New Roman" w:hAnsi="Times New Roman" w:cs="Times New Roman"/>
          <w:lang w:val="hy-AM"/>
        </w:rPr>
        <w:t>ող</w:t>
      </w:r>
      <w:r w:rsidR="00015C14" w:rsidRPr="00EF7399">
        <w:rPr>
          <w:rFonts w:ascii="Times New Roman" w:hAnsi="Times New Roman" w:cs="Times New Roman"/>
          <w:lang w:val="af-ZA"/>
        </w:rPr>
        <w:t xml:space="preserve"> այլ միջոցներ</w:t>
      </w:r>
      <w:r w:rsidR="00A63831"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413" w:history="1">
        <w:r w:rsidR="00894BD6" w:rsidRPr="00EF7399">
          <w:rPr>
            <w:rStyle w:val="Hyperlink"/>
            <w:rFonts w:ascii="Times New Roman" w:hAnsi="Times New Roman" w:cs="Times New Roman"/>
            <w:lang w:val="af-ZA"/>
          </w:rPr>
          <w:t>Adana TAYAD</w:t>
        </w:r>
        <w:r w:rsidR="00873234" w:rsidRPr="00EF7399">
          <w:rPr>
            <w:rStyle w:val="Hyperlink"/>
            <w:rFonts w:ascii="Times New Roman" w:hAnsi="Times New Roman" w:cs="Times New Roman"/>
            <w:lang w:val="af-ZA"/>
          </w:rPr>
          <w:t xml:space="preserve"> v. </w:t>
        </w:r>
        <w:r w:rsidR="00894BD6" w:rsidRPr="00EF7399">
          <w:rPr>
            <w:rStyle w:val="Hyperlink"/>
            <w:rFonts w:ascii="Times New Roman" w:hAnsi="Times New Roman" w:cs="Times New Roman"/>
            <w:lang w:val="af-ZA"/>
          </w:rPr>
          <w:t>Turkey</w:t>
        </w:r>
      </w:hyperlink>
      <w:r w:rsidR="00894BD6" w:rsidRPr="00EF7399">
        <w:rPr>
          <w:rFonts w:ascii="Times New Roman" w:hAnsi="Times New Roman" w:cs="Times New Roman"/>
          <w:lang w:val="af-ZA"/>
        </w:rPr>
        <w:t xml:space="preserve">, </w:t>
      </w:r>
      <w:r w:rsidR="006C6C81" w:rsidRPr="00EF7399">
        <w:rPr>
          <w:rFonts w:ascii="Times New Roman" w:hAnsi="Times New Roman" w:cs="Times New Roman"/>
          <w:lang w:val="af-ZA"/>
        </w:rPr>
        <w:t xml:space="preserve">2020, </w:t>
      </w:r>
      <w:r w:rsidR="00873234" w:rsidRPr="00EF7399">
        <w:rPr>
          <w:rFonts w:ascii="Times New Roman" w:hAnsi="Times New Roman" w:cs="Times New Roman"/>
          <w:lang w:val="af-ZA"/>
        </w:rPr>
        <w:t>§ </w:t>
      </w:r>
      <w:r w:rsidR="00894BD6" w:rsidRPr="00EF7399">
        <w:rPr>
          <w:rFonts w:ascii="Times New Roman" w:hAnsi="Times New Roman" w:cs="Times New Roman"/>
          <w:lang w:val="af-ZA"/>
        </w:rPr>
        <w:t xml:space="preserve">36; </w:t>
      </w:r>
      <w:hyperlink r:id="rId414" w:history="1">
        <w:r w:rsidRPr="00EF7399">
          <w:rPr>
            <w:rStyle w:val="Hyperlink"/>
            <w:rFonts w:ascii="Times New Roman" w:hAnsi="Times New Roman" w:cs="Times New Roman"/>
            <w:lang w:val="af-ZA"/>
          </w:rPr>
          <w:t>Association Rhino and Others</w:t>
        </w:r>
      </w:hyperlink>
      <w:r w:rsidRPr="00EF7399">
        <w:rPr>
          <w:rFonts w:ascii="Times New Roman" w:hAnsi="Times New Roman" w:cs="Times New Roman"/>
          <w:lang w:val="af-ZA"/>
        </w:rPr>
        <w:t xml:space="preserve">, </w:t>
      </w:r>
      <w:r w:rsidR="006C6C81" w:rsidRPr="00EF7399">
        <w:rPr>
          <w:rFonts w:ascii="Times New Roman" w:hAnsi="Times New Roman" w:cs="Times New Roman"/>
          <w:lang w:val="af-ZA"/>
        </w:rPr>
        <w:t xml:space="preserve">2011,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65; </w:t>
      </w:r>
      <w:hyperlink r:id="rId415" w:history="1">
        <w:r w:rsidRPr="00EF7399">
          <w:rPr>
            <w:rStyle w:val="Hyperlink"/>
            <w:rFonts w:ascii="Times New Roman" w:hAnsi="Times New Roman" w:cs="Times New Roman"/>
            <w:lang w:val="af-ZA"/>
          </w:rPr>
          <w:t>Magyar Keresztény Mennonita Egyház and Others</w:t>
        </w:r>
      </w:hyperlink>
      <w:r w:rsidR="00B65B14" w:rsidRPr="00EF7399">
        <w:rPr>
          <w:rFonts w:ascii="Times New Roman" w:hAnsi="Times New Roman" w:cs="Times New Roman"/>
          <w:lang w:val="af-ZA"/>
        </w:rPr>
        <w:t xml:space="preserve">, </w:t>
      </w:r>
      <w:r w:rsidR="00C46086"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00B65B14" w:rsidRPr="00EF7399">
        <w:rPr>
          <w:rFonts w:ascii="Times New Roman" w:hAnsi="Times New Roman" w:cs="Times New Roman"/>
          <w:lang w:val="af-ZA"/>
        </w:rPr>
        <w:t>96</w:t>
      </w:r>
      <w:r w:rsidRPr="00EF7399">
        <w:rPr>
          <w:rFonts w:ascii="Times New Roman" w:hAnsi="Times New Roman" w:cs="Times New Roman"/>
          <w:lang w:val="af-ZA"/>
        </w:rPr>
        <w:t>)</w:t>
      </w:r>
      <w:r w:rsidR="00015C14" w:rsidRPr="00EF7399">
        <w:rPr>
          <w:rFonts w:ascii="Times New Roman" w:hAnsi="Times New Roman" w:cs="Times New Roman"/>
          <w:lang w:val="af-ZA"/>
        </w:rPr>
        <w:t>:</w:t>
      </w:r>
      <w:r w:rsidRPr="00EF7399">
        <w:rPr>
          <w:rFonts w:ascii="Times New Roman" w:hAnsi="Times New Roman" w:cs="Times New Roman"/>
          <w:lang w:val="af-ZA"/>
        </w:rPr>
        <w:t xml:space="preserve"> </w:t>
      </w:r>
      <w:r w:rsidR="005E252F" w:rsidRPr="00EF7399">
        <w:rPr>
          <w:rFonts w:ascii="Times New Roman" w:hAnsi="Times New Roman" w:cs="Times New Roman"/>
          <w:lang w:val="af-ZA"/>
        </w:rPr>
        <w:t>Դատարան</w:t>
      </w:r>
      <w:r w:rsidR="00150954" w:rsidRPr="00EF7399">
        <w:rPr>
          <w:rFonts w:ascii="Times New Roman" w:hAnsi="Times New Roman" w:cs="Times New Roman"/>
          <w:lang w:val="hy-AM"/>
        </w:rPr>
        <w:t>ն</w:t>
      </w:r>
      <w:r w:rsidR="005E252F" w:rsidRPr="00EF7399">
        <w:rPr>
          <w:rFonts w:ascii="Times New Roman" w:hAnsi="Times New Roman" w:cs="Times New Roman"/>
          <w:lang w:val="af-ZA"/>
        </w:rPr>
        <w:t xml:space="preserve">, </w:t>
      </w:r>
      <w:r w:rsidR="00150954" w:rsidRPr="00EF7399">
        <w:rPr>
          <w:rFonts w:ascii="Times New Roman" w:hAnsi="Times New Roman" w:cs="Times New Roman"/>
          <w:lang w:val="hy-AM"/>
        </w:rPr>
        <w:t>այդուհանդերձ</w:t>
      </w:r>
      <w:r w:rsidR="005E252F" w:rsidRPr="00EF7399">
        <w:rPr>
          <w:rFonts w:ascii="Times New Roman" w:hAnsi="Times New Roman" w:cs="Times New Roman"/>
          <w:lang w:val="af-ZA"/>
        </w:rPr>
        <w:t xml:space="preserve">, ընդունել է, որ կարող են լինել դեպքեր, երբ միավորման գոյության կամ դրա գործունեության հետ </w:t>
      </w:r>
      <w:r w:rsidR="00150954" w:rsidRPr="00EF7399">
        <w:rPr>
          <w:rFonts w:ascii="Times New Roman" w:hAnsi="Times New Roman" w:cs="Times New Roman"/>
          <w:lang w:val="hy-AM"/>
        </w:rPr>
        <w:t>ընկալվող</w:t>
      </w:r>
      <w:r w:rsidR="00150954" w:rsidRPr="00EF7399">
        <w:rPr>
          <w:rFonts w:ascii="Times New Roman" w:hAnsi="Times New Roman" w:cs="Times New Roman"/>
          <w:lang w:val="af-ZA"/>
        </w:rPr>
        <w:t xml:space="preserve"> </w:t>
      </w:r>
      <w:r w:rsidR="005E252F" w:rsidRPr="00EF7399">
        <w:rPr>
          <w:rFonts w:ascii="Times New Roman" w:hAnsi="Times New Roman" w:cs="Times New Roman"/>
          <w:lang w:val="af-ZA"/>
        </w:rPr>
        <w:t xml:space="preserve">վնասակար հետևանքների </w:t>
      </w:r>
      <w:r w:rsidR="00150954" w:rsidRPr="00EF7399">
        <w:rPr>
          <w:rFonts w:ascii="Times New Roman" w:hAnsi="Times New Roman" w:cs="Times New Roman"/>
          <w:lang w:val="hy-AM"/>
        </w:rPr>
        <w:t>հետ կապված</w:t>
      </w:r>
      <w:r w:rsidR="00150954" w:rsidRPr="00EF7399">
        <w:rPr>
          <w:rFonts w:ascii="Times New Roman" w:hAnsi="Times New Roman" w:cs="Times New Roman"/>
          <w:lang w:val="af-ZA"/>
        </w:rPr>
        <w:t xml:space="preserve"> </w:t>
      </w:r>
      <w:r w:rsidR="005E252F" w:rsidRPr="00EF7399">
        <w:rPr>
          <w:rFonts w:ascii="Times New Roman" w:hAnsi="Times New Roman" w:cs="Times New Roman"/>
          <w:lang w:val="af-ZA"/>
        </w:rPr>
        <w:t>«ծայրահեղ սոցիալական անհրաժեշտության</w:t>
      </w:r>
      <w:r w:rsidR="00150954" w:rsidRPr="00EF7399">
        <w:rPr>
          <w:rFonts w:ascii="Times New Roman" w:hAnsi="Times New Roman" w:cs="Times New Roman"/>
          <w:lang w:val="hy-AM"/>
        </w:rPr>
        <w:t>ն</w:t>
      </w:r>
      <w:r w:rsidR="005E252F" w:rsidRPr="00EF7399">
        <w:rPr>
          <w:rFonts w:ascii="Times New Roman" w:hAnsi="Times New Roman" w:cs="Times New Roman"/>
          <w:lang w:val="af-ZA"/>
        </w:rPr>
        <w:t xml:space="preserve">» արձագանքելու համար իշխանություններին հասանելի միջոցների ընտրությունն անխուսափելիորեն սահմանափակ է </w:t>
      </w:r>
      <w:r w:rsidRPr="00EF7399">
        <w:rPr>
          <w:rFonts w:ascii="Times New Roman" w:hAnsi="Times New Roman" w:cs="Times New Roman"/>
          <w:lang w:val="af-ZA"/>
        </w:rPr>
        <w:t>(</w:t>
      </w:r>
      <w:hyperlink r:id="rId416" w:history="1">
        <w:r w:rsidRPr="00EF7399">
          <w:rPr>
            <w:rStyle w:val="Hyperlink"/>
            <w:rFonts w:ascii="Times New Roman" w:hAnsi="Times New Roman" w:cs="Times New Roman"/>
            <w:lang w:val="af-ZA"/>
          </w:rPr>
          <w:t>Gorzelik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Poland</w:t>
        </w:r>
      </w:hyperlink>
      <w:r w:rsidRPr="00EF7399">
        <w:rPr>
          <w:rFonts w:ascii="Times New Roman" w:hAnsi="Times New Roman" w:cs="Times New Roman"/>
          <w:i/>
          <w:lang w:val="af-ZA"/>
        </w:rPr>
        <w:t xml:space="preserve"> </w:t>
      </w:r>
      <w:r w:rsidRPr="00EF7399">
        <w:rPr>
          <w:rFonts w:ascii="Times New Roman" w:hAnsi="Times New Roman" w:cs="Times New Roman"/>
          <w:lang w:val="af-ZA"/>
        </w:rPr>
        <w:t xml:space="preserve">[GC], </w:t>
      </w:r>
      <w:r w:rsidR="007A38BA" w:rsidRPr="00EF7399">
        <w:rPr>
          <w:rFonts w:ascii="Times New Roman" w:hAnsi="Times New Roman" w:cs="Times New Roman"/>
          <w:lang w:val="af-ZA"/>
        </w:rPr>
        <w:t xml:space="preserve">2004, </w:t>
      </w:r>
      <w:r w:rsidR="00873234" w:rsidRPr="00EF7399">
        <w:rPr>
          <w:rFonts w:ascii="Times New Roman" w:hAnsi="Times New Roman" w:cs="Times New Roman"/>
          <w:lang w:val="af-ZA"/>
        </w:rPr>
        <w:t>§ </w:t>
      </w:r>
      <w:r w:rsidRPr="00EF7399">
        <w:rPr>
          <w:rFonts w:ascii="Times New Roman" w:hAnsi="Times New Roman" w:cs="Times New Roman"/>
          <w:lang w:val="af-ZA"/>
        </w:rPr>
        <w:t>105</w:t>
      </w:r>
      <w:r w:rsidR="00C20E62" w:rsidRPr="00EF7399">
        <w:rPr>
          <w:rFonts w:ascii="Times New Roman" w:hAnsi="Times New Roman" w:cs="Times New Roman"/>
          <w:lang w:val="af-ZA"/>
        </w:rPr>
        <w:t xml:space="preserve">; </w:t>
      </w:r>
      <w:hyperlink r:id="rId417" w:history="1">
        <w:r w:rsidR="00C20E62" w:rsidRPr="00EF7399">
          <w:rPr>
            <w:rStyle w:val="Hyperlink"/>
            <w:rFonts w:ascii="Times New Roman" w:hAnsi="Times New Roman" w:cs="Times New Roman"/>
            <w:lang w:val="af-ZA"/>
          </w:rPr>
          <w:t>Ayoub and Others</w:t>
        </w:r>
        <w:r w:rsidR="00873234" w:rsidRPr="00EF7399">
          <w:rPr>
            <w:rStyle w:val="Hyperlink"/>
            <w:rFonts w:ascii="Times New Roman" w:hAnsi="Times New Roman" w:cs="Times New Roman"/>
            <w:lang w:val="af-ZA"/>
          </w:rPr>
          <w:t xml:space="preserve"> v. </w:t>
        </w:r>
        <w:r w:rsidR="00C20E62" w:rsidRPr="00EF7399">
          <w:rPr>
            <w:rStyle w:val="Hyperlink"/>
            <w:rFonts w:ascii="Times New Roman" w:hAnsi="Times New Roman" w:cs="Times New Roman"/>
            <w:lang w:val="af-ZA"/>
          </w:rPr>
          <w:t>France</w:t>
        </w:r>
      </w:hyperlink>
      <w:r w:rsidR="00C20E62" w:rsidRPr="00EF7399">
        <w:rPr>
          <w:rFonts w:ascii="Times New Roman" w:hAnsi="Times New Roman" w:cs="Times New Roman"/>
          <w:lang w:val="af-ZA"/>
        </w:rPr>
        <w:t xml:space="preserve">, </w:t>
      </w:r>
      <w:r w:rsidR="007A38BA" w:rsidRPr="00EF7399">
        <w:rPr>
          <w:rFonts w:ascii="Times New Roman" w:hAnsi="Times New Roman" w:cs="Times New Roman"/>
          <w:lang w:val="af-ZA"/>
        </w:rPr>
        <w:t xml:space="preserve">2020, </w:t>
      </w:r>
      <w:r w:rsidR="00C20E62" w:rsidRPr="00EF7399">
        <w:rPr>
          <w:rFonts w:ascii="Times New Roman" w:hAnsi="Times New Roman" w:cs="Times New Roman"/>
          <w:lang w:val="af-ZA"/>
        </w:rPr>
        <w:t>§</w:t>
      </w:r>
      <w:r w:rsidR="00873234" w:rsidRPr="00EF7399">
        <w:rPr>
          <w:rFonts w:ascii="Times New Roman" w:hAnsi="Times New Roman" w:cs="Times New Roman"/>
          <w:lang w:val="af-ZA"/>
        </w:rPr>
        <w:t>§ </w:t>
      </w:r>
      <w:r w:rsidR="00C20E62" w:rsidRPr="00EF7399">
        <w:rPr>
          <w:rFonts w:ascii="Times New Roman" w:hAnsi="Times New Roman" w:cs="Times New Roman"/>
          <w:lang w:val="af-ZA"/>
        </w:rPr>
        <w:t>119-120</w:t>
      </w:r>
      <w:r w:rsidRPr="00EF7399">
        <w:rPr>
          <w:rFonts w:ascii="Times New Roman" w:hAnsi="Times New Roman" w:cs="Times New Roman"/>
          <w:lang w:val="af-ZA"/>
        </w:rPr>
        <w:t>)</w:t>
      </w:r>
      <w:r w:rsidR="005E252F" w:rsidRPr="00EF7399">
        <w:rPr>
          <w:rFonts w:ascii="Times New Roman" w:hAnsi="Times New Roman" w:cs="Times New Roman"/>
          <w:lang w:val="af-ZA"/>
        </w:rPr>
        <w:t>:</w:t>
      </w:r>
    </w:p>
    <w:p w14:paraId="072115BC" w14:textId="66935E10" w:rsidR="00666246" w:rsidRPr="00EF7399" w:rsidRDefault="00666246" w:rsidP="00666246">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173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8A5858" w:rsidRPr="00EF7399">
        <w:rPr>
          <w:rFonts w:ascii="Times New Roman" w:hAnsi="Times New Roman" w:cs="Times New Roman"/>
          <w:lang w:val="af-ZA"/>
        </w:rPr>
        <w:t xml:space="preserve"> </w:t>
      </w:r>
      <w:r w:rsidR="00150954" w:rsidRPr="00EF7399">
        <w:rPr>
          <w:rFonts w:ascii="Times New Roman" w:hAnsi="Times New Roman" w:cs="Times New Roman"/>
          <w:lang w:val="hy-AM"/>
        </w:rPr>
        <w:t>Պ</w:t>
      </w:r>
      <w:r w:rsidR="00150954" w:rsidRPr="00EF7399">
        <w:rPr>
          <w:rFonts w:ascii="Times New Roman" w:hAnsi="Times New Roman" w:cs="Times New Roman"/>
          <w:lang w:val="af-ZA"/>
        </w:rPr>
        <w:t xml:space="preserve">ետություններն իրավասու են ձեռնարկել </w:t>
      </w:r>
      <w:r w:rsidR="00150954" w:rsidRPr="00EF7399">
        <w:rPr>
          <w:rFonts w:ascii="Times New Roman" w:hAnsi="Times New Roman" w:cs="Times New Roman"/>
          <w:i/>
          <w:iCs/>
          <w:lang w:val="af-ZA"/>
        </w:rPr>
        <w:t>կանխարգելիչ միջոցներ</w:t>
      </w:r>
      <w:r w:rsidR="00150954" w:rsidRPr="00EF7399">
        <w:rPr>
          <w:rFonts w:ascii="Times New Roman" w:hAnsi="Times New Roman" w:cs="Times New Roman"/>
          <w:lang w:val="af-ZA"/>
        </w:rPr>
        <w:t xml:space="preserve"> </w:t>
      </w:r>
      <w:r w:rsidR="00150954" w:rsidRPr="00EF7399">
        <w:rPr>
          <w:rFonts w:ascii="Times New Roman" w:hAnsi="Times New Roman" w:cs="Times New Roman"/>
          <w:lang w:val="hy-AM"/>
        </w:rPr>
        <w:t>ք</w:t>
      </w:r>
      <w:r w:rsidR="008A5858" w:rsidRPr="00EF7399">
        <w:rPr>
          <w:rFonts w:ascii="Times New Roman" w:hAnsi="Times New Roman" w:cs="Times New Roman"/>
          <w:lang w:val="af-ZA"/>
        </w:rPr>
        <w:t>աղաքական կուսակցություններից և ոչ կուսակցական կազմակերպություններից  ժողովրդավարությունը պաշտպանելու նպատակով</w:t>
      </w:r>
      <w:r w:rsidR="00150954" w:rsidRPr="00EF7399">
        <w:rPr>
          <w:rFonts w:ascii="Times New Roman" w:hAnsi="Times New Roman" w:cs="Times New Roman"/>
          <w:lang w:val="hy-AM"/>
        </w:rPr>
        <w:t>։</w:t>
      </w:r>
      <w:r w:rsidR="008A5858" w:rsidRPr="00EF7399">
        <w:rPr>
          <w:rFonts w:ascii="Times New Roman" w:hAnsi="Times New Roman" w:cs="Times New Roman"/>
          <w:lang w:val="af-ZA"/>
        </w:rPr>
        <w:t xml:space="preserve"> Չի կարելի պահանջել իշխանություններից</w:t>
      </w:r>
      <w:r w:rsidR="00150954" w:rsidRPr="00EF7399">
        <w:rPr>
          <w:rFonts w:ascii="Times New Roman" w:hAnsi="Times New Roman" w:cs="Times New Roman"/>
          <w:lang w:val="hy-AM"/>
        </w:rPr>
        <w:t>՝</w:t>
      </w:r>
      <w:r w:rsidR="008A5858" w:rsidRPr="00EF7399">
        <w:rPr>
          <w:rFonts w:ascii="Times New Roman" w:hAnsi="Times New Roman" w:cs="Times New Roman"/>
          <w:lang w:val="af-ZA"/>
        </w:rPr>
        <w:t xml:space="preserve"> սպասել մինչև քաղաքական կուսակցությունը զավթի իշխանությունը և սկսի կոնկրետ քայլեր </w:t>
      </w:r>
      <w:r w:rsidR="00150954" w:rsidRPr="00EF7399">
        <w:rPr>
          <w:rFonts w:ascii="Times New Roman" w:hAnsi="Times New Roman" w:cs="Times New Roman"/>
          <w:lang w:val="hy-AM"/>
        </w:rPr>
        <w:t>ձեռնարկել</w:t>
      </w:r>
      <w:r w:rsidR="00150954" w:rsidRPr="00EF7399">
        <w:rPr>
          <w:rFonts w:ascii="Times New Roman" w:hAnsi="Times New Roman" w:cs="Times New Roman"/>
          <w:lang w:val="af-ZA"/>
        </w:rPr>
        <w:t xml:space="preserve"> </w:t>
      </w:r>
      <w:r w:rsidR="008A5858" w:rsidRPr="00EF7399">
        <w:rPr>
          <w:rFonts w:ascii="Times New Roman" w:hAnsi="Times New Roman" w:cs="Times New Roman"/>
          <w:lang w:val="af-ZA"/>
        </w:rPr>
        <w:t>Կոնվենցիայի չափանիշների հետ անհամատեղելի քաղաքականության իրականացման ուղղությամբ: Երբ այդ քաղաքականության վտանգը բավականաչափ հիմնավոր է և անմիջական, պետությունը կարող է ողջամտորեն նախականխել նման քաղաքականության իրականացումը</w:t>
      </w:r>
      <w:r w:rsidR="00150954" w:rsidRPr="00EF7399">
        <w:rPr>
          <w:rFonts w:ascii="Times New Roman" w:hAnsi="Times New Roman" w:cs="Times New Roman"/>
          <w:lang w:val="hy-AM"/>
        </w:rPr>
        <w:t>,</w:t>
      </w:r>
      <w:r w:rsidR="008A5858" w:rsidRPr="00EF7399">
        <w:rPr>
          <w:rFonts w:ascii="Times New Roman" w:hAnsi="Times New Roman" w:cs="Times New Roman"/>
          <w:lang w:val="af-ZA"/>
        </w:rPr>
        <w:t xml:space="preserve"> նախքան փորձ արվի իրականացնել այն կոնկրետ քայլերի միջոցով</w:t>
      </w:r>
      <w:r w:rsidR="002F6A28" w:rsidRPr="00EF7399">
        <w:rPr>
          <w:rFonts w:ascii="Times New Roman" w:hAnsi="Times New Roman" w:cs="Times New Roman"/>
          <w:lang w:val="af-ZA"/>
        </w:rPr>
        <w:t xml:space="preserve">, որոնք կարող են վնաս հասցնել քաղաքացիական խաղաղությանը և երկրի ժողովրդավարական ռեժիմին </w:t>
      </w:r>
      <w:r w:rsidRPr="00EF7399">
        <w:rPr>
          <w:rFonts w:ascii="Times New Roman" w:hAnsi="Times New Roman" w:cs="Times New Roman"/>
          <w:lang w:val="af-ZA"/>
        </w:rPr>
        <w:t>(</w:t>
      </w:r>
      <w:hyperlink r:id="rId418" w:history="1">
        <w:r w:rsidR="00AB7CD2" w:rsidRPr="00EF7399">
          <w:rPr>
            <w:rStyle w:val="Hyperlink"/>
            <w:rFonts w:ascii="Times New Roman" w:hAnsi="Times New Roman" w:cs="Times New Roman"/>
            <w:lang w:val="af-ZA"/>
          </w:rPr>
          <w:t>Refah Partisi (the Welfare Party) and Others</w:t>
        </w:r>
        <w:r w:rsidR="00873234" w:rsidRPr="00EF7399">
          <w:rPr>
            <w:rStyle w:val="Hyperlink"/>
            <w:rFonts w:ascii="Times New Roman" w:hAnsi="Times New Roman" w:cs="Times New Roman"/>
            <w:lang w:val="af-ZA"/>
          </w:rPr>
          <w:t xml:space="preserve"> v. </w:t>
        </w:r>
        <w:r w:rsidR="00AB7CD2" w:rsidRPr="00EF7399">
          <w:rPr>
            <w:rStyle w:val="Hyperlink"/>
            <w:rFonts w:ascii="Times New Roman" w:hAnsi="Times New Roman" w:cs="Times New Roman"/>
            <w:lang w:val="af-ZA"/>
          </w:rPr>
          <w:t>Turkey</w:t>
        </w:r>
      </w:hyperlink>
      <w:r w:rsidRPr="00EF7399">
        <w:rPr>
          <w:rFonts w:ascii="Times New Roman" w:hAnsi="Times New Roman" w:cs="Times New Roman"/>
          <w:i/>
          <w:lang w:val="af-ZA"/>
        </w:rPr>
        <w:t>,</w:t>
      </w:r>
      <w:r w:rsidRPr="00EF7399">
        <w:rPr>
          <w:rFonts w:ascii="Times New Roman" w:hAnsi="Times New Roman" w:cs="Times New Roman"/>
          <w:lang w:val="af-ZA"/>
        </w:rPr>
        <w:t xml:space="preserve"> </w:t>
      </w:r>
      <w:r w:rsidR="00AB7CD2" w:rsidRPr="00EF7399">
        <w:rPr>
          <w:rFonts w:ascii="Times New Roman" w:hAnsi="Times New Roman" w:cs="Times New Roman"/>
          <w:lang w:val="af-ZA"/>
        </w:rPr>
        <w:t xml:space="preserve">2003,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102; </w:t>
      </w:r>
      <w:hyperlink r:id="rId419" w:history="1">
        <w:r w:rsidR="00AB7CD2" w:rsidRPr="00EF7399">
          <w:rPr>
            <w:rStyle w:val="Hyperlink"/>
            <w:rFonts w:ascii="Times New Roman" w:hAnsi="Times New Roman" w:cs="Times New Roman"/>
            <w:lang w:val="af-ZA"/>
          </w:rPr>
          <w:t>Herri Batasuna and Batasuna</w:t>
        </w:r>
        <w:r w:rsidR="00873234" w:rsidRPr="00EF7399">
          <w:rPr>
            <w:rStyle w:val="Hyperlink"/>
            <w:rFonts w:ascii="Times New Roman" w:hAnsi="Times New Roman" w:cs="Times New Roman"/>
            <w:lang w:val="af-ZA"/>
          </w:rPr>
          <w:t xml:space="preserve"> v. </w:t>
        </w:r>
        <w:r w:rsidR="00AB7CD2" w:rsidRPr="00EF7399">
          <w:rPr>
            <w:rStyle w:val="Hyperlink"/>
            <w:rFonts w:ascii="Times New Roman" w:hAnsi="Times New Roman" w:cs="Times New Roman"/>
            <w:lang w:val="af-ZA"/>
          </w:rPr>
          <w:t>Spain</w:t>
        </w:r>
      </w:hyperlink>
      <w:r w:rsidRPr="00EF7399">
        <w:rPr>
          <w:rFonts w:ascii="Times New Roman" w:hAnsi="Times New Roman" w:cs="Times New Roman"/>
          <w:lang w:val="af-ZA"/>
        </w:rPr>
        <w:t xml:space="preserve">, </w:t>
      </w:r>
      <w:r w:rsidR="00AB7CD2" w:rsidRPr="00EF7399">
        <w:rPr>
          <w:rFonts w:ascii="Times New Roman" w:hAnsi="Times New Roman" w:cs="Times New Roman"/>
          <w:iCs/>
          <w:lang w:val="af-ZA"/>
        </w:rPr>
        <w:t xml:space="preserve">2009, </w:t>
      </w:r>
      <w:r w:rsidR="00873234" w:rsidRPr="00EF7399">
        <w:rPr>
          <w:rFonts w:ascii="Times New Roman" w:hAnsi="Times New Roman" w:cs="Times New Roman"/>
          <w:lang w:val="af-ZA"/>
        </w:rPr>
        <w:t>§ </w:t>
      </w:r>
      <w:r w:rsidRPr="00EF7399">
        <w:rPr>
          <w:rFonts w:ascii="Times New Roman" w:hAnsi="Times New Roman" w:cs="Times New Roman"/>
          <w:lang w:val="af-ZA"/>
        </w:rPr>
        <w:t>81)</w:t>
      </w:r>
      <w:r w:rsidR="002F6A28" w:rsidRPr="00EF7399">
        <w:rPr>
          <w:rFonts w:ascii="Times New Roman" w:hAnsi="Times New Roman" w:cs="Times New Roman"/>
          <w:lang w:val="af-ZA"/>
        </w:rPr>
        <w:t>: Ն</w:t>
      </w:r>
      <w:r w:rsidR="00150954" w:rsidRPr="00EF7399">
        <w:rPr>
          <w:rFonts w:ascii="Times New Roman" w:hAnsi="Times New Roman" w:cs="Times New Roman"/>
          <w:lang w:val="hy-AM"/>
        </w:rPr>
        <w:t xml:space="preserve">մանապես, </w:t>
      </w:r>
      <w:r w:rsidR="002F6A28" w:rsidRPr="00EF7399">
        <w:rPr>
          <w:rFonts w:ascii="Times New Roman" w:hAnsi="Times New Roman" w:cs="Times New Roman"/>
          <w:lang w:val="af-ZA"/>
        </w:rPr>
        <w:t>կանխարգելիչ միջոցներ կարող են կիրառվել ոչ կուսակցական կազմակերպությունների</w:t>
      </w:r>
      <w:r w:rsidR="00150954" w:rsidRPr="00EF7399">
        <w:rPr>
          <w:rFonts w:ascii="Times New Roman" w:hAnsi="Times New Roman" w:cs="Times New Roman"/>
          <w:lang w:val="hy-AM"/>
        </w:rPr>
        <w:t xml:space="preserve"> </w:t>
      </w:r>
      <w:r w:rsidR="002F6A28" w:rsidRPr="00EF7399">
        <w:rPr>
          <w:rFonts w:ascii="Times New Roman" w:hAnsi="Times New Roman" w:cs="Times New Roman"/>
          <w:lang w:val="af-ZA"/>
        </w:rPr>
        <w:t>ն</w:t>
      </w:r>
      <w:r w:rsidR="00150954" w:rsidRPr="00EF7399">
        <w:rPr>
          <w:rFonts w:ascii="Times New Roman" w:hAnsi="Times New Roman" w:cs="Times New Roman"/>
          <w:lang w:val="hy-AM"/>
        </w:rPr>
        <w:t>կատմամբ</w:t>
      </w:r>
      <w:r w:rsidR="002F6A28" w:rsidRPr="00EF7399">
        <w:rPr>
          <w:rFonts w:ascii="Times New Roman" w:hAnsi="Times New Roman" w:cs="Times New Roman"/>
          <w:lang w:val="af-ZA"/>
        </w:rPr>
        <w:t xml:space="preserve">, եթե այլ անձանց իրավունքների համար բավականաչափ </w:t>
      </w:r>
      <w:r w:rsidR="00AD7EB4" w:rsidRPr="00EF7399">
        <w:rPr>
          <w:rFonts w:ascii="Times New Roman" w:hAnsi="Times New Roman" w:cs="Times New Roman"/>
          <w:lang w:val="af-ZA"/>
        </w:rPr>
        <w:t>վերահաս</w:t>
      </w:r>
      <w:r w:rsidR="002F6A28" w:rsidRPr="00EF7399">
        <w:rPr>
          <w:rFonts w:ascii="Times New Roman" w:hAnsi="Times New Roman" w:cs="Times New Roman"/>
          <w:lang w:val="af-ZA"/>
        </w:rPr>
        <w:t xml:space="preserve"> վտանգը սպառնում է խարխլել ժողովրդավարական հասարակության հիմնարար արժեքները </w:t>
      </w:r>
      <w:r w:rsidRPr="00EF7399">
        <w:rPr>
          <w:rFonts w:ascii="Times New Roman" w:hAnsi="Times New Roman" w:cs="Times New Roman"/>
          <w:lang w:val="af-ZA"/>
        </w:rPr>
        <w:t>(</w:t>
      </w:r>
      <w:hyperlink r:id="rId420" w:history="1">
        <w:r w:rsidRPr="00EF7399">
          <w:rPr>
            <w:rStyle w:val="Hyperlink"/>
            <w:rFonts w:ascii="Times New Roman" w:hAnsi="Times New Roman" w:cs="Times New Roman"/>
            <w:lang w:val="af-ZA"/>
          </w:rPr>
          <w:t>Vona</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Hungary</w:t>
        </w:r>
      </w:hyperlink>
      <w:r w:rsidRPr="00EF7399">
        <w:rPr>
          <w:rFonts w:ascii="Times New Roman" w:hAnsi="Times New Roman" w:cs="Times New Roman"/>
          <w:lang w:val="af-ZA"/>
        </w:rPr>
        <w:t xml:space="preserve">, </w:t>
      </w:r>
      <w:r w:rsidR="002762F8" w:rsidRPr="00EF7399">
        <w:rPr>
          <w:rFonts w:ascii="Times New Roman" w:hAnsi="Times New Roman" w:cs="Times New Roman"/>
          <w:lang w:val="af-ZA"/>
        </w:rPr>
        <w:t xml:space="preserve">2013, </w:t>
      </w:r>
      <w:r w:rsidR="00873234" w:rsidRPr="00EF7399">
        <w:rPr>
          <w:rFonts w:ascii="Times New Roman" w:hAnsi="Times New Roman" w:cs="Times New Roman"/>
          <w:lang w:val="af-ZA"/>
        </w:rPr>
        <w:t>§ </w:t>
      </w:r>
      <w:r w:rsidRPr="00EF7399">
        <w:rPr>
          <w:rFonts w:ascii="Times New Roman" w:hAnsi="Times New Roman" w:cs="Times New Roman"/>
          <w:lang w:val="af-ZA"/>
        </w:rPr>
        <w:t>57)</w:t>
      </w:r>
      <w:r w:rsidR="002F6A28" w:rsidRPr="00EF7399">
        <w:rPr>
          <w:rFonts w:ascii="Times New Roman" w:hAnsi="Times New Roman" w:cs="Times New Roman"/>
          <w:lang w:val="af-ZA"/>
        </w:rPr>
        <w:t>:</w:t>
      </w:r>
    </w:p>
    <w:p w14:paraId="1B4B7696" w14:textId="3E8C81D3" w:rsidR="00666246" w:rsidRPr="00EF7399" w:rsidRDefault="00666246" w:rsidP="00666246">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174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2F6A28" w:rsidRPr="00EF7399">
        <w:rPr>
          <w:rFonts w:ascii="Times New Roman" w:hAnsi="Times New Roman" w:cs="Times New Roman"/>
          <w:lang w:val="af-ZA"/>
        </w:rPr>
        <w:t>Օրինակ, Դատարանը գտ</w:t>
      </w:r>
      <w:r w:rsidR="00150954" w:rsidRPr="00EF7399">
        <w:rPr>
          <w:rFonts w:ascii="Times New Roman" w:hAnsi="Times New Roman" w:cs="Times New Roman"/>
          <w:lang w:val="hy-AM"/>
        </w:rPr>
        <w:t>ել է</w:t>
      </w:r>
      <w:r w:rsidR="002F6A28" w:rsidRPr="00EF7399">
        <w:rPr>
          <w:rFonts w:ascii="Times New Roman" w:hAnsi="Times New Roman" w:cs="Times New Roman"/>
          <w:lang w:val="af-ZA"/>
        </w:rPr>
        <w:t>, որ կուսակցության կամ այլ միավորման լուծարումը հիմնավոր էր, երբ այն`</w:t>
      </w:r>
    </w:p>
    <w:p w14:paraId="39110F31" w14:textId="5E05EDB1" w:rsidR="00666246" w:rsidRPr="00EF7399" w:rsidRDefault="002F6A28" w:rsidP="00666246">
      <w:pPr>
        <w:pStyle w:val="ECHRBullet1"/>
        <w:rPr>
          <w:rFonts w:ascii="Times New Roman" w:hAnsi="Times New Roman" w:cs="Times New Roman"/>
          <w:iCs/>
          <w:lang w:val="af-ZA"/>
        </w:rPr>
      </w:pPr>
      <w:r w:rsidRPr="00EF7399">
        <w:rPr>
          <w:rFonts w:ascii="Times New Roman" w:hAnsi="Times New Roman" w:cs="Times New Roman"/>
          <w:lang w:val="af-ZA"/>
        </w:rPr>
        <w:t xml:space="preserve">ձգտում էր ստեղծել շարիաթի վրա հիմնված պետություն </w:t>
      </w:r>
      <w:r w:rsidR="00666246" w:rsidRPr="00EF7399">
        <w:rPr>
          <w:rFonts w:ascii="Times New Roman" w:hAnsi="Times New Roman" w:cs="Times New Roman"/>
          <w:lang w:val="af-ZA"/>
        </w:rPr>
        <w:t>(</w:t>
      </w:r>
      <w:hyperlink r:id="rId421" w:history="1">
        <w:r w:rsidR="00666246" w:rsidRPr="00EF7399">
          <w:rPr>
            <w:rStyle w:val="Hyperlink"/>
            <w:rFonts w:ascii="Times New Roman" w:hAnsi="Times New Roman" w:cs="Times New Roman"/>
            <w:lang w:val="af-ZA"/>
          </w:rPr>
          <w:t>Refah Partisi (The Welfare Party) and others</w:t>
        </w:r>
        <w:r w:rsidR="00873234" w:rsidRPr="00EF7399">
          <w:rPr>
            <w:rStyle w:val="Hyperlink"/>
            <w:rFonts w:ascii="Times New Roman" w:hAnsi="Times New Roman" w:cs="Times New Roman"/>
            <w:lang w:val="af-ZA"/>
          </w:rPr>
          <w:t xml:space="preserve"> v. </w:t>
        </w:r>
        <w:r w:rsidR="00666246" w:rsidRPr="00EF7399">
          <w:rPr>
            <w:rStyle w:val="Hyperlink"/>
            <w:rFonts w:ascii="Times New Roman" w:hAnsi="Times New Roman" w:cs="Times New Roman"/>
            <w:lang w:val="af-ZA"/>
          </w:rPr>
          <w:t>Turkey</w:t>
        </w:r>
      </w:hyperlink>
      <w:r w:rsidR="00AB7CD2" w:rsidRPr="00EF7399">
        <w:rPr>
          <w:rStyle w:val="Hyperlink"/>
          <w:rFonts w:ascii="Times New Roman" w:hAnsi="Times New Roman" w:cs="Times New Roman"/>
          <w:i w:val="0"/>
          <w:iCs/>
          <w:color w:val="auto"/>
          <w:lang w:val="af-ZA"/>
        </w:rPr>
        <w:t xml:space="preserve">, </w:t>
      </w:r>
      <w:r w:rsidR="00AB7CD2" w:rsidRPr="00EF7399">
        <w:rPr>
          <w:rFonts w:ascii="Times New Roman" w:hAnsi="Times New Roman" w:cs="Times New Roman"/>
          <w:lang w:val="af-ZA"/>
        </w:rPr>
        <w:t>2003</w:t>
      </w:r>
      <w:r w:rsidR="00666246" w:rsidRPr="00EF7399">
        <w:rPr>
          <w:rFonts w:ascii="Times New Roman" w:hAnsi="Times New Roman" w:cs="Times New Roman"/>
          <w:lang w:val="af-ZA"/>
        </w:rPr>
        <w:t xml:space="preserve">; </w:t>
      </w:r>
      <w:hyperlink r:id="rId422" w:history="1">
        <w:r w:rsidR="00666246" w:rsidRPr="00EF7399">
          <w:rPr>
            <w:rStyle w:val="Hyperlink"/>
            <w:rFonts w:ascii="Times New Roman" w:hAnsi="Times New Roman" w:cs="Times New Roman"/>
            <w:iCs/>
            <w:lang w:val="af-ZA"/>
          </w:rPr>
          <w:t>Zehra Foundation and Others</w:t>
        </w:r>
        <w:r w:rsidR="00873234" w:rsidRPr="00EF7399">
          <w:rPr>
            <w:rStyle w:val="Hyperlink"/>
            <w:rFonts w:ascii="Times New Roman" w:hAnsi="Times New Roman" w:cs="Times New Roman"/>
            <w:iCs/>
            <w:lang w:val="af-ZA"/>
          </w:rPr>
          <w:t xml:space="preserve"> v. </w:t>
        </w:r>
        <w:r w:rsidR="00666246" w:rsidRPr="00EF7399">
          <w:rPr>
            <w:rStyle w:val="Hyperlink"/>
            <w:rFonts w:ascii="Times New Roman" w:hAnsi="Times New Roman" w:cs="Times New Roman"/>
            <w:iCs/>
            <w:lang w:val="af-ZA"/>
          </w:rPr>
          <w:t>Turkey</w:t>
        </w:r>
      </w:hyperlink>
      <w:r w:rsidR="00983154" w:rsidRPr="00EF7399">
        <w:rPr>
          <w:rStyle w:val="Hyperlink"/>
          <w:rFonts w:ascii="Times New Roman" w:hAnsi="Times New Roman" w:cs="Times New Roman"/>
          <w:i w:val="0"/>
          <w:color w:val="auto"/>
          <w:lang w:val="af-ZA"/>
        </w:rPr>
        <w:t xml:space="preserve">, 2018, </w:t>
      </w:r>
      <w:r w:rsidR="00666246" w:rsidRPr="00EF7399">
        <w:rPr>
          <w:rFonts w:ascii="Times New Roman" w:hAnsi="Times New Roman" w:cs="Times New Roman"/>
          <w:iCs/>
          <w:lang w:val="af-ZA"/>
        </w:rPr>
        <w:t xml:space="preserve">; </w:t>
      </w:r>
      <w:hyperlink r:id="rId423" w:history="1">
        <w:r w:rsidR="00666246" w:rsidRPr="00EF7399">
          <w:rPr>
            <w:rStyle w:val="Hyperlink"/>
            <w:rFonts w:ascii="Times New Roman" w:hAnsi="Times New Roman" w:cs="Times New Roman"/>
            <w:iCs/>
            <w:lang w:val="af-ZA"/>
          </w:rPr>
          <w:t>Kalifatstaat</w:t>
        </w:r>
        <w:r w:rsidR="00873234" w:rsidRPr="00EF7399">
          <w:rPr>
            <w:rStyle w:val="Hyperlink"/>
            <w:rFonts w:ascii="Times New Roman" w:hAnsi="Times New Roman" w:cs="Times New Roman"/>
            <w:iCs/>
            <w:lang w:val="af-ZA"/>
          </w:rPr>
          <w:t xml:space="preserve"> v. </w:t>
        </w:r>
        <w:r w:rsidR="00666246" w:rsidRPr="00EF7399">
          <w:rPr>
            <w:rStyle w:val="Hyperlink"/>
            <w:rFonts w:ascii="Times New Roman" w:hAnsi="Times New Roman" w:cs="Times New Roman"/>
            <w:iCs/>
            <w:lang w:val="af-ZA"/>
          </w:rPr>
          <w:t>Germany</w:t>
        </w:r>
      </w:hyperlink>
      <w:r w:rsidR="00666246" w:rsidRPr="00EF7399">
        <w:rPr>
          <w:rFonts w:ascii="Times New Roman" w:hAnsi="Times New Roman" w:cs="Times New Roman"/>
          <w:iCs/>
          <w:lang w:val="af-ZA"/>
        </w:rPr>
        <w:t xml:space="preserve"> (dec.)</w:t>
      </w:r>
      <w:r w:rsidR="00AB7CD2" w:rsidRPr="00EF7399">
        <w:rPr>
          <w:rFonts w:ascii="Times New Roman" w:hAnsi="Times New Roman" w:cs="Times New Roman"/>
          <w:iCs/>
          <w:lang w:val="af-ZA"/>
        </w:rPr>
        <w:t>, 2006</w:t>
      </w:r>
      <w:r w:rsidR="00512585" w:rsidRPr="00EF7399">
        <w:rPr>
          <w:rFonts w:ascii="Times New Roman" w:hAnsi="Times New Roman" w:cs="Times New Roman"/>
          <w:iCs/>
          <w:lang w:val="af-ZA"/>
        </w:rPr>
        <w:t>).</w:t>
      </w:r>
    </w:p>
    <w:p w14:paraId="5E809534" w14:textId="51876FE0" w:rsidR="00666246" w:rsidRPr="00EF7399" w:rsidRDefault="00512585" w:rsidP="00666246">
      <w:pPr>
        <w:pStyle w:val="ECHRBullet1"/>
        <w:rPr>
          <w:rFonts w:ascii="Times New Roman" w:hAnsi="Times New Roman" w:cs="Times New Roman"/>
          <w:iCs/>
          <w:lang w:val="af-ZA"/>
        </w:rPr>
      </w:pPr>
      <w:r w:rsidRPr="00EF7399">
        <w:rPr>
          <w:rFonts w:ascii="Times New Roman" w:hAnsi="Times New Roman" w:cs="Times New Roman"/>
          <w:iCs/>
          <w:lang w:val="af-ZA"/>
        </w:rPr>
        <w:t>կապեր ուներ ահաբեկչական կազմակերպության հետ</w:t>
      </w:r>
      <w:r w:rsidR="00666246" w:rsidRPr="00EF7399">
        <w:rPr>
          <w:rFonts w:ascii="Times New Roman" w:hAnsi="Times New Roman" w:cs="Times New Roman"/>
          <w:iCs/>
          <w:lang w:val="af-ZA"/>
        </w:rPr>
        <w:t xml:space="preserve"> (</w:t>
      </w:r>
      <w:hyperlink r:id="rId424" w:history="1">
        <w:r w:rsidR="00666246" w:rsidRPr="00EF7399">
          <w:rPr>
            <w:rStyle w:val="Hyperlink"/>
            <w:rFonts w:ascii="Times New Roman" w:hAnsi="Times New Roman" w:cs="Times New Roman"/>
            <w:iCs/>
            <w:lang w:val="af-ZA"/>
          </w:rPr>
          <w:t>Herri Batasuna and Batasuna</w:t>
        </w:r>
        <w:r w:rsidR="00873234" w:rsidRPr="00EF7399">
          <w:rPr>
            <w:rStyle w:val="Hyperlink"/>
            <w:rFonts w:ascii="Times New Roman" w:hAnsi="Times New Roman" w:cs="Times New Roman"/>
            <w:iCs/>
            <w:lang w:val="af-ZA"/>
          </w:rPr>
          <w:t xml:space="preserve"> v. </w:t>
        </w:r>
        <w:r w:rsidR="00666246" w:rsidRPr="00EF7399">
          <w:rPr>
            <w:rStyle w:val="Hyperlink"/>
            <w:rFonts w:ascii="Times New Roman" w:hAnsi="Times New Roman" w:cs="Times New Roman"/>
            <w:iCs/>
            <w:lang w:val="af-ZA"/>
          </w:rPr>
          <w:t>Spain</w:t>
        </w:r>
      </w:hyperlink>
      <w:r w:rsidR="00AB7CD2" w:rsidRPr="00EF7399">
        <w:rPr>
          <w:rStyle w:val="Hyperlink"/>
          <w:rFonts w:ascii="Times New Roman" w:hAnsi="Times New Roman" w:cs="Times New Roman"/>
          <w:iCs/>
          <w:color w:val="auto"/>
          <w:lang w:val="af-ZA"/>
        </w:rPr>
        <w:t xml:space="preserve">, </w:t>
      </w:r>
      <w:r w:rsidR="00AB7CD2" w:rsidRPr="00EF7399">
        <w:rPr>
          <w:rFonts w:ascii="Times New Roman" w:hAnsi="Times New Roman" w:cs="Times New Roman"/>
          <w:iCs/>
          <w:lang w:val="af-ZA"/>
        </w:rPr>
        <w:t>2009</w:t>
      </w:r>
      <w:r w:rsidR="00666246" w:rsidRPr="00EF7399">
        <w:rPr>
          <w:rFonts w:ascii="Times New Roman" w:hAnsi="Times New Roman" w:cs="Times New Roman"/>
          <w:iCs/>
          <w:lang w:val="af-ZA"/>
        </w:rPr>
        <w:t>)</w:t>
      </w:r>
      <w:r w:rsidRPr="00EF7399">
        <w:rPr>
          <w:rFonts w:ascii="Times New Roman" w:hAnsi="Times New Roman" w:cs="Times New Roman"/>
          <w:iCs/>
          <w:lang w:val="af-ZA"/>
        </w:rPr>
        <w:t>.</w:t>
      </w:r>
    </w:p>
    <w:p w14:paraId="05E8D3E5" w14:textId="1ED52865" w:rsidR="00666246" w:rsidRPr="00EF7399" w:rsidRDefault="00512585" w:rsidP="00666246">
      <w:pPr>
        <w:pStyle w:val="ECHRBullet1"/>
        <w:rPr>
          <w:rFonts w:ascii="Times New Roman" w:hAnsi="Times New Roman" w:cs="Times New Roman"/>
          <w:iCs/>
          <w:lang w:val="af-ZA"/>
        </w:rPr>
      </w:pPr>
      <w:r w:rsidRPr="00EF7399">
        <w:rPr>
          <w:rFonts w:ascii="Times New Roman" w:hAnsi="Times New Roman" w:cs="Times New Roman"/>
          <w:lang w:val="af-ZA"/>
        </w:rPr>
        <w:t xml:space="preserve">մասնակցում էր հակագնչուական ցույցերի և ռազմականացված շքերթների </w:t>
      </w:r>
      <w:r w:rsidR="00666246" w:rsidRPr="00EF7399">
        <w:rPr>
          <w:rFonts w:ascii="Times New Roman" w:hAnsi="Times New Roman" w:cs="Times New Roman"/>
          <w:iCs/>
          <w:lang w:val="af-ZA"/>
        </w:rPr>
        <w:t>(</w:t>
      </w:r>
      <w:hyperlink r:id="rId425" w:history="1">
        <w:r w:rsidR="00666246" w:rsidRPr="00EF7399">
          <w:rPr>
            <w:rStyle w:val="Hyperlink"/>
            <w:rFonts w:ascii="Times New Roman" w:hAnsi="Times New Roman" w:cs="Times New Roman"/>
            <w:iCs/>
            <w:lang w:val="af-ZA"/>
          </w:rPr>
          <w:t>Vona</w:t>
        </w:r>
        <w:r w:rsidR="00873234" w:rsidRPr="00EF7399">
          <w:rPr>
            <w:rStyle w:val="Hyperlink"/>
            <w:rFonts w:ascii="Times New Roman" w:hAnsi="Times New Roman" w:cs="Times New Roman"/>
            <w:iCs/>
            <w:lang w:val="af-ZA"/>
          </w:rPr>
          <w:t xml:space="preserve"> v. </w:t>
        </w:r>
        <w:r w:rsidR="00666246" w:rsidRPr="00EF7399">
          <w:rPr>
            <w:rStyle w:val="Hyperlink"/>
            <w:rFonts w:ascii="Times New Roman" w:hAnsi="Times New Roman" w:cs="Times New Roman"/>
            <w:iCs/>
            <w:lang w:val="af-ZA"/>
          </w:rPr>
          <w:t>Hungary</w:t>
        </w:r>
      </w:hyperlink>
      <w:r w:rsidR="002762F8" w:rsidRPr="00EF7399">
        <w:rPr>
          <w:rStyle w:val="Hyperlink"/>
          <w:rFonts w:ascii="Times New Roman" w:hAnsi="Times New Roman" w:cs="Times New Roman"/>
          <w:i w:val="0"/>
          <w:color w:val="auto"/>
          <w:lang w:val="af-ZA"/>
        </w:rPr>
        <w:t xml:space="preserve">, </w:t>
      </w:r>
      <w:r w:rsidR="002762F8" w:rsidRPr="00EF7399">
        <w:rPr>
          <w:rFonts w:ascii="Times New Roman" w:hAnsi="Times New Roman" w:cs="Times New Roman"/>
          <w:lang w:val="af-ZA"/>
        </w:rPr>
        <w:t>2013,</w:t>
      </w:r>
      <w:r w:rsidR="00666246" w:rsidRPr="00EF7399">
        <w:rPr>
          <w:rFonts w:ascii="Times New Roman" w:hAnsi="Times New Roman" w:cs="Times New Roman"/>
          <w:iCs/>
          <w:lang w:val="af-ZA"/>
        </w:rPr>
        <w:t>)</w:t>
      </w:r>
      <w:r w:rsidRPr="00EF7399">
        <w:rPr>
          <w:rFonts w:ascii="Times New Roman" w:hAnsi="Times New Roman" w:cs="Times New Roman"/>
          <w:iCs/>
          <w:lang w:val="af-ZA"/>
        </w:rPr>
        <w:t>.</w:t>
      </w:r>
    </w:p>
    <w:p w14:paraId="5015B02A" w14:textId="1A75CFC8" w:rsidR="00666246" w:rsidRPr="00EF7399" w:rsidRDefault="00512585" w:rsidP="00666246">
      <w:pPr>
        <w:pStyle w:val="ECHRBullet1"/>
        <w:rPr>
          <w:rFonts w:ascii="Times New Roman" w:hAnsi="Times New Roman" w:cs="Times New Roman"/>
          <w:lang w:val="af-ZA"/>
        </w:rPr>
      </w:pPr>
      <w:r w:rsidRPr="00EF7399">
        <w:rPr>
          <w:rFonts w:ascii="Times New Roman" w:hAnsi="Times New Roman" w:cs="Times New Roman"/>
          <w:iCs/>
          <w:lang w:val="af-ZA"/>
        </w:rPr>
        <w:t xml:space="preserve">ներգրավված էր ֆուտբոլային խաղերի հետ կապված կրկնվող </w:t>
      </w:r>
      <w:r w:rsidR="00150954" w:rsidRPr="00EF7399">
        <w:rPr>
          <w:rFonts w:ascii="Times New Roman" w:hAnsi="Times New Roman" w:cs="Times New Roman"/>
          <w:iCs/>
          <w:lang w:val="af-ZA"/>
        </w:rPr>
        <w:t>բռն</w:t>
      </w:r>
      <w:r w:rsidR="00150954" w:rsidRPr="00EF7399">
        <w:rPr>
          <w:rFonts w:ascii="Times New Roman" w:hAnsi="Times New Roman" w:cs="Times New Roman"/>
          <w:iCs/>
          <w:lang w:val="hy-AM"/>
        </w:rPr>
        <w:t>արարքներում</w:t>
      </w:r>
      <w:r w:rsidR="00150954" w:rsidRPr="00EF7399">
        <w:rPr>
          <w:rFonts w:ascii="Times New Roman" w:hAnsi="Times New Roman" w:cs="Times New Roman"/>
          <w:iCs/>
          <w:lang w:val="af-ZA"/>
        </w:rPr>
        <w:t xml:space="preserve"> </w:t>
      </w:r>
      <w:r w:rsidR="00666246" w:rsidRPr="00EF7399">
        <w:rPr>
          <w:rFonts w:ascii="Times New Roman" w:hAnsi="Times New Roman" w:cs="Times New Roman"/>
          <w:iCs/>
          <w:lang w:val="af-ZA"/>
        </w:rPr>
        <w:t>(</w:t>
      </w:r>
      <w:hyperlink r:id="rId426" w:history="1">
        <w:r w:rsidR="00666246" w:rsidRPr="00EF7399">
          <w:rPr>
            <w:rStyle w:val="Hyperlink"/>
            <w:rFonts w:ascii="Times New Roman" w:hAnsi="Times New Roman" w:cs="Times New Roman"/>
            <w:iCs/>
            <w:lang w:val="af-ZA"/>
          </w:rPr>
          <w:t>Les Authentiks and Supras Auteuil 91</w:t>
        </w:r>
        <w:r w:rsidR="00873234" w:rsidRPr="00EF7399">
          <w:rPr>
            <w:rStyle w:val="Hyperlink"/>
            <w:rFonts w:ascii="Times New Roman" w:hAnsi="Times New Roman" w:cs="Times New Roman"/>
            <w:iCs/>
            <w:lang w:val="af-ZA"/>
          </w:rPr>
          <w:t xml:space="preserve"> v. </w:t>
        </w:r>
        <w:r w:rsidR="00666246" w:rsidRPr="00EF7399">
          <w:rPr>
            <w:rStyle w:val="Hyperlink"/>
            <w:rFonts w:ascii="Times New Roman" w:hAnsi="Times New Roman" w:cs="Times New Roman"/>
            <w:iCs/>
            <w:lang w:val="af-ZA"/>
          </w:rPr>
          <w:t>France</w:t>
        </w:r>
      </w:hyperlink>
      <w:r w:rsidR="00C46086" w:rsidRPr="00EF7399">
        <w:rPr>
          <w:rStyle w:val="Hyperlink"/>
          <w:rFonts w:ascii="Times New Roman" w:hAnsi="Times New Roman" w:cs="Times New Roman"/>
          <w:i w:val="0"/>
          <w:color w:val="auto"/>
          <w:lang w:val="af-ZA"/>
        </w:rPr>
        <w:t xml:space="preserve">, </w:t>
      </w:r>
      <w:r w:rsidR="00C46086" w:rsidRPr="00EF7399">
        <w:rPr>
          <w:rFonts w:ascii="Times New Roman" w:hAnsi="Times New Roman" w:cs="Times New Roman"/>
          <w:lang w:val="af-ZA"/>
        </w:rPr>
        <w:t>2016</w:t>
      </w:r>
      <w:r w:rsidR="00666246" w:rsidRPr="00EF7399">
        <w:rPr>
          <w:rFonts w:ascii="Times New Roman" w:hAnsi="Times New Roman" w:cs="Times New Roman"/>
          <w:iCs/>
          <w:lang w:val="af-ZA"/>
        </w:rPr>
        <w:t>)</w:t>
      </w:r>
      <w:r w:rsidRPr="00EF7399">
        <w:rPr>
          <w:rFonts w:ascii="Times New Roman" w:hAnsi="Times New Roman" w:cs="Times New Roman"/>
          <w:iCs/>
          <w:lang w:val="af-ZA"/>
        </w:rPr>
        <w:t>.</w:t>
      </w:r>
    </w:p>
    <w:p w14:paraId="6B140908" w14:textId="73C59742" w:rsidR="00C20E62" w:rsidRPr="00EF7399" w:rsidRDefault="00512585" w:rsidP="00666246">
      <w:pPr>
        <w:pStyle w:val="ECHRBullet1"/>
        <w:rPr>
          <w:rFonts w:ascii="Times New Roman" w:hAnsi="Times New Roman" w:cs="Times New Roman"/>
          <w:lang w:val="af-ZA"/>
        </w:rPr>
      </w:pPr>
      <w:r w:rsidRPr="00EF7399">
        <w:rPr>
          <w:rFonts w:ascii="Times New Roman" w:hAnsi="Times New Roman" w:cs="Times New Roman"/>
          <w:iCs/>
          <w:lang w:val="af-ZA"/>
        </w:rPr>
        <w:t>ուներ մասնավոր միլիցիայի հատկանիշներ և մասնակ</w:t>
      </w:r>
      <w:r w:rsidR="006719A4" w:rsidRPr="00EF7399">
        <w:rPr>
          <w:rFonts w:ascii="Times New Roman" w:hAnsi="Times New Roman" w:cs="Times New Roman"/>
          <w:iCs/>
          <w:lang w:val="af-ZA"/>
        </w:rPr>
        <w:t>ցում</w:t>
      </w:r>
      <w:r w:rsidRPr="00EF7399">
        <w:rPr>
          <w:rFonts w:ascii="Times New Roman" w:hAnsi="Times New Roman" w:cs="Times New Roman"/>
          <w:iCs/>
          <w:lang w:val="af-ZA"/>
        </w:rPr>
        <w:t xml:space="preserve"> էր բռնության և հասարակական անկարգության դեպքերի </w:t>
      </w:r>
      <w:r w:rsidR="00105571" w:rsidRPr="00EF7399">
        <w:rPr>
          <w:rFonts w:ascii="Times New Roman" w:hAnsi="Times New Roman" w:cs="Times New Roman"/>
          <w:iCs/>
          <w:lang w:val="af-ZA"/>
        </w:rPr>
        <w:t>(</w:t>
      </w:r>
      <w:hyperlink r:id="rId427" w:history="1">
        <w:r w:rsidR="00105571" w:rsidRPr="00EF7399">
          <w:rPr>
            <w:rStyle w:val="Hyperlink"/>
            <w:rFonts w:ascii="Times New Roman" w:hAnsi="Times New Roman" w:cs="Times New Roman"/>
            <w:iCs/>
            <w:lang w:val="af-ZA"/>
          </w:rPr>
          <w:t>Ayoub and Others</w:t>
        </w:r>
        <w:r w:rsidR="00873234" w:rsidRPr="00EF7399">
          <w:rPr>
            <w:rStyle w:val="Hyperlink"/>
            <w:rFonts w:ascii="Times New Roman" w:hAnsi="Times New Roman" w:cs="Times New Roman"/>
            <w:iCs/>
            <w:lang w:val="af-ZA"/>
          </w:rPr>
          <w:t xml:space="preserve"> v. </w:t>
        </w:r>
        <w:r w:rsidR="00105571" w:rsidRPr="00EF7399">
          <w:rPr>
            <w:rStyle w:val="Hyperlink"/>
            <w:rFonts w:ascii="Times New Roman" w:hAnsi="Times New Roman" w:cs="Times New Roman"/>
            <w:iCs/>
            <w:lang w:val="af-ZA"/>
          </w:rPr>
          <w:t>France</w:t>
        </w:r>
      </w:hyperlink>
      <w:r w:rsidR="007A38BA" w:rsidRPr="00EF7399">
        <w:rPr>
          <w:rStyle w:val="Hyperlink"/>
          <w:rFonts w:ascii="Times New Roman" w:hAnsi="Times New Roman" w:cs="Times New Roman"/>
          <w:i w:val="0"/>
          <w:color w:val="auto"/>
          <w:lang w:val="af-ZA"/>
        </w:rPr>
        <w:t xml:space="preserve">, </w:t>
      </w:r>
      <w:r w:rsidR="007A38BA" w:rsidRPr="00EF7399">
        <w:rPr>
          <w:rFonts w:ascii="Times New Roman" w:hAnsi="Times New Roman" w:cs="Times New Roman"/>
          <w:lang w:val="af-ZA"/>
        </w:rPr>
        <w:t>2020</w:t>
      </w:r>
      <w:r w:rsidR="00105571" w:rsidRPr="00EF7399">
        <w:rPr>
          <w:rFonts w:ascii="Times New Roman" w:hAnsi="Times New Roman" w:cs="Times New Roman"/>
          <w:iCs/>
          <w:lang w:val="af-ZA"/>
        </w:rPr>
        <w:t>)</w:t>
      </w:r>
      <w:r w:rsidRPr="00EF7399">
        <w:rPr>
          <w:rFonts w:ascii="Times New Roman" w:hAnsi="Times New Roman" w:cs="Times New Roman"/>
          <w:iCs/>
          <w:lang w:val="af-ZA"/>
        </w:rPr>
        <w:t>:</w:t>
      </w:r>
    </w:p>
    <w:p w14:paraId="7AAB6692" w14:textId="3DD838AE" w:rsidR="00FE52C1" w:rsidRPr="00EF7399" w:rsidRDefault="00A83DAB" w:rsidP="00A83DAB">
      <w:pPr>
        <w:pStyle w:val="ECHRHeading2"/>
        <w:numPr>
          <w:ilvl w:val="0"/>
          <w:numId w:val="0"/>
        </w:numPr>
        <w:rPr>
          <w:rFonts w:ascii="Times New Roman" w:eastAsiaTheme="minorHAnsi" w:hAnsi="Times New Roman" w:cs="Times New Roman"/>
          <w:color w:val="auto"/>
          <w:szCs w:val="32"/>
          <w:lang w:val="af-ZA"/>
        </w:rPr>
      </w:pPr>
      <w:bookmarkStart w:id="87" w:name="_Toc159945246"/>
      <w:r>
        <w:rPr>
          <w:rFonts w:ascii="Times New Roman" w:hAnsi="Times New Roman" w:cs="Times New Roman"/>
          <w:szCs w:val="32"/>
          <w:lang w:val="hy-AM"/>
        </w:rPr>
        <w:t xml:space="preserve">Ե․ </w:t>
      </w:r>
      <w:r w:rsidR="00512585" w:rsidRPr="00EF7399">
        <w:rPr>
          <w:rFonts w:ascii="Times New Roman" w:hAnsi="Times New Roman" w:cs="Times New Roman"/>
          <w:szCs w:val="32"/>
          <w:lang w:val="af-ZA"/>
        </w:rPr>
        <w:t>Միավորումների առանձին տեսակներ</w:t>
      </w:r>
      <w:bookmarkEnd w:id="87"/>
    </w:p>
    <w:p w14:paraId="1C8AFA2F" w14:textId="63B2E6E6" w:rsidR="00F64E7B" w:rsidRPr="00EF7399" w:rsidRDefault="00FE52C1" w:rsidP="00A3262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175</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512585" w:rsidRPr="00EF7399">
        <w:rPr>
          <w:rFonts w:ascii="Times New Roman" w:hAnsi="Times New Roman" w:cs="Times New Roman"/>
          <w:lang w:val="af-ZA"/>
        </w:rPr>
        <w:t xml:space="preserve">Թեև 11-րդ հոդվածը </w:t>
      </w:r>
      <w:r w:rsidR="00607738" w:rsidRPr="00EF7399">
        <w:rPr>
          <w:rFonts w:ascii="Times New Roman" w:hAnsi="Times New Roman" w:cs="Times New Roman"/>
          <w:lang w:val="hy-AM"/>
        </w:rPr>
        <w:t>չի բացառում</w:t>
      </w:r>
      <w:r w:rsidR="00AD7EB4" w:rsidRPr="00EF7399">
        <w:rPr>
          <w:rFonts w:ascii="Times New Roman" w:hAnsi="Times New Roman" w:cs="Times New Roman"/>
          <w:lang w:val="af-ZA"/>
        </w:rPr>
        <w:t xml:space="preserve"> իր պաշտպանությունը միավորման </w:t>
      </w:r>
      <w:r w:rsidR="00607738" w:rsidRPr="00EF7399">
        <w:rPr>
          <w:rFonts w:ascii="Times New Roman" w:hAnsi="Times New Roman" w:cs="Times New Roman"/>
          <w:lang w:val="hy-AM"/>
        </w:rPr>
        <w:t>որևէ</w:t>
      </w:r>
      <w:r w:rsidR="00607738" w:rsidRPr="00EF7399">
        <w:rPr>
          <w:rFonts w:ascii="Times New Roman" w:hAnsi="Times New Roman" w:cs="Times New Roman"/>
          <w:lang w:val="af-ZA"/>
        </w:rPr>
        <w:t xml:space="preserve"> </w:t>
      </w:r>
      <w:r w:rsidR="00AD7EB4" w:rsidRPr="00EF7399">
        <w:rPr>
          <w:rFonts w:ascii="Times New Roman" w:hAnsi="Times New Roman" w:cs="Times New Roman"/>
          <w:lang w:val="af-ZA"/>
        </w:rPr>
        <w:t xml:space="preserve">տեսակի </w:t>
      </w:r>
      <w:r w:rsidR="00607738" w:rsidRPr="00EF7399">
        <w:rPr>
          <w:rFonts w:ascii="Times New Roman" w:hAnsi="Times New Roman" w:cs="Times New Roman"/>
          <w:lang w:val="hy-AM"/>
        </w:rPr>
        <w:t>համար</w:t>
      </w:r>
      <w:r w:rsidR="00AD7EB4" w:rsidRPr="00EF7399">
        <w:rPr>
          <w:rFonts w:ascii="Times New Roman" w:hAnsi="Times New Roman" w:cs="Times New Roman"/>
          <w:lang w:val="af-ZA"/>
        </w:rPr>
        <w:t>, Դատարանի նախադեպային իրավունքում որպես ժողովրդավարական հասարակությունում առանցքային դերակատարներ</w:t>
      </w:r>
      <w:r w:rsidR="00607738" w:rsidRPr="00EF7399">
        <w:rPr>
          <w:rFonts w:ascii="Times New Roman" w:hAnsi="Times New Roman" w:cs="Times New Roman"/>
          <w:lang w:val="hy-AM"/>
        </w:rPr>
        <w:t>՝</w:t>
      </w:r>
      <w:r w:rsidR="00AD7EB4" w:rsidRPr="00EF7399">
        <w:rPr>
          <w:rFonts w:ascii="Times New Roman" w:hAnsi="Times New Roman" w:cs="Times New Roman"/>
          <w:lang w:val="af-ZA"/>
        </w:rPr>
        <w:t xml:space="preserve"> առավել հաճախ են հանդիպում քաղաքական կուսակցությունները, փոքրամասն</w:t>
      </w:r>
      <w:r w:rsidR="00607738" w:rsidRPr="00EF7399">
        <w:rPr>
          <w:rFonts w:ascii="Times New Roman" w:hAnsi="Times New Roman" w:cs="Times New Roman"/>
          <w:lang w:val="hy-AM"/>
        </w:rPr>
        <w:t>ական</w:t>
      </w:r>
      <w:r w:rsidR="00AD7EB4" w:rsidRPr="00EF7399">
        <w:rPr>
          <w:rFonts w:ascii="Times New Roman" w:hAnsi="Times New Roman" w:cs="Times New Roman"/>
          <w:lang w:val="af-ZA"/>
        </w:rPr>
        <w:t xml:space="preserve"> միավորումները և կրոնական միավորումները: Արհեստակցական միությունները</w:t>
      </w:r>
      <w:r w:rsidR="00607738" w:rsidRPr="00EF7399">
        <w:rPr>
          <w:rFonts w:ascii="Times New Roman" w:hAnsi="Times New Roman" w:cs="Times New Roman"/>
          <w:lang w:val="hy-AM"/>
        </w:rPr>
        <w:t>՝</w:t>
      </w:r>
      <w:r w:rsidR="00AD7EB4" w:rsidRPr="00EF7399">
        <w:rPr>
          <w:rFonts w:ascii="Times New Roman" w:hAnsi="Times New Roman" w:cs="Times New Roman"/>
          <w:lang w:val="af-ZA"/>
        </w:rPr>
        <w:t xml:space="preserve"> որպես 11-րդ հոդվածում բացահայտ նշված միավորման միակ տեսակ</w:t>
      </w:r>
      <w:r w:rsidR="0051532E" w:rsidRPr="00EF7399">
        <w:rPr>
          <w:rFonts w:ascii="Times New Roman" w:hAnsi="Times New Roman" w:cs="Times New Roman"/>
          <w:lang w:val="af-ZA"/>
        </w:rPr>
        <w:t xml:space="preserve">, </w:t>
      </w:r>
      <w:r w:rsidR="00607738" w:rsidRPr="00EF7399">
        <w:rPr>
          <w:rFonts w:ascii="Times New Roman" w:hAnsi="Times New Roman" w:cs="Times New Roman"/>
          <w:lang w:val="af-ZA"/>
        </w:rPr>
        <w:t xml:space="preserve">դիտարկվելու են առանձին` </w:t>
      </w:r>
      <w:r w:rsidR="00607738" w:rsidRPr="00EF7399">
        <w:rPr>
          <w:rFonts w:ascii="Times New Roman" w:hAnsi="Times New Roman" w:cs="Times New Roman"/>
          <w:lang w:val="hy-AM"/>
        </w:rPr>
        <w:t xml:space="preserve">Մաս </w:t>
      </w:r>
      <w:r w:rsidR="00607738" w:rsidRPr="00EF7399">
        <w:rPr>
          <w:rFonts w:ascii="Times New Roman" w:hAnsi="Times New Roman" w:cs="Times New Roman"/>
          <w:lang w:val="af-ZA"/>
        </w:rPr>
        <w:t>3-</w:t>
      </w:r>
      <w:r w:rsidR="00607738" w:rsidRPr="00EF7399">
        <w:rPr>
          <w:rFonts w:ascii="Times New Roman" w:hAnsi="Times New Roman" w:cs="Times New Roman"/>
          <w:lang w:val="hy-AM"/>
        </w:rPr>
        <w:t>ում՝</w:t>
      </w:r>
      <w:r w:rsidR="0051532E" w:rsidRPr="00EF7399">
        <w:rPr>
          <w:rFonts w:ascii="Times New Roman" w:hAnsi="Times New Roman" w:cs="Times New Roman"/>
          <w:lang w:val="af-ZA"/>
        </w:rPr>
        <w:t xml:space="preserve"> ելնելով դրանց առանձնահատկություններից և դերից:</w:t>
      </w:r>
    </w:p>
    <w:p w14:paraId="1AAC9C64" w14:textId="2C10D026" w:rsidR="00FE52C1" w:rsidRPr="00E44946" w:rsidRDefault="003B5E66" w:rsidP="00E44946">
      <w:pPr>
        <w:pStyle w:val="ECHRHeading3"/>
        <w:numPr>
          <w:ilvl w:val="2"/>
          <w:numId w:val="56"/>
        </w:numPr>
        <w:rPr>
          <w:rFonts w:ascii="Times New Roman" w:eastAsiaTheme="minorHAnsi" w:hAnsi="Times New Roman" w:cs="Times New Roman"/>
          <w:color w:val="auto"/>
          <w:sz w:val="22"/>
          <w:lang w:val="af-ZA"/>
        </w:rPr>
      </w:pPr>
      <w:bookmarkStart w:id="88" w:name="_Toc159945247"/>
      <w:r w:rsidRPr="00E44946">
        <w:rPr>
          <w:rFonts w:ascii="Times New Roman" w:hAnsi="Times New Roman" w:cs="Times New Roman"/>
          <w:lang w:val="af-ZA"/>
        </w:rPr>
        <w:lastRenderedPageBreak/>
        <w:t>Քաղաքական կուսակցություններ</w:t>
      </w:r>
      <w:bookmarkEnd w:id="88"/>
    </w:p>
    <w:p w14:paraId="6AF86E75" w14:textId="74FBBCF8" w:rsidR="00F64E7B" w:rsidRPr="00EF7399" w:rsidRDefault="00FE52C1" w:rsidP="00A32622">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176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3B5E66" w:rsidRPr="00EF7399">
        <w:rPr>
          <w:rFonts w:ascii="Times New Roman" w:hAnsi="Times New Roman" w:cs="Times New Roman"/>
          <w:lang w:val="af-ZA"/>
        </w:rPr>
        <w:t xml:space="preserve">Հաշվի առնելով բազմակարծության և ժողովրդավարության </w:t>
      </w:r>
      <w:r w:rsidR="00593610" w:rsidRPr="00EF7399">
        <w:rPr>
          <w:rFonts w:ascii="Times New Roman" w:hAnsi="Times New Roman" w:cs="Times New Roman"/>
          <w:lang w:val="hy-AM"/>
        </w:rPr>
        <w:t>պատշաճ</w:t>
      </w:r>
      <w:r w:rsidR="00593610" w:rsidRPr="00EF7399">
        <w:rPr>
          <w:rFonts w:ascii="Times New Roman" w:hAnsi="Times New Roman" w:cs="Times New Roman"/>
          <w:lang w:val="af-ZA"/>
        </w:rPr>
        <w:t xml:space="preserve"> </w:t>
      </w:r>
      <w:r w:rsidR="00593610" w:rsidRPr="00EF7399">
        <w:rPr>
          <w:rFonts w:ascii="Times New Roman" w:hAnsi="Times New Roman" w:cs="Times New Roman"/>
          <w:lang w:val="hy-AM"/>
        </w:rPr>
        <w:t>գործառութավորման</w:t>
      </w:r>
      <w:r w:rsidR="00593610" w:rsidRPr="00EF7399">
        <w:rPr>
          <w:rFonts w:ascii="Times New Roman" w:hAnsi="Times New Roman" w:cs="Times New Roman"/>
          <w:lang w:val="af-ZA"/>
        </w:rPr>
        <w:t xml:space="preserve">  </w:t>
      </w:r>
      <w:r w:rsidR="003B5E66" w:rsidRPr="00EF7399">
        <w:rPr>
          <w:rFonts w:ascii="Times New Roman" w:hAnsi="Times New Roman" w:cs="Times New Roman"/>
          <w:lang w:val="af-ZA"/>
        </w:rPr>
        <w:t>երաշխավորման գործում քաղաքական կուսակցությունների</w:t>
      </w:r>
      <w:r w:rsidR="00CC7D1D" w:rsidRPr="00EF7399">
        <w:rPr>
          <w:rFonts w:ascii="Times New Roman" w:hAnsi="Times New Roman" w:cs="Times New Roman"/>
          <w:lang w:val="af-ZA"/>
        </w:rPr>
        <w:t xml:space="preserve"> </w:t>
      </w:r>
      <w:r w:rsidR="003B5E66" w:rsidRPr="00EF7399">
        <w:rPr>
          <w:rFonts w:ascii="Times New Roman" w:hAnsi="Times New Roman" w:cs="Times New Roman"/>
          <w:lang w:val="af-ZA"/>
        </w:rPr>
        <w:t>կենսական դերը</w:t>
      </w:r>
      <w:r w:rsidR="00730881" w:rsidRPr="00EF7399">
        <w:rPr>
          <w:rFonts w:ascii="Times New Roman" w:hAnsi="Times New Roman" w:cs="Times New Roman"/>
          <w:lang w:val="af-ZA"/>
        </w:rPr>
        <w:t>՝</w:t>
      </w:r>
      <w:r w:rsidR="00F71295" w:rsidRPr="00EF7399">
        <w:rPr>
          <w:rFonts w:ascii="Times New Roman" w:hAnsi="Times New Roman" w:cs="Times New Roman"/>
          <w:lang w:val="af-ZA"/>
        </w:rPr>
        <w:t xml:space="preserve"> դրանց դեմ ձեռնարկած ցանկացած միջոց ազդում է թե՛ միավորումների ազատության</w:t>
      </w:r>
      <w:r w:rsidR="00593610" w:rsidRPr="00EF7399">
        <w:rPr>
          <w:rFonts w:ascii="Times New Roman" w:hAnsi="Times New Roman" w:cs="Times New Roman"/>
          <w:lang w:val="hy-AM"/>
        </w:rPr>
        <w:t xml:space="preserve"> և </w:t>
      </w:r>
      <w:r w:rsidR="00F71295" w:rsidRPr="00EF7399">
        <w:rPr>
          <w:rFonts w:ascii="Times New Roman" w:hAnsi="Times New Roman" w:cs="Times New Roman"/>
          <w:lang w:val="af-ZA"/>
        </w:rPr>
        <w:t xml:space="preserve">թե՛ </w:t>
      </w:r>
      <w:r w:rsidR="00593610" w:rsidRPr="00EF7399">
        <w:rPr>
          <w:rFonts w:ascii="Times New Roman" w:hAnsi="Times New Roman" w:cs="Times New Roman"/>
          <w:lang w:val="hy-AM"/>
        </w:rPr>
        <w:t xml:space="preserve">այդպիսով, </w:t>
      </w:r>
      <w:r w:rsidR="00F71295" w:rsidRPr="00EF7399">
        <w:rPr>
          <w:rFonts w:ascii="Times New Roman" w:hAnsi="Times New Roman" w:cs="Times New Roman"/>
          <w:lang w:val="af-ZA"/>
        </w:rPr>
        <w:t xml:space="preserve">տվյալ պետությունում ժողովրդավարության վրա </w:t>
      </w:r>
      <w:r w:rsidRPr="00EF7399">
        <w:rPr>
          <w:rFonts w:ascii="Times New Roman" w:hAnsi="Times New Roman" w:cs="Times New Roman"/>
          <w:lang w:val="af-ZA"/>
        </w:rPr>
        <w:t>(</w:t>
      </w:r>
      <w:hyperlink r:id="rId428" w:history="1">
        <w:r w:rsidRPr="00EF7399">
          <w:rPr>
            <w:rStyle w:val="Hyperlink"/>
            <w:rFonts w:ascii="Times New Roman" w:hAnsi="Times New Roman" w:cs="Times New Roman"/>
            <w:lang w:val="af-ZA"/>
          </w:rPr>
          <w:t>Republican Party of Russia</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Russia</w:t>
        </w:r>
      </w:hyperlink>
      <w:r w:rsidRPr="00EF7399">
        <w:rPr>
          <w:rFonts w:ascii="Times New Roman" w:hAnsi="Times New Roman" w:cs="Times New Roman"/>
          <w:lang w:val="af-ZA"/>
        </w:rPr>
        <w:t xml:space="preserve">, </w:t>
      </w:r>
      <w:r w:rsidR="00F11699" w:rsidRPr="00EF7399">
        <w:rPr>
          <w:rFonts w:ascii="Times New Roman" w:hAnsi="Times New Roman" w:cs="Times New Roman"/>
          <w:lang w:val="af-ZA"/>
        </w:rPr>
        <w:t xml:space="preserve">2011, </w:t>
      </w:r>
      <w:r w:rsidR="00873234" w:rsidRPr="00EF7399">
        <w:rPr>
          <w:rFonts w:ascii="Times New Roman" w:hAnsi="Times New Roman" w:cs="Times New Roman"/>
          <w:lang w:val="af-ZA"/>
        </w:rPr>
        <w:t>§ </w:t>
      </w:r>
      <w:r w:rsidRPr="00EF7399">
        <w:rPr>
          <w:rFonts w:ascii="Times New Roman" w:hAnsi="Times New Roman" w:cs="Times New Roman"/>
          <w:lang w:val="af-ZA"/>
        </w:rPr>
        <w:t>78)</w:t>
      </w:r>
      <w:r w:rsidR="00F71295" w:rsidRPr="00EF7399">
        <w:rPr>
          <w:rFonts w:ascii="Times New Roman" w:hAnsi="Times New Roman" w:cs="Times New Roman"/>
          <w:lang w:val="af-ZA"/>
        </w:rPr>
        <w:t xml:space="preserve">: </w:t>
      </w:r>
      <w:r w:rsidRPr="00EF7399">
        <w:rPr>
          <w:rFonts w:ascii="Times New Roman" w:hAnsi="Times New Roman" w:cs="Times New Roman"/>
          <w:lang w:val="af-ZA"/>
        </w:rPr>
        <w:t xml:space="preserve"> </w:t>
      </w:r>
      <w:r w:rsidR="00F71295" w:rsidRPr="00EF7399">
        <w:rPr>
          <w:rFonts w:ascii="Times New Roman" w:hAnsi="Times New Roman" w:cs="Times New Roman"/>
          <w:lang w:val="af-ZA"/>
        </w:rPr>
        <w:t xml:space="preserve">Հետևաբար, 11-րդ հոդվածում ամրագրված բացառությունները պետք է հստակ մեկնաբանվեն, </w:t>
      </w:r>
      <w:r w:rsidR="00593610" w:rsidRPr="00EF7399">
        <w:rPr>
          <w:rFonts w:ascii="Times New Roman" w:hAnsi="Times New Roman" w:cs="Times New Roman"/>
          <w:lang w:val="hy-AM"/>
        </w:rPr>
        <w:t xml:space="preserve">և </w:t>
      </w:r>
      <w:r w:rsidR="00F71295" w:rsidRPr="00EF7399">
        <w:rPr>
          <w:rFonts w:ascii="Times New Roman" w:hAnsi="Times New Roman" w:cs="Times New Roman"/>
          <w:lang w:val="af-ZA"/>
        </w:rPr>
        <w:t xml:space="preserve">միայն համոզիչ </w:t>
      </w:r>
      <w:r w:rsidR="00593610" w:rsidRPr="00EF7399">
        <w:rPr>
          <w:rFonts w:ascii="Times New Roman" w:hAnsi="Times New Roman" w:cs="Times New Roman"/>
          <w:lang w:val="hy-AM"/>
        </w:rPr>
        <w:t>ու</w:t>
      </w:r>
      <w:r w:rsidR="00F71295" w:rsidRPr="00EF7399">
        <w:rPr>
          <w:rFonts w:ascii="Times New Roman" w:hAnsi="Times New Roman" w:cs="Times New Roman"/>
          <w:lang w:val="af-ZA"/>
        </w:rPr>
        <w:t xml:space="preserve"> անհերքելի փաստարկներ</w:t>
      </w:r>
      <w:r w:rsidR="00593610" w:rsidRPr="00EF7399">
        <w:rPr>
          <w:rFonts w:ascii="Times New Roman" w:hAnsi="Times New Roman" w:cs="Times New Roman"/>
          <w:lang w:val="hy-AM"/>
        </w:rPr>
        <w:t>ը</w:t>
      </w:r>
      <w:r w:rsidR="00F71295" w:rsidRPr="00EF7399">
        <w:rPr>
          <w:rFonts w:ascii="Times New Roman" w:hAnsi="Times New Roman" w:cs="Times New Roman"/>
          <w:lang w:val="af-ZA"/>
        </w:rPr>
        <w:t xml:space="preserve"> </w:t>
      </w:r>
      <w:r w:rsidR="00593610" w:rsidRPr="00EF7399">
        <w:rPr>
          <w:rFonts w:ascii="Times New Roman" w:hAnsi="Times New Roman" w:cs="Times New Roman"/>
          <w:lang w:val="hy-AM"/>
        </w:rPr>
        <w:t>կարող են</w:t>
      </w:r>
      <w:r w:rsidR="00F71295" w:rsidRPr="00EF7399">
        <w:rPr>
          <w:rFonts w:ascii="Times New Roman" w:hAnsi="Times New Roman" w:cs="Times New Roman"/>
          <w:lang w:val="af-ZA"/>
        </w:rPr>
        <w:t xml:space="preserve"> հիմնավորել նման կուսակցությունների միավորման ազատության սահմանափակումները </w:t>
      </w:r>
      <w:r w:rsidRPr="00EF7399">
        <w:rPr>
          <w:rFonts w:ascii="Times New Roman" w:hAnsi="Times New Roman" w:cs="Times New Roman"/>
          <w:lang w:val="af-ZA"/>
        </w:rPr>
        <w:t>(</w:t>
      </w:r>
      <w:hyperlink r:id="rId429" w:history="1">
        <w:r w:rsidRPr="00EF7399">
          <w:rPr>
            <w:rStyle w:val="Hyperlink"/>
            <w:rFonts w:ascii="Times New Roman" w:hAnsi="Times New Roman" w:cs="Times New Roman"/>
            <w:lang w:val="af-ZA"/>
          </w:rPr>
          <w:t>United Communist Party of Turkey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w:t>
      </w:r>
      <w:r w:rsidR="007A38BA" w:rsidRPr="00EF7399">
        <w:rPr>
          <w:rFonts w:ascii="Times New Roman" w:hAnsi="Times New Roman" w:cs="Times New Roman"/>
          <w:lang w:val="af-ZA"/>
        </w:rPr>
        <w:t xml:space="preserve">1998, </w:t>
      </w:r>
      <w:r w:rsidR="00873234" w:rsidRPr="00EF7399">
        <w:rPr>
          <w:rFonts w:ascii="Times New Roman" w:hAnsi="Times New Roman" w:cs="Times New Roman"/>
          <w:lang w:val="af-ZA"/>
        </w:rPr>
        <w:t>§ </w:t>
      </w:r>
      <w:r w:rsidRPr="00EF7399">
        <w:rPr>
          <w:rFonts w:ascii="Times New Roman" w:hAnsi="Times New Roman" w:cs="Times New Roman"/>
          <w:lang w:val="af-ZA"/>
        </w:rPr>
        <w:t>46)</w:t>
      </w:r>
      <w:r w:rsidR="00F71295" w:rsidRPr="00EF7399">
        <w:rPr>
          <w:rFonts w:ascii="Times New Roman" w:hAnsi="Times New Roman" w:cs="Times New Roman"/>
          <w:lang w:val="af-ZA"/>
        </w:rPr>
        <w:t>:</w:t>
      </w:r>
      <w:r w:rsidRPr="00EF7399">
        <w:rPr>
          <w:rFonts w:ascii="Times New Roman" w:hAnsi="Times New Roman" w:cs="Times New Roman"/>
          <w:lang w:val="af-ZA"/>
        </w:rPr>
        <w:t xml:space="preserve"> </w:t>
      </w:r>
      <w:r w:rsidR="00F71295" w:rsidRPr="00EF7399">
        <w:rPr>
          <w:rFonts w:ascii="Times New Roman" w:hAnsi="Times New Roman" w:cs="Times New Roman"/>
          <w:lang w:val="af-ZA"/>
        </w:rPr>
        <w:t xml:space="preserve">Այդուհանդերձ, </w:t>
      </w:r>
      <w:r w:rsidR="00C1028F" w:rsidRPr="00EF7399">
        <w:rPr>
          <w:rFonts w:ascii="Times New Roman" w:hAnsi="Times New Roman" w:cs="Times New Roman"/>
          <w:lang w:val="af-ZA"/>
        </w:rPr>
        <w:t xml:space="preserve">պետությունը կարող է արդարացվել </w:t>
      </w:r>
      <w:r w:rsidR="00F71295" w:rsidRPr="00EF7399">
        <w:rPr>
          <w:rFonts w:ascii="Times New Roman" w:hAnsi="Times New Roman" w:cs="Times New Roman"/>
          <w:lang w:val="af-ZA"/>
        </w:rPr>
        <w:t xml:space="preserve">Կոնվենցիայի 1-ին հոդվածում ամրագրված </w:t>
      </w:r>
      <w:r w:rsidR="00C1028F" w:rsidRPr="00EF7399">
        <w:rPr>
          <w:rFonts w:ascii="Times New Roman" w:hAnsi="Times New Roman" w:cs="Times New Roman"/>
          <w:lang w:val="af-ZA"/>
        </w:rPr>
        <w:t xml:space="preserve">իր </w:t>
      </w:r>
      <w:r w:rsidR="00F71295" w:rsidRPr="00EF7399">
        <w:rPr>
          <w:rFonts w:ascii="Times New Roman" w:hAnsi="Times New Roman" w:cs="Times New Roman"/>
          <w:lang w:val="af-ZA"/>
        </w:rPr>
        <w:t>պոզիտիվ պարտավորություններ</w:t>
      </w:r>
      <w:r w:rsidR="00C1028F" w:rsidRPr="00EF7399">
        <w:rPr>
          <w:rFonts w:ascii="Times New Roman" w:hAnsi="Times New Roman" w:cs="Times New Roman"/>
          <w:lang w:val="af-ZA"/>
        </w:rPr>
        <w:t xml:space="preserve">ի </w:t>
      </w:r>
      <w:r w:rsidR="00593610" w:rsidRPr="00EF7399">
        <w:rPr>
          <w:rFonts w:ascii="Times New Roman" w:hAnsi="Times New Roman" w:cs="Times New Roman"/>
          <w:lang w:val="hy-AM"/>
        </w:rPr>
        <w:t>հիմքով</w:t>
      </w:r>
      <w:r w:rsidR="00C1028F" w:rsidRPr="00EF7399">
        <w:rPr>
          <w:rFonts w:ascii="Times New Roman" w:hAnsi="Times New Roman" w:cs="Times New Roman"/>
          <w:lang w:val="af-ZA"/>
        </w:rPr>
        <w:t xml:space="preserve">` քաղաքական կուսակցությունների վրա </w:t>
      </w:r>
      <w:r w:rsidR="00F71295" w:rsidRPr="00EF7399">
        <w:rPr>
          <w:rFonts w:ascii="Times New Roman" w:hAnsi="Times New Roman" w:cs="Times New Roman"/>
          <w:lang w:val="af-ZA"/>
        </w:rPr>
        <w:t>Կոնվենցիայով երաշխավորված իրավունքները և ազատությունները հարգելու</w:t>
      </w:r>
      <w:r w:rsidR="00C1028F" w:rsidRPr="00EF7399">
        <w:rPr>
          <w:rFonts w:ascii="Times New Roman" w:hAnsi="Times New Roman" w:cs="Times New Roman"/>
          <w:lang w:val="af-ZA"/>
        </w:rPr>
        <w:t xml:space="preserve"> և երաշխավորելու պարտականություն, ինչպես նաև ժողովրդավարության հիմնարար սկզբունքներին հակասող քաղաքական ծրագիր չառաջադրելու պարտավորություն սահմանելու համար</w:t>
      </w:r>
      <w:r w:rsidR="00F71295"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430" w:history="1">
        <w:r w:rsidRPr="00EF7399">
          <w:rPr>
            <w:rStyle w:val="Hyperlink"/>
            <w:rFonts w:ascii="Times New Roman" w:hAnsi="Times New Roman" w:cs="Times New Roman"/>
            <w:lang w:val="af-ZA"/>
          </w:rPr>
          <w:t>Refah Partisi (The Welfare Party)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i/>
          <w:lang w:val="af-ZA"/>
        </w:rPr>
        <w:t xml:space="preserve">, </w:t>
      </w:r>
      <w:r w:rsidR="001772F8" w:rsidRPr="00EF7399">
        <w:rPr>
          <w:rFonts w:ascii="Times New Roman" w:hAnsi="Times New Roman" w:cs="Times New Roman"/>
          <w:lang w:val="af-ZA"/>
        </w:rPr>
        <w:t xml:space="preserve">2003, </w:t>
      </w:r>
      <w:r w:rsidR="00873234" w:rsidRPr="00EF7399">
        <w:rPr>
          <w:rFonts w:ascii="Times New Roman" w:hAnsi="Times New Roman" w:cs="Times New Roman"/>
          <w:lang w:val="af-ZA"/>
        </w:rPr>
        <w:t>§ </w:t>
      </w:r>
      <w:r w:rsidRPr="00EF7399">
        <w:rPr>
          <w:rFonts w:ascii="Times New Roman" w:hAnsi="Times New Roman" w:cs="Times New Roman"/>
          <w:lang w:val="af-ZA"/>
        </w:rPr>
        <w:t>103)</w:t>
      </w:r>
      <w:r w:rsidR="00C1028F" w:rsidRPr="00EF7399">
        <w:rPr>
          <w:rFonts w:ascii="Times New Roman" w:hAnsi="Times New Roman" w:cs="Times New Roman"/>
          <w:lang w:val="af-ZA"/>
        </w:rPr>
        <w:t>:</w:t>
      </w:r>
    </w:p>
    <w:p w14:paraId="57B27F4E" w14:textId="24A927FE" w:rsidR="00FE52C1" w:rsidRPr="00EF7399" w:rsidRDefault="00A83DAB" w:rsidP="00A83DAB">
      <w:pPr>
        <w:pStyle w:val="ECHRHeading4"/>
        <w:numPr>
          <w:ilvl w:val="0"/>
          <w:numId w:val="0"/>
        </w:numPr>
        <w:rPr>
          <w:rFonts w:ascii="Times New Roman" w:eastAsiaTheme="minorHAnsi" w:hAnsi="Times New Roman" w:cs="Times New Roman"/>
          <w:color w:val="auto"/>
          <w:sz w:val="22"/>
          <w:lang w:val="af-ZA"/>
        </w:rPr>
      </w:pPr>
      <w:bookmarkStart w:id="89" w:name="_Toc159945248"/>
      <w:r>
        <w:rPr>
          <w:rFonts w:ascii="Times New Roman" w:hAnsi="Times New Roman" w:cs="Times New Roman"/>
          <w:lang w:val="hy-AM"/>
        </w:rPr>
        <w:t xml:space="preserve">ա․ </w:t>
      </w:r>
      <w:r w:rsidR="003B5E66" w:rsidRPr="00EF7399">
        <w:rPr>
          <w:rFonts w:ascii="Times New Roman" w:hAnsi="Times New Roman" w:cs="Times New Roman"/>
          <w:lang w:val="af-ZA"/>
        </w:rPr>
        <w:t>Գրանցման մերժում և լուծարում</w:t>
      </w:r>
      <w:bookmarkEnd w:id="89"/>
      <w:r w:rsidR="003B5E66" w:rsidRPr="00EF7399">
        <w:rPr>
          <w:rFonts w:ascii="Times New Roman" w:hAnsi="Times New Roman" w:cs="Times New Roman"/>
          <w:lang w:val="af-ZA"/>
        </w:rPr>
        <w:t xml:space="preserve"> </w:t>
      </w:r>
    </w:p>
    <w:p w14:paraId="75CAB677" w14:textId="667E8DAA" w:rsidR="00FE52C1" w:rsidRPr="00EF7399" w:rsidRDefault="00FE52C1" w:rsidP="00FE52C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177</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593610" w:rsidRPr="00EF7399">
        <w:rPr>
          <w:rFonts w:ascii="Times New Roman" w:hAnsi="Times New Roman" w:cs="Times New Roman"/>
          <w:lang w:val="hy-AM"/>
        </w:rPr>
        <w:t>Կտրուկ</w:t>
      </w:r>
      <w:r w:rsidR="00593610" w:rsidRPr="00EF7399">
        <w:rPr>
          <w:rFonts w:ascii="Times New Roman" w:hAnsi="Times New Roman" w:cs="Times New Roman"/>
          <w:lang w:val="af-ZA"/>
        </w:rPr>
        <w:t xml:space="preserve"> </w:t>
      </w:r>
      <w:r w:rsidR="00C1028F" w:rsidRPr="00EF7399">
        <w:rPr>
          <w:rFonts w:ascii="Times New Roman" w:hAnsi="Times New Roman" w:cs="Times New Roman"/>
          <w:lang w:val="af-ZA"/>
        </w:rPr>
        <w:t>միջոցներ</w:t>
      </w:r>
      <w:r w:rsidR="00D21281" w:rsidRPr="00EF7399">
        <w:rPr>
          <w:rFonts w:ascii="Times New Roman" w:hAnsi="Times New Roman" w:cs="Times New Roman"/>
          <w:lang w:val="af-ZA"/>
        </w:rPr>
        <w:t>, ինչպիսիք են</w:t>
      </w:r>
      <w:r w:rsidR="00593610" w:rsidRPr="00EF7399">
        <w:rPr>
          <w:rFonts w:ascii="Times New Roman" w:hAnsi="Times New Roman" w:cs="Times New Roman"/>
          <w:lang w:val="hy-AM"/>
        </w:rPr>
        <w:t>՝</w:t>
      </w:r>
      <w:r w:rsidR="00D21281" w:rsidRPr="00EF7399">
        <w:rPr>
          <w:rFonts w:ascii="Times New Roman" w:hAnsi="Times New Roman" w:cs="Times New Roman"/>
          <w:lang w:val="af-ZA"/>
        </w:rPr>
        <w:t xml:space="preserve"> քաղաքական ամբողջ կուսակցության լուծարումը կամ կուսակցության գրանցման մերժումը, կարող են ձեռնարկվել միայն ամենալուրջ դեպքերում </w:t>
      </w:r>
      <w:r w:rsidR="00C1028F"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431" w:history="1">
        <w:r w:rsidR="00AB7CD2" w:rsidRPr="00EF7399">
          <w:rPr>
            <w:rStyle w:val="Hyperlink"/>
            <w:rFonts w:ascii="Times New Roman" w:hAnsi="Times New Roman" w:cs="Times New Roman"/>
            <w:lang w:val="af-ZA"/>
          </w:rPr>
          <w:t>Herri Batasuna and Batasuna</w:t>
        </w:r>
        <w:r w:rsidR="00873234" w:rsidRPr="00EF7399">
          <w:rPr>
            <w:rStyle w:val="Hyperlink"/>
            <w:rFonts w:ascii="Times New Roman" w:hAnsi="Times New Roman" w:cs="Times New Roman"/>
            <w:lang w:val="af-ZA"/>
          </w:rPr>
          <w:t xml:space="preserve"> v. </w:t>
        </w:r>
        <w:r w:rsidR="00AB7CD2" w:rsidRPr="00EF7399">
          <w:rPr>
            <w:rStyle w:val="Hyperlink"/>
            <w:rFonts w:ascii="Times New Roman" w:hAnsi="Times New Roman" w:cs="Times New Roman"/>
            <w:lang w:val="af-ZA"/>
          </w:rPr>
          <w:t>Spain</w:t>
        </w:r>
      </w:hyperlink>
      <w:r w:rsidRPr="00EF7399">
        <w:rPr>
          <w:rFonts w:ascii="Times New Roman" w:hAnsi="Times New Roman" w:cs="Times New Roman"/>
          <w:lang w:val="af-ZA"/>
        </w:rPr>
        <w:t xml:space="preserve">, </w:t>
      </w:r>
      <w:r w:rsidR="00AB7CD2" w:rsidRPr="00EF7399">
        <w:rPr>
          <w:rFonts w:ascii="Times New Roman" w:hAnsi="Times New Roman" w:cs="Times New Roman"/>
          <w:iCs/>
          <w:lang w:val="af-ZA"/>
        </w:rPr>
        <w:t xml:space="preserve">2009,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78; </w:t>
      </w:r>
      <w:hyperlink r:id="rId432" w:history="1">
        <w:r w:rsidRPr="00EF7399">
          <w:rPr>
            <w:rStyle w:val="Hyperlink"/>
            <w:rFonts w:ascii="Times New Roman" w:hAnsi="Times New Roman" w:cs="Times New Roman"/>
            <w:lang w:val="af-ZA"/>
          </w:rPr>
          <w:t>Linkov</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the Czech Republic</w:t>
        </w:r>
      </w:hyperlink>
      <w:r w:rsidRPr="00EF7399">
        <w:rPr>
          <w:rFonts w:ascii="Times New Roman" w:hAnsi="Times New Roman" w:cs="Times New Roman"/>
          <w:lang w:val="af-ZA"/>
        </w:rPr>
        <w:t xml:space="preserve">, </w:t>
      </w:r>
      <w:r w:rsidR="00AB7CD2" w:rsidRPr="00EF7399">
        <w:rPr>
          <w:rFonts w:ascii="Times New Roman" w:hAnsi="Times New Roman" w:cs="Times New Roman"/>
          <w:lang w:val="af-ZA"/>
        </w:rPr>
        <w:t>2006</w:t>
      </w:r>
      <w:r w:rsidRPr="00EF7399">
        <w:rPr>
          <w:rFonts w:ascii="Times New Roman" w:hAnsi="Times New Roman" w:cs="Times New Roman"/>
          <w:lang w:val="af-ZA"/>
        </w:rPr>
        <w:t xml:space="preserve">, </w:t>
      </w:r>
      <w:r w:rsidR="00873234" w:rsidRPr="00EF7399">
        <w:rPr>
          <w:rFonts w:ascii="Times New Roman" w:hAnsi="Times New Roman" w:cs="Times New Roman"/>
          <w:lang w:val="af-ZA"/>
        </w:rPr>
        <w:t>§ </w:t>
      </w:r>
      <w:r w:rsidRPr="00EF7399">
        <w:rPr>
          <w:rFonts w:ascii="Times New Roman" w:hAnsi="Times New Roman" w:cs="Times New Roman"/>
          <w:lang w:val="af-ZA"/>
        </w:rPr>
        <w:t>45)</w:t>
      </w:r>
      <w:r w:rsidR="00D21281" w:rsidRPr="00EF7399">
        <w:rPr>
          <w:rFonts w:ascii="Times New Roman" w:hAnsi="Times New Roman" w:cs="Times New Roman"/>
          <w:lang w:val="af-ZA"/>
        </w:rPr>
        <w:t>:</w:t>
      </w:r>
      <w:r w:rsidRPr="00EF7399">
        <w:rPr>
          <w:rFonts w:ascii="Times New Roman" w:hAnsi="Times New Roman" w:cs="Times New Roman"/>
          <w:lang w:val="af-ZA"/>
        </w:rPr>
        <w:t xml:space="preserve"> </w:t>
      </w:r>
      <w:r w:rsidR="003B5E66" w:rsidRPr="00EF7399">
        <w:rPr>
          <w:rFonts w:ascii="Times New Roman" w:hAnsi="Times New Roman" w:cs="Times New Roman"/>
          <w:lang w:val="af-ZA"/>
        </w:rPr>
        <w:t xml:space="preserve">Դրանք այն դեպքերն են, որոնք վտանգում են քաղաքական բազմակարծությունը կամ ժողովրդավարության հիմնարար սկզբունքները </w:t>
      </w:r>
      <w:r w:rsidRPr="00EF7399">
        <w:rPr>
          <w:rFonts w:ascii="Times New Roman" w:hAnsi="Times New Roman" w:cs="Times New Roman"/>
          <w:lang w:val="af-ZA"/>
        </w:rPr>
        <w:t>(</w:t>
      </w:r>
      <w:hyperlink r:id="rId433" w:history="1">
        <w:r w:rsidRPr="00EF7399">
          <w:rPr>
            <w:rStyle w:val="Hyperlink"/>
            <w:rFonts w:ascii="Times New Roman" w:hAnsi="Times New Roman" w:cs="Times New Roman"/>
            <w:lang w:val="af-ZA"/>
          </w:rPr>
          <w:t>Party for a Democratic Society (DTP)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00A145D5" w:rsidRPr="00EF7399">
        <w:rPr>
          <w:rFonts w:ascii="Times New Roman" w:hAnsi="Times New Roman" w:cs="Times New Roman"/>
          <w:lang w:val="af-ZA"/>
        </w:rPr>
        <w:t xml:space="preserve">, </w:t>
      </w:r>
      <w:r w:rsidR="00AB7CD2" w:rsidRPr="00EF7399">
        <w:rPr>
          <w:rFonts w:ascii="Times New Roman" w:hAnsi="Times New Roman" w:cs="Times New Roman"/>
          <w:lang w:val="af-ZA"/>
        </w:rPr>
        <w:t xml:space="preserve">2016, </w:t>
      </w:r>
      <w:r w:rsidR="00873234" w:rsidRPr="00EF7399">
        <w:rPr>
          <w:rFonts w:ascii="Times New Roman" w:hAnsi="Times New Roman" w:cs="Times New Roman"/>
          <w:lang w:val="af-ZA"/>
        </w:rPr>
        <w:t>§ </w:t>
      </w:r>
      <w:r w:rsidR="00A145D5" w:rsidRPr="00EF7399">
        <w:rPr>
          <w:rFonts w:ascii="Times New Roman" w:hAnsi="Times New Roman" w:cs="Times New Roman"/>
          <w:lang w:val="af-ZA"/>
        </w:rPr>
        <w:t>101)</w:t>
      </w:r>
      <w:r w:rsidR="003B5E66" w:rsidRPr="00EF7399">
        <w:rPr>
          <w:rFonts w:ascii="Times New Roman" w:hAnsi="Times New Roman" w:cs="Times New Roman"/>
          <w:lang w:val="af-ZA"/>
        </w:rPr>
        <w:t>:</w:t>
      </w:r>
    </w:p>
    <w:p w14:paraId="7CC6D8FB" w14:textId="201EF28E" w:rsidR="00FE52C1" w:rsidRPr="00EF7399" w:rsidRDefault="00FE52C1" w:rsidP="00FE52C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178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D21281" w:rsidRPr="00EF7399">
        <w:rPr>
          <w:rFonts w:ascii="Times New Roman" w:hAnsi="Times New Roman" w:cs="Times New Roman"/>
          <w:lang w:val="af-ZA"/>
        </w:rPr>
        <w:t xml:space="preserve">Դատարանը սահմանել է երկու պայման, որոնց դեպքում քաղաքական կուսակցությունը կարող է առաջ քաշել օրենքում կամ պետության </w:t>
      </w:r>
      <w:r w:rsidR="00193701" w:rsidRPr="00EF7399">
        <w:rPr>
          <w:rFonts w:ascii="Times New Roman" w:hAnsi="Times New Roman" w:cs="Times New Roman"/>
          <w:lang w:val="hy-AM"/>
        </w:rPr>
        <w:t>իրավական</w:t>
      </w:r>
      <w:r w:rsidR="00193701" w:rsidRPr="00EF7399">
        <w:rPr>
          <w:rFonts w:ascii="Times New Roman" w:hAnsi="Times New Roman" w:cs="Times New Roman"/>
          <w:lang w:val="af-ZA"/>
        </w:rPr>
        <w:t xml:space="preserve"> </w:t>
      </w:r>
      <w:r w:rsidR="00D21281" w:rsidRPr="00EF7399">
        <w:rPr>
          <w:rFonts w:ascii="Times New Roman" w:hAnsi="Times New Roman" w:cs="Times New Roman"/>
          <w:lang w:val="af-ZA"/>
        </w:rPr>
        <w:t>և սահմանադրական կարգեր</w:t>
      </w:r>
      <w:r w:rsidR="00193701" w:rsidRPr="00EF7399">
        <w:rPr>
          <w:rFonts w:ascii="Times New Roman" w:hAnsi="Times New Roman" w:cs="Times New Roman"/>
          <w:lang w:val="hy-AM"/>
        </w:rPr>
        <w:t>ում</w:t>
      </w:r>
      <w:r w:rsidR="00D21281" w:rsidRPr="00EF7399">
        <w:rPr>
          <w:rFonts w:ascii="Times New Roman" w:hAnsi="Times New Roman" w:cs="Times New Roman"/>
          <w:lang w:val="af-ZA"/>
        </w:rPr>
        <w:t xml:space="preserve"> փոփոխության</w:t>
      </w:r>
      <w:r w:rsidRPr="00EF7399">
        <w:rPr>
          <w:rFonts w:ascii="Times New Roman" w:hAnsi="Times New Roman" w:cs="Times New Roman"/>
          <w:lang w:val="af-ZA"/>
        </w:rPr>
        <w:t xml:space="preserve"> </w:t>
      </w:r>
      <w:r w:rsidR="00D21281" w:rsidRPr="00EF7399">
        <w:rPr>
          <w:rFonts w:ascii="Times New Roman" w:hAnsi="Times New Roman" w:cs="Times New Roman"/>
          <w:lang w:val="af-ZA"/>
        </w:rPr>
        <w:t xml:space="preserve">հարց: </w:t>
      </w:r>
      <w:r w:rsidR="00193701" w:rsidRPr="00EF7399">
        <w:rPr>
          <w:rFonts w:ascii="Times New Roman" w:hAnsi="Times New Roman" w:cs="Times New Roman"/>
          <w:lang w:val="hy-AM"/>
        </w:rPr>
        <w:t>Առաջին</w:t>
      </w:r>
      <w:r w:rsidR="00D21281" w:rsidRPr="00EF7399">
        <w:rPr>
          <w:rFonts w:ascii="Times New Roman" w:hAnsi="Times New Roman" w:cs="Times New Roman"/>
          <w:lang w:val="af-ZA"/>
        </w:rPr>
        <w:t xml:space="preserve">, այդ նպատակով գործադրվող միջոցները պետք է լինեն </w:t>
      </w:r>
      <w:r w:rsidR="00193701" w:rsidRPr="00EF7399">
        <w:rPr>
          <w:rFonts w:ascii="Times New Roman" w:hAnsi="Times New Roman" w:cs="Times New Roman"/>
          <w:lang w:val="hy-AM"/>
        </w:rPr>
        <w:t>իրավական</w:t>
      </w:r>
      <w:r w:rsidR="00193701" w:rsidRPr="00EF7399">
        <w:rPr>
          <w:rFonts w:ascii="Times New Roman" w:hAnsi="Times New Roman" w:cs="Times New Roman"/>
          <w:lang w:val="af-ZA"/>
        </w:rPr>
        <w:t xml:space="preserve"> </w:t>
      </w:r>
      <w:r w:rsidR="00D21281" w:rsidRPr="00EF7399">
        <w:rPr>
          <w:rFonts w:ascii="Times New Roman" w:hAnsi="Times New Roman" w:cs="Times New Roman"/>
          <w:lang w:val="af-ZA"/>
        </w:rPr>
        <w:t>և ժողովրդավարական, երկրորդ` առաջարկվող փոփոխություն</w:t>
      </w:r>
      <w:r w:rsidR="00193701" w:rsidRPr="00EF7399">
        <w:rPr>
          <w:rFonts w:ascii="Times New Roman" w:hAnsi="Times New Roman" w:cs="Times New Roman"/>
          <w:lang w:val="hy-AM"/>
        </w:rPr>
        <w:t>ն ինքնին</w:t>
      </w:r>
      <w:r w:rsidR="00D21281" w:rsidRPr="00EF7399">
        <w:rPr>
          <w:rFonts w:ascii="Times New Roman" w:hAnsi="Times New Roman" w:cs="Times New Roman"/>
          <w:lang w:val="af-ZA"/>
        </w:rPr>
        <w:t xml:space="preserve"> պետք է համահունչ լինի հիմնարար ժողովրդավարական սկզբունքներին: Հետևաբար, քաղաքական կուսակցությունը, որի առաջնորդները դրդում են բռնության կամ առաջադրում են քաղաքականություն, որը չի հարգում ժողովրդավարությունը կամ նպատակ ունի </w:t>
      </w:r>
      <w:r w:rsidR="00B53614" w:rsidRPr="00EF7399">
        <w:rPr>
          <w:rFonts w:ascii="Times New Roman" w:hAnsi="Times New Roman" w:cs="Times New Roman"/>
          <w:lang w:val="af-ZA"/>
        </w:rPr>
        <w:t>կազմաքանդել ժողովրդավարությունն ու ոտնահարել ժողովրդավարական հասարակությունում ընդունված իրավունքներն ու ազատությունները, չի կարող հայցել Կոնվենցիայի պաշտպանություն</w:t>
      </w:r>
      <w:r w:rsidR="00193701" w:rsidRPr="00EF7399">
        <w:rPr>
          <w:rFonts w:ascii="Times New Roman" w:hAnsi="Times New Roman" w:cs="Times New Roman"/>
          <w:lang w:val="hy-AM"/>
        </w:rPr>
        <w:t>՝</w:t>
      </w:r>
      <w:r w:rsidR="00B53614" w:rsidRPr="00EF7399">
        <w:rPr>
          <w:rFonts w:ascii="Times New Roman" w:hAnsi="Times New Roman" w:cs="Times New Roman"/>
          <w:lang w:val="af-ZA"/>
        </w:rPr>
        <w:t xml:space="preserve"> այս հիմքերով սահմանված պատիժներից </w:t>
      </w:r>
      <w:r w:rsidRPr="00EF7399">
        <w:rPr>
          <w:rFonts w:ascii="Times New Roman" w:hAnsi="Times New Roman" w:cs="Times New Roman"/>
          <w:lang w:val="af-ZA"/>
        </w:rPr>
        <w:t>(</w:t>
      </w:r>
      <w:hyperlink r:id="rId434" w:history="1">
        <w:r w:rsidR="00D943C3" w:rsidRPr="00EF7399">
          <w:rPr>
            <w:rStyle w:val="Hyperlink"/>
            <w:rFonts w:ascii="Times New Roman" w:hAnsi="Times New Roman" w:cs="Times New Roman"/>
            <w:lang w:val="af-ZA"/>
          </w:rPr>
          <w:t>Yazar and Others</w:t>
        </w:r>
        <w:r w:rsidR="00873234" w:rsidRPr="00EF7399">
          <w:rPr>
            <w:rStyle w:val="Hyperlink"/>
            <w:rFonts w:ascii="Times New Roman" w:hAnsi="Times New Roman" w:cs="Times New Roman"/>
            <w:lang w:val="af-ZA"/>
          </w:rPr>
          <w:t xml:space="preserve"> v. </w:t>
        </w:r>
        <w:r w:rsidR="00D943C3" w:rsidRPr="00EF7399">
          <w:rPr>
            <w:rStyle w:val="Hyperlink"/>
            <w:rFonts w:ascii="Times New Roman" w:hAnsi="Times New Roman" w:cs="Times New Roman"/>
            <w:lang w:val="af-ZA"/>
          </w:rPr>
          <w:t>Turkey</w:t>
        </w:r>
      </w:hyperlink>
      <w:r w:rsidR="00A145D5" w:rsidRPr="00EF7399">
        <w:rPr>
          <w:rFonts w:ascii="Times New Roman" w:hAnsi="Times New Roman" w:cs="Times New Roman"/>
          <w:lang w:val="af-ZA"/>
        </w:rPr>
        <w:t xml:space="preserve">, </w:t>
      </w:r>
      <w:r w:rsidR="00AB7CD2" w:rsidRPr="00EF7399">
        <w:rPr>
          <w:rFonts w:ascii="Times New Roman" w:hAnsi="Times New Roman" w:cs="Times New Roman"/>
          <w:lang w:val="af-ZA"/>
        </w:rPr>
        <w:t xml:space="preserve">2002, </w:t>
      </w:r>
      <w:r w:rsidR="00873234" w:rsidRPr="00EF7399">
        <w:rPr>
          <w:rFonts w:ascii="Times New Roman" w:hAnsi="Times New Roman" w:cs="Times New Roman"/>
          <w:lang w:val="af-ZA"/>
        </w:rPr>
        <w:t>§ </w:t>
      </w:r>
      <w:r w:rsidR="00A145D5" w:rsidRPr="00EF7399">
        <w:rPr>
          <w:rFonts w:ascii="Times New Roman" w:hAnsi="Times New Roman" w:cs="Times New Roman"/>
          <w:lang w:val="af-ZA"/>
        </w:rPr>
        <w:t>49)</w:t>
      </w:r>
      <w:r w:rsidR="00B53614" w:rsidRPr="00EF7399">
        <w:rPr>
          <w:rFonts w:ascii="Times New Roman" w:hAnsi="Times New Roman" w:cs="Times New Roman"/>
          <w:lang w:val="af-ZA"/>
        </w:rPr>
        <w:t>:</w:t>
      </w:r>
    </w:p>
    <w:p w14:paraId="737F08CC" w14:textId="17D62471" w:rsidR="00FE52C1" w:rsidRPr="00EF7399" w:rsidRDefault="00FE52C1" w:rsidP="00FE52C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179</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B53614" w:rsidRPr="00EF7399">
        <w:rPr>
          <w:rFonts w:ascii="Times New Roman" w:hAnsi="Times New Roman" w:cs="Times New Roman"/>
          <w:lang w:val="af-ZA"/>
        </w:rPr>
        <w:t xml:space="preserve"> </w:t>
      </w:r>
      <w:r w:rsidR="00D95765" w:rsidRPr="00EF7399">
        <w:rPr>
          <w:rFonts w:ascii="Times New Roman" w:hAnsi="Times New Roman" w:cs="Times New Roman"/>
          <w:lang w:val="af-ZA"/>
        </w:rPr>
        <w:t xml:space="preserve">Հարկ է հաշվի առնել մի կարևոր </w:t>
      </w:r>
      <w:r w:rsidR="00B53614" w:rsidRPr="00EF7399">
        <w:rPr>
          <w:rFonts w:ascii="Times New Roman" w:hAnsi="Times New Roman" w:cs="Times New Roman"/>
          <w:lang w:val="af-ZA"/>
        </w:rPr>
        <w:t>գործոն</w:t>
      </w:r>
      <w:r w:rsidR="00D95765" w:rsidRPr="00EF7399">
        <w:rPr>
          <w:rFonts w:ascii="Times New Roman" w:hAnsi="Times New Roman" w:cs="Times New Roman"/>
          <w:lang w:val="af-ZA"/>
        </w:rPr>
        <w:t>` ա</w:t>
      </w:r>
      <w:r w:rsidR="00B53614" w:rsidRPr="00EF7399">
        <w:rPr>
          <w:rFonts w:ascii="Times New Roman" w:hAnsi="Times New Roman" w:cs="Times New Roman"/>
          <w:lang w:val="af-ZA"/>
        </w:rPr>
        <w:t>րդյո՞ք կուսակցության ծրագիրը պարունակում է բռնությ</w:t>
      </w:r>
      <w:r w:rsidR="0052420B" w:rsidRPr="00EF7399">
        <w:rPr>
          <w:rFonts w:ascii="Times New Roman" w:hAnsi="Times New Roman" w:cs="Times New Roman"/>
          <w:lang w:val="af-ZA"/>
        </w:rPr>
        <w:t>ու</w:t>
      </w:r>
      <w:r w:rsidR="00B53614" w:rsidRPr="00EF7399">
        <w:rPr>
          <w:rFonts w:ascii="Times New Roman" w:hAnsi="Times New Roman" w:cs="Times New Roman"/>
          <w:lang w:val="af-ZA"/>
        </w:rPr>
        <w:t>ն գործադր</w:t>
      </w:r>
      <w:r w:rsidR="00D95765" w:rsidRPr="00EF7399">
        <w:rPr>
          <w:rFonts w:ascii="Times New Roman" w:hAnsi="Times New Roman" w:cs="Times New Roman"/>
          <w:lang w:val="af-ZA"/>
        </w:rPr>
        <w:t>ելու</w:t>
      </w:r>
      <w:r w:rsidR="00B53614" w:rsidRPr="00EF7399">
        <w:rPr>
          <w:rFonts w:ascii="Times New Roman" w:hAnsi="Times New Roman" w:cs="Times New Roman"/>
          <w:lang w:val="af-ZA"/>
        </w:rPr>
        <w:t>, ապստամբ</w:t>
      </w:r>
      <w:r w:rsidR="00D95765" w:rsidRPr="00EF7399">
        <w:rPr>
          <w:rFonts w:ascii="Times New Roman" w:hAnsi="Times New Roman" w:cs="Times New Roman"/>
          <w:lang w:val="af-ZA"/>
        </w:rPr>
        <w:t>ելու</w:t>
      </w:r>
      <w:r w:rsidR="00B53614" w:rsidRPr="00EF7399">
        <w:rPr>
          <w:rFonts w:ascii="Times New Roman" w:hAnsi="Times New Roman" w:cs="Times New Roman"/>
          <w:lang w:val="af-ZA"/>
        </w:rPr>
        <w:t xml:space="preserve"> կամ ժողովրդավարական սկզբունքներն այլ կերպ </w:t>
      </w:r>
      <w:r w:rsidR="00CC595D" w:rsidRPr="00EF7399">
        <w:rPr>
          <w:rFonts w:ascii="Times New Roman" w:hAnsi="Times New Roman" w:cs="Times New Roman"/>
          <w:lang w:val="hy-AM"/>
        </w:rPr>
        <w:t>մերժելու</w:t>
      </w:r>
      <w:r w:rsidR="00193701" w:rsidRPr="00EF7399">
        <w:rPr>
          <w:rFonts w:ascii="Times New Roman" w:hAnsi="Times New Roman" w:cs="Times New Roman"/>
          <w:lang w:val="af-ZA"/>
        </w:rPr>
        <w:t xml:space="preserve"> </w:t>
      </w:r>
      <w:r w:rsidR="00B53614" w:rsidRPr="00EF7399">
        <w:rPr>
          <w:rFonts w:ascii="Times New Roman" w:hAnsi="Times New Roman" w:cs="Times New Roman"/>
          <w:lang w:val="af-ZA"/>
        </w:rPr>
        <w:t xml:space="preserve">կոչ </w:t>
      </w:r>
      <w:r w:rsidR="006B6FEB" w:rsidRPr="00EF7399">
        <w:rPr>
          <w:rFonts w:ascii="Times New Roman" w:hAnsi="Times New Roman" w:cs="Times New Roman"/>
          <w:lang w:val="af-ZA"/>
        </w:rPr>
        <w:t>(</w:t>
      </w:r>
      <w:hyperlink r:id="rId435" w:history="1">
        <w:r w:rsidR="006B6FEB" w:rsidRPr="00EF7399">
          <w:rPr>
            <w:rStyle w:val="Hyperlink"/>
            <w:rFonts w:ascii="Times New Roman" w:hAnsi="Times New Roman" w:cs="Times New Roman"/>
            <w:lang w:val="af-ZA"/>
          </w:rPr>
          <w:t>Partidul Comunistilor (Nepeceristi) and Ungureanu</w:t>
        </w:r>
        <w:r w:rsidR="00873234" w:rsidRPr="00EF7399">
          <w:rPr>
            <w:rStyle w:val="Hyperlink"/>
            <w:rFonts w:ascii="Times New Roman" w:hAnsi="Times New Roman" w:cs="Times New Roman"/>
            <w:lang w:val="af-ZA"/>
          </w:rPr>
          <w:t xml:space="preserve"> v. </w:t>
        </w:r>
        <w:r w:rsidR="006B6FEB" w:rsidRPr="00EF7399">
          <w:rPr>
            <w:rStyle w:val="Hyperlink"/>
            <w:rFonts w:ascii="Times New Roman" w:hAnsi="Times New Roman" w:cs="Times New Roman"/>
            <w:lang w:val="af-ZA"/>
          </w:rPr>
          <w:t>Romania</w:t>
        </w:r>
      </w:hyperlink>
      <w:r w:rsidR="006B6FEB" w:rsidRPr="00EF7399">
        <w:rPr>
          <w:rFonts w:ascii="Times New Roman" w:hAnsi="Times New Roman" w:cs="Times New Roman"/>
          <w:lang w:val="af-ZA"/>
        </w:rPr>
        <w:t xml:space="preserve">, </w:t>
      </w:r>
      <w:r w:rsidR="00C46086" w:rsidRPr="00EF7399">
        <w:rPr>
          <w:rFonts w:ascii="Times New Roman" w:hAnsi="Times New Roman" w:cs="Times New Roman"/>
          <w:bCs/>
          <w:lang w:val="af-ZA"/>
        </w:rPr>
        <w:t xml:space="preserve">2005, </w:t>
      </w:r>
      <w:r w:rsidR="00873234" w:rsidRPr="00EF7399">
        <w:rPr>
          <w:rFonts w:ascii="Times New Roman" w:hAnsi="Times New Roman" w:cs="Times New Roman"/>
          <w:lang w:val="af-ZA"/>
        </w:rPr>
        <w:t>§ </w:t>
      </w:r>
      <w:r w:rsidR="006B6FEB" w:rsidRPr="00EF7399">
        <w:rPr>
          <w:rFonts w:ascii="Times New Roman" w:hAnsi="Times New Roman" w:cs="Times New Roman"/>
          <w:lang w:val="af-ZA"/>
        </w:rPr>
        <w:t xml:space="preserve">54; </w:t>
      </w:r>
      <w:hyperlink r:id="rId436" w:history="1">
        <w:r w:rsidR="006B6FEB" w:rsidRPr="00EF7399">
          <w:rPr>
            <w:rStyle w:val="Hyperlink"/>
            <w:rFonts w:ascii="Times New Roman" w:hAnsi="Times New Roman" w:cs="Times New Roman"/>
            <w:lang w:val="af-ZA"/>
          </w:rPr>
          <w:t>Freedom and Democracy Party (ÖZDEP)</w:t>
        </w:r>
        <w:r w:rsidR="00873234" w:rsidRPr="00EF7399">
          <w:rPr>
            <w:rStyle w:val="Hyperlink"/>
            <w:rFonts w:ascii="Times New Roman" w:hAnsi="Times New Roman" w:cs="Times New Roman"/>
            <w:lang w:val="af-ZA"/>
          </w:rPr>
          <w:t xml:space="preserve"> v. </w:t>
        </w:r>
        <w:r w:rsidR="006B6FEB" w:rsidRPr="00EF7399">
          <w:rPr>
            <w:rStyle w:val="Hyperlink"/>
            <w:rFonts w:ascii="Times New Roman" w:hAnsi="Times New Roman" w:cs="Times New Roman"/>
            <w:lang w:val="af-ZA"/>
          </w:rPr>
          <w:t>Turkey</w:t>
        </w:r>
      </w:hyperlink>
      <w:r w:rsidR="006B6FEB" w:rsidRPr="00EF7399">
        <w:rPr>
          <w:rFonts w:ascii="Times New Roman" w:hAnsi="Times New Roman" w:cs="Times New Roman"/>
          <w:lang w:val="af-ZA"/>
        </w:rPr>
        <w:t xml:space="preserve">, </w:t>
      </w:r>
      <w:r w:rsidR="00983154" w:rsidRPr="00EF7399">
        <w:rPr>
          <w:rFonts w:ascii="Times New Roman" w:hAnsi="Times New Roman" w:cs="Times New Roman"/>
          <w:lang w:val="af-ZA"/>
        </w:rPr>
        <w:t xml:space="preserve">1999, </w:t>
      </w:r>
      <w:r w:rsidR="00873234" w:rsidRPr="00EF7399">
        <w:rPr>
          <w:rFonts w:ascii="Times New Roman" w:hAnsi="Times New Roman" w:cs="Times New Roman"/>
          <w:lang w:val="af-ZA"/>
        </w:rPr>
        <w:t>§ </w:t>
      </w:r>
      <w:r w:rsidR="006B6FEB" w:rsidRPr="00EF7399">
        <w:rPr>
          <w:rFonts w:ascii="Times New Roman" w:hAnsi="Times New Roman" w:cs="Times New Roman"/>
          <w:lang w:val="af-ZA"/>
        </w:rPr>
        <w:t>40)</w:t>
      </w:r>
      <w:r w:rsidR="00D95765" w:rsidRPr="00EF7399">
        <w:rPr>
          <w:rFonts w:ascii="Times New Roman" w:hAnsi="Times New Roman" w:cs="Times New Roman"/>
          <w:lang w:val="af-ZA"/>
        </w:rPr>
        <w:t xml:space="preserve">: Քաղաքական կուսակցության ծրագիրը, սակայն, դրա նպատակները և մտադրությունները որոշելու միակ չափորոշիչը չէ, քանի որ ծրագրի բովանդակությունը պետք է համեմատել կուսակցության առաջնորդների գործողությունների և նրանց պաշտպանած դիրքորոշումների հետ: </w:t>
      </w:r>
      <w:r w:rsidR="002E1818" w:rsidRPr="00EF7399">
        <w:rPr>
          <w:rFonts w:ascii="Times New Roman" w:hAnsi="Times New Roman" w:cs="Times New Roman"/>
          <w:lang w:val="af-ZA"/>
        </w:rPr>
        <w:t>Համակցությամբ, ա</w:t>
      </w:r>
      <w:r w:rsidR="00D95765" w:rsidRPr="00EF7399">
        <w:rPr>
          <w:rFonts w:ascii="Times New Roman" w:hAnsi="Times New Roman" w:cs="Times New Roman"/>
          <w:lang w:val="af-ZA"/>
        </w:rPr>
        <w:t>յս գործողությունները և դիրքորոշումները</w:t>
      </w:r>
      <w:r w:rsidR="002E1818" w:rsidRPr="00EF7399">
        <w:rPr>
          <w:rFonts w:ascii="Times New Roman" w:hAnsi="Times New Roman" w:cs="Times New Roman"/>
          <w:lang w:val="af-ZA"/>
        </w:rPr>
        <w:t xml:space="preserve"> կարող են կարևոր լինել քաղաքական կուսակցության լուծարման վարույթի համար, քանի որ կարող են բացահայտել դրա նպատակներն ու մտադրությունները </w:t>
      </w:r>
      <w:r w:rsidR="006B6FEB" w:rsidRPr="00EF7399">
        <w:rPr>
          <w:rFonts w:ascii="Times New Roman" w:hAnsi="Times New Roman" w:cs="Times New Roman"/>
          <w:lang w:val="af-ZA"/>
        </w:rPr>
        <w:t>(</w:t>
      </w:r>
      <w:hyperlink r:id="rId437" w:history="1">
        <w:r w:rsidR="006C6C81" w:rsidRPr="00EF7399">
          <w:rPr>
            <w:rStyle w:val="Hyperlink"/>
            <w:rFonts w:ascii="Times New Roman" w:hAnsi="Times New Roman" w:cs="Times New Roman"/>
            <w:lang w:val="af-ZA"/>
          </w:rPr>
          <w:t>Refah Partisi (the Welfare Party) and Others</w:t>
        </w:r>
        <w:r w:rsidR="00873234" w:rsidRPr="00EF7399">
          <w:rPr>
            <w:rStyle w:val="Hyperlink"/>
            <w:rFonts w:ascii="Times New Roman" w:hAnsi="Times New Roman" w:cs="Times New Roman"/>
            <w:lang w:val="af-ZA"/>
          </w:rPr>
          <w:t xml:space="preserve"> v. </w:t>
        </w:r>
        <w:r w:rsidR="006C6C81" w:rsidRPr="00EF7399">
          <w:rPr>
            <w:rStyle w:val="Hyperlink"/>
            <w:rFonts w:ascii="Times New Roman" w:hAnsi="Times New Roman" w:cs="Times New Roman"/>
            <w:lang w:val="af-ZA"/>
          </w:rPr>
          <w:t>Turkey</w:t>
        </w:r>
      </w:hyperlink>
      <w:r w:rsidR="006B6FEB" w:rsidRPr="00EF7399">
        <w:rPr>
          <w:rFonts w:ascii="Times New Roman" w:hAnsi="Times New Roman" w:cs="Times New Roman"/>
          <w:i/>
          <w:lang w:val="af-ZA"/>
        </w:rPr>
        <w:t>,</w:t>
      </w:r>
      <w:r w:rsidR="006B6FEB" w:rsidRPr="00EF7399">
        <w:rPr>
          <w:rFonts w:ascii="Times New Roman" w:hAnsi="Times New Roman" w:cs="Times New Roman"/>
          <w:lang w:val="af-ZA"/>
        </w:rPr>
        <w:t xml:space="preserve"> </w:t>
      </w:r>
      <w:r w:rsidR="006C6C81" w:rsidRPr="00EF7399">
        <w:rPr>
          <w:rFonts w:ascii="Times New Roman" w:hAnsi="Times New Roman" w:cs="Times New Roman"/>
          <w:lang w:val="af-ZA"/>
        </w:rPr>
        <w:t xml:space="preserve">2003, </w:t>
      </w:r>
      <w:r w:rsidR="00873234" w:rsidRPr="00EF7399">
        <w:rPr>
          <w:rFonts w:ascii="Times New Roman" w:hAnsi="Times New Roman" w:cs="Times New Roman"/>
          <w:lang w:val="af-ZA"/>
        </w:rPr>
        <w:t>§ </w:t>
      </w:r>
      <w:r w:rsidR="006B6FEB" w:rsidRPr="00EF7399">
        <w:rPr>
          <w:rFonts w:ascii="Times New Roman" w:hAnsi="Times New Roman" w:cs="Times New Roman"/>
          <w:lang w:val="af-ZA"/>
        </w:rPr>
        <w:t xml:space="preserve">101; </w:t>
      </w:r>
      <w:hyperlink r:id="rId438" w:history="1">
        <w:r w:rsidR="00AB7CD2" w:rsidRPr="00EF7399">
          <w:rPr>
            <w:rStyle w:val="Hyperlink"/>
            <w:rFonts w:ascii="Times New Roman" w:hAnsi="Times New Roman" w:cs="Times New Roman"/>
            <w:lang w:val="af-ZA"/>
          </w:rPr>
          <w:t>Herri Batasuna and Batasuna</w:t>
        </w:r>
        <w:r w:rsidR="00873234" w:rsidRPr="00EF7399">
          <w:rPr>
            <w:rStyle w:val="Hyperlink"/>
            <w:rFonts w:ascii="Times New Roman" w:hAnsi="Times New Roman" w:cs="Times New Roman"/>
            <w:lang w:val="af-ZA"/>
          </w:rPr>
          <w:t xml:space="preserve"> v. </w:t>
        </w:r>
        <w:r w:rsidR="00AB7CD2" w:rsidRPr="00EF7399">
          <w:rPr>
            <w:rStyle w:val="Hyperlink"/>
            <w:rFonts w:ascii="Times New Roman" w:hAnsi="Times New Roman" w:cs="Times New Roman"/>
            <w:lang w:val="af-ZA"/>
          </w:rPr>
          <w:t>Spain</w:t>
        </w:r>
      </w:hyperlink>
      <w:r w:rsidR="00535E5C" w:rsidRPr="00EF7399">
        <w:rPr>
          <w:rFonts w:ascii="Times New Roman" w:hAnsi="Times New Roman" w:cs="Times New Roman"/>
          <w:lang w:val="af-ZA"/>
        </w:rPr>
        <w:t xml:space="preserve">, </w:t>
      </w:r>
      <w:r w:rsidR="00AB7CD2" w:rsidRPr="00EF7399">
        <w:rPr>
          <w:rFonts w:ascii="Times New Roman" w:hAnsi="Times New Roman" w:cs="Times New Roman"/>
          <w:iCs/>
          <w:lang w:val="af-ZA"/>
        </w:rPr>
        <w:t xml:space="preserve">2009, </w:t>
      </w:r>
      <w:r w:rsidR="00873234" w:rsidRPr="00EF7399">
        <w:rPr>
          <w:rFonts w:ascii="Times New Roman" w:hAnsi="Times New Roman" w:cs="Times New Roman"/>
          <w:lang w:val="af-ZA"/>
        </w:rPr>
        <w:t>§ </w:t>
      </w:r>
      <w:r w:rsidR="006B6FEB" w:rsidRPr="00EF7399">
        <w:rPr>
          <w:rFonts w:ascii="Times New Roman" w:hAnsi="Times New Roman" w:cs="Times New Roman"/>
          <w:lang w:val="af-ZA"/>
        </w:rPr>
        <w:t>80)</w:t>
      </w:r>
      <w:r w:rsidR="002E1818" w:rsidRPr="00EF7399">
        <w:rPr>
          <w:rFonts w:ascii="Times New Roman" w:hAnsi="Times New Roman" w:cs="Times New Roman"/>
          <w:lang w:val="af-ZA"/>
        </w:rPr>
        <w:t>:</w:t>
      </w:r>
    </w:p>
    <w:p w14:paraId="6B815E70" w14:textId="78188475" w:rsidR="00FE52C1" w:rsidRPr="00EF7399" w:rsidRDefault="00FE52C1" w:rsidP="00FE52C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180</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942620" w:rsidRPr="00EF7399">
        <w:rPr>
          <w:rFonts w:ascii="Times New Roman" w:hAnsi="Times New Roman" w:cs="Times New Roman"/>
          <w:lang w:val="af-ZA"/>
        </w:rPr>
        <w:t xml:space="preserve"> Դատարանը</w:t>
      </w:r>
      <w:r w:rsidR="007B4C2A" w:rsidRPr="00EF7399">
        <w:rPr>
          <w:rFonts w:ascii="Times New Roman" w:hAnsi="Times New Roman" w:cs="Times New Roman"/>
          <w:lang w:val="af-ZA"/>
        </w:rPr>
        <w:t>,</w:t>
      </w:r>
      <w:r w:rsidR="00942620" w:rsidRPr="00EF7399">
        <w:rPr>
          <w:rFonts w:ascii="Times New Roman" w:hAnsi="Times New Roman" w:cs="Times New Roman"/>
          <w:lang w:val="af-ZA"/>
        </w:rPr>
        <w:t xml:space="preserve"> «ծայրահեղ սոցիալական անհրաժեշտությանը» ժ</w:t>
      </w:r>
      <w:r w:rsidR="002E1818" w:rsidRPr="00EF7399">
        <w:rPr>
          <w:rFonts w:ascii="Times New Roman" w:hAnsi="Times New Roman" w:cs="Times New Roman"/>
          <w:lang w:val="af-ZA"/>
        </w:rPr>
        <w:t>ողովրդավարական սկզբունքները խարխլելու վտանգի հիմքով քաղաքական կուսակցության գրանց</w:t>
      </w:r>
      <w:r w:rsidR="00942620" w:rsidRPr="00EF7399">
        <w:rPr>
          <w:rFonts w:ascii="Times New Roman" w:hAnsi="Times New Roman" w:cs="Times New Roman"/>
          <w:lang w:val="af-ZA"/>
        </w:rPr>
        <w:t xml:space="preserve">ման </w:t>
      </w:r>
      <w:r w:rsidR="002E1818" w:rsidRPr="00EF7399">
        <w:rPr>
          <w:rFonts w:ascii="Times New Roman" w:hAnsi="Times New Roman" w:cs="Times New Roman"/>
          <w:lang w:val="af-ZA"/>
        </w:rPr>
        <w:t>մերժ</w:t>
      </w:r>
      <w:r w:rsidR="00942620" w:rsidRPr="00EF7399">
        <w:rPr>
          <w:rFonts w:ascii="Times New Roman" w:hAnsi="Times New Roman" w:cs="Times New Roman"/>
          <w:lang w:val="af-ZA"/>
        </w:rPr>
        <w:t>ման</w:t>
      </w:r>
      <w:r w:rsidR="002E1818" w:rsidRPr="00EF7399">
        <w:rPr>
          <w:rFonts w:ascii="Times New Roman" w:hAnsi="Times New Roman" w:cs="Times New Roman"/>
          <w:lang w:val="af-ZA"/>
        </w:rPr>
        <w:t xml:space="preserve"> կամ </w:t>
      </w:r>
      <w:r w:rsidR="00942620" w:rsidRPr="00EF7399">
        <w:rPr>
          <w:rFonts w:ascii="Times New Roman" w:hAnsi="Times New Roman" w:cs="Times New Roman"/>
          <w:lang w:val="af-ZA"/>
        </w:rPr>
        <w:t>դրա</w:t>
      </w:r>
      <w:r w:rsidR="002E1818" w:rsidRPr="00EF7399">
        <w:rPr>
          <w:rFonts w:ascii="Times New Roman" w:hAnsi="Times New Roman" w:cs="Times New Roman"/>
          <w:lang w:val="af-ZA"/>
        </w:rPr>
        <w:t xml:space="preserve"> լուծար</w:t>
      </w:r>
      <w:r w:rsidR="00942620" w:rsidRPr="00EF7399">
        <w:rPr>
          <w:rFonts w:ascii="Times New Roman" w:hAnsi="Times New Roman" w:cs="Times New Roman"/>
          <w:lang w:val="af-ZA"/>
        </w:rPr>
        <w:t>ման</w:t>
      </w:r>
      <w:r w:rsidR="002E1818" w:rsidRPr="00EF7399">
        <w:rPr>
          <w:rFonts w:ascii="Times New Roman" w:hAnsi="Times New Roman" w:cs="Times New Roman"/>
          <w:lang w:val="af-ZA"/>
        </w:rPr>
        <w:t xml:space="preserve"> </w:t>
      </w:r>
      <w:r w:rsidR="00942620" w:rsidRPr="00EF7399">
        <w:rPr>
          <w:rFonts w:ascii="Times New Roman" w:hAnsi="Times New Roman" w:cs="Times New Roman"/>
          <w:lang w:val="af-ZA"/>
        </w:rPr>
        <w:t xml:space="preserve">համապատասխանության հարցը </w:t>
      </w:r>
      <w:r w:rsidR="002E1818" w:rsidRPr="00EF7399">
        <w:rPr>
          <w:rFonts w:ascii="Times New Roman" w:hAnsi="Times New Roman" w:cs="Times New Roman"/>
          <w:lang w:val="af-ZA"/>
        </w:rPr>
        <w:t>քննել</w:t>
      </w:r>
      <w:r w:rsidR="00942620" w:rsidRPr="00EF7399">
        <w:rPr>
          <w:rFonts w:ascii="Times New Roman" w:hAnsi="Times New Roman" w:cs="Times New Roman"/>
          <w:lang w:val="af-ZA"/>
        </w:rPr>
        <w:t>իս</w:t>
      </w:r>
      <w:r w:rsidR="007B4C2A" w:rsidRPr="00EF7399">
        <w:rPr>
          <w:rFonts w:ascii="Times New Roman" w:hAnsi="Times New Roman" w:cs="Times New Roman"/>
          <w:lang w:val="af-ZA"/>
        </w:rPr>
        <w:t>,</w:t>
      </w:r>
      <w:r w:rsidR="00942620" w:rsidRPr="00EF7399">
        <w:rPr>
          <w:rFonts w:ascii="Times New Roman" w:hAnsi="Times New Roman" w:cs="Times New Roman"/>
          <w:lang w:val="af-ZA"/>
        </w:rPr>
        <w:t xml:space="preserve"> հաշվի է առնում </w:t>
      </w:r>
      <w:r w:rsidR="00AD7EB4" w:rsidRPr="00EF7399">
        <w:rPr>
          <w:rFonts w:ascii="Times New Roman" w:hAnsi="Times New Roman" w:cs="Times New Roman"/>
          <w:lang w:val="af-ZA"/>
        </w:rPr>
        <w:t xml:space="preserve">հետևյալ կետերը. </w:t>
      </w:r>
      <w:r w:rsidRPr="00EF7399">
        <w:rPr>
          <w:rFonts w:ascii="Times New Roman" w:hAnsi="Times New Roman" w:cs="Times New Roman"/>
          <w:lang w:val="af-ZA"/>
        </w:rPr>
        <w:t xml:space="preserve">(i) </w:t>
      </w:r>
      <w:r w:rsidR="00AD7EB4" w:rsidRPr="00EF7399">
        <w:rPr>
          <w:rFonts w:ascii="Times New Roman" w:hAnsi="Times New Roman" w:cs="Times New Roman"/>
          <w:lang w:val="af-ZA"/>
        </w:rPr>
        <w:t xml:space="preserve">արդյո՞ք եղել </w:t>
      </w:r>
      <w:r w:rsidR="0051532E" w:rsidRPr="00EF7399">
        <w:rPr>
          <w:rFonts w:ascii="Times New Roman" w:hAnsi="Times New Roman" w:cs="Times New Roman"/>
          <w:lang w:val="af-ZA"/>
        </w:rPr>
        <w:t>է</w:t>
      </w:r>
      <w:r w:rsidR="00AD7EB4" w:rsidRPr="00EF7399">
        <w:rPr>
          <w:rFonts w:ascii="Times New Roman" w:hAnsi="Times New Roman" w:cs="Times New Roman"/>
          <w:lang w:val="af-ZA"/>
        </w:rPr>
        <w:t xml:space="preserve"> արժանահավատ ապացույց, որ </w:t>
      </w:r>
      <w:r w:rsidR="0051532E" w:rsidRPr="00EF7399">
        <w:rPr>
          <w:rFonts w:ascii="Times New Roman" w:hAnsi="Times New Roman" w:cs="Times New Roman"/>
          <w:lang w:val="af-ZA"/>
        </w:rPr>
        <w:t xml:space="preserve">ժողովրդավարության համար վտանգը եղել է </w:t>
      </w:r>
      <w:r w:rsidR="00AD7EB4" w:rsidRPr="00EF7399">
        <w:rPr>
          <w:rFonts w:ascii="Times New Roman" w:hAnsi="Times New Roman" w:cs="Times New Roman"/>
          <w:lang w:val="af-ZA"/>
        </w:rPr>
        <w:t>բավականաչափ</w:t>
      </w:r>
      <w:r w:rsidR="0051532E" w:rsidRPr="00EF7399">
        <w:rPr>
          <w:rFonts w:ascii="Times New Roman" w:hAnsi="Times New Roman" w:cs="Times New Roman"/>
          <w:lang w:val="af-ZA"/>
        </w:rPr>
        <w:t xml:space="preserve"> վերահաս, </w:t>
      </w:r>
      <w:r w:rsidRPr="00EF7399">
        <w:rPr>
          <w:rFonts w:ascii="Times New Roman" w:hAnsi="Times New Roman" w:cs="Times New Roman"/>
          <w:lang w:val="af-ZA"/>
        </w:rPr>
        <w:t xml:space="preserve">(ii) </w:t>
      </w:r>
      <w:r w:rsidR="0051532E" w:rsidRPr="00EF7399">
        <w:rPr>
          <w:rFonts w:ascii="Times New Roman" w:hAnsi="Times New Roman" w:cs="Times New Roman"/>
          <w:lang w:val="af-ZA"/>
        </w:rPr>
        <w:t xml:space="preserve">արդյո՞ք </w:t>
      </w:r>
      <w:r w:rsidR="00206897" w:rsidRPr="00EF7399">
        <w:rPr>
          <w:rFonts w:ascii="Times New Roman" w:hAnsi="Times New Roman" w:cs="Times New Roman"/>
          <w:lang w:val="af-ZA"/>
        </w:rPr>
        <w:t xml:space="preserve">առաջնորդների գործողությունները և ելույթները, որոնք </w:t>
      </w:r>
      <w:r w:rsidR="004B0F1E" w:rsidRPr="00EF7399">
        <w:rPr>
          <w:rFonts w:ascii="Times New Roman" w:hAnsi="Times New Roman" w:cs="Times New Roman"/>
          <w:lang w:val="af-ZA"/>
        </w:rPr>
        <w:t>դիտարկվում են</w:t>
      </w:r>
      <w:r w:rsidR="00206897" w:rsidRPr="00EF7399">
        <w:rPr>
          <w:rFonts w:ascii="Times New Roman" w:hAnsi="Times New Roman" w:cs="Times New Roman"/>
          <w:lang w:val="af-ZA"/>
        </w:rPr>
        <w:t xml:space="preserve"> քննվող գործ</w:t>
      </w:r>
      <w:r w:rsidR="004B0F1E" w:rsidRPr="00EF7399">
        <w:rPr>
          <w:rFonts w:ascii="Times New Roman" w:hAnsi="Times New Roman" w:cs="Times New Roman"/>
          <w:lang w:val="af-ZA"/>
        </w:rPr>
        <w:t xml:space="preserve">ի շրջանակում, վերագրելի էին խնդրո առարկա կուսակցությանը, </w:t>
      </w:r>
      <w:r w:rsidRPr="00EF7399">
        <w:rPr>
          <w:rFonts w:ascii="Times New Roman" w:hAnsi="Times New Roman" w:cs="Times New Roman"/>
          <w:lang w:val="af-ZA"/>
        </w:rPr>
        <w:t xml:space="preserve">(iii) </w:t>
      </w:r>
      <w:r w:rsidR="004B0F1E" w:rsidRPr="00EF7399">
        <w:rPr>
          <w:rFonts w:ascii="Times New Roman" w:hAnsi="Times New Roman" w:cs="Times New Roman"/>
          <w:lang w:val="af-ZA"/>
        </w:rPr>
        <w:t xml:space="preserve">արդյո՞ք քաղաքական կուսակցությանը վերագրվող գործողությունները </w:t>
      </w:r>
      <w:r w:rsidR="004B0F1E" w:rsidRPr="00EF7399">
        <w:rPr>
          <w:rFonts w:ascii="Times New Roman" w:hAnsi="Times New Roman" w:cs="Times New Roman"/>
          <w:lang w:val="af-ZA"/>
        </w:rPr>
        <w:lastRenderedPageBreak/>
        <w:t>և ելույթները ձևավորել են մի ամբողջականություն, որը տվել է կուսակցության պատկերացրած և ջատագոված հասարակության մոդելի հստակ պատկեր, որը հակասում է «ժողովրդավարական հասարակության» գաղափարին</w:t>
      </w:r>
      <w:r w:rsidRPr="00EF7399">
        <w:rPr>
          <w:rFonts w:ascii="Times New Roman" w:hAnsi="Times New Roman" w:cs="Times New Roman"/>
          <w:lang w:val="af-ZA"/>
        </w:rPr>
        <w:t xml:space="preserve"> (</w:t>
      </w:r>
      <w:hyperlink r:id="rId439" w:history="1">
        <w:r w:rsidRPr="00EF7399">
          <w:rPr>
            <w:rStyle w:val="Hyperlink"/>
            <w:rFonts w:ascii="Times New Roman" w:hAnsi="Times New Roman" w:cs="Times New Roman"/>
            <w:iCs/>
            <w:lang w:val="af-ZA"/>
          </w:rPr>
          <w:t>Refah Partisi (the Welfare Party) and Others</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Turkey</w:t>
        </w:r>
      </w:hyperlink>
      <w:r w:rsidRPr="00EF7399">
        <w:rPr>
          <w:rFonts w:ascii="Times New Roman" w:hAnsi="Times New Roman" w:cs="Times New Roman"/>
          <w:lang w:val="af-ZA"/>
        </w:rPr>
        <w:t>,</w:t>
      </w:r>
      <w:r w:rsidRPr="00EF7399">
        <w:rPr>
          <w:rFonts w:ascii="Times New Roman" w:hAnsi="Times New Roman" w:cs="Times New Roman"/>
          <w:i/>
          <w:iCs/>
          <w:lang w:val="af-ZA"/>
        </w:rPr>
        <w:t xml:space="preserve"> </w:t>
      </w:r>
      <w:r w:rsidR="006C6C81" w:rsidRPr="00EF7399">
        <w:rPr>
          <w:rFonts w:ascii="Times New Roman" w:hAnsi="Times New Roman" w:cs="Times New Roman"/>
          <w:lang w:val="af-ZA"/>
        </w:rPr>
        <w:t xml:space="preserve">2003,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104; </w:t>
      </w:r>
      <w:hyperlink r:id="rId440" w:history="1">
        <w:r w:rsidRPr="00EF7399">
          <w:rPr>
            <w:rStyle w:val="Hyperlink"/>
            <w:rFonts w:ascii="Times New Roman" w:hAnsi="Times New Roman" w:cs="Times New Roman"/>
            <w:lang w:val="af-ZA"/>
          </w:rPr>
          <w:t>Partidul Comunistilor (Nepeceristi) and Ungureanu</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Romania</w:t>
        </w:r>
      </w:hyperlink>
      <w:r w:rsidR="00F74C24" w:rsidRPr="00EF7399">
        <w:rPr>
          <w:rFonts w:ascii="Times New Roman" w:hAnsi="Times New Roman" w:cs="Times New Roman"/>
          <w:lang w:val="af-ZA"/>
        </w:rPr>
        <w:t xml:space="preserve">, </w:t>
      </w:r>
      <w:r w:rsidR="00C46086" w:rsidRPr="00EF7399">
        <w:rPr>
          <w:rFonts w:ascii="Times New Roman" w:hAnsi="Times New Roman" w:cs="Times New Roman"/>
          <w:bCs/>
          <w:lang w:val="af-ZA"/>
        </w:rPr>
        <w:t xml:space="preserve">2005, </w:t>
      </w:r>
      <w:r w:rsidR="00873234" w:rsidRPr="00EF7399">
        <w:rPr>
          <w:rFonts w:ascii="Times New Roman" w:hAnsi="Times New Roman" w:cs="Times New Roman"/>
          <w:lang w:val="af-ZA"/>
        </w:rPr>
        <w:t>§ </w:t>
      </w:r>
      <w:r w:rsidRPr="00EF7399">
        <w:rPr>
          <w:rFonts w:ascii="Times New Roman" w:hAnsi="Times New Roman" w:cs="Times New Roman"/>
          <w:lang w:val="af-ZA"/>
        </w:rPr>
        <w:t>46)</w:t>
      </w:r>
      <w:r w:rsidR="004B0F1E" w:rsidRPr="00EF7399">
        <w:rPr>
          <w:rFonts w:ascii="Times New Roman" w:hAnsi="Times New Roman" w:cs="Times New Roman"/>
          <w:lang w:val="af-ZA"/>
        </w:rPr>
        <w:t>:</w:t>
      </w:r>
    </w:p>
    <w:p w14:paraId="5D10D0EB" w14:textId="76F228DF" w:rsidR="00FE52C1" w:rsidRPr="00EF7399" w:rsidRDefault="00FE52C1" w:rsidP="00FE52C1">
      <w:pPr>
        <w:pStyle w:val="ECHRParaSpaced"/>
        <w:rPr>
          <w:rFonts w:ascii="Times New Roman" w:hAnsi="Times New Roman" w:cs="Times New Roman"/>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181</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hyperlink r:id="rId441" w:history="1">
        <w:r w:rsidRPr="00EF7399">
          <w:rPr>
            <w:rStyle w:val="Hyperlink"/>
            <w:rFonts w:ascii="Times New Roman" w:hAnsi="Times New Roman" w:cs="Times New Roman"/>
            <w:iCs/>
            <w:lang w:val="af-ZA"/>
          </w:rPr>
          <w:t>Refah Partisi (the Welfare Party) and Others</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Turkey</w:t>
        </w:r>
      </w:hyperlink>
      <w:r w:rsidRPr="00EF7399">
        <w:rPr>
          <w:rFonts w:ascii="Times New Roman" w:hAnsi="Times New Roman" w:cs="Times New Roman"/>
          <w:i/>
          <w:iCs/>
          <w:lang w:val="af-ZA"/>
        </w:rPr>
        <w:t xml:space="preserve">, </w:t>
      </w:r>
      <w:r w:rsidR="006C6C81" w:rsidRPr="00EF7399">
        <w:rPr>
          <w:rFonts w:ascii="Times New Roman" w:hAnsi="Times New Roman" w:cs="Times New Roman"/>
          <w:lang w:val="af-ZA"/>
        </w:rPr>
        <w:t xml:space="preserve">2003, </w:t>
      </w:r>
      <w:r w:rsidR="004B0F1E" w:rsidRPr="00EF7399">
        <w:rPr>
          <w:rFonts w:ascii="Times New Roman" w:hAnsi="Times New Roman" w:cs="Times New Roman"/>
          <w:lang w:val="af-ZA"/>
        </w:rPr>
        <w:t>գործ</w:t>
      </w:r>
      <w:r w:rsidR="009448C3" w:rsidRPr="00EF7399">
        <w:rPr>
          <w:rFonts w:ascii="Times New Roman" w:hAnsi="Times New Roman" w:cs="Times New Roman"/>
          <w:lang w:val="af-ZA"/>
        </w:rPr>
        <w:t>ում</w:t>
      </w:r>
      <w:r w:rsidR="004B0F1E" w:rsidRPr="00EF7399">
        <w:rPr>
          <w:rFonts w:ascii="Times New Roman" w:hAnsi="Times New Roman" w:cs="Times New Roman"/>
          <w:lang w:val="af-ZA"/>
        </w:rPr>
        <w:t xml:space="preserve"> Սահմանադրական դատարանը </w:t>
      </w:r>
      <w:r w:rsidR="00BE2C2E" w:rsidRPr="00EF7399">
        <w:rPr>
          <w:rFonts w:ascii="Times New Roman" w:hAnsi="Times New Roman" w:cs="Times New Roman"/>
          <w:lang w:val="af-ZA"/>
        </w:rPr>
        <w:t xml:space="preserve">լուծարել էր </w:t>
      </w:r>
      <w:r w:rsidR="004B0F1E" w:rsidRPr="00EF7399">
        <w:rPr>
          <w:rFonts w:ascii="Times New Roman" w:hAnsi="Times New Roman" w:cs="Times New Roman"/>
          <w:lang w:val="af-ZA"/>
        </w:rPr>
        <w:t>կուսակցություն</w:t>
      </w:r>
      <w:r w:rsidR="00193701" w:rsidRPr="00EF7399">
        <w:rPr>
          <w:rFonts w:ascii="Times New Roman" w:hAnsi="Times New Roman" w:cs="Times New Roman"/>
          <w:lang w:val="hy-AM"/>
        </w:rPr>
        <w:t>ն</w:t>
      </w:r>
      <w:r w:rsidR="004B0F1E" w:rsidRPr="00EF7399">
        <w:rPr>
          <w:rFonts w:ascii="Times New Roman" w:hAnsi="Times New Roman" w:cs="Times New Roman"/>
          <w:lang w:val="af-ZA"/>
        </w:rPr>
        <w:t xml:space="preserve"> </w:t>
      </w:r>
      <w:r w:rsidR="00BE2C2E" w:rsidRPr="00EF7399">
        <w:rPr>
          <w:rFonts w:ascii="Times New Roman" w:hAnsi="Times New Roman" w:cs="Times New Roman"/>
          <w:lang w:val="af-ZA"/>
        </w:rPr>
        <w:t>այն հիմքով, որ վերջինս դարձել էր «</w:t>
      </w:r>
      <w:r w:rsidR="003055FD" w:rsidRPr="00EF7399">
        <w:rPr>
          <w:rFonts w:ascii="Times New Roman" w:hAnsi="Times New Roman" w:cs="Times New Roman"/>
          <w:i/>
          <w:iCs/>
          <w:lang w:val="hy-AM"/>
        </w:rPr>
        <w:t>Աշխարհիկության</w:t>
      </w:r>
      <w:r w:rsidR="003055FD" w:rsidRPr="00EF7399">
        <w:rPr>
          <w:rFonts w:ascii="Times New Roman" w:hAnsi="Times New Roman" w:cs="Times New Roman"/>
          <w:i/>
          <w:iCs/>
          <w:lang w:val="af-ZA"/>
        </w:rPr>
        <w:t xml:space="preserve"> </w:t>
      </w:r>
      <w:r w:rsidR="00BE2C2E" w:rsidRPr="00EF7399">
        <w:rPr>
          <w:rFonts w:ascii="Times New Roman" w:hAnsi="Times New Roman" w:cs="Times New Roman"/>
          <w:lang w:val="af-ZA"/>
        </w:rPr>
        <w:t xml:space="preserve">սկզբունքի դեմ ուղղված գործունեության կենտրոն»: Դատարանը, չգտնելով 11-րդ հոդվածի խախտում, համարել էր, որ Ռեֆահի (անգլ.` </w:t>
      </w:r>
      <w:r w:rsidR="00BE2C2E" w:rsidRPr="00EF7399">
        <w:rPr>
          <w:rFonts w:ascii="Times New Roman" w:hAnsi="Times New Roman" w:cs="Times New Roman"/>
          <w:iCs/>
          <w:lang w:val="af-ZA"/>
        </w:rPr>
        <w:t>Refah, Բարեկեցության կուսակցություն</w:t>
      </w:r>
      <w:r w:rsidR="00BE2C2E" w:rsidRPr="00EF7399">
        <w:rPr>
          <w:rFonts w:ascii="Times New Roman" w:hAnsi="Times New Roman" w:cs="Times New Roman"/>
          <w:lang w:val="af-ZA"/>
        </w:rPr>
        <w:t xml:space="preserve">) անդամների և առաջնորդների գործողությունները և ելույթները բացահայտել են </w:t>
      </w:r>
      <w:r w:rsidR="00CF7339" w:rsidRPr="00EF7399">
        <w:rPr>
          <w:rFonts w:ascii="Times New Roman" w:hAnsi="Times New Roman" w:cs="Times New Roman"/>
          <w:lang w:val="af-ZA"/>
        </w:rPr>
        <w:t xml:space="preserve">իրավական համակարգերի բազմաքանակության շրջանակում կուսակցության` </w:t>
      </w:r>
      <w:r w:rsidR="00BE2C2E" w:rsidRPr="00EF7399">
        <w:rPr>
          <w:rFonts w:ascii="Times New Roman" w:hAnsi="Times New Roman" w:cs="Times New Roman"/>
          <w:lang w:val="af-ZA"/>
        </w:rPr>
        <w:t>շարիաթի վրա հիմնված հասա</w:t>
      </w:r>
      <w:r w:rsidR="00CF7339" w:rsidRPr="00EF7399">
        <w:rPr>
          <w:rFonts w:ascii="Times New Roman" w:hAnsi="Times New Roman" w:cs="Times New Roman"/>
          <w:lang w:val="af-ZA"/>
        </w:rPr>
        <w:t>րա</w:t>
      </w:r>
      <w:r w:rsidR="00BE2C2E" w:rsidRPr="00EF7399">
        <w:rPr>
          <w:rFonts w:ascii="Times New Roman" w:hAnsi="Times New Roman" w:cs="Times New Roman"/>
          <w:lang w:val="af-ZA"/>
        </w:rPr>
        <w:t xml:space="preserve">կարգ </w:t>
      </w:r>
      <w:r w:rsidR="00CF7339" w:rsidRPr="00EF7399">
        <w:rPr>
          <w:rFonts w:ascii="Times New Roman" w:hAnsi="Times New Roman" w:cs="Times New Roman"/>
          <w:lang w:val="af-ZA"/>
        </w:rPr>
        <w:t>ձևավորելու</w:t>
      </w:r>
      <w:r w:rsidR="00BE2C2E" w:rsidRPr="00EF7399">
        <w:rPr>
          <w:rFonts w:ascii="Times New Roman" w:hAnsi="Times New Roman" w:cs="Times New Roman"/>
          <w:lang w:val="af-ZA"/>
        </w:rPr>
        <w:t xml:space="preserve"> հեռահար քաղաքականությունը</w:t>
      </w:r>
      <w:r w:rsidR="00CF7339" w:rsidRPr="00EF7399">
        <w:rPr>
          <w:rFonts w:ascii="Times New Roman" w:hAnsi="Times New Roman" w:cs="Times New Roman"/>
          <w:lang w:val="af-ZA"/>
        </w:rPr>
        <w:t xml:space="preserve">, նաև որ Ռեֆահը չի բացառել իր քաղաքականությունն իրականացնելու նպատակով ուժի գործադրումը: Հաշվի առնելով, որ այս պլանները հակասում են «ժողովրդավարական հասարակության» </w:t>
      </w:r>
      <w:r w:rsidR="00D658D6" w:rsidRPr="00EF7399">
        <w:rPr>
          <w:rFonts w:ascii="Times New Roman" w:hAnsi="Times New Roman" w:cs="Times New Roman"/>
          <w:lang w:val="af-ZA"/>
        </w:rPr>
        <w:t>գաղափարին</w:t>
      </w:r>
      <w:r w:rsidR="00CF7339" w:rsidRPr="00EF7399">
        <w:rPr>
          <w:rFonts w:ascii="Times New Roman" w:hAnsi="Times New Roman" w:cs="Times New Roman"/>
          <w:lang w:val="af-ZA"/>
        </w:rPr>
        <w:t xml:space="preserve"> և այն, որ կուսակցությունն ունեցել է դրանք իրագործելու իրական հնարավորություններ, </w:t>
      </w:r>
      <w:r w:rsidR="00CD2DEC" w:rsidRPr="00EF7399">
        <w:rPr>
          <w:rFonts w:ascii="Times New Roman" w:hAnsi="Times New Roman" w:cs="Times New Roman"/>
          <w:lang w:val="af-ZA"/>
        </w:rPr>
        <w:t xml:space="preserve">կարելի է ողջամտորեն համարել, որ </w:t>
      </w:r>
      <w:r w:rsidR="00CF7339" w:rsidRPr="00EF7399">
        <w:rPr>
          <w:rFonts w:ascii="Times New Roman" w:hAnsi="Times New Roman" w:cs="Times New Roman"/>
          <w:lang w:val="af-ZA"/>
        </w:rPr>
        <w:t>Սահմանադրական դատարանի որոշումը</w:t>
      </w:r>
      <w:r w:rsidR="00CD2DEC" w:rsidRPr="00EF7399">
        <w:rPr>
          <w:rFonts w:ascii="Times New Roman" w:hAnsi="Times New Roman" w:cs="Times New Roman"/>
          <w:lang w:val="af-ZA"/>
        </w:rPr>
        <w:t xml:space="preserve"> համապատասխանել է «ծայրահեղ սոցիալական անհրաժեշտությանը»:</w:t>
      </w:r>
    </w:p>
    <w:p w14:paraId="692BA64E" w14:textId="7BE89150" w:rsidR="00FE52C1" w:rsidRPr="00EF7399" w:rsidRDefault="00FE52C1" w:rsidP="00FE52C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182</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CD2DEC" w:rsidRPr="00EF7399">
        <w:rPr>
          <w:rFonts w:ascii="Times New Roman" w:hAnsi="Times New Roman" w:cs="Times New Roman"/>
          <w:lang w:val="af-ZA"/>
        </w:rPr>
        <w:t xml:space="preserve">Դատարանը 11-րդ հոդվածի խախտում չի գտել նաև </w:t>
      </w:r>
      <w:hyperlink r:id="rId442" w:history="1">
        <w:r w:rsidRPr="00EF7399">
          <w:rPr>
            <w:rStyle w:val="Hyperlink"/>
            <w:rFonts w:ascii="Times New Roman" w:hAnsi="Times New Roman" w:cs="Times New Roman"/>
            <w:lang w:val="af-ZA"/>
          </w:rPr>
          <w:t>Herri Batasuna and Batasuna</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Spain</w:t>
        </w:r>
      </w:hyperlink>
      <w:r w:rsidR="00AB7CD2" w:rsidRPr="00EF7399">
        <w:rPr>
          <w:rStyle w:val="Hyperlink"/>
          <w:rFonts w:ascii="Times New Roman" w:hAnsi="Times New Roman" w:cs="Times New Roman"/>
          <w:i w:val="0"/>
          <w:iCs/>
          <w:color w:val="auto"/>
          <w:lang w:val="af-ZA"/>
        </w:rPr>
        <w:t xml:space="preserve">, </w:t>
      </w:r>
      <w:r w:rsidR="00AB7CD2" w:rsidRPr="00EF7399">
        <w:rPr>
          <w:rFonts w:ascii="Times New Roman" w:hAnsi="Times New Roman" w:cs="Times New Roman"/>
          <w:iCs/>
          <w:lang w:val="af-ZA"/>
        </w:rPr>
        <w:t>2009,</w:t>
      </w:r>
      <w:r w:rsidRPr="00EF7399">
        <w:rPr>
          <w:rFonts w:ascii="Times New Roman" w:hAnsi="Times New Roman" w:cs="Times New Roman"/>
          <w:i/>
          <w:lang w:val="af-ZA"/>
        </w:rPr>
        <w:t xml:space="preserve"> </w:t>
      </w:r>
      <w:r w:rsidR="00CD2DEC" w:rsidRPr="00EF7399">
        <w:rPr>
          <w:rFonts w:ascii="Times New Roman" w:hAnsi="Times New Roman" w:cs="Times New Roman"/>
          <w:lang w:val="af-ZA"/>
        </w:rPr>
        <w:t xml:space="preserve">գործում, որտեղ գանգատաբեր կուսակցությունները լուծարվել էին </w:t>
      </w:r>
      <w:r w:rsidR="00CD2DEC" w:rsidRPr="00EF7399">
        <w:rPr>
          <w:rFonts w:ascii="Times New Roman" w:hAnsi="Times New Roman" w:cs="Times New Roman"/>
          <w:i/>
          <w:iCs/>
          <w:lang w:val="af-ZA"/>
        </w:rPr>
        <w:t xml:space="preserve">ահաբեկչության </w:t>
      </w:r>
      <w:r w:rsidR="00CD2DEC" w:rsidRPr="00EF7399">
        <w:rPr>
          <w:rFonts w:ascii="Times New Roman" w:hAnsi="Times New Roman" w:cs="Times New Roman"/>
          <w:lang w:val="af-ZA"/>
        </w:rPr>
        <w:t xml:space="preserve">միջոցով «մարտավարական անջատման» ռազմավարություն իրականացնելու, ինչպես նաև նրանց և ԷՏԱ ահաբեկչական կազմակերպության միջև զգալի նմանությունների հիմքով: Դատարանը </w:t>
      </w:r>
      <w:r w:rsidR="002F32C2" w:rsidRPr="00EF7399">
        <w:rPr>
          <w:rFonts w:ascii="Times New Roman" w:hAnsi="Times New Roman" w:cs="Times New Roman"/>
          <w:lang w:val="af-ZA"/>
        </w:rPr>
        <w:t>չգտավ իսպանական դատարանների վճիռներից շեղվելու պատճառներ: Հաշվի առնելով իրավիճակը, որն ահաբեկչական հարձակումների հետ կապված երկար տարիներ գոյություն էր ունեցել Իսպանիայում, գանգատաբեր կուսակցությունների և ԷՏԱ-ի միջև կապերը կարող էին օբյեկտիվորեն համարվել ժողովրդավարության համար սպառնալիք:</w:t>
      </w:r>
      <w:r w:rsidR="00D658D6" w:rsidRPr="00EF7399">
        <w:rPr>
          <w:rFonts w:ascii="Times New Roman" w:hAnsi="Times New Roman" w:cs="Times New Roman"/>
          <w:lang w:val="af-ZA"/>
        </w:rPr>
        <w:t xml:space="preserve"> Ավելին, գանգատաբեր կուսակցություններին վերագրվող գործողությունները և ելույթները ստեղծել էին այդ կուսակցությունների պատկերացրած և ջատագոված սոցիալական մոդելի հստակ պատկեր, որը հակասում էր «ժողովրդավարական հասարակության» գաղափարին  և </w:t>
      </w:r>
      <w:r w:rsidR="00AE07D0" w:rsidRPr="00EF7399">
        <w:rPr>
          <w:rFonts w:ascii="Times New Roman" w:hAnsi="Times New Roman" w:cs="Times New Roman"/>
          <w:lang w:val="af-ZA"/>
        </w:rPr>
        <w:t>զգալի</w:t>
      </w:r>
      <w:r w:rsidR="00D658D6" w:rsidRPr="00EF7399">
        <w:rPr>
          <w:rFonts w:ascii="Times New Roman" w:hAnsi="Times New Roman" w:cs="Times New Roman"/>
          <w:lang w:val="af-ZA"/>
        </w:rPr>
        <w:t xml:space="preserve"> սպառնալիք էր իսպանական ժողովրդավարության համար:</w:t>
      </w:r>
      <w:r w:rsidR="00AE07D0" w:rsidRPr="00EF7399">
        <w:rPr>
          <w:rFonts w:ascii="Times New Roman" w:hAnsi="Times New Roman" w:cs="Times New Roman"/>
          <w:lang w:val="af-ZA"/>
        </w:rPr>
        <w:t xml:space="preserve"> </w:t>
      </w:r>
      <w:r w:rsidR="003055FD" w:rsidRPr="00EF7399">
        <w:rPr>
          <w:rFonts w:ascii="Times New Roman" w:hAnsi="Times New Roman" w:cs="Times New Roman"/>
          <w:lang w:val="hy-AM"/>
        </w:rPr>
        <w:t>Հետևաբար</w:t>
      </w:r>
      <w:r w:rsidR="00AE07D0" w:rsidRPr="00EF7399">
        <w:rPr>
          <w:rFonts w:ascii="Times New Roman" w:hAnsi="Times New Roman" w:cs="Times New Roman"/>
          <w:lang w:val="af-ZA"/>
        </w:rPr>
        <w:t xml:space="preserve">, գանգատաբերների նկատմամբ կիրառված պատժամիջոցները համահունչ էին «ծայրահեղ սոցիալական անհրաժեշտությանը» և </w:t>
      </w:r>
      <w:r w:rsidR="003055FD" w:rsidRPr="00EF7399">
        <w:rPr>
          <w:rFonts w:ascii="Times New Roman" w:hAnsi="Times New Roman" w:cs="Times New Roman"/>
          <w:lang w:val="af-ZA"/>
        </w:rPr>
        <w:t xml:space="preserve">համաչափ </w:t>
      </w:r>
      <w:r w:rsidR="00AE07D0" w:rsidRPr="00EF7399">
        <w:rPr>
          <w:rFonts w:ascii="Times New Roman" w:hAnsi="Times New Roman" w:cs="Times New Roman"/>
          <w:lang w:val="af-ZA"/>
        </w:rPr>
        <w:t xml:space="preserve">հետապնդած իրավաչափ նպատակին: </w:t>
      </w:r>
    </w:p>
    <w:p w14:paraId="4A97DD7F" w14:textId="5129A970" w:rsidR="00FE52C1" w:rsidRPr="00EF7399" w:rsidRDefault="00FE52C1" w:rsidP="00FE52C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183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AE07D0" w:rsidRPr="00EF7399">
        <w:rPr>
          <w:rFonts w:ascii="Times New Roman" w:hAnsi="Times New Roman" w:cs="Times New Roman"/>
          <w:lang w:val="af-ZA"/>
        </w:rPr>
        <w:t xml:space="preserve">Կուսակցության ծրագրում կամ գործողություններում ոչ ժողովրդավարական մտադրությունների ապացույցների բացակայության պայմաններում քաղաքական կուսակցությունների նկատմամբ  </w:t>
      </w:r>
      <w:r w:rsidR="003055FD" w:rsidRPr="00EF7399">
        <w:rPr>
          <w:rFonts w:ascii="Times New Roman" w:hAnsi="Times New Roman" w:cs="Times New Roman"/>
          <w:lang w:val="hy-AM"/>
        </w:rPr>
        <w:t>կտրուկ</w:t>
      </w:r>
      <w:r w:rsidR="003055FD" w:rsidRPr="00EF7399">
        <w:rPr>
          <w:rFonts w:ascii="Times New Roman" w:hAnsi="Times New Roman" w:cs="Times New Roman"/>
          <w:lang w:val="af-ZA"/>
        </w:rPr>
        <w:t xml:space="preserve"> </w:t>
      </w:r>
      <w:r w:rsidR="0093711B" w:rsidRPr="00EF7399">
        <w:rPr>
          <w:rFonts w:ascii="Times New Roman" w:hAnsi="Times New Roman" w:cs="Times New Roman"/>
          <w:lang w:val="af-ZA"/>
        </w:rPr>
        <w:t xml:space="preserve">միջոցներ </w:t>
      </w:r>
      <w:r w:rsidR="00AE07D0" w:rsidRPr="00EF7399">
        <w:rPr>
          <w:rFonts w:ascii="Times New Roman" w:hAnsi="Times New Roman" w:cs="Times New Roman"/>
          <w:lang w:val="af-ZA"/>
        </w:rPr>
        <w:t>կիրա</w:t>
      </w:r>
      <w:r w:rsidR="0093711B" w:rsidRPr="00EF7399">
        <w:rPr>
          <w:rFonts w:ascii="Times New Roman" w:hAnsi="Times New Roman" w:cs="Times New Roman"/>
          <w:lang w:val="af-ZA"/>
        </w:rPr>
        <w:t>ռելը</w:t>
      </w:r>
      <w:r w:rsidR="00AE07D0" w:rsidRPr="00EF7399">
        <w:rPr>
          <w:rFonts w:ascii="Times New Roman" w:hAnsi="Times New Roman" w:cs="Times New Roman"/>
          <w:lang w:val="af-ZA"/>
        </w:rPr>
        <w:t xml:space="preserve"> </w:t>
      </w:r>
      <w:r w:rsidR="0093711B" w:rsidRPr="00EF7399">
        <w:rPr>
          <w:rFonts w:ascii="Times New Roman" w:hAnsi="Times New Roman" w:cs="Times New Roman"/>
          <w:lang w:val="af-ZA"/>
        </w:rPr>
        <w:t xml:space="preserve">հանգեցրել են </w:t>
      </w:r>
      <w:r w:rsidR="00AE07D0" w:rsidRPr="00EF7399">
        <w:rPr>
          <w:rFonts w:ascii="Times New Roman" w:hAnsi="Times New Roman" w:cs="Times New Roman"/>
          <w:lang w:val="af-ZA"/>
        </w:rPr>
        <w:t>Դատարան</w:t>
      </w:r>
      <w:r w:rsidR="0093711B" w:rsidRPr="00EF7399">
        <w:rPr>
          <w:rFonts w:ascii="Times New Roman" w:hAnsi="Times New Roman" w:cs="Times New Roman"/>
          <w:lang w:val="af-ZA"/>
        </w:rPr>
        <w:t>ին</w:t>
      </w:r>
      <w:r w:rsidR="00AE07D0" w:rsidRPr="00EF7399">
        <w:rPr>
          <w:rFonts w:ascii="Times New Roman" w:hAnsi="Times New Roman" w:cs="Times New Roman"/>
          <w:lang w:val="af-ZA"/>
        </w:rPr>
        <w:t xml:space="preserve"> այն եզրա</w:t>
      </w:r>
      <w:r w:rsidR="0093711B" w:rsidRPr="00EF7399">
        <w:rPr>
          <w:rFonts w:ascii="Times New Roman" w:hAnsi="Times New Roman" w:cs="Times New Roman"/>
          <w:lang w:val="af-ZA"/>
        </w:rPr>
        <w:t>կացության, որ եղել է 11-րդ հոդվածի խախտում:</w:t>
      </w:r>
    </w:p>
    <w:p w14:paraId="3F191ED6" w14:textId="6CCD7ED3" w:rsidR="00FE52C1" w:rsidRPr="00EF7399" w:rsidRDefault="00FE52C1" w:rsidP="00FE52C1">
      <w:pPr>
        <w:pStyle w:val="ECHRParaSpaced"/>
        <w:rPr>
          <w:rFonts w:ascii="Times New Roman" w:hAnsi="Times New Roman" w:cs="Times New Roman"/>
          <w:lang w:val="af-ZA"/>
        </w:rPr>
      </w:pPr>
      <w:r w:rsidRPr="00EF7399">
        <w:rPr>
          <w:rFonts w:ascii="Times New Roman" w:hAnsi="Times New Roman" w:cs="Times New Roman"/>
          <w:bCs/>
          <w:lang w:val="af-ZA"/>
        </w:rPr>
        <w:fldChar w:fldCharType="begin"/>
      </w:r>
      <w:r w:rsidRPr="00EF7399">
        <w:rPr>
          <w:rFonts w:ascii="Times New Roman" w:hAnsi="Times New Roman" w:cs="Times New Roman"/>
          <w:bCs/>
          <w:lang w:val="af-ZA"/>
        </w:rPr>
        <w:instrText xml:space="preserve"> SEQ level0 \*arabic </w:instrText>
      </w:r>
      <w:r w:rsidRPr="00EF7399">
        <w:rPr>
          <w:rFonts w:ascii="Times New Roman" w:hAnsi="Times New Roman" w:cs="Times New Roman"/>
          <w:bCs/>
          <w:lang w:val="af-ZA"/>
        </w:rPr>
        <w:fldChar w:fldCharType="separate"/>
      </w:r>
      <w:r w:rsidR="005435E6" w:rsidRPr="00EF7399">
        <w:rPr>
          <w:rFonts w:ascii="Times New Roman" w:hAnsi="Times New Roman" w:cs="Times New Roman"/>
          <w:bCs/>
          <w:lang w:val="af-ZA"/>
        </w:rPr>
        <w:t>184</w:t>
      </w:r>
      <w:r w:rsidRPr="00EF7399">
        <w:rPr>
          <w:rFonts w:ascii="Times New Roman" w:hAnsi="Times New Roman" w:cs="Times New Roman"/>
          <w:bCs/>
          <w:lang w:val="af-ZA"/>
        </w:rPr>
        <w:fldChar w:fldCharType="end"/>
      </w:r>
      <w:r w:rsidRPr="00EF7399">
        <w:rPr>
          <w:rFonts w:ascii="Times New Roman" w:hAnsi="Times New Roman" w:cs="Times New Roman"/>
          <w:bCs/>
          <w:lang w:val="af-ZA"/>
        </w:rPr>
        <w:t xml:space="preserve">.   </w:t>
      </w:r>
      <w:hyperlink r:id="rId443" w:history="1">
        <w:r w:rsidRPr="00EF7399">
          <w:rPr>
            <w:rStyle w:val="Hyperlink"/>
            <w:rFonts w:ascii="Times New Roman" w:hAnsi="Times New Roman" w:cs="Times New Roman"/>
            <w:bCs/>
            <w:lang w:val="af-ZA"/>
          </w:rPr>
          <w:t>Partidul Comunistilor (Nepeceristi) and Ungureanu</w:t>
        </w:r>
        <w:r w:rsidR="00873234" w:rsidRPr="00EF7399">
          <w:rPr>
            <w:rStyle w:val="Hyperlink"/>
            <w:rFonts w:ascii="Times New Roman" w:hAnsi="Times New Roman" w:cs="Times New Roman"/>
            <w:bCs/>
            <w:lang w:val="af-ZA"/>
          </w:rPr>
          <w:t xml:space="preserve"> v. </w:t>
        </w:r>
        <w:r w:rsidRPr="00EF7399">
          <w:rPr>
            <w:rStyle w:val="Hyperlink"/>
            <w:rFonts w:ascii="Times New Roman" w:hAnsi="Times New Roman" w:cs="Times New Roman"/>
            <w:bCs/>
            <w:lang w:val="af-ZA"/>
          </w:rPr>
          <w:t>Romania</w:t>
        </w:r>
      </w:hyperlink>
      <w:r w:rsidRPr="00EF7399">
        <w:rPr>
          <w:rFonts w:ascii="Times New Roman" w:hAnsi="Times New Roman" w:cs="Times New Roman"/>
          <w:bCs/>
          <w:i/>
          <w:lang w:val="af-ZA"/>
        </w:rPr>
        <w:t>,</w:t>
      </w:r>
      <w:r w:rsidRPr="00EF7399">
        <w:rPr>
          <w:rFonts w:ascii="Times New Roman" w:hAnsi="Times New Roman" w:cs="Times New Roman"/>
          <w:bCs/>
          <w:lang w:val="af-ZA"/>
        </w:rPr>
        <w:t xml:space="preserve"> </w:t>
      </w:r>
      <w:r w:rsidR="00C46086" w:rsidRPr="00EF7399">
        <w:rPr>
          <w:rFonts w:ascii="Times New Roman" w:hAnsi="Times New Roman" w:cs="Times New Roman"/>
          <w:bCs/>
          <w:lang w:val="af-ZA"/>
        </w:rPr>
        <w:t xml:space="preserve">2005, </w:t>
      </w:r>
      <w:r w:rsidR="009448C3" w:rsidRPr="00EF7399">
        <w:rPr>
          <w:rFonts w:ascii="Times New Roman" w:hAnsi="Times New Roman" w:cs="Times New Roman"/>
          <w:bCs/>
          <w:lang w:val="af-ZA"/>
        </w:rPr>
        <w:t xml:space="preserve">գործով, որտեղ իշխանությունները մերժել էին </w:t>
      </w:r>
      <w:r w:rsidR="009448C3" w:rsidRPr="00EF7399">
        <w:rPr>
          <w:rFonts w:ascii="Times New Roman" w:hAnsi="Times New Roman" w:cs="Times New Roman"/>
          <w:bCs/>
          <w:i/>
          <w:iCs/>
          <w:lang w:val="af-ZA"/>
        </w:rPr>
        <w:t xml:space="preserve">կոմունիստների </w:t>
      </w:r>
      <w:r w:rsidR="009448C3" w:rsidRPr="00EF7399">
        <w:rPr>
          <w:rFonts w:ascii="Times New Roman" w:hAnsi="Times New Roman" w:cs="Times New Roman"/>
          <w:bCs/>
          <w:lang w:val="af-ZA"/>
        </w:rPr>
        <w:t>կուսակցության գրանցումը, Դատարանը չընդունեց կառավարության փաստարկը, որ Ռումինիան չ</w:t>
      </w:r>
      <w:r w:rsidR="00B15627" w:rsidRPr="00EF7399">
        <w:rPr>
          <w:rFonts w:ascii="Times New Roman" w:hAnsi="Times New Roman" w:cs="Times New Roman"/>
          <w:bCs/>
          <w:lang w:val="af-ZA"/>
        </w:rPr>
        <w:t>էր</w:t>
      </w:r>
      <w:r w:rsidR="009448C3" w:rsidRPr="00EF7399">
        <w:rPr>
          <w:rFonts w:ascii="Times New Roman" w:hAnsi="Times New Roman" w:cs="Times New Roman"/>
          <w:bCs/>
          <w:lang w:val="af-ZA"/>
        </w:rPr>
        <w:t xml:space="preserve"> կարող թույլատրել</w:t>
      </w:r>
      <w:r w:rsidR="00B15627" w:rsidRPr="00EF7399">
        <w:rPr>
          <w:rFonts w:ascii="Times New Roman" w:hAnsi="Times New Roman" w:cs="Times New Roman"/>
          <w:bCs/>
          <w:lang w:val="af-ZA"/>
        </w:rPr>
        <w:t>, որ</w:t>
      </w:r>
      <w:r w:rsidR="009448C3" w:rsidRPr="00EF7399">
        <w:rPr>
          <w:rFonts w:ascii="Times New Roman" w:hAnsi="Times New Roman" w:cs="Times New Roman"/>
          <w:bCs/>
          <w:lang w:val="af-ZA"/>
        </w:rPr>
        <w:t xml:space="preserve"> կոմունիստական նոր կուսակցության</w:t>
      </w:r>
      <w:r w:rsidR="00B15627" w:rsidRPr="00EF7399">
        <w:rPr>
          <w:rFonts w:ascii="Times New Roman" w:hAnsi="Times New Roman" w:cs="Times New Roman"/>
          <w:bCs/>
          <w:lang w:val="af-ZA"/>
        </w:rPr>
        <w:t xml:space="preserve"> ի հայտ գալը դառնար ժողովրդավարական բանավեճի թեմա: Թեև Դատարանը պատրաստ էր հաշվի առնել Ռումինիայի` մինչև 1989 թվականն ունեցած տոտալիտար կոմունիզմի փորձը, այն համարեց, որ այդ </w:t>
      </w:r>
      <w:r w:rsidR="00CC595D" w:rsidRPr="00EF7399">
        <w:rPr>
          <w:rFonts w:ascii="Times New Roman" w:hAnsi="Times New Roman" w:cs="Times New Roman"/>
          <w:bCs/>
          <w:lang w:val="hy-AM"/>
        </w:rPr>
        <w:t>համատեքստն</w:t>
      </w:r>
      <w:r w:rsidR="00CC595D" w:rsidRPr="00EF7399">
        <w:rPr>
          <w:rFonts w:ascii="Times New Roman" w:hAnsi="Times New Roman" w:cs="Times New Roman"/>
          <w:bCs/>
          <w:lang w:val="af-ZA"/>
        </w:rPr>
        <w:t xml:space="preserve"> </w:t>
      </w:r>
      <w:r w:rsidR="00B15627" w:rsidRPr="00EF7399">
        <w:rPr>
          <w:rFonts w:ascii="Times New Roman" w:hAnsi="Times New Roman" w:cs="Times New Roman"/>
          <w:bCs/>
          <w:lang w:val="af-ZA"/>
        </w:rPr>
        <w:t>ինքնին չի կարող հիմնավորել</w:t>
      </w:r>
      <w:r w:rsidR="00350A01" w:rsidRPr="00EF7399">
        <w:rPr>
          <w:rFonts w:ascii="Times New Roman" w:hAnsi="Times New Roman" w:cs="Times New Roman"/>
          <w:bCs/>
          <w:lang w:val="af-ZA"/>
        </w:rPr>
        <w:t xml:space="preserve"> միջամտության անհրաժեշտությունը, հատկապես, երբ մի շարք երկրներում գոյություն ունեն մարքսիստական գաղափարախոսության հետևորդ կոմունիստական կուսակցություններ: Քանի որ կուսակցության ծրագրում չկար ոչինչ, ինչը կարելի էր համարել բռնություն գործադրելու կամ ժողովրդավարական սկզբունքներն այլ </w:t>
      </w:r>
      <w:r w:rsidR="00985604" w:rsidRPr="00EF7399">
        <w:rPr>
          <w:rFonts w:ascii="Times New Roman" w:hAnsi="Times New Roman" w:cs="Times New Roman"/>
          <w:bCs/>
          <w:lang w:val="af-ZA"/>
        </w:rPr>
        <w:t>կերպ</w:t>
      </w:r>
      <w:r w:rsidR="00350A01" w:rsidRPr="00EF7399">
        <w:rPr>
          <w:rFonts w:ascii="Times New Roman" w:hAnsi="Times New Roman" w:cs="Times New Roman"/>
          <w:bCs/>
          <w:lang w:val="af-ZA"/>
        </w:rPr>
        <w:t xml:space="preserve"> մերժ</w:t>
      </w:r>
      <w:r w:rsidR="00985604" w:rsidRPr="00EF7399">
        <w:rPr>
          <w:rFonts w:ascii="Times New Roman" w:hAnsi="Times New Roman" w:cs="Times New Roman"/>
          <w:bCs/>
          <w:lang w:val="af-ZA"/>
        </w:rPr>
        <w:t>ելու</w:t>
      </w:r>
      <w:r w:rsidR="00350A01" w:rsidRPr="00EF7399">
        <w:rPr>
          <w:rFonts w:ascii="Times New Roman" w:hAnsi="Times New Roman" w:cs="Times New Roman"/>
          <w:bCs/>
          <w:lang w:val="af-ZA"/>
        </w:rPr>
        <w:t xml:space="preserve"> կամ</w:t>
      </w:r>
      <w:r w:rsidR="00985604" w:rsidRPr="00EF7399">
        <w:rPr>
          <w:rFonts w:ascii="Times New Roman" w:hAnsi="Times New Roman" w:cs="Times New Roman"/>
          <w:bCs/>
          <w:lang w:val="af-ZA"/>
        </w:rPr>
        <w:t xml:space="preserve"> «պրոլետարիատի դիկտատուրա» հաստատելու որևէ կոչ, ծրագիրը չէր հակասում «ժողովրդավարական հասարակությանը»: </w:t>
      </w:r>
    </w:p>
    <w:p w14:paraId="41C0DF71" w14:textId="196F3F5D" w:rsidR="00FE52C1" w:rsidRPr="00EF7399" w:rsidRDefault="00FE52C1" w:rsidP="00FE52C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185</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BC4F88" w:rsidRPr="00EF7399">
        <w:rPr>
          <w:rFonts w:ascii="Times New Roman" w:hAnsi="Times New Roman" w:cs="Times New Roman"/>
          <w:lang w:val="af-ZA"/>
        </w:rPr>
        <w:t xml:space="preserve">Դատարանը նման եզրահանգման եկավ </w:t>
      </w:r>
      <w:hyperlink r:id="rId444" w:history="1">
        <w:r w:rsidR="00F51892" w:rsidRPr="00EF7399">
          <w:rPr>
            <w:rStyle w:val="Hyperlink"/>
            <w:rFonts w:ascii="Times New Roman" w:hAnsi="Times New Roman" w:cs="Times New Roman"/>
            <w:lang w:val="af-ZA"/>
          </w:rPr>
          <w:t>Tsonev</w:t>
        </w:r>
        <w:r w:rsidR="00873234" w:rsidRPr="00EF7399">
          <w:rPr>
            <w:rStyle w:val="Hyperlink"/>
            <w:rFonts w:ascii="Times New Roman" w:hAnsi="Times New Roman" w:cs="Times New Roman"/>
            <w:lang w:val="af-ZA"/>
          </w:rPr>
          <w:t xml:space="preserve"> v. </w:t>
        </w:r>
        <w:r w:rsidR="00F51892" w:rsidRPr="00EF7399">
          <w:rPr>
            <w:rStyle w:val="Hyperlink"/>
            <w:rFonts w:ascii="Times New Roman" w:hAnsi="Times New Roman" w:cs="Times New Roman"/>
            <w:lang w:val="af-ZA"/>
          </w:rPr>
          <w:t>Bulgaria</w:t>
        </w:r>
      </w:hyperlink>
      <w:r w:rsidRPr="00EF7399">
        <w:rPr>
          <w:rFonts w:ascii="Times New Roman" w:hAnsi="Times New Roman" w:cs="Times New Roman"/>
          <w:lang w:val="af-ZA"/>
        </w:rPr>
        <w:t xml:space="preserve">, </w:t>
      </w:r>
      <w:r w:rsidR="00AB7CD2" w:rsidRPr="00EF7399">
        <w:rPr>
          <w:rFonts w:ascii="Times New Roman" w:hAnsi="Times New Roman" w:cs="Times New Roman"/>
          <w:lang w:val="af-ZA"/>
        </w:rPr>
        <w:t xml:space="preserve">2006, </w:t>
      </w:r>
      <w:r w:rsidR="00BC4F88" w:rsidRPr="00EF7399">
        <w:rPr>
          <w:rFonts w:ascii="Times New Roman" w:hAnsi="Times New Roman" w:cs="Times New Roman"/>
          <w:lang w:val="af-ZA"/>
        </w:rPr>
        <w:t>գործով, որտեղ իշխանությունները մերժել էին գրանցել Բուլղարիայի կոմունիստական կուսակցությունը</w:t>
      </w:r>
      <w:r w:rsidR="00B603CF" w:rsidRPr="00EF7399">
        <w:rPr>
          <w:rFonts w:ascii="Times New Roman" w:hAnsi="Times New Roman" w:cs="Times New Roman"/>
          <w:lang w:val="hy-AM"/>
        </w:rPr>
        <w:t>՝</w:t>
      </w:r>
      <w:r w:rsidR="00BC4F88" w:rsidRPr="00EF7399">
        <w:rPr>
          <w:rFonts w:ascii="Times New Roman" w:hAnsi="Times New Roman" w:cs="Times New Roman"/>
          <w:lang w:val="af-ZA"/>
        </w:rPr>
        <w:t xml:space="preserve"> հղում կատարելով գրանցման փաստաթղթերում տեղ գտած ձևական թերություններին և ենթադրյալ վտանգներին, որոնք բխում էին կուսակցության նպատակներից և հայտարարություններից:  Դատարանը չգտավ</w:t>
      </w:r>
      <w:r w:rsidR="00B603CF" w:rsidRPr="00EF7399">
        <w:rPr>
          <w:rFonts w:ascii="Times New Roman" w:hAnsi="Times New Roman" w:cs="Times New Roman"/>
          <w:lang w:val="hy-AM"/>
        </w:rPr>
        <w:t xml:space="preserve"> որևէ</w:t>
      </w:r>
      <w:r w:rsidR="00BC4F88" w:rsidRPr="00EF7399">
        <w:rPr>
          <w:rFonts w:ascii="Times New Roman" w:hAnsi="Times New Roman" w:cs="Times New Roman"/>
          <w:lang w:val="af-ZA"/>
        </w:rPr>
        <w:t xml:space="preserve"> նշան, որ կուսակցությունը, չնայած անվանմանը, ձգտում է հաստատել </w:t>
      </w:r>
      <w:r w:rsidR="00BC4F88" w:rsidRPr="00EF7399">
        <w:rPr>
          <w:rFonts w:ascii="Times New Roman" w:hAnsi="Times New Roman" w:cs="Times New Roman"/>
          <w:lang w:val="af-ZA"/>
        </w:rPr>
        <w:lastRenderedPageBreak/>
        <w:t>սոցիալակա</w:t>
      </w:r>
      <w:r w:rsidR="007D6DF3" w:rsidRPr="00EF7399">
        <w:rPr>
          <w:rFonts w:ascii="Times New Roman" w:hAnsi="Times New Roman" w:cs="Times New Roman"/>
          <w:lang w:val="af-ZA"/>
        </w:rPr>
        <w:t>ն</w:t>
      </w:r>
      <w:r w:rsidR="00BC4F88" w:rsidRPr="00EF7399">
        <w:rPr>
          <w:rFonts w:ascii="Times New Roman" w:hAnsi="Times New Roman" w:cs="Times New Roman"/>
          <w:lang w:val="af-ZA"/>
        </w:rPr>
        <w:t xml:space="preserve"> մի դասակարգի գերիշխանությունը մյուսների նկատմամբ: Նաև չկային ապացույցներ, որ </w:t>
      </w:r>
      <w:r w:rsidR="007E6280" w:rsidRPr="00EF7399">
        <w:rPr>
          <w:rFonts w:ascii="Times New Roman" w:hAnsi="Times New Roman" w:cs="Times New Roman"/>
          <w:lang w:val="af-ZA"/>
        </w:rPr>
        <w:t xml:space="preserve">ներառելով </w:t>
      </w:r>
      <w:r w:rsidR="00BC4F88" w:rsidRPr="00EF7399">
        <w:rPr>
          <w:rFonts w:ascii="Times New Roman" w:hAnsi="Times New Roman" w:cs="Times New Roman"/>
          <w:lang w:val="af-ZA"/>
        </w:rPr>
        <w:t>«հեղափոխական» բառ</w:t>
      </w:r>
      <w:r w:rsidR="007E6280" w:rsidRPr="00EF7399">
        <w:rPr>
          <w:rFonts w:ascii="Times New Roman" w:hAnsi="Times New Roman" w:cs="Times New Roman"/>
          <w:lang w:val="af-ZA"/>
        </w:rPr>
        <w:t>ը</w:t>
      </w:r>
      <w:r w:rsidR="00BC4F88" w:rsidRPr="00EF7399">
        <w:rPr>
          <w:rFonts w:ascii="Times New Roman" w:hAnsi="Times New Roman" w:cs="Times New Roman"/>
          <w:lang w:val="af-ZA"/>
        </w:rPr>
        <w:t xml:space="preserve"> կուսակցության կանոնադրության նախաբանում</w:t>
      </w:r>
      <w:r w:rsidR="00B603CF" w:rsidRPr="00EF7399">
        <w:rPr>
          <w:rFonts w:ascii="Times New Roman" w:hAnsi="Times New Roman" w:cs="Times New Roman"/>
          <w:lang w:val="hy-AM"/>
        </w:rPr>
        <w:t>՝ այն</w:t>
      </w:r>
      <w:r w:rsidR="007E6280" w:rsidRPr="00EF7399">
        <w:rPr>
          <w:rFonts w:ascii="Times New Roman" w:hAnsi="Times New Roman" w:cs="Times New Roman"/>
          <w:lang w:val="af-ZA"/>
        </w:rPr>
        <w:t xml:space="preserve"> նախապատվություն է տվել քաղաքականության, որն իրական սպառնալիք էր ներկայացնում բուլղարական պետության համար: Ավելին, կուսակցության հայտարարություններում չկար ոչինչ, որ վկայում էր դրա նպատակների ոչ ժողովրդավարական լինելու կամ դրանց հասնելու համար բռնություն գո</w:t>
      </w:r>
      <w:r w:rsidR="00B603CF" w:rsidRPr="00EF7399">
        <w:rPr>
          <w:rFonts w:ascii="Times New Roman" w:hAnsi="Times New Roman" w:cs="Times New Roman"/>
          <w:lang w:val="hy-AM"/>
        </w:rPr>
        <w:t>ր</w:t>
      </w:r>
      <w:r w:rsidR="007E6280" w:rsidRPr="00EF7399">
        <w:rPr>
          <w:rFonts w:ascii="Times New Roman" w:hAnsi="Times New Roman" w:cs="Times New Roman"/>
          <w:lang w:val="af-ZA"/>
        </w:rPr>
        <w:t>ծադրելու մտադրության մասին:</w:t>
      </w:r>
    </w:p>
    <w:p w14:paraId="1F48DAE1" w14:textId="1BD633BE" w:rsidR="00872182" w:rsidRPr="00EF7399" w:rsidRDefault="00872182" w:rsidP="00FE52C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186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B603CF" w:rsidRPr="00EF7399">
        <w:rPr>
          <w:rFonts w:ascii="Times New Roman" w:hAnsi="Times New Roman" w:cs="Times New Roman"/>
          <w:lang w:val="hy-AM"/>
        </w:rPr>
        <w:t xml:space="preserve">Ի </w:t>
      </w:r>
      <w:r w:rsidR="007E6280" w:rsidRPr="00EF7399">
        <w:rPr>
          <w:rFonts w:ascii="Times New Roman" w:hAnsi="Times New Roman" w:cs="Times New Roman"/>
          <w:lang w:val="af-ZA"/>
        </w:rPr>
        <w:t>հակառակ</w:t>
      </w:r>
      <w:r w:rsidRPr="00EF7399">
        <w:rPr>
          <w:rFonts w:ascii="Times New Roman" w:hAnsi="Times New Roman" w:cs="Times New Roman"/>
          <w:lang w:val="af-ZA"/>
        </w:rPr>
        <w:t xml:space="preserve">, </w:t>
      </w:r>
      <w:hyperlink r:id="rId445" w:history="1">
        <w:r w:rsidR="00FD54C8" w:rsidRPr="00EF7399">
          <w:rPr>
            <w:rStyle w:val="Hyperlink"/>
            <w:rFonts w:ascii="Times New Roman" w:hAnsi="Times New Roman" w:cs="Times New Roman"/>
            <w:lang w:val="af-ZA"/>
          </w:rPr>
          <w:t>Ignatencu and the Romanian Communist Party</w:t>
        </w:r>
        <w:r w:rsidR="00873234" w:rsidRPr="00EF7399">
          <w:rPr>
            <w:rStyle w:val="Hyperlink"/>
            <w:rFonts w:ascii="Times New Roman" w:hAnsi="Times New Roman" w:cs="Times New Roman"/>
            <w:lang w:val="af-ZA"/>
          </w:rPr>
          <w:t xml:space="preserve"> v. </w:t>
        </w:r>
        <w:r w:rsidR="00FD54C8" w:rsidRPr="00EF7399">
          <w:rPr>
            <w:rStyle w:val="Hyperlink"/>
            <w:rFonts w:ascii="Times New Roman" w:hAnsi="Times New Roman" w:cs="Times New Roman"/>
            <w:lang w:val="af-ZA"/>
          </w:rPr>
          <w:t>Romania</w:t>
        </w:r>
      </w:hyperlink>
      <w:r w:rsidR="00FD54C8" w:rsidRPr="00EF7399">
        <w:rPr>
          <w:rFonts w:ascii="Times New Roman" w:hAnsi="Times New Roman" w:cs="Times New Roman"/>
          <w:lang w:val="af-ZA"/>
        </w:rPr>
        <w:t>,</w:t>
      </w:r>
      <w:r w:rsidRPr="00EF7399">
        <w:rPr>
          <w:rFonts w:ascii="Times New Roman" w:hAnsi="Times New Roman" w:cs="Times New Roman"/>
          <w:lang w:val="af-ZA"/>
        </w:rPr>
        <w:t xml:space="preserve"> </w:t>
      </w:r>
      <w:r w:rsidR="00AB7CD2" w:rsidRPr="00EF7399">
        <w:rPr>
          <w:rFonts w:ascii="Times New Roman" w:hAnsi="Times New Roman" w:cs="Times New Roman"/>
          <w:lang w:val="af-ZA"/>
        </w:rPr>
        <w:t xml:space="preserve">2020, </w:t>
      </w:r>
      <w:r w:rsidR="007E6280" w:rsidRPr="00EF7399">
        <w:rPr>
          <w:rFonts w:ascii="Times New Roman" w:hAnsi="Times New Roman" w:cs="Times New Roman"/>
          <w:lang w:val="af-ZA"/>
        </w:rPr>
        <w:t>գործով գանգատաբեր կուսակցության գրանցման մերժումը</w:t>
      </w:r>
      <w:r w:rsidR="00B603CF" w:rsidRPr="00EF7399">
        <w:rPr>
          <w:rFonts w:ascii="Times New Roman" w:hAnsi="Times New Roman" w:cs="Times New Roman"/>
          <w:lang w:val="af-ZA"/>
        </w:rPr>
        <w:t xml:space="preserve"> համարվեց հիմնավոր</w:t>
      </w:r>
      <w:r w:rsidR="007E6280" w:rsidRPr="00EF7399">
        <w:rPr>
          <w:rFonts w:ascii="Times New Roman" w:hAnsi="Times New Roman" w:cs="Times New Roman"/>
          <w:lang w:val="af-ZA"/>
        </w:rPr>
        <w:t>: Քանի որ կուսակցությունը կոչում էր իրեն տոտալիտար կոմունիզմի ժամանակաշրջանում երկրում իշխած կոմունիստական կուսակցության իրավահաջորդ</w:t>
      </w:r>
      <w:r w:rsidR="001047A0" w:rsidRPr="00EF7399">
        <w:rPr>
          <w:rFonts w:ascii="Times New Roman" w:hAnsi="Times New Roman" w:cs="Times New Roman"/>
          <w:lang w:val="af-ZA"/>
        </w:rPr>
        <w:t xml:space="preserve">, իշխանությունները ձգտել են կանխել </w:t>
      </w:r>
      <w:r w:rsidR="007E6280" w:rsidRPr="00EF7399">
        <w:rPr>
          <w:rFonts w:ascii="Times New Roman" w:hAnsi="Times New Roman" w:cs="Times New Roman"/>
          <w:lang w:val="af-ZA"/>
        </w:rPr>
        <w:t xml:space="preserve"> </w:t>
      </w:r>
      <w:r w:rsidR="001047A0" w:rsidRPr="00EF7399">
        <w:rPr>
          <w:rFonts w:ascii="Times New Roman" w:hAnsi="Times New Roman" w:cs="Times New Roman"/>
          <w:lang w:val="af-ZA"/>
        </w:rPr>
        <w:t>կուսակցության կողմից իր դիրքի հնարավոր չարաշահումը, պաշտպանել իրավունքի գերակայությունը</w:t>
      </w:r>
      <w:r w:rsidR="00B603CF" w:rsidRPr="00EF7399">
        <w:rPr>
          <w:rFonts w:ascii="Times New Roman" w:hAnsi="Times New Roman" w:cs="Times New Roman"/>
          <w:lang w:val="hy-AM"/>
        </w:rPr>
        <w:t xml:space="preserve"> և</w:t>
      </w:r>
      <w:r w:rsidR="001047A0" w:rsidRPr="00EF7399">
        <w:rPr>
          <w:rFonts w:ascii="Times New Roman" w:hAnsi="Times New Roman" w:cs="Times New Roman"/>
          <w:lang w:val="af-ZA"/>
        </w:rPr>
        <w:t xml:space="preserve"> ժողովրդավարության հիմնարար սկզբունքները: Դատարանը համարել է, որ տվյալ գործի առանձնահատուկ համատեքստում իշխանությունների բերած` կուսակցության գրանցումը  մերժելու պատճառները վերաբերելի </w:t>
      </w:r>
      <w:r w:rsidR="00B603CF" w:rsidRPr="00EF7399">
        <w:rPr>
          <w:rFonts w:ascii="Times New Roman" w:hAnsi="Times New Roman" w:cs="Times New Roman"/>
          <w:lang w:val="hy-AM"/>
        </w:rPr>
        <w:t>էի</w:t>
      </w:r>
      <w:r w:rsidR="001047A0" w:rsidRPr="00EF7399">
        <w:rPr>
          <w:rFonts w:ascii="Times New Roman" w:hAnsi="Times New Roman" w:cs="Times New Roman"/>
          <w:lang w:val="af-ZA"/>
        </w:rPr>
        <w:t xml:space="preserve">ն և բավարար, իսկ միջոցը համաչափ է եղել պետական անվտանգությունը և այլ անձանց իրավունքներն ու </w:t>
      </w:r>
      <w:r w:rsidR="0010788F" w:rsidRPr="00EF7399">
        <w:rPr>
          <w:rFonts w:ascii="Times New Roman" w:hAnsi="Times New Roman" w:cs="Times New Roman"/>
          <w:lang w:val="af-ZA"/>
        </w:rPr>
        <w:t>ա</w:t>
      </w:r>
      <w:r w:rsidR="001047A0" w:rsidRPr="00EF7399">
        <w:rPr>
          <w:rFonts w:ascii="Times New Roman" w:hAnsi="Times New Roman" w:cs="Times New Roman"/>
          <w:lang w:val="af-ZA"/>
        </w:rPr>
        <w:t xml:space="preserve">զատությունները պաշտպանելու հետապնդած իրավաչափ նպատակին:   </w:t>
      </w:r>
    </w:p>
    <w:p w14:paraId="61373531" w14:textId="038BB1DB" w:rsidR="00C22AFC" w:rsidRPr="00EF7399" w:rsidRDefault="00340B04" w:rsidP="00FE52C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 MERGEFORMAT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187</w:t>
      </w:r>
      <w:r w:rsidRPr="00EF7399">
        <w:rPr>
          <w:rFonts w:ascii="Times New Roman" w:hAnsi="Times New Roman" w:cs="Times New Roman"/>
          <w:lang w:val="af-ZA"/>
        </w:rPr>
        <w:fldChar w:fldCharType="end"/>
      </w:r>
      <w:r w:rsidR="00C22AFC" w:rsidRPr="00EF7399">
        <w:rPr>
          <w:rFonts w:ascii="Times New Roman" w:hAnsi="Times New Roman" w:cs="Times New Roman"/>
          <w:lang w:val="af-ZA"/>
        </w:rPr>
        <w:t>.  </w:t>
      </w:r>
      <w:r w:rsidR="003C1606" w:rsidRPr="00EF7399">
        <w:rPr>
          <w:rFonts w:ascii="Times New Roman" w:hAnsi="Times New Roman" w:cs="Times New Roman"/>
          <w:lang w:val="af-ZA"/>
        </w:rPr>
        <w:t>Ազգային օրենսդրության մեջ քաղաքական կուսակցության էթնիկ պատկանելության արգելքն ինքնին չի հակասում Կոնվենցիային: Հետևաբար, այն կարող է հանդիսանալ քաղաքական կուսակցության գրանցումը մերժելու իրավաչափ հիմք</w:t>
      </w:r>
      <w:r w:rsidR="00B32684" w:rsidRPr="00EF7399">
        <w:rPr>
          <w:rFonts w:ascii="Times New Roman" w:hAnsi="Times New Roman" w:cs="Times New Roman"/>
          <w:lang w:val="hy-AM"/>
        </w:rPr>
        <w:t xml:space="preserve">՝ </w:t>
      </w:r>
      <w:r w:rsidR="003C1606" w:rsidRPr="00EF7399">
        <w:rPr>
          <w:rFonts w:ascii="Times New Roman" w:hAnsi="Times New Roman" w:cs="Times New Roman"/>
          <w:lang w:val="af-ZA"/>
        </w:rPr>
        <w:t xml:space="preserve">պայմանով որ ազգային իշխանությունների ներկայացրած պատճառները բավարար են նման խիստ միջոցը հիմնավորելու համար </w:t>
      </w:r>
      <w:r w:rsidR="00AC304E" w:rsidRPr="00EF7399">
        <w:rPr>
          <w:rFonts w:ascii="Times New Roman" w:hAnsi="Times New Roman" w:cs="Times New Roman"/>
          <w:lang w:val="af-ZA"/>
        </w:rPr>
        <w:t>(</w:t>
      </w:r>
      <w:hyperlink r:id="rId446" w:history="1">
        <w:r w:rsidR="00AC304E" w:rsidRPr="00EF7399">
          <w:rPr>
            <w:rStyle w:val="Hyperlink"/>
            <w:rFonts w:ascii="Times New Roman" w:hAnsi="Times New Roman" w:cs="Times New Roman"/>
            <w:lang w:val="af-ZA"/>
          </w:rPr>
          <w:t>Savenko and Others</w:t>
        </w:r>
        <w:r w:rsidR="00873234" w:rsidRPr="00EF7399">
          <w:rPr>
            <w:rStyle w:val="Hyperlink"/>
            <w:rFonts w:ascii="Times New Roman" w:hAnsi="Times New Roman" w:cs="Times New Roman"/>
            <w:lang w:val="af-ZA"/>
          </w:rPr>
          <w:t xml:space="preserve"> v. </w:t>
        </w:r>
        <w:r w:rsidR="00AC304E" w:rsidRPr="00EF7399">
          <w:rPr>
            <w:rStyle w:val="Hyperlink"/>
            <w:rFonts w:ascii="Times New Roman" w:hAnsi="Times New Roman" w:cs="Times New Roman"/>
            <w:lang w:val="af-ZA"/>
          </w:rPr>
          <w:t>Russia</w:t>
        </w:r>
      </w:hyperlink>
      <w:r w:rsidR="00AC304E" w:rsidRPr="00EF7399">
        <w:rPr>
          <w:rFonts w:ascii="Times New Roman" w:hAnsi="Times New Roman" w:cs="Times New Roman"/>
          <w:lang w:val="af-ZA"/>
        </w:rPr>
        <w:t>, §</w:t>
      </w:r>
      <w:r w:rsidR="00873234" w:rsidRPr="00EF7399">
        <w:rPr>
          <w:rFonts w:ascii="Times New Roman" w:hAnsi="Times New Roman" w:cs="Times New Roman"/>
          <w:lang w:val="af-ZA"/>
        </w:rPr>
        <w:t>§ </w:t>
      </w:r>
      <w:r w:rsidR="00AC304E" w:rsidRPr="00EF7399">
        <w:rPr>
          <w:rFonts w:ascii="Times New Roman" w:hAnsi="Times New Roman" w:cs="Times New Roman"/>
          <w:lang w:val="af-ZA"/>
        </w:rPr>
        <w:t>9</w:t>
      </w:r>
      <w:r w:rsidR="00B2642F" w:rsidRPr="00EF7399">
        <w:rPr>
          <w:rFonts w:ascii="Times New Roman" w:hAnsi="Times New Roman" w:cs="Times New Roman"/>
          <w:lang w:val="af-ZA"/>
        </w:rPr>
        <w:t>2</w:t>
      </w:r>
      <w:r w:rsidR="00AC304E" w:rsidRPr="00EF7399">
        <w:rPr>
          <w:rFonts w:ascii="Times New Roman" w:hAnsi="Times New Roman" w:cs="Times New Roman"/>
          <w:lang w:val="af-ZA"/>
        </w:rPr>
        <w:t>-93,</w:t>
      </w:r>
      <w:r w:rsidR="003C1606" w:rsidRPr="00EF7399">
        <w:rPr>
          <w:rFonts w:ascii="Times New Roman" w:hAnsi="Times New Roman" w:cs="Times New Roman"/>
          <w:lang w:val="af-ZA"/>
        </w:rPr>
        <w:t xml:space="preserve"> որտեղ «Ազգային բոլշևիկյան կուսակցության», որի արտաքին քաղաքականության ծրագիրը հռչակում էր էթնիկ ռուսների և ռուսախոս բնակչության պաշտպանությունը, գրանցման մերժումը բավարար չափով հիմնավոր չէր</w:t>
      </w:r>
      <w:r w:rsidR="00AC304E" w:rsidRPr="00EF7399">
        <w:rPr>
          <w:rFonts w:ascii="Times New Roman" w:hAnsi="Times New Roman" w:cs="Times New Roman"/>
          <w:lang w:val="af-ZA"/>
        </w:rPr>
        <w:t>)</w:t>
      </w:r>
      <w:r w:rsidR="003C1606" w:rsidRPr="00EF7399">
        <w:rPr>
          <w:rFonts w:ascii="Times New Roman" w:hAnsi="Times New Roman" w:cs="Times New Roman"/>
          <w:lang w:val="af-ZA"/>
        </w:rPr>
        <w:t>:</w:t>
      </w:r>
    </w:p>
    <w:p w14:paraId="4901A1A2" w14:textId="347CE2C8" w:rsidR="00FE52C1" w:rsidRPr="00EF7399" w:rsidRDefault="00FE52C1" w:rsidP="00FE52C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188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3C1606" w:rsidRPr="00EF7399">
        <w:rPr>
          <w:rFonts w:ascii="Times New Roman" w:hAnsi="Times New Roman" w:cs="Times New Roman"/>
          <w:lang w:val="af-ZA"/>
        </w:rPr>
        <w:t xml:space="preserve">Հարկ է նշել, որ քաղաքական կուսակցության անվանման ընտրությունը սկզբունքորեն չի կարող հիմնավորել լուծարման </w:t>
      </w:r>
      <w:r w:rsidR="00B32684" w:rsidRPr="00EF7399">
        <w:rPr>
          <w:rFonts w:ascii="Times New Roman" w:hAnsi="Times New Roman" w:cs="Times New Roman"/>
          <w:lang w:val="hy-AM"/>
        </w:rPr>
        <w:t>պես</w:t>
      </w:r>
      <w:r w:rsidR="00B32684" w:rsidRPr="00EF7399">
        <w:rPr>
          <w:rFonts w:ascii="Times New Roman" w:hAnsi="Times New Roman" w:cs="Times New Roman"/>
          <w:lang w:val="af-ZA"/>
        </w:rPr>
        <w:t xml:space="preserve"> </w:t>
      </w:r>
      <w:r w:rsidR="003C1606" w:rsidRPr="00EF7399">
        <w:rPr>
          <w:rFonts w:ascii="Times New Roman" w:hAnsi="Times New Roman" w:cs="Times New Roman"/>
          <w:lang w:val="af-ZA"/>
        </w:rPr>
        <w:t xml:space="preserve">ծայրահեղ միջոցը, եթե չկան այլ վերաբերելի և բավարար հանգամանքներ </w:t>
      </w:r>
      <w:r w:rsidRPr="00EF7399">
        <w:rPr>
          <w:rFonts w:ascii="Times New Roman" w:hAnsi="Times New Roman" w:cs="Times New Roman"/>
          <w:i/>
          <w:lang w:val="af-ZA"/>
        </w:rPr>
        <w:t>(</w:t>
      </w:r>
      <w:hyperlink r:id="rId447" w:history="1">
        <w:r w:rsidR="00D439BE" w:rsidRPr="00EF7399">
          <w:rPr>
            <w:rStyle w:val="Hyperlink"/>
            <w:rFonts w:ascii="Times New Roman" w:hAnsi="Times New Roman" w:cs="Times New Roman"/>
            <w:lang w:val="af-ZA"/>
          </w:rPr>
          <w:t>United Communist Party of Turkey and Other</w:t>
        </w:r>
        <w:r w:rsidR="00873234" w:rsidRPr="00EF7399">
          <w:rPr>
            <w:rStyle w:val="Hyperlink"/>
            <w:rFonts w:ascii="Times New Roman" w:hAnsi="Times New Roman" w:cs="Times New Roman"/>
            <w:lang w:val="af-ZA"/>
          </w:rPr>
          <w:t xml:space="preserve"> v. </w:t>
        </w:r>
        <w:r w:rsidR="00D439BE" w:rsidRPr="00EF7399">
          <w:rPr>
            <w:rStyle w:val="Hyperlink"/>
            <w:rFonts w:ascii="Times New Roman" w:hAnsi="Times New Roman" w:cs="Times New Roman"/>
            <w:lang w:val="af-ZA"/>
          </w:rPr>
          <w:t>Turkey</w:t>
        </w:r>
      </w:hyperlink>
      <w:r w:rsidR="00D439BE" w:rsidRPr="00EF7399">
        <w:rPr>
          <w:rFonts w:ascii="Times New Roman" w:hAnsi="Times New Roman" w:cs="Times New Roman"/>
          <w:lang w:val="af-ZA"/>
        </w:rPr>
        <w:t>,</w:t>
      </w:r>
      <w:r w:rsidRPr="00EF7399">
        <w:rPr>
          <w:rFonts w:ascii="Times New Roman" w:hAnsi="Times New Roman" w:cs="Times New Roman"/>
          <w:lang w:val="af-ZA"/>
        </w:rPr>
        <w:t xml:space="preserve"> </w:t>
      </w:r>
      <w:r w:rsidR="00AB7CD2" w:rsidRPr="00EF7399">
        <w:rPr>
          <w:rFonts w:ascii="Times New Roman" w:hAnsi="Times New Roman" w:cs="Times New Roman"/>
          <w:lang w:val="af-ZA"/>
        </w:rPr>
        <w:t xml:space="preserve">1998,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54, </w:t>
      </w:r>
      <w:r w:rsidR="003C1606" w:rsidRPr="00EF7399">
        <w:rPr>
          <w:rFonts w:ascii="Times New Roman" w:hAnsi="Times New Roman" w:cs="Times New Roman"/>
          <w:lang w:val="af-ZA"/>
        </w:rPr>
        <w:t>որտեղ կուսակցության լուծարման հիմքերից մեկը «կոմունիստ» բառի գործածությունն էր անվանման մեջ</w:t>
      </w:r>
      <w:r w:rsidRPr="00EF7399">
        <w:rPr>
          <w:rFonts w:ascii="Times New Roman" w:hAnsi="Times New Roman" w:cs="Times New Roman"/>
          <w:lang w:val="af-ZA"/>
        </w:rPr>
        <w:t>)</w:t>
      </w:r>
      <w:r w:rsidR="003C1606" w:rsidRPr="00EF7399">
        <w:rPr>
          <w:rFonts w:ascii="Times New Roman" w:hAnsi="Times New Roman" w:cs="Times New Roman"/>
          <w:lang w:val="af-ZA"/>
        </w:rPr>
        <w:t>:</w:t>
      </w:r>
    </w:p>
    <w:p w14:paraId="5EA2B105" w14:textId="13F31DA0" w:rsidR="00FE52C1" w:rsidRPr="00EF7399" w:rsidRDefault="00FE52C1" w:rsidP="00FE52C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189</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3C1606" w:rsidRPr="00EF7399">
        <w:rPr>
          <w:rFonts w:ascii="Times New Roman" w:hAnsi="Times New Roman" w:cs="Times New Roman"/>
          <w:lang w:val="af-ZA"/>
        </w:rPr>
        <w:t>Մի շարք գործերով Դատարանը գտավ 11-րդ հոդվածի խախտում</w:t>
      </w:r>
      <w:r w:rsidR="00E6388F" w:rsidRPr="00EF7399">
        <w:rPr>
          <w:rFonts w:ascii="Times New Roman" w:hAnsi="Times New Roman" w:cs="Times New Roman"/>
          <w:lang w:val="af-ZA"/>
        </w:rPr>
        <w:t>, երբ իշխ</w:t>
      </w:r>
      <w:r w:rsidR="00B32684" w:rsidRPr="00EF7399">
        <w:rPr>
          <w:rFonts w:ascii="Times New Roman" w:hAnsi="Times New Roman" w:cs="Times New Roman"/>
          <w:lang w:val="hy-AM"/>
        </w:rPr>
        <w:t>ա</w:t>
      </w:r>
      <w:r w:rsidR="00E6388F" w:rsidRPr="00EF7399">
        <w:rPr>
          <w:rFonts w:ascii="Times New Roman" w:hAnsi="Times New Roman" w:cs="Times New Roman"/>
          <w:lang w:val="af-ZA"/>
        </w:rPr>
        <w:t xml:space="preserve">նությունները համարել էին, որ կուսակցության ծրագիրը վնաս է հասցնում պետության տարածքային ամբողջականությանը և խրախուսում է բնակչության որոշակի խմբի </w:t>
      </w:r>
      <w:r w:rsidR="00E6388F" w:rsidRPr="00EF7399">
        <w:rPr>
          <w:rFonts w:ascii="Times New Roman" w:hAnsi="Times New Roman" w:cs="Times New Roman"/>
          <w:i/>
          <w:iCs/>
          <w:lang w:val="af-ZA"/>
        </w:rPr>
        <w:t>անջատողականությունը</w:t>
      </w:r>
      <w:r w:rsidR="00E6388F" w:rsidRPr="00EF7399">
        <w:rPr>
          <w:rFonts w:ascii="Times New Roman" w:hAnsi="Times New Roman" w:cs="Times New Roman"/>
          <w:lang w:val="af-ZA"/>
        </w:rPr>
        <w:t>: Դատարանի կարծիքով</w:t>
      </w:r>
      <w:r w:rsidR="00B32684" w:rsidRPr="00EF7399">
        <w:rPr>
          <w:rFonts w:ascii="Times New Roman" w:hAnsi="Times New Roman" w:cs="Times New Roman"/>
          <w:lang w:val="hy-AM"/>
        </w:rPr>
        <w:t>՝</w:t>
      </w:r>
      <w:r w:rsidR="00E6388F" w:rsidRPr="00EF7399">
        <w:rPr>
          <w:rFonts w:ascii="Times New Roman" w:hAnsi="Times New Roman" w:cs="Times New Roman"/>
          <w:lang w:val="af-ZA"/>
        </w:rPr>
        <w:t xml:space="preserve"> ժողովրդավարական հիմնարար սկզբունքներին համապատասխանող քաղաքական խմբի գործունեության խոչընդոտումը միայն այն պատճառաբանությամբ, որ վերջինս քննադատել է երկրի սահմանադրական և </w:t>
      </w:r>
      <w:r w:rsidR="00B32684" w:rsidRPr="00EF7399">
        <w:rPr>
          <w:rFonts w:ascii="Times New Roman" w:hAnsi="Times New Roman" w:cs="Times New Roman"/>
          <w:lang w:val="hy-AM"/>
        </w:rPr>
        <w:t>իրավական</w:t>
      </w:r>
      <w:r w:rsidR="00B32684" w:rsidRPr="00EF7399">
        <w:rPr>
          <w:rFonts w:ascii="Times New Roman" w:hAnsi="Times New Roman" w:cs="Times New Roman"/>
          <w:lang w:val="af-ZA"/>
        </w:rPr>
        <w:t xml:space="preserve"> </w:t>
      </w:r>
      <w:r w:rsidR="00315E0D" w:rsidRPr="00EF7399">
        <w:rPr>
          <w:rFonts w:ascii="Times New Roman" w:hAnsi="Times New Roman" w:cs="Times New Roman"/>
          <w:lang w:val="af-ZA"/>
        </w:rPr>
        <w:t>կարգ</w:t>
      </w:r>
      <w:r w:rsidR="00E6388F" w:rsidRPr="00EF7399">
        <w:rPr>
          <w:rFonts w:ascii="Times New Roman" w:hAnsi="Times New Roman" w:cs="Times New Roman"/>
          <w:lang w:val="af-ZA"/>
        </w:rPr>
        <w:t>ը, նաև</w:t>
      </w:r>
      <w:r w:rsidR="00315E0D" w:rsidRPr="00EF7399">
        <w:rPr>
          <w:rFonts w:ascii="Times New Roman" w:hAnsi="Times New Roman" w:cs="Times New Roman"/>
          <w:lang w:val="af-ZA"/>
        </w:rPr>
        <w:t xml:space="preserve"> ձգտել քաղաքական ասպարեզում</w:t>
      </w:r>
      <w:r w:rsidR="00E6388F" w:rsidRPr="00EF7399">
        <w:rPr>
          <w:rFonts w:ascii="Times New Roman" w:hAnsi="Times New Roman" w:cs="Times New Roman"/>
          <w:lang w:val="af-ZA"/>
        </w:rPr>
        <w:t xml:space="preserve"> հանրային բանավեճի</w:t>
      </w:r>
      <w:r w:rsidR="00315E0D" w:rsidRPr="00EF7399">
        <w:rPr>
          <w:rFonts w:ascii="Times New Roman" w:hAnsi="Times New Roman" w:cs="Times New Roman"/>
          <w:lang w:val="af-ZA"/>
        </w:rPr>
        <w:t>,</w:t>
      </w:r>
      <w:r w:rsidR="00E6388F" w:rsidRPr="00EF7399">
        <w:rPr>
          <w:rFonts w:ascii="Times New Roman" w:hAnsi="Times New Roman" w:cs="Times New Roman"/>
          <w:lang w:val="af-ZA"/>
        </w:rPr>
        <w:t xml:space="preserve"> հիմնավոր չէ</w:t>
      </w:r>
      <w:r w:rsidR="00315E0D"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448" w:history="1">
        <w:r w:rsidRPr="00EF7399">
          <w:rPr>
            <w:rStyle w:val="Hyperlink"/>
            <w:rFonts w:ascii="Times New Roman" w:hAnsi="Times New Roman" w:cs="Times New Roman"/>
            <w:lang w:val="af-ZA"/>
          </w:rPr>
          <w:t>United Communist Party of Turkey and Other</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w:t>
      </w:r>
      <w:r w:rsidR="00AB7CD2" w:rsidRPr="00EF7399">
        <w:rPr>
          <w:rFonts w:ascii="Times New Roman" w:hAnsi="Times New Roman" w:cs="Times New Roman"/>
          <w:lang w:val="af-ZA"/>
        </w:rPr>
        <w:t xml:space="preserve">1998, </w:t>
      </w:r>
      <w:r w:rsidR="00873234" w:rsidRPr="00EF7399">
        <w:rPr>
          <w:rFonts w:ascii="Times New Roman" w:hAnsi="Times New Roman" w:cs="Times New Roman"/>
          <w:lang w:val="af-ZA"/>
        </w:rPr>
        <w:t>§ </w:t>
      </w:r>
      <w:r w:rsidRPr="00EF7399">
        <w:rPr>
          <w:rFonts w:ascii="Times New Roman" w:hAnsi="Times New Roman" w:cs="Times New Roman"/>
          <w:lang w:val="af-ZA"/>
        </w:rPr>
        <w:t>57)</w:t>
      </w:r>
      <w:r w:rsidR="00315E0D" w:rsidRPr="00EF7399">
        <w:rPr>
          <w:rFonts w:ascii="Times New Roman" w:hAnsi="Times New Roman" w:cs="Times New Roman"/>
          <w:lang w:val="af-ZA"/>
        </w:rPr>
        <w:t xml:space="preserve">: </w:t>
      </w:r>
      <w:r w:rsidR="00A36D7A" w:rsidRPr="00EF7399">
        <w:rPr>
          <w:rFonts w:ascii="Times New Roman" w:hAnsi="Times New Roman" w:cs="Times New Roman"/>
          <w:lang w:val="af-ZA"/>
        </w:rPr>
        <w:t>Ժ</w:t>
      </w:r>
      <w:r w:rsidR="00315E0D" w:rsidRPr="00EF7399">
        <w:rPr>
          <w:rFonts w:ascii="Times New Roman" w:hAnsi="Times New Roman" w:cs="Times New Roman"/>
          <w:lang w:val="af-ZA"/>
        </w:rPr>
        <w:t>ողովրդավարության էությ</w:t>
      </w:r>
      <w:r w:rsidR="00A36D7A" w:rsidRPr="00EF7399">
        <w:rPr>
          <w:rFonts w:ascii="Times New Roman" w:hAnsi="Times New Roman" w:cs="Times New Roman"/>
          <w:lang w:val="af-ZA"/>
        </w:rPr>
        <w:t>ուն</w:t>
      </w:r>
      <w:r w:rsidR="00B32684" w:rsidRPr="00EF7399">
        <w:rPr>
          <w:rFonts w:ascii="Times New Roman" w:hAnsi="Times New Roman" w:cs="Times New Roman"/>
          <w:lang w:val="hy-AM"/>
        </w:rPr>
        <w:t xml:space="preserve">ն է՝ </w:t>
      </w:r>
      <w:r w:rsidR="00A36D7A" w:rsidRPr="00EF7399">
        <w:rPr>
          <w:rFonts w:ascii="Times New Roman" w:hAnsi="Times New Roman" w:cs="Times New Roman"/>
          <w:lang w:val="af-ZA"/>
        </w:rPr>
        <w:t>հնարավորություն տա</w:t>
      </w:r>
      <w:r w:rsidR="00B32684" w:rsidRPr="00EF7399">
        <w:rPr>
          <w:rFonts w:ascii="Times New Roman" w:hAnsi="Times New Roman" w:cs="Times New Roman"/>
          <w:lang w:val="hy-AM"/>
        </w:rPr>
        <w:t>լ</w:t>
      </w:r>
      <w:r w:rsidR="00315E0D" w:rsidRPr="00EF7399">
        <w:rPr>
          <w:rFonts w:ascii="Times New Roman" w:hAnsi="Times New Roman" w:cs="Times New Roman"/>
          <w:lang w:val="af-ZA"/>
        </w:rPr>
        <w:t xml:space="preserve"> </w:t>
      </w:r>
      <w:r w:rsidR="00B32684" w:rsidRPr="00EF7399">
        <w:rPr>
          <w:rFonts w:ascii="Times New Roman" w:hAnsi="Times New Roman" w:cs="Times New Roman"/>
          <w:lang w:val="af-ZA"/>
        </w:rPr>
        <w:t xml:space="preserve">առաջարկել և քննարկել </w:t>
      </w:r>
      <w:r w:rsidR="00315E0D" w:rsidRPr="00EF7399">
        <w:rPr>
          <w:rFonts w:ascii="Times New Roman" w:hAnsi="Times New Roman" w:cs="Times New Roman"/>
          <w:lang w:val="af-ZA"/>
        </w:rPr>
        <w:t>բազմազան քաղաքական ծրագրեր, նույնիսկ այնպիսի</w:t>
      </w:r>
      <w:r w:rsidR="00A36D7A" w:rsidRPr="00EF7399">
        <w:rPr>
          <w:rFonts w:ascii="Times New Roman" w:hAnsi="Times New Roman" w:cs="Times New Roman"/>
          <w:lang w:val="af-ZA"/>
        </w:rPr>
        <w:t>ք</w:t>
      </w:r>
      <w:r w:rsidR="00315E0D" w:rsidRPr="00EF7399">
        <w:rPr>
          <w:rFonts w:ascii="Times New Roman" w:hAnsi="Times New Roman" w:cs="Times New Roman"/>
          <w:lang w:val="af-ZA"/>
        </w:rPr>
        <w:t xml:space="preserve">, որոնք կասկածի տակ են դնում պետության ընթացիկ </w:t>
      </w:r>
      <w:r w:rsidR="00B32684" w:rsidRPr="00EF7399">
        <w:rPr>
          <w:rFonts w:ascii="Times New Roman" w:hAnsi="Times New Roman" w:cs="Times New Roman"/>
          <w:lang w:val="hy-AM"/>
        </w:rPr>
        <w:t>կազմակերպման եղանակը՝</w:t>
      </w:r>
      <w:r w:rsidR="00A36D7A" w:rsidRPr="00EF7399">
        <w:rPr>
          <w:rFonts w:ascii="Times New Roman" w:hAnsi="Times New Roman" w:cs="Times New Roman"/>
          <w:lang w:val="af-ZA"/>
        </w:rPr>
        <w:t xml:space="preserve"> պայմանով որ դրանք վնաս չեն հասցնում բուն ժողովրդավարությանը </w:t>
      </w:r>
      <w:r w:rsidRPr="00EF7399">
        <w:rPr>
          <w:rFonts w:ascii="Times New Roman" w:hAnsi="Times New Roman" w:cs="Times New Roman"/>
          <w:lang w:val="af-ZA"/>
        </w:rPr>
        <w:t>(</w:t>
      </w:r>
      <w:hyperlink r:id="rId449" w:history="1">
        <w:r w:rsidR="00553D74" w:rsidRPr="00EF7399">
          <w:rPr>
            <w:rStyle w:val="Hyperlink"/>
            <w:rFonts w:ascii="Times New Roman" w:hAnsi="Times New Roman" w:cs="Times New Roman"/>
            <w:lang w:val="af-ZA"/>
          </w:rPr>
          <w:t>Socialist Party and Others</w:t>
        </w:r>
        <w:r w:rsidR="00873234" w:rsidRPr="00EF7399">
          <w:rPr>
            <w:rStyle w:val="Hyperlink"/>
            <w:rFonts w:ascii="Times New Roman" w:hAnsi="Times New Roman" w:cs="Times New Roman"/>
            <w:lang w:val="af-ZA"/>
          </w:rPr>
          <w:t xml:space="preserve"> v. </w:t>
        </w:r>
        <w:r w:rsidR="00553D74"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w:t>
      </w:r>
      <w:r w:rsidR="00AB7CD2" w:rsidRPr="00EF7399">
        <w:rPr>
          <w:rFonts w:ascii="Times New Roman" w:hAnsi="Times New Roman" w:cs="Times New Roman"/>
          <w:lang w:val="af-ZA"/>
        </w:rPr>
        <w:t xml:space="preserve">1998,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47; </w:t>
      </w:r>
      <w:hyperlink r:id="rId450" w:history="1">
        <w:r w:rsidRPr="00EF7399">
          <w:rPr>
            <w:rStyle w:val="Hyperlink"/>
            <w:rFonts w:ascii="Times New Roman" w:hAnsi="Times New Roman" w:cs="Times New Roman"/>
            <w:lang w:val="af-ZA"/>
          </w:rPr>
          <w:t>Freedom and Democracy Party (ÖZDEP)</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i/>
          <w:lang w:val="af-ZA"/>
        </w:rPr>
        <w:t xml:space="preserve"> </w:t>
      </w:r>
      <w:r w:rsidRPr="00EF7399">
        <w:rPr>
          <w:rFonts w:ascii="Times New Roman" w:hAnsi="Times New Roman" w:cs="Times New Roman"/>
          <w:lang w:val="af-ZA"/>
        </w:rPr>
        <w:t xml:space="preserve">[GC], </w:t>
      </w:r>
      <w:r w:rsidR="00983154" w:rsidRPr="00EF7399">
        <w:rPr>
          <w:rFonts w:ascii="Times New Roman" w:hAnsi="Times New Roman" w:cs="Times New Roman"/>
          <w:lang w:val="af-ZA"/>
        </w:rPr>
        <w:t xml:space="preserve">1999, </w:t>
      </w:r>
      <w:r w:rsidR="00873234" w:rsidRPr="00EF7399">
        <w:rPr>
          <w:rFonts w:ascii="Times New Roman" w:hAnsi="Times New Roman" w:cs="Times New Roman"/>
          <w:lang w:val="af-ZA"/>
        </w:rPr>
        <w:t>§ </w:t>
      </w:r>
      <w:r w:rsidRPr="00EF7399">
        <w:rPr>
          <w:rFonts w:ascii="Times New Roman" w:hAnsi="Times New Roman" w:cs="Times New Roman"/>
          <w:lang w:val="af-ZA"/>
        </w:rPr>
        <w:t>41)</w:t>
      </w:r>
      <w:r w:rsidR="00A36D7A" w:rsidRPr="00EF7399">
        <w:rPr>
          <w:rFonts w:ascii="Times New Roman" w:hAnsi="Times New Roman" w:cs="Times New Roman"/>
          <w:lang w:val="af-ZA"/>
        </w:rPr>
        <w:t>:</w:t>
      </w:r>
    </w:p>
    <w:p w14:paraId="226DFF9C" w14:textId="569F602F" w:rsidR="00FE52C1" w:rsidRPr="00EF7399" w:rsidRDefault="00FE52C1" w:rsidP="00FE52C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190</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B32684" w:rsidRPr="00EF7399">
        <w:rPr>
          <w:rFonts w:ascii="Times New Roman" w:hAnsi="Times New Roman" w:cs="Times New Roman"/>
          <w:lang w:val="hy-AM"/>
        </w:rPr>
        <w:t>Զուտ</w:t>
      </w:r>
      <w:r w:rsidR="00B32684" w:rsidRPr="00EF7399">
        <w:rPr>
          <w:rFonts w:ascii="Times New Roman" w:hAnsi="Times New Roman" w:cs="Times New Roman"/>
          <w:lang w:val="af-ZA"/>
        </w:rPr>
        <w:t xml:space="preserve"> </w:t>
      </w:r>
      <w:r w:rsidR="00A36D7A" w:rsidRPr="00EF7399">
        <w:rPr>
          <w:rFonts w:ascii="Times New Roman" w:hAnsi="Times New Roman" w:cs="Times New Roman"/>
          <w:lang w:val="af-ZA"/>
        </w:rPr>
        <w:t>փաստը, որ քաղաքական կուսակցությունը հնչեցնում է ինքնավարության կամ նույնիսկ երկրի տարածքի մի մասի անջատման կոչեր, բավարար չէ պետական անվտանգության հիմքով դրա լուծարումը հիմնավորելու համար: Իրավունքի գերակայության վրա հիմնված ժողովրդավարական հասարակությունում քաղաքական գաղափարները, որոնք հարցականի տակ են դնում գոյություն ունեցող հասարակարգը</w:t>
      </w:r>
      <w:r w:rsidR="004F227C" w:rsidRPr="00EF7399">
        <w:rPr>
          <w:rFonts w:ascii="Times New Roman" w:hAnsi="Times New Roman" w:cs="Times New Roman"/>
          <w:lang w:val="af-ZA"/>
        </w:rPr>
        <w:t xml:space="preserve">` կասկածի տակ չդնելով ժողովրդավարության  նորմերը, և որոնց իրագործումը </w:t>
      </w:r>
      <w:r w:rsidR="00E11519" w:rsidRPr="00EF7399">
        <w:rPr>
          <w:rFonts w:ascii="Times New Roman" w:hAnsi="Times New Roman" w:cs="Times New Roman"/>
          <w:lang w:val="af-ZA"/>
        </w:rPr>
        <w:t>քարոզվում</w:t>
      </w:r>
      <w:r w:rsidR="004F227C" w:rsidRPr="00EF7399">
        <w:rPr>
          <w:rFonts w:ascii="Times New Roman" w:hAnsi="Times New Roman" w:cs="Times New Roman"/>
          <w:lang w:val="af-ZA"/>
        </w:rPr>
        <w:t xml:space="preserve"> է խաղաղ միջոցներով</w:t>
      </w:r>
      <w:r w:rsidR="00E11519" w:rsidRPr="00EF7399">
        <w:rPr>
          <w:rFonts w:ascii="Times New Roman" w:hAnsi="Times New Roman" w:cs="Times New Roman"/>
          <w:lang w:val="af-ZA"/>
        </w:rPr>
        <w:t xml:space="preserve">, պետք է ստանան քաղաքական գործընթացին մասնակցելու միջոցով արտահայտման պատշաճ հնարավորություն </w:t>
      </w:r>
      <w:r w:rsidR="006B6FEB" w:rsidRPr="00EF7399">
        <w:rPr>
          <w:rFonts w:ascii="Times New Roman" w:hAnsi="Times New Roman" w:cs="Times New Roman"/>
          <w:lang w:val="af-ZA"/>
        </w:rPr>
        <w:t>(</w:t>
      </w:r>
      <w:hyperlink r:id="rId451" w:history="1">
        <w:r w:rsidR="006B6FEB" w:rsidRPr="00EF7399">
          <w:rPr>
            <w:rStyle w:val="Hyperlink"/>
            <w:rFonts w:ascii="Times New Roman" w:hAnsi="Times New Roman" w:cs="Times New Roman"/>
            <w:lang w:val="af-ZA"/>
          </w:rPr>
          <w:t>The United Macedonian Organisation Ilinden – PIRIN and Others</w:t>
        </w:r>
        <w:r w:rsidR="00873234" w:rsidRPr="00EF7399">
          <w:rPr>
            <w:rStyle w:val="Hyperlink"/>
            <w:rFonts w:ascii="Times New Roman" w:hAnsi="Times New Roman" w:cs="Times New Roman"/>
            <w:lang w:val="af-ZA"/>
          </w:rPr>
          <w:t xml:space="preserve"> v. </w:t>
        </w:r>
        <w:r w:rsidR="006B6FEB" w:rsidRPr="00EF7399">
          <w:rPr>
            <w:rStyle w:val="Hyperlink"/>
            <w:rFonts w:ascii="Times New Roman" w:hAnsi="Times New Roman" w:cs="Times New Roman"/>
            <w:lang w:val="af-ZA"/>
          </w:rPr>
          <w:t>Bulgaria</w:t>
        </w:r>
      </w:hyperlink>
      <w:r w:rsidR="006B6FEB" w:rsidRPr="00EF7399">
        <w:rPr>
          <w:rFonts w:ascii="Times New Roman" w:hAnsi="Times New Roman" w:cs="Times New Roman"/>
          <w:lang w:val="af-ZA"/>
        </w:rPr>
        <w:t xml:space="preserve">, </w:t>
      </w:r>
      <w:r w:rsidR="006C6C81" w:rsidRPr="00EF7399">
        <w:rPr>
          <w:rFonts w:ascii="Times New Roman" w:hAnsi="Times New Roman" w:cs="Times New Roman"/>
          <w:lang w:val="af-ZA"/>
        </w:rPr>
        <w:t xml:space="preserve">2005, </w:t>
      </w:r>
      <w:r w:rsidR="00873234" w:rsidRPr="00EF7399">
        <w:rPr>
          <w:rFonts w:ascii="Times New Roman" w:hAnsi="Times New Roman" w:cs="Times New Roman"/>
          <w:lang w:val="af-ZA"/>
        </w:rPr>
        <w:t>§ </w:t>
      </w:r>
      <w:r w:rsidR="006B6FEB" w:rsidRPr="00EF7399">
        <w:rPr>
          <w:rFonts w:ascii="Times New Roman" w:hAnsi="Times New Roman" w:cs="Times New Roman"/>
          <w:lang w:val="af-ZA"/>
        </w:rPr>
        <w:t>61)</w:t>
      </w:r>
      <w:r w:rsidR="00E11519" w:rsidRPr="00EF7399">
        <w:rPr>
          <w:rFonts w:ascii="Times New Roman" w:hAnsi="Times New Roman" w:cs="Times New Roman"/>
          <w:lang w:val="af-ZA"/>
        </w:rPr>
        <w:t>:</w:t>
      </w:r>
    </w:p>
    <w:p w14:paraId="70F3C1A3" w14:textId="6CA4E775" w:rsidR="00FE52C1" w:rsidRPr="00EF7399" w:rsidRDefault="00FE52C1" w:rsidP="00FE52C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191</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C22A73" w:rsidRPr="00EF7399">
        <w:rPr>
          <w:rFonts w:ascii="Times New Roman" w:hAnsi="Times New Roman" w:cs="Times New Roman"/>
          <w:lang w:val="af-ZA"/>
        </w:rPr>
        <w:t>Պետություններն իրավասու են</w:t>
      </w:r>
      <w:r w:rsidR="00B32684" w:rsidRPr="00EF7399">
        <w:rPr>
          <w:rFonts w:ascii="Times New Roman" w:hAnsi="Times New Roman" w:cs="Times New Roman"/>
          <w:lang w:val="hy-AM"/>
        </w:rPr>
        <w:t>,</w:t>
      </w:r>
      <w:r w:rsidR="00C22A73" w:rsidRPr="00EF7399">
        <w:rPr>
          <w:rFonts w:ascii="Times New Roman" w:hAnsi="Times New Roman" w:cs="Times New Roman"/>
          <w:lang w:val="af-ZA"/>
        </w:rPr>
        <w:t xml:space="preserve"> պահպանելով համաչափության պայմանը, պահանջել քաղաքական կուսակցություններից բավարարել </w:t>
      </w:r>
      <w:r w:rsidR="001F032F" w:rsidRPr="001B2612">
        <w:rPr>
          <w:rFonts w:ascii="Times New Roman" w:hAnsi="Times New Roman" w:cs="Times New Roman"/>
          <w:i/>
          <w:iCs/>
          <w:lang w:val="hy-AM"/>
        </w:rPr>
        <w:t>ձևական-իրավական</w:t>
      </w:r>
      <w:r w:rsidR="001F032F" w:rsidRPr="001B2612">
        <w:rPr>
          <w:rFonts w:ascii="Times New Roman" w:hAnsi="Times New Roman" w:cs="Times New Roman"/>
          <w:i/>
          <w:iCs/>
          <w:lang w:val="af-ZA"/>
        </w:rPr>
        <w:t xml:space="preserve"> ողջամիտ</w:t>
      </w:r>
      <w:r w:rsidR="001F032F" w:rsidRPr="001B2612">
        <w:rPr>
          <w:rFonts w:ascii="Times New Roman" w:hAnsi="Times New Roman" w:cs="Times New Roman"/>
          <w:i/>
          <w:iCs/>
          <w:lang w:val="hy-AM"/>
        </w:rPr>
        <w:t xml:space="preserve"> </w:t>
      </w:r>
      <w:r w:rsidR="001F032F" w:rsidRPr="001B2612">
        <w:rPr>
          <w:rFonts w:ascii="Times New Roman" w:hAnsi="Times New Roman" w:cs="Times New Roman"/>
          <w:i/>
          <w:iCs/>
          <w:lang w:val="af-ZA"/>
        </w:rPr>
        <w:t>պա</w:t>
      </w:r>
      <w:r w:rsidR="001F032F" w:rsidRPr="001B2612">
        <w:rPr>
          <w:rFonts w:ascii="Times New Roman" w:hAnsi="Times New Roman" w:cs="Times New Roman"/>
          <w:i/>
          <w:iCs/>
          <w:lang w:val="hy-AM"/>
        </w:rPr>
        <w:t>յմաններ</w:t>
      </w:r>
      <w:r w:rsidR="00C22A73" w:rsidRPr="001B2612">
        <w:rPr>
          <w:rFonts w:ascii="Times New Roman" w:hAnsi="Times New Roman" w:cs="Times New Roman"/>
          <w:i/>
          <w:iCs/>
          <w:lang w:val="af-ZA"/>
        </w:rPr>
        <w:t>,</w:t>
      </w:r>
      <w:r w:rsidR="00C22A73" w:rsidRPr="00EF7399">
        <w:rPr>
          <w:rFonts w:ascii="Times New Roman" w:hAnsi="Times New Roman" w:cs="Times New Roman"/>
          <w:lang w:val="af-ZA"/>
        </w:rPr>
        <w:t xml:space="preserve"> </w:t>
      </w:r>
      <w:r w:rsidR="00C22A73" w:rsidRPr="00EF7399">
        <w:rPr>
          <w:rFonts w:ascii="Times New Roman" w:hAnsi="Times New Roman" w:cs="Times New Roman"/>
          <w:lang w:val="af-ZA"/>
        </w:rPr>
        <w:lastRenderedPageBreak/>
        <w:t>որոնք առնչվում են</w:t>
      </w:r>
      <w:r w:rsidR="00C22A73" w:rsidRPr="00EF7399">
        <w:rPr>
          <w:rFonts w:ascii="Times New Roman" w:hAnsi="Times New Roman" w:cs="Times New Roman"/>
          <w:i/>
          <w:iCs/>
          <w:lang w:val="af-ZA"/>
        </w:rPr>
        <w:t xml:space="preserve"> </w:t>
      </w:r>
      <w:r w:rsidR="00C22A73" w:rsidRPr="00EF7399">
        <w:rPr>
          <w:rFonts w:ascii="Times New Roman" w:hAnsi="Times New Roman" w:cs="Times New Roman"/>
          <w:lang w:val="af-ZA"/>
        </w:rPr>
        <w:t xml:space="preserve">դրանց ձևավորմանը </w:t>
      </w:r>
      <w:r w:rsidR="006B6FEB" w:rsidRPr="00EF7399">
        <w:rPr>
          <w:rFonts w:ascii="Times New Roman" w:hAnsi="Times New Roman" w:cs="Times New Roman"/>
          <w:lang w:val="af-ZA"/>
        </w:rPr>
        <w:t>(</w:t>
      </w:r>
      <w:hyperlink r:id="rId452" w:history="1">
        <w:r w:rsidR="006B6FEB" w:rsidRPr="00EF7399">
          <w:rPr>
            <w:rStyle w:val="Hyperlink"/>
            <w:rFonts w:ascii="Times New Roman" w:hAnsi="Times New Roman" w:cs="Times New Roman"/>
            <w:lang w:val="af-ZA"/>
          </w:rPr>
          <w:t>The United Macedonian Organisation Ilinden – PIRIN and Others</w:t>
        </w:r>
        <w:r w:rsidR="00873234" w:rsidRPr="00EF7399">
          <w:rPr>
            <w:rStyle w:val="Hyperlink"/>
            <w:rFonts w:ascii="Times New Roman" w:hAnsi="Times New Roman" w:cs="Times New Roman"/>
            <w:lang w:val="af-ZA"/>
          </w:rPr>
          <w:t xml:space="preserve"> v. </w:t>
        </w:r>
        <w:r w:rsidR="006B6FEB" w:rsidRPr="00EF7399">
          <w:rPr>
            <w:rStyle w:val="Hyperlink"/>
            <w:rFonts w:ascii="Times New Roman" w:hAnsi="Times New Roman" w:cs="Times New Roman"/>
            <w:lang w:val="af-ZA"/>
          </w:rPr>
          <w:t>Bulgaria (no. 2)</w:t>
        </w:r>
      </w:hyperlink>
      <w:r w:rsidR="006B6FEB" w:rsidRPr="00EF7399">
        <w:rPr>
          <w:rFonts w:ascii="Times New Roman" w:hAnsi="Times New Roman" w:cs="Times New Roman"/>
          <w:lang w:val="af-ZA"/>
        </w:rPr>
        <w:t xml:space="preserve">, </w:t>
      </w:r>
      <w:r w:rsidR="006C6C81" w:rsidRPr="00EF7399">
        <w:rPr>
          <w:rFonts w:ascii="Times New Roman" w:hAnsi="Times New Roman" w:cs="Times New Roman"/>
          <w:lang w:val="af-ZA"/>
        </w:rPr>
        <w:t xml:space="preserve">2011, </w:t>
      </w:r>
      <w:r w:rsidR="00873234" w:rsidRPr="00EF7399">
        <w:rPr>
          <w:rFonts w:ascii="Times New Roman" w:hAnsi="Times New Roman" w:cs="Times New Roman"/>
          <w:lang w:val="af-ZA"/>
        </w:rPr>
        <w:t>§ </w:t>
      </w:r>
      <w:r w:rsidR="006B6FEB" w:rsidRPr="00EF7399">
        <w:rPr>
          <w:rFonts w:ascii="Times New Roman" w:hAnsi="Times New Roman" w:cs="Times New Roman"/>
          <w:lang w:val="af-ZA"/>
        </w:rPr>
        <w:t>83</w:t>
      </w:r>
      <w:r w:rsidR="00C22A73" w:rsidRPr="00EF7399">
        <w:rPr>
          <w:rFonts w:ascii="Times New Roman" w:hAnsi="Times New Roman" w:cs="Times New Roman"/>
          <w:lang w:val="af-ZA"/>
        </w:rPr>
        <w:t>:</w:t>
      </w:r>
      <w:r w:rsidR="006B6FEB" w:rsidRPr="00EF7399">
        <w:rPr>
          <w:rFonts w:ascii="Times New Roman" w:hAnsi="Times New Roman" w:cs="Times New Roman"/>
          <w:lang w:val="af-ZA"/>
        </w:rPr>
        <w:t xml:space="preserve"> </w:t>
      </w:r>
      <w:hyperlink r:id="rId453" w:history="1">
        <w:r w:rsidRPr="00EF7399">
          <w:rPr>
            <w:rStyle w:val="Hyperlink"/>
            <w:rFonts w:ascii="Times New Roman" w:hAnsi="Times New Roman" w:cs="Times New Roman"/>
            <w:lang w:val="af-ZA"/>
          </w:rPr>
          <w:t>Republican Party of Russia</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Russia</w:t>
        </w:r>
      </w:hyperlink>
      <w:r w:rsidRPr="00EF7399">
        <w:rPr>
          <w:rFonts w:ascii="Times New Roman" w:hAnsi="Times New Roman" w:cs="Times New Roman"/>
          <w:lang w:val="af-ZA"/>
        </w:rPr>
        <w:t xml:space="preserve">, </w:t>
      </w:r>
      <w:r w:rsidR="00F11699" w:rsidRPr="00EF7399">
        <w:rPr>
          <w:rFonts w:ascii="Times New Roman" w:hAnsi="Times New Roman" w:cs="Times New Roman"/>
          <w:lang w:val="af-ZA"/>
        </w:rPr>
        <w:t xml:space="preserve">2011, </w:t>
      </w:r>
      <w:r w:rsidR="00C22A73" w:rsidRPr="00EF7399">
        <w:rPr>
          <w:rFonts w:ascii="Times New Roman" w:hAnsi="Times New Roman" w:cs="Times New Roman"/>
          <w:lang w:val="af-ZA"/>
        </w:rPr>
        <w:t xml:space="preserve">գործով Դատարանը գտավ, որ նվազագույն անդամության և տարածքային ներկայացվածության պահանջները չկատարելու հիմքով գանգատաբեր կուսակցության լուծարումը համաչափ չէր </w:t>
      </w:r>
      <w:r w:rsidR="000B405A" w:rsidRPr="00EF7399">
        <w:rPr>
          <w:rFonts w:ascii="Times New Roman" w:hAnsi="Times New Roman" w:cs="Times New Roman"/>
          <w:lang w:val="af-ZA"/>
        </w:rPr>
        <w:t>կառավարության ներկայացրած իրավաչափ նպատակներին: Թեև քաղաքական կուսակցություններին ներկայացվող անդամների նվազագույն քանակ ունենալու պահանջն արտասովոր երևույթ չէր Եվրոպայի խորհուրդի անդամ պետություններում, Ռուսաստանի օրենսդրությամբ սահմանված շեմը, որը 2001 թվականին 10</w:t>
      </w:r>
      <w:r w:rsidR="001F032F" w:rsidRPr="00EF7399">
        <w:rPr>
          <w:rFonts w:ascii="Times New Roman" w:hAnsi="Times New Roman" w:cs="Times New Roman"/>
          <w:lang w:val="hy-AM"/>
        </w:rPr>
        <w:t>,</w:t>
      </w:r>
      <w:r w:rsidR="000B405A" w:rsidRPr="00EF7399">
        <w:rPr>
          <w:rFonts w:ascii="Times New Roman" w:hAnsi="Times New Roman" w:cs="Times New Roman"/>
          <w:lang w:val="af-ZA"/>
        </w:rPr>
        <w:t>000 անդամից հասավ 50</w:t>
      </w:r>
      <w:r w:rsidR="001F032F" w:rsidRPr="00EF7399">
        <w:rPr>
          <w:rFonts w:ascii="Times New Roman" w:hAnsi="Times New Roman" w:cs="Times New Roman"/>
          <w:lang w:val="hy-AM"/>
        </w:rPr>
        <w:t>,</w:t>
      </w:r>
      <w:r w:rsidR="000B405A" w:rsidRPr="00EF7399">
        <w:rPr>
          <w:rFonts w:ascii="Times New Roman" w:hAnsi="Times New Roman" w:cs="Times New Roman"/>
          <w:lang w:val="af-ZA"/>
        </w:rPr>
        <w:t>000</w:t>
      </w:r>
      <w:r w:rsidR="001F032F" w:rsidRPr="00EF7399">
        <w:rPr>
          <w:rFonts w:ascii="Times New Roman" w:hAnsi="Times New Roman" w:cs="Times New Roman"/>
          <w:lang w:val="hy-AM"/>
        </w:rPr>
        <w:t>-</w:t>
      </w:r>
      <w:r w:rsidR="000B405A" w:rsidRPr="00EF7399">
        <w:rPr>
          <w:rFonts w:ascii="Times New Roman" w:hAnsi="Times New Roman" w:cs="Times New Roman"/>
          <w:lang w:val="af-ZA"/>
        </w:rPr>
        <w:t xml:space="preserve">ի, ամենաբարձրն էր Եվրոպայում: Դատարանը </w:t>
      </w:r>
      <w:r w:rsidR="00FF7E25" w:rsidRPr="00EF7399">
        <w:rPr>
          <w:rFonts w:ascii="Times New Roman" w:hAnsi="Times New Roman" w:cs="Times New Roman"/>
          <w:lang w:val="af-ZA"/>
        </w:rPr>
        <w:t>գտավ</w:t>
      </w:r>
      <w:r w:rsidR="000B405A" w:rsidRPr="00EF7399">
        <w:rPr>
          <w:rFonts w:ascii="Times New Roman" w:hAnsi="Times New Roman" w:cs="Times New Roman"/>
          <w:lang w:val="af-ZA"/>
        </w:rPr>
        <w:t xml:space="preserve">, որ </w:t>
      </w:r>
      <w:r w:rsidR="00FF7E25" w:rsidRPr="00EF7399">
        <w:rPr>
          <w:rFonts w:ascii="Times New Roman" w:hAnsi="Times New Roman" w:cs="Times New Roman"/>
          <w:lang w:val="af-ZA"/>
        </w:rPr>
        <w:t xml:space="preserve">վաղուց կայացած, օրինապահ քաղաքական կուսակցության նկատմամբ ֆորմալ հիմքով </w:t>
      </w:r>
      <w:r w:rsidR="000B405A" w:rsidRPr="00EF7399">
        <w:rPr>
          <w:rFonts w:ascii="Times New Roman" w:hAnsi="Times New Roman" w:cs="Times New Roman"/>
          <w:lang w:val="af-ZA"/>
        </w:rPr>
        <w:t xml:space="preserve">լուծարման </w:t>
      </w:r>
      <w:r w:rsidR="00FF7E25" w:rsidRPr="00EF7399">
        <w:rPr>
          <w:rFonts w:ascii="Times New Roman" w:hAnsi="Times New Roman" w:cs="Times New Roman"/>
          <w:lang w:val="af-ZA"/>
        </w:rPr>
        <w:t xml:space="preserve">կարգի </w:t>
      </w:r>
      <w:r w:rsidR="000B405A" w:rsidRPr="00EF7399">
        <w:rPr>
          <w:rFonts w:ascii="Times New Roman" w:hAnsi="Times New Roman" w:cs="Times New Roman"/>
          <w:lang w:val="af-ZA"/>
        </w:rPr>
        <w:t xml:space="preserve">արմատական </w:t>
      </w:r>
      <w:r w:rsidR="00FF7E25" w:rsidRPr="00EF7399">
        <w:rPr>
          <w:rFonts w:ascii="Times New Roman" w:hAnsi="Times New Roman" w:cs="Times New Roman"/>
          <w:lang w:val="af-ZA"/>
        </w:rPr>
        <w:t xml:space="preserve">միջոց կիրառելը չէր կարող համարվել «անհրաժեշտ ժողովրդավարական հասարակությունում»: Նվազագույն անդամության պահանջը կարող է արդարացված լինել միայն այն դեպքում, երբ այն </w:t>
      </w:r>
      <w:r w:rsidR="008B273D" w:rsidRPr="00EF7399">
        <w:rPr>
          <w:rFonts w:ascii="Times New Roman" w:hAnsi="Times New Roman" w:cs="Times New Roman"/>
          <w:lang w:val="af-ZA"/>
        </w:rPr>
        <w:t>չի խոչընդոտել</w:t>
      </w:r>
      <w:r w:rsidR="00FF7E25" w:rsidRPr="00EF7399">
        <w:rPr>
          <w:rFonts w:ascii="Times New Roman" w:hAnsi="Times New Roman" w:cs="Times New Roman"/>
          <w:lang w:val="af-ZA"/>
        </w:rPr>
        <w:t xml:space="preserve"> </w:t>
      </w:r>
      <w:r w:rsidR="008B273D" w:rsidRPr="00EF7399">
        <w:rPr>
          <w:rFonts w:ascii="Times New Roman" w:hAnsi="Times New Roman" w:cs="Times New Roman"/>
          <w:lang w:val="af-ZA"/>
        </w:rPr>
        <w:t xml:space="preserve">բնակչության զանազան, այդ թվում` փոքր խմբերի շահերը ներկայացնող բազմակարծիք քաղաքական կուսակցությունների հիմնադրմանը և գործունեությանը, նաև ապահովել է դրանց մուտքը քաղաքական ասպարեզ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119-120)</w:t>
      </w:r>
      <w:r w:rsidR="008B273D" w:rsidRPr="00EF7399">
        <w:rPr>
          <w:rFonts w:ascii="Times New Roman" w:hAnsi="Times New Roman" w:cs="Times New Roman"/>
          <w:lang w:val="af-ZA"/>
        </w:rPr>
        <w:t>:</w:t>
      </w:r>
    </w:p>
    <w:p w14:paraId="52586C5F" w14:textId="5A0204D7" w:rsidR="00FE52C1" w:rsidRPr="00EF7399" w:rsidRDefault="00FE52C1" w:rsidP="00FE52C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192</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F032F" w:rsidRPr="00EF7399">
        <w:rPr>
          <w:rFonts w:ascii="Times New Roman" w:hAnsi="Times New Roman" w:cs="Times New Roman"/>
          <w:lang w:val="hy-AM"/>
        </w:rPr>
        <w:t>Ինչ վերաբերում է տ</w:t>
      </w:r>
      <w:r w:rsidR="006A6E07" w:rsidRPr="00EF7399">
        <w:rPr>
          <w:rFonts w:ascii="Times New Roman" w:hAnsi="Times New Roman" w:cs="Times New Roman"/>
          <w:lang w:val="af-ZA"/>
        </w:rPr>
        <w:t xml:space="preserve">արածքային ներկայացվածության պահանջին, ապա դրա նպատակն էր կանխել տարածաշրջանային կուսակցությունների հիմնադրումը և դրանց մասնակցությունն ընտություններին, </w:t>
      </w:r>
      <w:r w:rsidR="001F032F" w:rsidRPr="00EF7399">
        <w:rPr>
          <w:rFonts w:ascii="Times New Roman" w:hAnsi="Times New Roman" w:cs="Times New Roman"/>
          <w:lang w:val="hy-AM"/>
        </w:rPr>
        <w:t>որոնք</w:t>
      </w:r>
      <w:r w:rsidR="001F032F" w:rsidRPr="00EF7399">
        <w:rPr>
          <w:rFonts w:ascii="Times New Roman" w:hAnsi="Times New Roman" w:cs="Times New Roman"/>
          <w:lang w:val="af-ZA"/>
        </w:rPr>
        <w:t xml:space="preserve"> </w:t>
      </w:r>
      <w:r w:rsidR="006A6E07" w:rsidRPr="00EF7399">
        <w:rPr>
          <w:rFonts w:ascii="Times New Roman" w:hAnsi="Times New Roman" w:cs="Times New Roman"/>
          <w:lang w:val="af-ZA"/>
        </w:rPr>
        <w:t>սպառնալիք է</w:t>
      </w:r>
      <w:r w:rsidR="001F032F" w:rsidRPr="00EF7399">
        <w:rPr>
          <w:rFonts w:ascii="Times New Roman" w:hAnsi="Times New Roman" w:cs="Times New Roman"/>
          <w:lang w:val="hy-AM"/>
        </w:rPr>
        <w:t>ին</w:t>
      </w:r>
      <w:r w:rsidR="006A6E07" w:rsidRPr="00EF7399">
        <w:rPr>
          <w:rFonts w:ascii="Times New Roman" w:hAnsi="Times New Roman" w:cs="Times New Roman"/>
          <w:lang w:val="af-ZA"/>
        </w:rPr>
        <w:t xml:space="preserve"> երկրի տարածքային ամբողջականության համար: Դատարանի կարծիքով</w:t>
      </w:r>
      <w:r w:rsidR="001F032F" w:rsidRPr="00EF7399">
        <w:rPr>
          <w:rFonts w:ascii="Times New Roman" w:hAnsi="Times New Roman" w:cs="Times New Roman"/>
          <w:lang w:val="hy-AM"/>
        </w:rPr>
        <w:t>՝</w:t>
      </w:r>
      <w:r w:rsidR="006A6E07" w:rsidRPr="00EF7399">
        <w:rPr>
          <w:rFonts w:ascii="Times New Roman" w:hAnsi="Times New Roman" w:cs="Times New Roman"/>
          <w:lang w:val="af-ZA"/>
        </w:rPr>
        <w:t xml:space="preserve"> գոյություն ունեին Ռուսաստանի օրենքները, հաստատությունները և պետական անվտանգությունը պաշտպանելու այլ միջոցներ, քան </w:t>
      </w:r>
      <w:r w:rsidR="00A61E5B" w:rsidRPr="00EF7399">
        <w:rPr>
          <w:rFonts w:ascii="Times New Roman" w:hAnsi="Times New Roman" w:cs="Times New Roman"/>
          <w:lang w:val="af-ZA"/>
        </w:rPr>
        <w:t>տարածքային կուսակցություններ ստեղծելու բացարձակ արգելք</w:t>
      </w:r>
      <w:r w:rsidR="001F032F" w:rsidRPr="00EF7399">
        <w:rPr>
          <w:rFonts w:ascii="Times New Roman" w:hAnsi="Times New Roman" w:cs="Times New Roman"/>
          <w:lang w:val="hy-AM"/>
        </w:rPr>
        <w:t>ն էր</w:t>
      </w:r>
      <w:r w:rsidR="00A61E5B" w:rsidRPr="00EF7399">
        <w:rPr>
          <w:rFonts w:ascii="Times New Roman" w:hAnsi="Times New Roman" w:cs="Times New Roman"/>
          <w:lang w:val="af-ZA"/>
        </w:rPr>
        <w:t xml:space="preserve">, որը ներդրվել էր միայն </w:t>
      </w:r>
      <w:r w:rsidR="006A6E07" w:rsidRPr="00EF7399">
        <w:rPr>
          <w:rFonts w:ascii="Times New Roman" w:hAnsi="Times New Roman" w:cs="Times New Roman"/>
          <w:lang w:val="af-ZA"/>
        </w:rPr>
        <w:t>2001 թվականի</w:t>
      </w:r>
      <w:r w:rsidR="00A61E5B" w:rsidRPr="00EF7399">
        <w:rPr>
          <w:rFonts w:ascii="Times New Roman" w:hAnsi="Times New Roman" w:cs="Times New Roman"/>
          <w:lang w:val="af-ZA"/>
        </w:rPr>
        <w:t xml:space="preserve">ն:  Ժամանակի ընթացքում </w:t>
      </w:r>
      <w:r w:rsidR="00416828" w:rsidRPr="00EF7399">
        <w:rPr>
          <w:rFonts w:ascii="Times New Roman" w:hAnsi="Times New Roman" w:cs="Times New Roman"/>
          <w:lang w:val="af-ZA"/>
        </w:rPr>
        <w:t xml:space="preserve">ավելի դժվար է դարձել </w:t>
      </w:r>
      <w:r w:rsidR="00A61E5B" w:rsidRPr="00EF7399">
        <w:rPr>
          <w:rFonts w:ascii="Times New Roman" w:hAnsi="Times New Roman" w:cs="Times New Roman"/>
          <w:lang w:val="af-ZA"/>
        </w:rPr>
        <w:t>քաղաքական կուսակցությունների նկատմամբ ընդհանուր բնույթի սահմանափակումներ</w:t>
      </w:r>
      <w:r w:rsidR="00416828" w:rsidRPr="00EF7399">
        <w:rPr>
          <w:rFonts w:ascii="Times New Roman" w:hAnsi="Times New Roman" w:cs="Times New Roman"/>
          <w:lang w:val="af-ZA"/>
        </w:rPr>
        <w:t>ի կիրառումը հիմնավորելու խնդիրը</w:t>
      </w:r>
      <w:r w:rsidR="00A61E5B" w:rsidRPr="00EF7399">
        <w:rPr>
          <w:rFonts w:ascii="Times New Roman" w:hAnsi="Times New Roman" w:cs="Times New Roman"/>
          <w:lang w:val="af-ZA"/>
        </w:rPr>
        <w:t>:</w:t>
      </w:r>
      <w:r w:rsidR="00416828" w:rsidRPr="00EF7399">
        <w:rPr>
          <w:rFonts w:ascii="Times New Roman" w:hAnsi="Times New Roman" w:cs="Times New Roman"/>
          <w:lang w:val="af-ZA"/>
        </w:rPr>
        <w:t xml:space="preserve"> Անհրաժեշտ է հաշվի առնել ոչ թե որոշակի խմբի կամ տեսակի կուսակցությունների առաջացրած ենթադրյալ սպառնալիքը, այլ յուրաքանչյուր քաղաքական կուսակցության փաստացի ծրագիրը և գործելակերպը </w:t>
      </w:r>
      <w:r w:rsidR="00535E5C"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122 </w:t>
      </w:r>
      <w:r w:rsidR="00416828" w:rsidRPr="00EF7399">
        <w:rPr>
          <w:rFonts w:ascii="Times New Roman" w:hAnsi="Times New Roman" w:cs="Times New Roman"/>
          <w:lang w:val="af-ZA"/>
        </w:rPr>
        <w:t>և</w:t>
      </w:r>
      <w:r w:rsidRPr="00EF7399">
        <w:rPr>
          <w:rFonts w:ascii="Times New Roman" w:hAnsi="Times New Roman" w:cs="Times New Roman"/>
          <w:lang w:val="af-ZA"/>
        </w:rPr>
        <w:t xml:space="preserve"> 130)</w:t>
      </w:r>
      <w:r w:rsidR="00416828" w:rsidRPr="00EF7399">
        <w:rPr>
          <w:rFonts w:ascii="Times New Roman" w:hAnsi="Times New Roman" w:cs="Times New Roman"/>
          <w:lang w:val="af-ZA"/>
        </w:rPr>
        <w:t>:</w:t>
      </w:r>
    </w:p>
    <w:p w14:paraId="2542508E" w14:textId="49685E8E" w:rsidR="007A6954" w:rsidRPr="00EF7399" w:rsidRDefault="00A83DAB" w:rsidP="00A83DAB">
      <w:pPr>
        <w:pStyle w:val="ECHRHeading4"/>
        <w:numPr>
          <w:ilvl w:val="0"/>
          <w:numId w:val="0"/>
        </w:numPr>
        <w:rPr>
          <w:rFonts w:ascii="Times New Roman" w:eastAsiaTheme="minorHAnsi" w:hAnsi="Times New Roman" w:cs="Times New Roman"/>
          <w:color w:val="auto"/>
          <w:sz w:val="22"/>
          <w:lang w:val="af-ZA"/>
        </w:rPr>
      </w:pPr>
      <w:bookmarkStart w:id="90" w:name="_Toc159945249"/>
      <w:r>
        <w:rPr>
          <w:rFonts w:ascii="Times New Roman" w:hAnsi="Times New Roman" w:cs="Times New Roman"/>
          <w:lang w:val="hy-AM"/>
        </w:rPr>
        <w:t xml:space="preserve">բ․ </w:t>
      </w:r>
      <w:r w:rsidR="00416828" w:rsidRPr="00EF7399">
        <w:rPr>
          <w:rFonts w:ascii="Times New Roman" w:hAnsi="Times New Roman" w:cs="Times New Roman"/>
          <w:lang w:val="af-ZA"/>
        </w:rPr>
        <w:t>Ֆինանսավորում և ստուգումներ</w:t>
      </w:r>
      <w:bookmarkEnd w:id="90"/>
    </w:p>
    <w:p w14:paraId="7C191B78" w14:textId="31F1282E"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193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9C4AFD" w:rsidRPr="00EF7399">
        <w:rPr>
          <w:rFonts w:ascii="Times New Roman" w:hAnsi="Times New Roman" w:cs="Times New Roman"/>
          <w:lang w:val="af-ZA"/>
        </w:rPr>
        <w:t>Դատարանն ընդունել է</w:t>
      </w:r>
      <w:r w:rsidR="00536C50" w:rsidRPr="00EF7399">
        <w:rPr>
          <w:rFonts w:ascii="Times New Roman" w:hAnsi="Times New Roman" w:cs="Times New Roman"/>
          <w:lang w:val="af-ZA"/>
        </w:rPr>
        <w:t>, որ քաղաքական կուսակցությունների ֆինանսական գործունեությունն անհրաժեշտ է վերահսկել հաշվետվողականության և թափանցիկության նպատակներով, որոնք ծառայում են քաղաքական գործընթացի նկատմամբ հասարակության վստահությունը երաշխավորելուն:</w:t>
      </w:r>
      <w:r w:rsidR="00083F05" w:rsidRPr="00EF7399">
        <w:rPr>
          <w:rFonts w:ascii="Times New Roman" w:hAnsi="Times New Roman" w:cs="Times New Roman"/>
          <w:lang w:val="af-ZA"/>
        </w:rPr>
        <w:t xml:space="preserve"> Հաշվի առնելով ժողովրդավարությունների պատշաճ </w:t>
      </w:r>
      <w:r w:rsidR="00267676" w:rsidRPr="00EF7399">
        <w:rPr>
          <w:rFonts w:ascii="Times New Roman" w:hAnsi="Times New Roman" w:cs="Times New Roman"/>
          <w:lang w:val="hy-AM"/>
        </w:rPr>
        <w:t>գործառութավորման</w:t>
      </w:r>
      <w:r w:rsidR="00267676" w:rsidRPr="00EF7399">
        <w:rPr>
          <w:rFonts w:ascii="Times New Roman" w:hAnsi="Times New Roman" w:cs="Times New Roman"/>
          <w:lang w:val="af-ZA"/>
        </w:rPr>
        <w:t xml:space="preserve"> </w:t>
      </w:r>
      <w:r w:rsidR="00083F05" w:rsidRPr="00EF7399">
        <w:rPr>
          <w:rFonts w:ascii="Times New Roman" w:hAnsi="Times New Roman" w:cs="Times New Roman"/>
          <w:lang w:val="af-ZA"/>
        </w:rPr>
        <w:t>հարցում քաղաքական կուսակցությունների ունեցած վաղեմի դերը</w:t>
      </w:r>
      <w:r w:rsidR="00B63E73" w:rsidRPr="00EF7399">
        <w:rPr>
          <w:rFonts w:ascii="Times New Roman" w:hAnsi="Times New Roman" w:cs="Times New Roman"/>
          <w:lang w:val="af-ZA"/>
        </w:rPr>
        <w:t>՝</w:t>
      </w:r>
      <w:r w:rsidRPr="00EF7399">
        <w:rPr>
          <w:rFonts w:ascii="Times New Roman" w:hAnsi="Times New Roman" w:cs="Times New Roman"/>
          <w:lang w:val="af-ZA"/>
        </w:rPr>
        <w:t xml:space="preserve"> </w:t>
      </w:r>
      <w:r w:rsidR="00083F05" w:rsidRPr="00EF7399">
        <w:rPr>
          <w:rFonts w:ascii="Times New Roman" w:hAnsi="Times New Roman" w:cs="Times New Roman"/>
          <w:lang w:val="af-ZA"/>
        </w:rPr>
        <w:t>կարելի է համարել, որ լայն հասարակությունը շահագրգռված է, որ դրանք լինեն մշտադիտարկման  առարկա</w:t>
      </w:r>
      <w:r w:rsidR="006F77D0" w:rsidRPr="00EF7399">
        <w:rPr>
          <w:rFonts w:ascii="Times New Roman" w:hAnsi="Times New Roman" w:cs="Times New Roman"/>
          <w:lang w:val="af-ZA"/>
        </w:rPr>
        <w:t xml:space="preserve">, իսկ անկանոն ծախսերի համար ենթարկվեն պատժի, հատկապես, երբ խոսքը </w:t>
      </w:r>
      <w:r w:rsidR="00267676" w:rsidRPr="00EF7399">
        <w:rPr>
          <w:rFonts w:ascii="Times New Roman" w:hAnsi="Times New Roman" w:cs="Times New Roman"/>
          <w:lang w:val="hy-AM"/>
        </w:rPr>
        <w:t>վերաբերում է</w:t>
      </w:r>
      <w:r w:rsidR="006F77D0" w:rsidRPr="00EF7399">
        <w:rPr>
          <w:rFonts w:ascii="Times New Roman" w:hAnsi="Times New Roman" w:cs="Times New Roman"/>
          <w:lang w:val="af-ZA"/>
        </w:rPr>
        <w:t xml:space="preserve"> պետական ֆինանսավորում ստացող քաղաքական կուսակցությունների</w:t>
      </w:r>
      <w:r w:rsidR="00267676" w:rsidRPr="00EF7399">
        <w:rPr>
          <w:rFonts w:ascii="Times New Roman" w:hAnsi="Times New Roman" w:cs="Times New Roman"/>
          <w:lang w:val="hy-AM"/>
        </w:rPr>
        <w:t>ն</w:t>
      </w:r>
      <w:r w:rsidR="006F77D0"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454" w:history="1">
        <w:r w:rsidRPr="00EF7399">
          <w:rPr>
            <w:rStyle w:val="Hyperlink"/>
            <w:rFonts w:ascii="Times New Roman" w:hAnsi="Times New Roman" w:cs="Times New Roman"/>
            <w:lang w:val="af-ZA"/>
          </w:rPr>
          <w:t>Cumhuriyet Halk Partisi</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w:t>
      </w:r>
      <w:r w:rsidR="00AB7CD2" w:rsidRPr="00EF7399">
        <w:rPr>
          <w:rFonts w:ascii="Times New Roman" w:hAnsi="Times New Roman" w:cs="Times New Roman"/>
          <w:lang w:val="af-ZA"/>
        </w:rPr>
        <w:t xml:space="preserve">2016, </w:t>
      </w:r>
      <w:r w:rsidR="00873234" w:rsidRPr="00EF7399">
        <w:rPr>
          <w:rFonts w:ascii="Times New Roman" w:hAnsi="Times New Roman" w:cs="Times New Roman"/>
          <w:lang w:val="af-ZA"/>
        </w:rPr>
        <w:t>§ </w:t>
      </w:r>
      <w:r w:rsidRPr="00EF7399">
        <w:rPr>
          <w:rFonts w:ascii="Times New Roman" w:hAnsi="Times New Roman" w:cs="Times New Roman"/>
          <w:lang w:val="af-ZA"/>
        </w:rPr>
        <w:t>69)</w:t>
      </w:r>
      <w:r w:rsidR="006F77D0" w:rsidRPr="00EF7399">
        <w:rPr>
          <w:rFonts w:ascii="Times New Roman" w:hAnsi="Times New Roman" w:cs="Times New Roman"/>
          <w:lang w:val="af-ZA"/>
        </w:rPr>
        <w:t>:</w:t>
      </w:r>
    </w:p>
    <w:p w14:paraId="6A3FBA29" w14:textId="3707A6E8"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194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593153" w:rsidRPr="00EF7399">
        <w:rPr>
          <w:rFonts w:ascii="Times New Roman" w:hAnsi="Times New Roman" w:cs="Times New Roman"/>
          <w:lang w:val="af-ZA"/>
        </w:rPr>
        <w:t xml:space="preserve">Անդամ պետություններն </w:t>
      </w:r>
      <w:r w:rsidR="003B4073" w:rsidRPr="00EF7399">
        <w:rPr>
          <w:rFonts w:ascii="Times New Roman" w:hAnsi="Times New Roman" w:cs="Times New Roman"/>
          <w:lang w:val="hy-AM"/>
        </w:rPr>
        <w:t>օժտված են</w:t>
      </w:r>
      <w:r w:rsidR="003B4073" w:rsidRPr="00EF7399">
        <w:rPr>
          <w:rFonts w:ascii="Times New Roman" w:hAnsi="Times New Roman" w:cs="Times New Roman"/>
          <w:lang w:val="af-ZA"/>
        </w:rPr>
        <w:t xml:space="preserve"> </w:t>
      </w:r>
      <w:r w:rsidR="00593153" w:rsidRPr="00EF7399">
        <w:rPr>
          <w:rFonts w:ascii="Times New Roman" w:hAnsi="Times New Roman" w:cs="Times New Roman"/>
          <w:lang w:val="af-ZA"/>
        </w:rPr>
        <w:t>հայեցողությ</w:t>
      </w:r>
      <w:r w:rsidR="003B4073" w:rsidRPr="00EF7399">
        <w:rPr>
          <w:rFonts w:ascii="Times New Roman" w:hAnsi="Times New Roman" w:cs="Times New Roman"/>
          <w:lang w:val="hy-AM"/>
        </w:rPr>
        <w:t>ա</w:t>
      </w:r>
      <w:r w:rsidR="00593153" w:rsidRPr="00EF7399">
        <w:rPr>
          <w:rFonts w:ascii="Times New Roman" w:hAnsi="Times New Roman" w:cs="Times New Roman"/>
          <w:lang w:val="af-ZA"/>
        </w:rPr>
        <w:t xml:space="preserve">ն </w:t>
      </w:r>
      <w:r w:rsidR="003B4073" w:rsidRPr="00EF7399">
        <w:rPr>
          <w:rFonts w:ascii="Times New Roman" w:hAnsi="Times New Roman" w:cs="Times New Roman"/>
          <w:lang w:val="hy-AM"/>
        </w:rPr>
        <w:t xml:space="preserve">հարաբերական </w:t>
      </w:r>
      <w:r w:rsidR="003B4073" w:rsidRPr="00EF7399">
        <w:rPr>
          <w:rFonts w:ascii="Times New Roman" w:hAnsi="Times New Roman" w:cs="Times New Roman"/>
          <w:lang w:val="af-ZA"/>
        </w:rPr>
        <w:t xml:space="preserve">լայն </w:t>
      </w:r>
      <w:r w:rsidR="003B4073" w:rsidRPr="00EF7399">
        <w:rPr>
          <w:rFonts w:ascii="Times New Roman" w:hAnsi="Times New Roman" w:cs="Times New Roman"/>
          <w:lang w:val="hy-AM"/>
        </w:rPr>
        <w:t xml:space="preserve">շրջանակով՝ </w:t>
      </w:r>
      <w:r w:rsidR="00593153" w:rsidRPr="00EF7399">
        <w:rPr>
          <w:rFonts w:ascii="Times New Roman" w:hAnsi="Times New Roman" w:cs="Times New Roman"/>
          <w:lang w:val="af-ZA"/>
        </w:rPr>
        <w:t>ք</w:t>
      </w:r>
      <w:r w:rsidR="006F77D0" w:rsidRPr="00EF7399">
        <w:rPr>
          <w:rFonts w:ascii="Times New Roman" w:hAnsi="Times New Roman" w:cs="Times New Roman"/>
          <w:lang w:val="af-ZA"/>
        </w:rPr>
        <w:t>աղաքական կուսակցությունների ֆինանսները ստուգ</w:t>
      </w:r>
      <w:r w:rsidR="008271F2" w:rsidRPr="00EF7399">
        <w:rPr>
          <w:rFonts w:ascii="Times New Roman" w:hAnsi="Times New Roman" w:cs="Times New Roman"/>
          <w:lang w:val="af-ZA"/>
        </w:rPr>
        <w:t>ելու</w:t>
      </w:r>
      <w:r w:rsidR="006F77D0" w:rsidRPr="00EF7399">
        <w:rPr>
          <w:rFonts w:ascii="Times New Roman" w:hAnsi="Times New Roman" w:cs="Times New Roman"/>
          <w:lang w:val="af-ZA"/>
        </w:rPr>
        <w:t xml:space="preserve"> և </w:t>
      </w:r>
      <w:r w:rsidR="008271F2" w:rsidRPr="00EF7399">
        <w:rPr>
          <w:rFonts w:ascii="Times New Roman" w:hAnsi="Times New Roman" w:cs="Times New Roman"/>
          <w:lang w:val="af-ZA"/>
        </w:rPr>
        <w:t>անկանոն ֆինանսական գործարքներ</w:t>
      </w:r>
      <w:r w:rsidR="00593153" w:rsidRPr="00EF7399">
        <w:rPr>
          <w:rFonts w:ascii="Times New Roman" w:hAnsi="Times New Roman" w:cs="Times New Roman"/>
          <w:lang w:val="af-ZA"/>
        </w:rPr>
        <w:t xml:space="preserve">ի համար պաժամիջոցներ սահմանելու հարցում </w:t>
      </w:r>
      <w:r w:rsidRPr="00EF7399">
        <w:rPr>
          <w:rFonts w:ascii="Times New Roman" w:hAnsi="Times New Roman" w:cs="Times New Roman"/>
          <w:lang w:val="af-ZA"/>
        </w:rPr>
        <w:t>(</w:t>
      </w:r>
      <w:hyperlink r:id="rId455" w:history="1">
        <w:r w:rsidRPr="00EF7399">
          <w:rPr>
            <w:rStyle w:val="Hyperlink"/>
            <w:rFonts w:ascii="Times New Roman" w:hAnsi="Times New Roman" w:cs="Times New Roman"/>
            <w:lang w:val="af-ZA"/>
          </w:rPr>
          <w:t>Cumhuriyet Halk Partisi</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w:t>
      </w:r>
      <w:r w:rsidR="00AB7CD2" w:rsidRPr="00EF7399">
        <w:rPr>
          <w:rFonts w:ascii="Times New Roman" w:hAnsi="Times New Roman" w:cs="Times New Roman"/>
          <w:lang w:val="af-ZA"/>
        </w:rPr>
        <w:t xml:space="preserve">2016, </w:t>
      </w:r>
      <w:r w:rsidR="00873234" w:rsidRPr="00EF7399">
        <w:rPr>
          <w:rFonts w:ascii="Times New Roman" w:hAnsi="Times New Roman" w:cs="Times New Roman"/>
          <w:lang w:val="af-ZA"/>
        </w:rPr>
        <w:t>§ </w:t>
      </w:r>
      <w:r w:rsidRPr="00EF7399">
        <w:rPr>
          <w:rFonts w:ascii="Times New Roman" w:hAnsi="Times New Roman" w:cs="Times New Roman"/>
          <w:lang w:val="af-ZA"/>
        </w:rPr>
        <w:t>70)</w:t>
      </w:r>
      <w:r w:rsidR="00593153" w:rsidRPr="00EF7399">
        <w:rPr>
          <w:rFonts w:ascii="Times New Roman" w:hAnsi="Times New Roman" w:cs="Times New Roman"/>
          <w:lang w:val="af-ZA"/>
        </w:rPr>
        <w:t>:</w:t>
      </w:r>
    </w:p>
    <w:p w14:paraId="29D5A291" w14:textId="3C21F215"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195</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593153" w:rsidRPr="00EF7399">
        <w:rPr>
          <w:rFonts w:ascii="Times New Roman" w:hAnsi="Times New Roman" w:cs="Times New Roman"/>
          <w:lang w:val="af-ZA"/>
        </w:rPr>
        <w:t xml:space="preserve">Այդուհանդերձ, քաղաքական կուսակցությունների ծախսերի ստուգումը </w:t>
      </w:r>
      <w:r w:rsidR="009548FD" w:rsidRPr="00EF7399">
        <w:rPr>
          <w:rFonts w:ascii="Times New Roman" w:hAnsi="Times New Roman" w:cs="Times New Roman"/>
          <w:lang w:val="af-ZA"/>
        </w:rPr>
        <w:t>կանոնակարգող</w:t>
      </w:r>
      <w:r w:rsidR="00593153" w:rsidRPr="00EF7399">
        <w:rPr>
          <w:rFonts w:ascii="Times New Roman" w:hAnsi="Times New Roman" w:cs="Times New Roman"/>
          <w:lang w:val="af-ZA"/>
        </w:rPr>
        <w:t xml:space="preserve"> իրավական նորմերը պետք է ձևակերպվեն այնպիսի եզրույթներով, որոնք</w:t>
      </w:r>
      <w:r w:rsidR="009548FD" w:rsidRPr="00EF7399">
        <w:rPr>
          <w:rFonts w:ascii="Times New Roman" w:hAnsi="Times New Roman" w:cs="Times New Roman"/>
          <w:lang w:val="af-ZA"/>
        </w:rPr>
        <w:t xml:space="preserve"> </w:t>
      </w:r>
      <w:r w:rsidR="003B4073" w:rsidRPr="00EF7399">
        <w:rPr>
          <w:rFonts w:ascii="Times New Roman" w:hAnsi="Times New Roman" w:cs="Times New Roman"/>
          <w:lang w:val="hy-AM"/>
        </w:rPr>
        <w:t xml:space="preserve">կտրամադրեն ողջամիտ ցուցում՝ </w:t>
      </w:r>
      <w:r w:rsidR="009548FD" w:rsidRPr="00EF7399">
        <w:rPr>
          <w:rFonts w:ascii="Times New Roman" w:hAnsi="Times New Roman" w:cs="Times New Roman"/>
          <w:lang w:val="af-ZA"/>
        </w:rPr>
        <w:t xml:space="preserve">ինչպես պետք է մեկնաբանվեն և կիրառվեն այս նորմերը </w:t>
      </w:r>
      <w:r w:rsidRPr="00EF7399">
        <w:rPr>
          <w:rFonts w:ascii="Times New Roman" w:hAnsi="Times New Roman" w:cs="Times New Roman"/>
          <w:lang w:val="af-ZA"/>
        </w:rPr>
        <w:t>(</w:t>
      </w:r>
      <w:hyperlink r:id="rId456" w:history="1">
        <w:r w:rsidRPr="00EF7399">
          <w:rPr>
            <w:rStyle w:val="Hyperlink"/>
            <w:rFonts w:ascii="Times New Roman" w:hAnsi="Times New Roman" w:cs="Times New Roman"/>
            <w:lang w:val="af-ZA"/>
          </w:rPr>
          <w:t>Cumhuriyet Halk Partisi</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w:t>
      </w:r>
      <w:r w:rsidR="00AB7CD2" w:rsidRPr="00EF7399">
        <w:rPr>
          <w:rFonts w:ascii="Times New Roman" w:hAnsi="Times New Roman" w:cs="Times New Roman"/>
          <w:lang w:val="af-ZA"/>
        </w:rPr>
        <w:t xml:space="preserve">2016, </w:t>
      </w:r>
      <w:r w:rsidR="00873234" w:rsidRPr="00EF7399">
        <w:rPr>
          <w:rFonts w:ascii="Times New Roman" w:hAnsi="Times New Roman" w:cs="Times New Roman"/>
          <w:lang w:val="af-ZA"/>
        </w:rPr>
        <w:t>§ </w:t>
      </w:r>
      <w:r w:rsidRPr="00EF7399">
        <w:rPr>
          <w:rFonts w:ascii="Times New Roman" w:hAnsi="Times New Roman" w:cs="Times New Roman"/>
          <w:lang w:val="af-ZA"/>
        </w:rPr>
        <w:t>106)</w:t>
      </w:r>
      <w:r w:rsidR="009548FD" w:rsidRPr="00EF7399">
        <w:rPr>
          <w:rFonts w:ascii="Times New Roman" w:hAnsi="Times New Roman" w:cs="Times New Roman"/>
          <w:lang w:val="af-ZA"/>
        </w:rPr>
        <w:t>:</w:t>
      </w:r>
    </w:p>
    <w:p w14:paraId="03CA6F31" w14:textId="414F4290"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196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9548FD" w:rsidRPr="00EF7399">
        <w:rPr>
          <w:rFonts w:ascii="Times New Roman" w:hAnsi="Times New Roman" w:cs="Times New Roman"/>
          <w:lang w:val="af-ZA"/>
        </w:rPr>
        <w:t>Ֆինանսական ստուգումը երբեք չպետք է օգտագործվի որպես կուսակցությունների հսկողության քաղաքական գործիք, հատկապես այն պատրվակով, որ կուսակցություն</w:t>
      </w:r>
      <w:r w:rsidR="00200A80" w:rsidRPr="00EF7399">
        <w:rPr>
          <w:rFonts w:ascii="Times New Roman" w:hAnsi="Times New Roman" w:cs="Times New Roman"/>
          <w:lang w:val="hy-AM"/>
        </w:rPr>
        <w:t>ն</w:t>
      </w:r>
      <w:r w:rsidR="009548FD" w:rsidRPr="00EF7399">
        <w:rPr>
          <w:rFonts w:ascii="Times New Roman" w:hAnsi="Times New Roman" w:cs="Times New Roman"/>
          <w:lang w:val="af-ZA"/>
        </w:rPr>
        <w:t xml:space="preserve"> </w:t>
      </w:r>
      <w:r w:rsidR="00200A80" w:rsidRPr="00EF7399">
        <w:rPr>
          <w:rFonts w:ascii="Times New Roman" w:hAnsi="Times New Roman" w:cs="Times New Roman"/>
          <w:lang w:val="hy-AM"/>
        </w:rPr>
        <w:t xml:space="preserve">ունի հանրային </w:t>
      </w:r>
      <w:r w:rsidR="009548FD" w:rsidRPr="00EF7399">
        <w:rPr>
          <w:rFonts w:ascii="Times New Roman" w:hAnsi="Times New Roman" w:cs="Times New Roman"/>
          <w:lang w:val="af-ZA"/>
        </w:rPr>
        <w:t xml:space="preserve">ֆինանսավորում: Քաղաքական նպատակներով ֆինանսական ստուգումների </w:t>
      </w:r>
      <w:r w:rsidR="0020587B" w:rsidRPr="00EF7399">
        <w:rPr>
          <w:rFonts w:ascii="Times New Roman" w:hAnsi="Times New Roman" w:cs="Times New Roman"/>
          <w:lang w:val="af-ZA"/>
        </w:rPr>
        <w:t xml:space="preserve">կարգի </w:t>
      </w:r>
      <w:r w:rsidR="009548FD" w:rsidRPr="00EF7399">
        <w:rPr>
          <w:rFonts w:ascii="Times New Roman" w:hAnsi="Times New Roman" w:cs="Times New Roman"/>
          <w:lang w:val="af-ZA"/>
        </w:rPr>
        <w:t>չարաշահումները կանխելու</w:t>
      </w:r>
      <w:r w:rsidR="0020587B" w:rsidRPr="00EF7399">
        <w:rPr>
          <w:rFonts w:ascii="Times New Roman" w:hAnsi="Times New Roman" w:cs="Times New Roman"/>
          <w:lang w:val="af-ZA"/>
        </w:rPr>
        <w:t xml:space="preserve"> նպատակով քաղաքական կուսակցությունների ֆինանսական դրության ստուգումը կարգավորող օրենքների նկատմամբ պետք է կիրառվի «կանխատեսելիության» բարձր չափանիշ` թե՛ սահմանվող հատուկ պահանջների, թե՛ </w:t>
      </w:r>
      <w:r w:rsidR="0020587B" w:rsidRPr="00EF7399">
        <w:rPr>
          <w:rFonts w:ascii="Times New Roman" w:hAnsi="Times New Roman" w:cs="Times New Roman"/>
          <w:lang w:val="af-ZA"/>
        </w:rPr>
        <w:lastRenderedPageBreak/>
        <w:t>պահանջների խախտման հետևանքով առաջացող պատիժների իմաստով</w:t>
      </w:r>
      <w:r w:rsidR="00D462CC"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457" w:history="1">
        <w:r w:rsidRPr="00EF7399">
          <w:rPr>
            <w:rStyle w:val="Hyperlink"/>
            <w:rFonts w:ascii="Times New Roman" w:hAnsi="Times New Roman" w:cs="Times New Roman"/>
            <w:lang w:val="af-ZA"/>
          </w:rPr>
          <w:t>Cumhuriyet Halk Partisi</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w:t>
      </w:r>
      <w:r w:rsidR="00AB7CD2" w:rsidRPr="00EF7399">
        <w:rPr>
          <w:rFonts w:ascii="Times New Roman" w:hAnsi="Times New Roman" w:cs="Times New Roman"/>
          <w:lang w:val="af-ZA"/>
        </w:rPr>
        <w:t xml:space="preserve">2016, </w:t>
      </w:r>
      <w:r w:rsidR="00873234" w:rsidRPr="00EF7399">
        <w:rPr>
          <w:rFonts w:ascii="Times New Roman" w:hAnsi="Times New Roman" w:cs="Times New Roman"/>
          <w:lang w:val="af-ZA"/>
        </w:rPr>
        <w:t>§ </w:t>
      </w:r>
      <w:r w:rsidRPr="00EF7399">
        <w:rPr>
          <w:rFonts w:ascii="Times New Roman" w:hAnsi="Times New Roman" w:cs="Times New Roman"/>
          <w:lang w:val="af-ZA"/>
        </w:rPr>
        <w:t>88)</w:t>
      </w:r>
      <w:r w:rsidR="00D462CC" w:rsidRPr="00EF7399">
        <w:rPr>
          <w:rFonts w:ascii="Times New Roman" w:hAnsi="Times New Roman" w:cs="Times New Roman"/>
          <w:lang w:val="af-ZA"/>
        </w:rPr>
        <w:t>:</w:t>
      </w:r>
    </w:p>
    <w:p w14:paraId="08186E77" w14:textId="7BE68628" w:rsidR="001148BF" w:rsidRPr="00EF7399" w:rsidRDefault="001148BF" w:rsidP="001148BF">
      <w:pPr>
        <w:pStyle w:val="ECHRParaSpaced"/>
        <w:rPr>
          <w:rFonts w:ascii="Times New Roman" w:hAnsi="Times New Roman" w:cs="Times New Roman"/>
          <w:bCs/>
          <w:lang w:val="af-ZA"/>
        </w:rPr>
      </w:pPr>
      <w:r w:rsidRPr="00EF7399">
        <w:rPr>
          <w:rFonts w:ascii="Times New Roman" w:hAnsi="Times New Roman" w:cs="Times New Roman"/>
          <w:bCs/>
          <w:lang w:val="af-ZA"/>
        </w:rPr>
        <w:fldChar w:fldCharType="begin"/>
      </w:r>
      <w:r w:rsidRPr="00EF7399">
        <w:rPr>
          <w:rFonts w:ascii="Times New Roman" w:hAnsi="Times New Roman" w:cs="Times New Roman"/>
          <w:bCs/>
          <w:lang w:val="af-ZA"/>
        </w:rPr>
        <w:instrText xml:space="preserve"> SEQ level0 \*arabic </w:instrText>
      </w:r>
      <w:r w:rsidRPr="00EF7399">
        <w:rPr>
          <w:rFonts w:ascii="Times New Roman" w:hAnsi="Times New Roman" w:cs="Times New Roman"/>
          <w:bCs/>
          <w:lang w:val="af-ZA"/>
        </w:rPr>
        <w:fldChar w:fldCharType="separate"/>
      </w:r>
      <w:r w:rsidR="005435E6" w:rsidRPr="00EF7399">
        <w:rPr>
          <w:rFonts w:ascii="Times New Roman" w:hAnsi="Times New Roman" w:cs="Times New Roman"/>
          <w:bCs/>
          <w:lang w:val="af-ZA"/>
        </w:rPr>
        <w:t>197</w:t>
      </w:r>
      <w:r w:rsidRPr="00EF7399">
        <w:rPr>
          <w:rFonts w:ascii="Times New Roman" w:hAnsi="Times New Roman" w:cs="Times New Roman"/>
          <w:bCs/>
          <w:lang w:val="af-ZA"/>
        </w:rPr>
        <w:fldChar w:fldCharType="end"/>
      </w:r>
      <w:r w:rsidRPr="00EF7399">
        <w:rPr>
          <w:rFonts w:ascii="Times New Roman" w:hAnsi="Times New Roman" w:cs="Times New Roman"/>
          <w:bCs/>
          <w:lang w:val="af-ZA"/>
        </w:rPr>
        <w:t>.  </w:t>
      </w:r>
      <w:r w:rsidR="00D462CC" w:rsidRPr="00EF7399">
        <w:rPr>
          <w:rFonts w:ascii="Times New Roman" w:hAnsi="Times New Roman" w:cs="Times New Roman"/>
          <w:bCs/>
          <w:lang w:val="af-ZA"/>
        </w:rPr>
        <w:t xml:space="preserve">Քաղաքական կուսակցություններին օտարերկրյա աղբյուրներից ֆինանսական միջոցների ստացումն արգելելն ինքնին չի հակասում Կոնվենցիայի 11-րդ հոդվածին: Այս խնդիրը պետությունների հայեցողության </w:t>
      </w:r>
      <w:r w:rsidR="00212EBB" w:rsidRPr="00EF7399">
        <w:rPr>
          <w:rFonts w:ascii="Times New Roman" w:hAnsi="Times New Roman" w:cs="Times New Roman"/>
          <w:bCs/>
          <w:lang w:val="hy-AM"/>
        </w:rPr>
        <w:t>շրջանակում</w:t>
      </w:r>
      <w:r w:rsidR="00212EBB" w:rsidRPr="00EF7399">
        <w:rPr>
          <w:rFonts w:ascii="Times New Roman" w:hAnsi="Times New Roman" w:cs="Times New Roman"/>
          <w:bCs/>
          <w:lang w:val="af-ZA"/>
        </w:rPr>
        <w:t xml:space="preserve"> </w:t>
      </w:r>
      <w:r w:rsidR="00D462CC" w:rsidRPr="00EF7399">
        <w:rPr>
          <w:rFonts w:ascii="Times New Roman" w:hAnsi="Times New Roman" w:cs="Times New Roman"/>
          <w:bCs/>
          <w:lang w:val="af-ZA"/>
        </w:rPr>
        <w:t>է</w:t>
      </w:r>
      <w:r w:rsidR="003E7BF8" w:rsidRPr="00EF7399">
        <w:rPr>
          <w:rFonts w:ascii="Times New Roman" w:hAnsi="Times New Roman" w:cs="Times New Roman"/>
          <w:bCs/>
          <w:lang w:val="af-ZA"/>
        </w:rPr>
        <w:t>, որոնք ազատ են որոշելու</w:t>
      </w:r>
      <w:r w:rsidR="00212EBB" w:rsidRPr="00EF7399">
        <w:rPr>
          <w:rFonts w:ascii="Times New Roman" w:hAnsi="Times New Roman" w:cs="Times New Roman"/>
          <w:bCs/>
          <w:lang w:val="hy-AM"/>
        </w:rPr>
        <w:t>՝</w:t>
      </w:r>
      <w:r w:rsidR="003E7BF8" w:rsidRPr="00EF7399">
        <w:rPr>
          <w:rFonts w:ascii="Times New Roman" w:hAnsi="Times New Roman" w:cs="Times New Roman"/>
          <w:bCs/>
          <w:lang w:val="af-ZA"/>
        </w:rPr>
        <w:t xml:space="preserve"> օտարերկրյա ֆինանսավորման որ աղբյուրներից կարող են միջոցներ ստանալ քաղաքական կուսակցությունները: Օտարերկրյա պետությունների կողմից քաղաքական կուսակցությունների ֆինանսավորման արգելքը, </w:t>
      </w:r>
      <w:r w:rsidR="00212EBB" w:rsidRPr="00EF7399">
        <w:rPr>
          <w:rFonts w:ascii="Times New Roman" w:hAnsi="Times New Roman" w:cs="Times New Roman"/>
          <w:bCs/>
          <w:lang w:val="hy-AM"/>
        </w:rPr>
        <w:t>այնուամենայնիվ</w:t>
      </w:r>
      <w:r w:rsidR="003E7BF8" w:rsidRPr="00EF7399">
        <w:rPr>
          <w:rFonts w:ascii="Times New Roman" w:hAnsi="Times New Roman" w:cs="Times New Roman"/>
          <w:bCs/>
          <w:lang w:val="af-ZA"/>
        </w:rPr>
        <w:t xml:space="preserve">, անհրաժեշտ է </w:t>
      </w:r>
      <w:r w:rsidR="00212EBB" w:rsidRPr="00EF7399">
        <w:rPr>
          <w:rFonts w:ascii="Times New Roman" w:hAnsi="Times New Roman" w:cs="Times New Roman"/>
          <w:bCs/>
          <w:lang w:val="hy-AM"/>
        </w:rPr>
        <w:t>ա</w:t>
      </w:r>
      <w:r w:rsidR="003E7BF8" w:rsidRPr="00EF7399">
        <w:rPr>
          <w:rFonts w:ascii="Times New Roman" w:hAnsi="Times New Roman" w:cs="Times New Roman"/>
          <w:bCs/>
          <w:lang w:val="af-ZA"/>
        </w:rPr>
        <w:t xml:space="preserve">զգային ինքնիշխանությունը </w:t>
      </w:r>
      <w:r w:rsidR="00212EBB" w:rsidRPr="00EF7399">
        <w:rPr>
          <w:rFonts w:ascii="Times New Roman" w:hAnsi="Times New Roman" w:cs="Times New Roman"/>
          <w:bCs/>
          <w:lang w:val="hy-AM"/>
        </w:rPr>
        <w:t>պահպանելու</w:t>
      </w:r>
      <w:r w:rsidR="00212EBB" w:rsidRPr="00EF7399">
        <w:rPr>
          <w:rFonts w:ascii="Times New Roman" w:hAnsi="Times New Roman" w:cs="Times New Roman"/>
          <w:bCs/>
          <w:lang w:val="af-ZA"/>
        </w:rPr>
        <w:t xml:space="preserve"> </w:t>
      </w:r>
      <w:r w:rsidR="003E7BF8" w:rsidRPr="00EF7399">
        <w:rPr>
          <w:rFonts w:ascii="Times New Roman" w:hAnsi="Times New Roman" w:cs="Times New Roman"/>
          <w:bCs/>
          <w:lang w:val="af-ZA"/>
        </w:rPr>
        <w:t xml:space="preserve">համար </w:t>
      </w:r>
      <w:r w:rsidRPr="00EF7399">
        <w:rPr>
          <w:rFonts w:ascii="Times New Roman" w:hAnsi="Times New Roman" w:cs="Times New Roman"/>
          <w:bCs/>
          <w:lang w:val="af-ZA"/>
        </w:rPr>
        <w:t>(</w:t>
      </w:r>
      <w:hyperlink r:id="rId458" w:history="1">
        <w:r w:rsidRPr="00EF7399">
          <w:rPr>
            <w:rStyle w:val="Hyperlink"/>
            <w:rFonts w:ascii="Times New Roman" w:hAnsi="Times New Roman" w:cs="Times New Roman"/>
            <w:bCs/>
            <w:lang w:val="af-ZA"/>
          </w:rPr>
          <w:t>Parti nationaliste basque – Organisation régionale d</w:t>
        </w:r>
        <w:r w:rsidR="00DF297D" w:rsidRPr="00EF7399">
          <w:rPr>
            <w:rStyle w:val="Hyperlink"/>
            <w:rFonts w:ascii="Times New Roman" w:hAnsi="Times New Roman" w:cs="Times New Roman"/>
            <w:bCs/>
            <w:lang w:val="af-ZA"/>
          </w:rPr>
          <w:t>’</w:t>
        </w:r>
        <w:r w:rsidRPr="00EF7399">
          <w:rPr>
            <w:rStyle w:val="Hyperlink"/>
            <w:rFonts w:ascii="Times New Roman" w:hAnsi="Times New Roman" w:cs="Times New Roman"/>
            <w:bCs/>
            <w:lang w:val="af-ZA"/>
          </w:rPr>
          <w:t>Iparralde</w:t>
        </w:r>
        <w:r w:rsidR="00873234" w:rsidRPr="00EF7399">
          <w:rPr>
            <w:rStyle w:val="Hyperlink"/>
            <w:rFonts w:ascii="Times New Roman" w:hAnsi="Times New Roman" w:cs="Times New Roman"/>
            <w:bCs/>
            <w:lang w:val="af-ZA"/>
          </w:rPr>
          <w:t xml:space="preserve"> v. </w:t>
        </w:r>
        <w:r w:rsidRPr="00EF7399">
          <w:rPr>
            <w:rStyle w:val="Hyperlink"/>
            <w:rFonts w:ascii="Times New Roman" w:hAnsi="Times New Roman" w:cs="Times New Roman"/>
            <w:lang w:val="af-ZA"/>
          </w:rPr>
          <w:t>France</w:t>
        </w:r>
      </w:hyperlink>
      <w:r w:rsidRPr="00EF7399">
        <w:rPr>
          <w:rFonts w:ascii="Times New Roman" w:hAnsi="Times New Roman" w:cs="Times New Roman"/>
          <w:lang w:val="af-ZA"/>
        </w:rPr>
        <w:t xml:space="preserve">, </w:t>
      </w:r>
      <w:r w:rsidR="00AB7CD2" w:rsidRPr="00EF7399">
        <w:rPr>
          <w:rFonts w:ascii="Times New Roman" w:hAnsi="Times New Roman" w:cs="Times New Roman"/>
          <w:lang w:val="af-ZA"/>
        </w:rPr>
        <w:t xml:space="preserve">2007, </w:t>
      </w:r>
      <w:r w:rsidR="00873234" w:rsidRPr="00EF7399">
        <w:rPr>
          <w:rFonts w:ascii="Times New Roman" w:hAnsi="Times New Roman" w:cs="Times New Roman"/>
          <w:lang w:val="af-ZA"/>
        </w:rPr>
        <w:t>§ </w:t>
      </w:r>
      <w:r w:rsidRPr="00EF7399">
        <w:rPr>
          <w:rFonts w:ascii="Times New Roman" w:hAnsi="Times New Roman" w:cs="Times New Roman"/>
          <w:lang w:val="af-ZA"/>
        </w:rPr>
        <w:t>47)</w:t>
      </w:r>
      <w:r w:rsidR="003E7BF8" w:rsidRPr="00EF7399">
        <w:rPr>
          <w:rFonts w:ascii="Times New Roman" w:hAnsi="Times New Roman" w:cs="Times New Roman"/>
          <w:lang w:val="af-ZA"/>
        </w:rPr>
        <w:t>:</w:t>
      </w:r>
    </w:p>
    <w:p w14:paraId="2C527F88" w14:textId="6CEFE3BD"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198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E357D5" w:rsidRPr="00EF7399">
        <w:rPr>
          <w:rFonts w:ascii="Times New Roman" w:hAnsi="Times New Roman" w:cs="Times New Roman"/>
          <w:lang w:val="af-ZA"/>
        </w:rPr>
        <w:t xml:space="preserve"> </w:t>
      </w:r>
      <w:r w:rsidR="002341E1" w:rsidRPr="00EF7399">
        <w:rPr>
          <w:rFonts w:ascii="Times New Roman" w:hAnsi="Times New Roman" w:cs="Times New Roman"/>
          <w:lang w:val="hy-AM"/>
        </w:rPr>
        <w:t>Պ</w:t>
      </w:r>
      <w:r w:rsidR="003E7BF8" w:rsidRPr="00EF7399">
        <w:rPr>
          <w:rFonts w:ascii="Times New Roman" w:hAnsi="Times New Roman" w:cs="Times New Roman"/>
          <w:lang w:val="af-ZA"/>
        </w:rPr>
        <w:t xml:space="preserve">ետությունների հայեցողության </w:t>
      </w:r>
      <w:r w:rsidR="002341E1" w:rsidRPr="00EF7399">
        <w:rPr>
          <w:rFonts w:ascii="Times New Roman" w:hAnsi="Times New Roman" w:cs="Times New Roman"/>
          <w:lang w:val="hy-AM"/>
        </w:rPr>
        <w:t xml:space="preserve">շրջանակը </w:t>
      </w:r>
      <w:r w:rsidR="003E7BF8" w:rsidRPr="00EF7399">
        <w:rPr>
          <w:rFonts w:ascii="Times New Roman" w:hAnsi="Times New Roman" w:cs="Times New Roman"/>
          <w:lang w:val="af-ZA"/>
        </w:rPr>
        <w:t xml:space="preserve">կարող </w:t>
      </w:r>
      <w:r w:rsidR="002341E1" w:rsidRPr="00EF7399">
        <w:rPr>
          <w:rFonts w:ascii="Times New Roman" w:hAnsi="Times New Roman" w:cs="Times New Roman"/>
          <w:lang w:val="hy-AM"/>
        </w:rPr>
        <w:t>է</w:t>
      </w:r>
      <w:r w:rsidR="003E7BF8" w:rsidRPr="00EF7399">
        <w:rPr>
          <w:rFonts w:ascii="Times New Roman" w:hAnsi="Times New Roman" w:cs="Times New Roman"/>
          <w:lang w:val="af-ZA"/>
        </w:rPr>
        <w:t xml:space="preserve"> </w:t>
      </w:r>
      <w:r w:rsidR="00E357D5" w:rsidRPr="00EF7399">
        <w:rPr>
          <w:rFonts w:ascii="Times New Roman" w:hAnsi="Times New Roman" w:cs="Times New Roman"/>
          <w:lang w:val="af-ZA"/>
        </w:rPr>
        <w:t xml:space="preserve">ընդգրկել </w:t>
      </w:r>
      <w:r w:rsidR="003E7BF8" w:rsidRPr="00EF7399">
        <w:rPr>
          <w:rFonts w:ascii="Times New Roman" w:hAnsi="Times New Roman" w:cs="Times New Roman"/>
          <w:lang w:val="af-ZA"/>
        </w:rPr>
        <w:t>կուսակցության ներքին</w:t>
      </w:r>
      <w:r w:rsidR="00E357D5" w:rsidRPr="00EF7399">
        <w:rPr>
          <w:rFonts w:ascii="Times New Roman" w:hAnsi="Times New Roman" w:cs="Times New Roman"/>
          <w:lang w:val="af-ZA"/>
        </w:rPr>
        <w:t xml:space="preserve"> կազմ</w:t>
      </w:r>
      <w:r w:rsidR="00C562E3" w:rsidRPr="00EF7399">
        <w:rPr>
          <w:rFonts w:ascii="Times New Roman" w:hAnsi="Times New Roman" w:cs="Times New Roman"/>
          <w:lang w:val="af-ZA"/>
        </w:rPr>
        <w:t>ա</w:t>
      </w:r>
      <w:r w:rsidR="00E357D5" w:rsidRPr="00EF7399">
        <w:rPr>
          <w:rFonts w:ascii="Times New Roman" w:hAnsi="Times New Roman" w:cs="Times New Roman"/>
          <w:lang w:val="af-ZA"/>
        </w:rPr>
        <w:t>կերպման և գործունեության հարցերին միջամտելու իրավունք</w:t>
      </w:r>
      <w:r w:rsidR="002341E1" w:rsidRPr="00EF7399">
        <w:rPr>
          <w:rFonts w:ascii="Times New Roman" w:hAnsi="Times New Roman" w:cs="Times New Roman"/>
          <w:lang w:val="hy-AM"/>
        </w:rPr>
        <w:t>՝ ձևական-իրավական</w:t>
      </w:r>
      <w:r w:rsidR="002341E1" w:rsidRPr="00EF7399">
        <w:rPr>
          <w:rFonts w:ascii="Times New Roman" w:hAnsi="Times New Roman" w:cs="Times New Roman"/>
          <w:lang w:val="af-ZA"/>
        </w:rPr>
        <w:t xml:space="preserve"> ողջամիտ</w:t>
      </w:r>
      <w:r w:rsidR="002341E1" w:rsidRPr="00EF7399">
        <w:rPr>
          <w:rFonts w:ascii="Times New Roman" w:hAnsi="Times New Roman" w:cs="Times New Roman"/>
          <w:lang w:val="hy-AM"/>
        </w:rPr>
        <w:t xml:space="preserve"> պայմաններին չհամապատասխանելու դեպքերում</w:t>
      </w:r>
      <w:r w:rsidR="00E357D5" w:rsidRPr="00EF7399">
        <w:rPr>
          <w:rFonts w:ascii="Times New Roman" w:hAnsi="Times New Roman" w:cs="Times New Roman"/>
          <w:lang w:val="af-ZA"/>
        </w:rPr>
        <w:t xml:space="preserve">: </w:t>
      </w:r>
      <w:r w:rsidR="002341E1" w:rsidRPr="00EF7399">
        <w:rPr>
          <w:rFonts w:ascii="Times New Roman" w:hAnsi="Times New Roman" w:cs="Times New Roman"/>
          <w:lang w:val="hy-AM"/>
        </w:rPr>
        <w:t>Ասվածով հանդերձ,</w:t>
      </w:r>
      <w:r w:rsidR="002341E1" w:rsidRPr="00EF7399">
        <w:rPr>
          <w:rFonts w:ascii="Times New Roman" w:hAnsi="Times New Roman" w:cs="Times New Roman"/>
          <w:lang w:val="af-ZA"/>
        </w:rPr>
        <w:t xml:space="preserve"> </w:t>
      </w:r>
      <w:r w:rsidR="00E357D5" w:rsidRPr="00EF7399">
        <w:rPr>
          <w:rFonts w:ascii="Times New Roman" w:hAnsi="Times New Roman" w:cs="Times New Roman"/>
          <w:lang w:val="af-ZA"/>
        </w:rPr>
        <w:t xml:space="preserve">իշխանությունների միջամտությունը չպետք է հասնի այնպիսի չափերի, որ ապահովի կուսակցության կողմից սեփական կանոնադրության մեջ նշված յուրաքանչյուր </w:t>
      </w:r>
      <w:r w:rsidR="002341E1" w:rsidRPr="00EF7399">
        <w:rPr>
          <w:rFonts w:ascii="Times New Roman" w:hAnsi="Times New Roman" w:cs="Times New Roman"/>
          <w:lang w:val="hy-AM"/>
        </w:rPr>
        <w:t>ձևականության</w:t>
      </w:r>
      <w:r w:rsidR="002341E1" w:rsidRPr="00EF7399">
        <w:rPr>
          <w:rFonts w:ascii="Times New Roman" w:hAnsi="Times New Roman" w:cs="Times New Roman"/>
          <w:lang w:val="af-ZA"/>
        </w:rPr>
        <w:t xml:space="preserve"> </w:t>
      </w:r>
      <w:r w:rsidR="00E357D5" w:rsidRPr="00EF7399">
        <w:rPr>
          <w:rFonts w:ascii="Times New Roman" w:hAnsi="Times New Roman" w:cs="Times New Roman"/>
          <w:lang w:val="af-ZA"/>
        </w:rPr>
        <w:t>կատարումը: Առաջին հերթին</w:t>
      </w:r>
      <w:r w:rsidR="002341E1" w:rsidRPr="00EF7399">
        <w:rPr>
          <w:rFonts w:ascii="Times New Roman" w:hAnsi="Times New Roman" w:cs="Times New Roman"/>
          <w:lang w:val="hy-AM"/>
        </w:rPr>
        <w:t>,</w:t>
      </w:r>
      <w:r w:rsidR="00E357D5" w:rsidRPr="00EF7399">
        <w:rPr>
          <w:rFonts w:ascii="Times New Roman" w:hAnsi="Times New Roman" w:cs="Times New Roman"/>
          <w:lang w:val="af-ZA"/>
        </w:rPr>
        <w:t xml:space="preserve"> դա ոչ թե իշխանությունների, այլ կուսակցության և դրա անդամների խնդիրն է</w:t>
      </w:r>
      <w:r w:rsidR="002341E1" w:rsidRPr="00EF7399">
        <w:rPr>
          <w:rFonts w:ascii="Times New Roman" w:hAnsi="Times New Roman" w:cs="Times New Roman"/>
          <w:lang w:val="hy-AM"/>
        </w:rPr>
        <w:t>՝</w:t>
      </w:r>
      <w:r w:rsidR="00E357D5" w:rsidRPr="00EF7399">
        <w:rPr>
          <w:rFonts w:ascii="Times New Roman" w:hAnsi="Times New Roman" w:cs="Times New Roman"/>
          <w:lang w:val="af-ZA"/>
        </w:rPr>
        <w:t xml:space="preserve"> ապահովել սահմանված </w:t>
      </w:r>
      <w:r w:rsidR="008865CE" w:rsidRPr="00EF7399">
        <w:rPr>
          <w:rFonts w:ascii="Times New Roman" w:hAnsi="Times New Roman" w:cs="Times New Roman"/>
          <w:lang w:val="af-ZA"/>
        </w:rPr>
        <w:t>պայմանների</w:t>
      </w:r>
      <w:r w:rsidR="00E357D5" w:rsidRPr="00EF7399">
        <w:rPr>
          <w:rFonts w:ascii="Times New Roman" w:hAnsi="Times New Roman" w:cs="Times New Roman"/>
          <w:lang w:val="af-ZA"/>
        </w:rPr>
        <w:t xml:space="preserve"> </w:t>
      </w:r>
      <w:r w:rsidR="008865CE" w:rsidRPr="00EF7399">
        <w:rPr>
          <w:rFonts w:ascii="Times New Roman" w:hAnsi="Times New Roman" w:cs="Times New Roman"/>
          <w:lang w:val="af-ZA"/>
        </w:rPr>
        <w:t>կատարումը</w:t>
      </w:r>
      <w:r w:rsidR="00E357D5" w:rsidRPr="00EF7399">
        <w:rPr>
          <w:rFonts w:ascii="Times New Roman" w:hAnsi="Times New Roman" w:cs="Times New Roman"/>
          <w:lang w:val="af-ZA"/>
        </w:rPr>
        <w:t xml:space="preserve"> միավորման </w:t>
      </w:r>
      <w:r w:rsidR="008865CE" w:rsidRPr="00EF7399">
        <w:rPr>
          <w:rFonts w:ascii="Times New Roman" w:hAnsi="Times New Roman" w:cs="Times New Roman"/>
          <w:lang w:val="af-ZA"/>
        </w:rPr>
        <w:t xml:space="preserve">կանոնադրության մեջ նշված եղանակով </w:t>
      </w:r>
      <w:r w:rsidRPr="00EF7399">
        <w:rPr>
          <w:rFonts w:ascii="Times New Roman" w:hAnsi="Times New Roman" w:cs="Times New Roman"/>
          <w:lang w:val="af-ZA"/>
        </w:rPr>
        <w:t>(</w:t>
      </w:r>
      <w:hyperlink r:id="rId459" w:history="1">
        <w:r w:rsidR="00AB7CD2" w:rsidRPr="00EF7399">
          <w:rPr>
            <w:rStyle w:val="Hyperlink"/>
            <w:rFonts w:ascii="Times New Roman" w:hAnsi="Times New Roman" w:cs="Times New Roman"/>
            <w:lang w:val="af-ZA"/>
          </w:rPr>
          <w:t>Republican Party of Russia</w:t>
        </w:r>
        <w:r w:rsidR="00873234" w:rsidRPr="00EF7399">
          <w:rPr>
            <w:rStyle w:val="Hyperlink"/>
            <w:rFonts w:ascii="Times New Roman" w:hAnsi="Times New Roman" w:cs="Times New Roman"/>
            <w:lang w:val="af-ZA"/>
          </w:rPr>
          <w:t xml:space="preserve"> v. </w:t>
        </w:r>
        <w:r w:rsidR="00AB7CD2" w:rsidRPr="00EF7399">
          <w:rPr>
            <w:rStyle w:val="Hyperlink"/>
            <w:rFonts w:ascii="Times New Roman" w:hAnsi="Times New Roman" w:cs="Times New Roman"/>
            <w:lang w:val="af-ZA"/>
          </w:rPr>
          <w:t>Russia</w:t>
        </w:r>
      </w:hyperlink>
      <w:r w:rsidRPr="00EF7399">
        <w:rPr>
          <w:rFonts w:ascii="Times New Roman" w:hAnsi="Times New Roman" w:cs="Times New Roman"/>
          <w:lang w:val="af-ZA"/>
        </w:rPr>
        <w:t xml:space="preserve">, </w:t>
      </w:r>
      <w:r w:rsidR="00AB7CD2" w:rsidRPr="00EF7399">
        <w:rPr>
          <w:rFonts w:ascii="Times New Roman" w:hAnsi="Times New Roman" w:cs="Times New Roman"/>
          <w:lang w:val="af-ZA"/>
        </w:rPr>
        <w:t xml:space="preserve">2011,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87-88, </w:t>
      </w:r>
      <w:r w:rsidR="008865CE" w:rsidRPr="00EF7399">
        <w:rPr>
          <w:rFonts w:ascii="Times New Roman" w:hAnsi="Times New Roman" w:cs="Times New Roman"/>
          <w:lang w:val="af-ZA"/>
        </w:rPr>
        <w:t>որտեղ իշխանությունների` կուսակցության ներքին ընթացակարգը խախտելու հիմքով պետական ռեգիստրում փոփոխություն կատարելու մերժումը Դատարանը համարեց բավարար իրավական հիմնավորում չունեցող և ժողովրդավարական հասարակությունում ոչ անհրաժեշտ</w:t>
      </w:r>
      <w:r w:rsidRPr="00EF7399">
        <w:rPr>
          <w:rFonts w:ascii="Times New Roman" w:hAnsi="Times New Roman" w:cs="Times New Roman"/>
          <w:lang w:val="af-ZA"/>
        </w:rPr>
        <w:t>)</w:t>
      </w:r>
      <w:r w:rsidR="008865CE" w:rsidRPr="00EF7399">
        <w:rPr>
          <w:rFonts w:ascii="Times New Roman" w:hAnsi="Times New Roman" w:cs="Times New Roman"/>
          <w:lang w:val="af-ZA"/>
        </w:rPr>
        <w:t>:</w:t>
      </w:r>
    </w:p>
    <w:p w14:paraId="73F35600" w14:textId="1AEE1961" w:rsidR="007A6954"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199</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E516B7" w:rsidRPr="00EF7399">
        <w:rPr>
          <w:rFonts w:ascii="Times New Roman" w:hAnsi="Times New Roman" w:cs="Times New Roman"/>
          <w:lang w:val="af-ZA"/>
        </w:rPr>
        <w:t xml:space="preserve">Դատարանը արդարացված չհամարեց քաղաքական կուսակցությունների անդամության հարցերի հաճախակի և համակողմանի ստուգումները և </w:t>
      </w:r>
      <w:r w:rsidR="007C3C57" w:rsidRPr="00EF7399">
        <w:rPr>
          <w:rFonts w:ascii="Times New Roman" w:hAnsi="Times New Roman" w:cs="Times New Roman"/>
          <w:lang w:val="hy-AM"/>
        </w:rPr>
        <w:t>ձևական</w:t>
      </w:r>
      <w:r w:rsidR="007C3C57" w:rsidRPr="00EF7399">
        <w:rPr>
          <w:rFonts w:ascii="Times New Roman" w:hAnsi="Times New Roman" w:cs="Times New Roman"/>
          <w:lang w:val="af-ZA"/>
        </w:rPr>
        <w:t xml:space="preserve"> </w:t>
      </w:r>
      <w:r w:rsidR="00E516B7" w:rsidRPr="00EF7399">
        <w:rPr>
          <w:rFonts w:ascii="Times New Roman" w:hAnsi="Times New Roman" w:cs="Times New Roman"/>
          <w:lang w:val="af-ZA"/>
        </w:rPr>
        <w:t xml:space="preserve">հիմքերով լուծարելու մշտական սպառնալիքը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115-116)</w:t>
      </w:r>
      <w:r w:rsidR="00E516B7" w:rsidRPr="00EF7399">
        <w:rPr>
          <w:rFonts w:ascii="Times New Roman" w:hAnsi="Times New Roman" w:cs="Times New Roman"/>
          <w:lang w:val="af-ZA"/>
        </w:rPr>
        <w:t>:</w:t>
      </w:r>
    </w:p>
    <w:p w14:paraId="593736C8" w14:textId="2C3BBDA7" w:rsidR="00FE52C1" w:rsidRPr="00EF7399" w:rsidRDefault="00E516B7" w:rsidP="00FE52C1">
      <w:pPr>
        <w:pStyle w:val="ECHRHeading3"/>
        <w:rPr>
          <w:rFonts w:ascii="Times New Roman" w:eastAsiaTheme="minorHAnsi" w:hAnsi="Times New Roman" w:cs="Times New Roman"/>
          <w:color w:val="auto"/>
          <w:sz w:val="22"/>
          <w:lang w:val="af-ZA"/>
        </w:rPr>
      </w:pPr>
      <w:bookmarkStart w:id="91" w:name="_Toc159945250"/>
      <w:r w:rsidRPr="00EF7399">
        <w:rPr>
          <w:rFonts w:ascii="Times New Roman" w:hAnsi="Times New Roman" w:cs="Times New Roman"/>
          <w:lang w:val="af-ZA"/>
        </w:rPr>
        <w:t>Փոքրամասնությունների միավորումներ</w:t>
      </w:r>
      <w:bookmarkEnd w:id="91"/>
    </w:p>
    <w:p w14:paraId="363D8F5E" w14:textId="00B83C94"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200</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DD689D" w:rsidRPr="00EF7399">
        <w:rPr>
          <w:rFonts w:ascii="Times New Roman" w:hAnsi="Times New Roman" w:cs="Times New Roman"/>
          <w:lang w:val="af-ZA"/>
        </w:rPr>
        <w:t xml:space="preserve">Դատարանը գտել է, որ միավորման ազատությունն առանձնակի կարևոր է փոքրամասնություններին, </w:t>
      </w:r>
      <w:r w:rsidR="00C26969" w:rsidRPr="00EF7399">
        <w:rPr>
          <w:rFonts w:ascii="Times New Roman" w:hAnsi="Times New Roman" w:cs="Times New Roman"/>
          <w:lang w:val="hy-AM"/>
        </w:rPr>
        <w:t>ներառյալ</w:t>
      </w:r>
      <w:r w:rsidR="00DD689D" w:rsidRPr="00EF7399">
        <w:rPr>
          <w:rFonts w:ascii="Times New Roman" w:hAnsi="Times New Roman" w:cs="Times New Roman"/>
          <w:lang w:val="af-ZA"/>
        </w:rPr>
        <w:t xml:space="preserve">` ազգային և էթնիկ փոքրամասնություններին պատկանող անձանց համար: </w:t>
      </w:r>
      <w:r w:rsidR="00C26969" w:rsidRPr="00EF7399">
        <w:rPr>
          <w:rFonts w:ascii="Times New Roman" w:hAnsi="Times New Roman" w:cs="Times New Roman"/>
          <w:lang w:val="hy-AM"/>
        </w:rPr>
        <w:t>Ա</w:t>
      </w:r>
      <w:r w:rsidR="00C26969" w:rsidRPr="00EF7399">
        <w:rPr>
          <w:rFonts w:ascii="Times New Roman" w:hAnsi="Times New Roman" w:cs="Times New Roman"/>
          <w:lang w:val="af-ZA"/>
        </w:rPr>
        <w:t>նկասկած</w:t>
      </w:r>
      <w:r w:rsidR="00C26969" w:rsidRPr="00EF7399">
        <w:rPr>
          <w:rFonts w:ascii="Times New Roman" w:hAnsi="Times New Roman" w:cs="Times New Roman"/>
          <w:lang w:val="hy-AM"/>
        </w:rPr>
        <w:t>,</w:t>
      </w:r>
      <w:r w:rsidR="00C26969" w:rsidRPr="00EF7399">
        <w:rPr>
          <w:rFonts w:ascii="Times New Roman" w:hAnsi="Times New Roman" w:cs="Times New Roman"/>
          <w:lang w:val="af-ZA"/>
        </w:rPr>
        <w:t xml:space="preserve"> </w:t>
      </w:r>
      <w:r w:rsidR="00C26969" w:rsidRPr="00EF7399">
        <w:rPr>
          <w:rFonts w:ascii="Times New Roman" w:hAnsi="Times New Roman" w:cs="Times New Roman"/>
          <w:lang w:val="hy-AM"/>
        </w:rPr>
        <w:t>ս</w:t>
      </w:r>
      <w:r w:rsidR="00DD689D" w:rsidRPr="00EF7399">
        <w:rPr>
          <w:rFonts w:ascii="Times New Roman" w:hAnsi="Times New Roman" w:cs="Times New Roman"/>
          <w:lang w:val="af-ZA"/>
        </w:rPr>
        <w:t>եփական ինքնությունն արտահայտելու և</w:t>
      </w:r>
      <w:r w:rsidR="003E6D5D" w:rsidRPr="00EF7399">
        <w:rPr>
          <w:rFonts w:ascii="Times New Roman" w:hAnsi="Times New Roman" w:cs="Times New Roman"/>
          <w:lang w:val="af-ZA"/>
        </w:rPr>
        <w:t xml:space="preserve"> </w:t>
      </w:r>
      <w:r w:rsidR="00C26969" w:rsidRPr="00EF7399">
        <w:rPr>
          <w:rFonts w:ascii="Times New Roman" w:hAnsi="Times New Roman" w:cs="Times New Roman"/>
          <w:lang w:val="hy-AM"/>
        </w:rPr>
        <w:t>խթանելու</w:t>
      </w:r>
      <w:r w:rsidR="00C26969" w:rsidRPr="00EF7399">
        <w:rPr>
          <w:rFonts w:ascii="Times New Roman" w:hAnsi="Times New Roman" w:cs="Times New Roman"/>
          <w:lang w:val="af-ZA"/>
        </w:rPr>
        <w:t xml:space="preserve"> </w:t>
      </w:r>
      <w:r w:rsidR="00DD689D" w:rsidRPr="00EF7399">
        <w:rPr>
          <w:rFonts w:ascii="Times New Roman" w:hAnsi="Times New Roman" w:cs="Times New Roman"/>
          <w:lang w:val="af-ZA"/>
        </w:rPr>
        <w:t>նպատակով միավորում ստեղծելը</w:t>
      </w:r>
      <w:r w:rsidR="003E6D5D" w:rsidRPr="00EF7399">
        <w:rPr>
          <w:rFonts w:ascii="Times New Roman" w:hAnsi="Times New Roman" w:cs="Times New Roman"/>
          <w:lang w:val="af-ZA"/>
        </w:rPr>
        <w:t xml:space="preserve"> կարող է </w:t>
      </w:r>
      <w:r w:rsidR="00C26969" w:rsidRPr="00EF7399">
        <w:rPr>
          <w:rFonts w:ascii="Times New Roman" w:hAnsi="Times New Roman" w:cs="Times New Roman"/>
          <w:lang w:val="hy-AM"/>
        </w:rPr>
        <w:t>կարևոր դեր խաղալ</w:t>
      </w:r>
      <w:r w:rsidR="00C26969" w:rsidRPr="00EF7399">
        <w:rPr>
          <w:rFonts w:ascii="Times New Roman" w:hAnsi="Times New Roman" w:cs="Times New Roman"/>
          <w:lang w:val="af-ZA"/>
        </w:rPr>
        <w:t xml:space="preserve"> </w:t>
      </w:r>
      <w:r w:rsidR="003E6D5D" w:rsidRPr="00EF7399">
        <w:rPr>
          <w:rFonts w:ascii="Times New Roman" w:hAnsi="Times New Roman" w:cs="Times New Roman"/>
          <w:lang w:val="af-ZA"/>
        </w:rPr>
        <w:t xml:space="preserve">տվյալ փոքրամասնության իրավունքների պահպանմանն ու պաշտպանությանը </w:t>
      </w:r>
      <w:r w:rsidR="00DD689D"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460" w:history="1">
        <w:r w:rsidRPr="00EF7399">
          <w:rPr>
            <w:rStyle w:val="Hyperlink"/>
            <w:rFonts w:ascii="Times New Roman" w:hAnsi="Times New Roman" w:cs="Times New Roman"/>
            <w:lang w:val="af-ZA"/>
          </w:rPr>
          <w:t>Gorzelik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Poland</w:t>
        </w:r>
      </w:hyperlink>
      <w:r w:rsidRPr="00EF7399">
        <w:rPr>
          <w:rFonts w:ascii="Times New Roman" w:hAnsi="Times New Roman" w:cs="Times New Roman"/>
          <w:i/>
          <w:lang w:val="af-ZA"/>
        </w:rPr>
        <w:t xml:space="preserve"> </w:t>
      </w:r>
      <w:r w:rsidRPr="00EF7399">
        <w:rPr>
          <w:rFonts w:ascii="Times New Roman" w:hAnsi="Times New Roman" w:cs="Times New Roman"/>
          <w:lang w:val="af-ZA"/>
        </w:rPr>
        <w:t xml:space="preserve">[GC], </w:t>
      </w:r>
      <w:r w:rsidR="007A38BA" w:rsidRPr="00EF7399">
        <w:rPr>
          <w:rFonts w:ascii="Times New Roman" w:hAnsi="Times New Roman" w:cs="Times New Roman"/>
          <w:lang w:val="af-ZA"/>
        </w:rPr>
        <w:t xml:space="preserve">2004, </w:t>
      </w:r>
      <w:r w:rsidR="00873234" w:rsidRPr="00EF7399">
        <w:rPr>
          <w:rFonts w:ascii="Times New Roman" w:hAnsi="Times New Roman" w:cs="Times New Roman"/>
          <w:lang w:val="af-ZA"/>
        </w:rPr>
        <w:t>§ </w:t>
      </w:r>
      <w:r w:rsidRPr="00EF7399">
        <w:rPr>
          <w:rFonts w:ascii="Times New Roman" w:hAnsi="Times New Roman" w:cs="Times New Roman"/>
          <w:lang w:val="af-ZA"/>
        </w:rPr>
        <w:t>93)</w:t>
      </w:r>
      <w:r w:rsidR="003E6D5D" w:rsidRPr="00EF7399">
        <w:rPr>
          <w:rFonts w:ascii="Times New Roman" w:hAnsi="Times New Roman" w:cs="Times New Roman"/>
          <w:lang w:val="af-ZA"/>
        </w:rPr>
        <w:t>:</w:t>
      </w:r>
    </w:p>
    <w:p w14:paraId="72B1D486" w14:textId="6FB8BF1E"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201</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3E6D5D" w:rsidRPr="00EF7399">
        <w:rPr>
          <w:rFonts w:ascii="Times New Roman" w:hAnsi="Times New Roman" w:cs="Times New Roman"/>
          <w:lang w:val="af-ZA"/>
        </w:rPr>
        <w:t>Երկրում փոքրամասնությունների և տարբեր մշակույթների գոյությունը պատմական փաստ է, որը ժողովրդավարական հասարակությունը պետք է հանդուրժի, նույնիսկ պաշտպանի և</w:t>
      </w:r>
      <w:r w:rsidR="00E1774F" w:rsidRPr="00EF7399">
        <w:rPr>
          <w:rFonts w:ascii="Times New Roman" w:hAnsi="Times New Roman" w:cs="Times New Roman"/>
          <w:lang w:val="af-ZA"/>
        </w:rPr>
        <w:t xml:space="preserve"> խրախուսի` </w:t>
      </w:r>
      <w:r w:rsidR="003E6D5D" w:rsidRPr="00EF7399">
        <w:rPr>
          <w:rFonts w:ascii="Times New Roman" w:hAnsi="Times New Roman" w:cs="Times New Roman"/>
          <w:lang w:val="af-ZA"/>
        </w:rPr>
        <w:t>միջազգային իրավունքի սկզբունքների</w:t>
      </w:r>
      <w:r w:rsidR="00861FDF" w:rsidRPr="00EF7399">
        <w:rPr>
          <w:rFonts w:ascii="Times New Roman" w:hAnsi="Times New Roman" w:cs="Times New Roman"/>
          <w:lang w:val="hy-AM"/>
        </w:rPr>
        <w:t>ն</w:t>
      </w:r>
      <w:r w:rsidR="003E6D5D" w:rsidRPr="00EF7399">
        <w:rPr>
          <w:rFonts w:ascii="Times New Roman" w:hAnsi="Times New Roman" w:cs="Times New Roman"/>
          <w:lang w:val="af-ZA"/>
        </w:rPr>
        <w:t xml:space="preserve"> համաձայն </w:t>
      </w:r>
      <w:r w:rsidRPr="00EF7399">
        <w:rPr>
          <w:rFonts w:ascii="Times New Roman" w:hAnsi="Times New Roman" w:cs="Times New Roman"/>
          <w:lang w:val="af-ZA"/>
        </w:rPr>
        <w:t>(</w:t>
      </w:r>
      <w:hyperlink r:id="rId461" w:history="1">
        <w:r w:rsidRPr="00EF7399">
          <w:rPr>
            <w:rStyle w:val="Hyperlink"/>
            <w:rFonts w:ascii="Times New Roman" w:hAnsi="Times New Roman" w:cs="Times New Roman"/>
            <w:lang w:val="af-ZA"/>
          </w:rPr>
          <w:t>Eğitim ve Bilim Emekçileri Sendikası</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w:t>
      </w:r>
      <w:r w:rsidR="00693253" w:rsidRPr="00EF7399">
        <w:rPr>
          <w:rFonts w:ascii="Times New Roman" w:hAnsi="Times New Roman" w:cs="Times New Roman"/>
          <w:lang w:val="af-ZA"/>
        </w:rPr>
        <w:t xml:space="preserve">2012, </w:t>
      </w:r>
      <w:r w:rsidR="00873234" w:rsidRPr="00EF7399">
        <w:rPr>
          <w:rFonts w:ascii="Times New Roman" w:hAnsi="Times New Roman" w:cs="Times New Roman"/>
          <w:lang w:val="af-ZA"/>
        </w:rPr>
        <w:t>§ </w:t>
      </w:r>
      <w:r w:rsidRPr="00EF7399">
        <w:rPr>
          <w:rFonts w:ascii="Times New Roman" w:hAnsi="Times New Roman" w:cs="Times New Roman"/>
          <w:lang w:val="af-ZA"/>
        </w:rPr>
        <w:t>59)</w:t>
      </w:r>
      <w:r w:rsidR="00E1774F" w:rsidRPr="00EF7399">
        <w:rPr>
          <w:rFonts w:ascii="Times New Roman" w:hAnsi="Times New Roman" w:cs="Times New Roman"/>
          <w:lang w:val="af-ZA"/>
        </w:rPr>
        <w:t>:</w:t>
      </w:r>
    </w:p>
    <w:p w14:paraId="2B330E8B" w14:textId="3A888F6F"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202</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BD0AAF" w:rsidRPr="00EF7399">
        <w:rPr>
          <w:rFonts w:ascii="Times New Roman" w:hAnsi="Times New Roman" w:cs="Times New Roman"/>
          <w:lang w:val="af-ZA"/>
        </w:rPr>
        <w:t xml:space="preserve">Փոքրամասնության մշակույթի պահպանումը և զարգացումը, փոքրամասնության պատկանելու գիտակցության հիշատակումը չեն կարող </w:t>
      </w:r>
      <w:r w:rsidR="001248FB" w:rsidRPr="00EF7399">
        <w:rPr>
          <w:rFonts w:ascii="Times New Roman" w:hAnsi="Times New Roman" w:cs="Times New Roman"/>
          <w:lang w:val="hy-AM"/>
        </w:rPr>
        <w:t>պարունակել</w:t>
      </w:r>
      <w:r w:rsidR="001248FB" w:rsidRPr="00EF7399">
        <w:rPr>
          <w:rFonts w:ascii="Times New Roman" w:hAnsi="Times New Roman" w:cs="Times New Roman"/>
          <w:lang w:val="af-ZA"/>
        </w:rPr>
        <w:t xml:space="preserve"> </w:t>
      </w:r>
      <w:r w:rsidR="00BD0AAF" w:rsidRPr="00EF7399">
        <w:rPr>
          <w:rFonts w:ascii="Times New Roman" w:hAnsi="Times New Roman" w:cs="Times New Roman"/>
          <w:lang w:val="af-ZA"/>
        </w:rPr>
        <w:t>սպառնալիք «ժողովրդավարական հասարակության»</w:t>
      </w:r>
      <w:r w:rsidR="00AF3DF8" w:rsidRPr="00EF7399">
        <w:rPr>
          <w:rFonts w:ascii="Times New Roman" w:hAnsi="Times New Roman" w:cs="Times New Roman"/>
          <w:lang w:val="af-ZA"/>
        </w:rPr>
        <w:t xml:space="preserve"> համար, </w:t>
      </w:r>
      <w:r w:rsidR="001248FB" w:rsidRPr="00EF7399">
        <w:rPr>
          <w:rFonts w:ascii="Times New Roman" w:hAnsi="Times New Roman" w:cs="Times New Roman"/>
          <w:lang w:val="hy-AM"/>
        </w:rPr>
        <w:t>եթե անգամ</w:t>
      </w:r>
      <w:r w:rsidR="001248FB" w:rsidRPr="00EF7399">
        <w:rPr>
          <w:rFonts w:ascii="Times New Roman" w:hAnsi="Times New Roman" w:cs="Times New Roman"/>
          <w:lang w:val="af-ZA"/>
        </w:rPr>
        <w:t xml:space="preserve"> </w:t>
      </w:r>
      <w:r w:rsidR="00AF3DF8" w:rsidRPr="00EF7399">
        <w:rPr>
          <w:rFonts w:ascii="Times New Roman" w:hAnsi="Times New Roman" w:cs="Times New Roman"/>
          <w:lang w:val="af-ZA"/>
        </w:rPr>
        <w:t xml:space="preserve">կարող </w:t>
      </w:r>
      <w:r w:rsidR="001248FB" w:rsidRPr="00EF7399">
        <w:rPr>
          <w:rFonts w:ascii="Times New Roman" w:hAnsi="Times New Roman" w:cs="Times New Roman"/>
          <w:lang w:val="hy-AM"/>
        </w:rPr>
        <w:t>է</w:t>
      </w:r>
      <w:r w:rsidR="00AF3DF8" w:rsidRPr="00EF7399">
        <w:rPr>
          <w:rFonts w:ascii="Times New Roman" w:hAnsi="Times New Roman" w:cs="Times New Roman"/>
          <w:lang w:val="af-ZA"/>
        </w:rPr>
        <w:t xml:space="preserve"> սադրել լարվածություն </w:t>
      </w:r>
      <w:r w:rsidRPr="00EF7399">
        <w:rPr>
          <w:rFonts w:ascii="Times New Roman" w:hAnsi="Times New Roman" w:cs="Times New Roman"/>
          <w:lang w:val="af-ZA"/>
        </w:rPr>
        <w:t>(</w:t>
      </w:r>
      <w:hyperlink r:id="rId462" w:history="1">
        <w:r w:rsidRPr="00EF7399">
          <w:rPr>
            <w:rStyle w:val="Hyperlink"/>
            <w:rFonts w:ascii="Times New Roman" w:hAnsi="Times New Roman" w:cs="Times New Roman"/>
            <w:lang w:val="af-ZA"/>
          </w:rPr>
          <w:t>Ouranio Toxo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Greece</w:t>
        </w:r>
      </w:hyperlink>
      <w:r w:rsidRPr="00EF7399">
        <w:rPr>
          <w:rFonts w:ascii="Times New Roman" w:hAnsi="Times New Roman" w:cs="Times New Roman"/>
          <w:lang w:val="af-ZA"/>
        </w:rPr>
        <w:t xml:space="preserve">, </w:t>
      </w:r>
      <w:r w:rsidR="00693253" w:rsidRPr="00EF7399">
        <w:rPr>
          <w:rFonts w:ascii="Times New Roman" w:hAnsi="Times New Roman" w:cs="Times New Roman"/>
          <w:lang w:val="af-ZA"/>
        </w:rPr>
        <w:t xml:space="preserve">2005, </w:t>
      </w:r>
      <w:r w:rsidR="00873234" w:rsidRPr="00EF7399">
        <w:rPr>
          <w:rFonts w:ascii="Times New Roman" w:hAnsi="Times New Roman" w:cs="Times New Roman"/>
          <w:lang w:val="af-ZA"/>
        </w:rPr>
        <w:t>§ </w:t>
      </w:r>
      <w:r w:rsidRPr="00EF7399">
        <w:rPr>
          <w:rFonts w:ascii="Times New Roman" w:hAnsi="Times New Roman" w:cs="Times New Roman"/>
          <w:lang w:val="af-ZA"/>
        </w:rPr>
        <w:t>40)</w:t>
      </w:r>
      <w:r w:rsidR="00AF3DF8" w:rsidRPr="00EF7399">
        <w:rPr>
          <w:rFonts w:ascii="Times New Roman" w:hAnsi="Times New Roman" w:cs="Times New Roman"/>
          <w:lang w:val="af-ZA"/>
        </w:rPr>
        <w:t>: Լարվածության առաջացումը բազմազանության հանդեպ անկեղծ հարգանքի, էթնիկ և մշակութային ինքնությունների դինամիկ զարգացման վրա հիմնված բազմակարծության անխուսափելի հետևանք է</w:t>
      </w:r>
      <w:r w:rsidRPr="00EF7399">
        <w:rPr>
          <w:rFonts w:ascii="Times New Roman" w:hAnsi="Times New Roman" w:cs="Times New Roman"/>
          <w:lang w:val="af-ZA"/>
        </w:rPr>
        <w:t xml:space="preserve"> (</w:t>
      </w:r>
      <w:hyperlink r:id="rId463" w:history="1">
        <w:r w:rsidRPr="00EF7399">
          <w:rPr>
            <w:rStyle w:val="Hyperlink"/>
            <w:rFonts w:ascii="Times New Roman" w:hAnsi="Times New Roman" w:cs="Times New Roman"/>
            <w:lang w:val="af-ZA"/>
          </w:rPr>
          <w:t>ibid</w:t>
        </w:r>
      </w:hyperlink>
      <w:r w:rsidRPr="00EF7399">
        <w:rPr>
          <w:rFonts w:ascii="Times New Roman" w:hAnsi="Times New Roman" w:cs="Times New Roman"/>
          <w:lang w:val="af-ZA"/>
        </w:rPr>
        <w:t xml:space="preserve">., </w:t>
      </w:r>
      <w:r w:rsidR="00873234" w:rsidRPr="00EF7399">
        <w:rPr>
          <w:rFonts w:ascii="Times New Roman" w:hAnsi="Times New Roman" w:cs="Times New Roman"/>
          <w:lang w:val="af-ZA"/>
        </w:rPr>
        <w:t>§ </w:t>
      </w:r>
      <w:r w:rsidRPr="00EF7399">
        <w:rPr>
          <w:rFonts w:ascii="Times New Roman" w:hAnsi="Times New Roman" w:cs="Times New Roman"/>
          <w:lang w:val="af-ZA"/>
        </w:rPr>
        <w:t>35)</w:t>
      </w:r>
      <w:r w:rsidR="00AF3DF8" w:rsidRPr="00EF7399">
        <w:rPr>
          <w:rFonts w:ascii="Times New Roman" w:hAnsi="Times New Roman" w:cs="Times New Roman"/>
          <w:lang w:val="af-ZA"/>
        </w:rPr>
        <w:t>: Նման հանգամանքներում իշխանությունների դերը ոչ թե բազմակարծության վերացման միջոցով լարվածության պատճառն արմատախիլ անելն է</w:t>
      </w:r>
      <w:r w:rsidR="00516DD2" w:rsidRPr="00EF7399">
        <w:rPr>
          <w:rFonts w:ascii="Times New Roman" w:hAnsi="Times New Roman" w:cs="Times New Roman"/>
          <w:lang w:val="af-ZA"/>
        </w:rPr>
        <w:t xml:space="preserve">, այլ մրցակցող խմբերի` միմյանց նկատմամբ հանդուրժողականություն ապահովելը </w:t>
      </w:r>
      <w:r w:rsidR="00350BD4" w:rsidRPr="00EF7399">
        <w:rPr>
          <w:rFonts w:ascii="Times New Roman" w:hAnsi="Times New Roman" w:cs="Times New Roman"/>
          <w:lang w:val="af-ZA"/>
        </w:rPr>
        <w:t>(</w:t>
      </w:r>
      <w:hyperlink r:id="rId464" w:history="1">
        <w:r w:rsidR="000C7A73" w:rsidRPr="00EF7399">
          <w:rPr>
            <w:rStyle w:val="Hyperlink"/>
            <w:rFonts w:ascii="Times New Roman" w:hAnsi="Times New Roman" w:cs="Times New Roman"/>
            <w:lang w:val="af-ZA"/>
          </w:rPr>
          <w:t>Zhdanov and Others</w:t>
        </w:r>
        <w:r w:rsidR="00873234" w:rsidRPr="00EF7399">
          <w:rPr>
            <w:rStyle w:val="Hyperlink"/>
            <w:rFonts w:ascii="Times New Roman" w:hAnsi="Times New Roman" w:cs="Times New Roman"/>
            <w:lang w:val="af-ZA"/>
          </w:rPr>
          <w:t xml:space="preserve"> v. </w:t>
        </w:r>
        <w:r w:rsidR="000C7A73" w:rsidRPr="00EF7399">
          <w:rPr>
            <w:rStyle w:val="Hyperlink"/>
            <w:rFonts w:ascii="Times New Roman" w:hAnsi="Times New Roman" w:cs="Times New Roman"/>
            <w:lang w:val="af-ZA"/>
          </w:rPr>
          <w:t>Russia</w:t>
        </w:r>
      </w:hyperlink>
      <w:r w:rsidR="00350BD4" w:rsidRPr="00EF7399">
        <w:rPr>
          <w:rFonts w:ascii="Times New Roman" w:hAnsi="Times New Roman" w:cs="Times New Roman"/>
          <w:lang w:val="af-ZA"/>
        </w:rPr>
        <w:t xml:space="preserve">, </w:t>
      </w:r>
      <w:r w:rsidR="00693253" w:rsidRPr="00EF7399">
        <w:rPr>
          <w:rFonts w:ascii="Times New Roman" w:hAnsi="Times New Roman" w:cs="Times New Roman"/>
          <w:lang w:val="af-ZA"/>
        </w:rPr>
        <w:t xml:space="preserve">2019, </w:t>
      </w:r>
      <w:r w:rsidR="00873234" w:rsidRPr="00EF7399">
        <w:rPr>
          <w:rFonts w:ascii="Times New Roman" w:hAnsi="Times New Roman" w:cs="Times New Roman"/>
          <w:lang w:val="af-ZA"/>
        </w:rPr>
        <w:t>§ </w:t>
      </w:r>
      <w:r w:rsidR="00350BD4" w:rsidRPr="00EF7399">
        <w:rPr>
          <w:rFonts w:ascii="Times New Roman" w:hAnsi="Times New Roman" w:cs="Times New Roman"/>
          <w:lang w:val="af-ZA"/>
        </w:rPr>
        <w:t>163)</w:t>
      </w:r>
      <w:r w:rsidR="00516DD2" w:rsidRPr="00EF7399">
        <w:rPr>
          <w:rFonts w:ascii="Times New Roman" w:hAnsi="Times New Roman" w:cs="Times New Roman"/>
          <w:lang w:val="af-ZA"/>
        </w:rPr>
        <w:t xml:space="preserve">: </w:t>
      </w:r>
    </w:p>
    <w:p w14:paraId="60C1B9B2" w14:textId="7B8643F7"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203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E80698" w:rsidRPr="00EF7399">
        <w:rPr>
          <w:rFonts w:ascii="Times New Roman" w:hAnsi="Times New Roman" w:cs="Times New Roman"/>
          <w:lang w:val="af-ZA"/>
        </w:rPr>
        <w:t>Միավորման գործունեությունը, որի նպատակն է</w:t>
      </w:r>
      <w:r w:rsidR="009D60FC" w:rsidRPr="00EF7399">
        <w:rPr>
          <w:rFonts w:ascii="Times New Roman" w:hAnsi="Times New Roman" w:cs="Times New Roman"/>
          <w:lang w:val="af-ZA"/>
        </w:rPr>
        <w:t>`</w:t>
      </w:r>
      <w:r w:rsidR="00E80698" w:rsidRPr="00EF7399">
        <w:rPr>
          <w:rFonts w:ascii="Times New Roman" w:hAnsi="Times New Roman" w:cs="Times New Roman"/>
          <w:lang w:val="af-ZA"/>
        </w:rPr>
        <w:t xml:space="preserve"> խթանել տարածաշրջանի մշակույթը, նույնիսկ ենթադրելով, որ այն նաև նպատակ ունի մասամբ խրախուսելու փոքրամասնության մշակույթը, չի սպառնում տարածքային ամբողջականությանը, պետական անվտանգությանը և հասարակական կարգին </w:t>
      </w:r>
      <w:r w:rsidRPr="00EF7399">
        <w:rPr>
          <w:rFonts w:ascii="Times New Roman" w:hAnsi="Times New Roman" w:cs="Times New Roman"/>
          <w:lang w:val="af-ZA"/>
        </w:rPr>
        <w:t>(</w:t>
      </w:r>
      <w:hyperlink r:id="rId465" w:history="1">
        <w:r w:rsidR="00431080" w:rsidRPr="00EF7399">
          <w:rPr>
            <w:rStyle w:val="Hyperlink"/>
            <w:rFonts w:ascii="Times New Roman" w:hAnsi="Times New Roman" w:cs="Times New Roman"/>
            <w:lang w:val="af-ZA"/>
          </w:rPr>
          <w:t>Tourkiki Enosi Xanthis and Others</w:t>
        </w:r>
        <w:r w:rsidR="00873234" w:rsidRPr="00EF7399">
          <w:rPr>
            <w:rStyle w:val="Hyperlink"/>
            <w:rFonts w:ascii="Times New Roman" w:hAnsi="Times New Roman" w:cs="Times New Roman"/>
            <w:lang w:val="af-ZA"/>
          </w:rPr>
          <w:t xml:space="preserve"> v. </w:t>
        </w:r>
        <w:r w:rsidR="00431080" w:rsidRPr="00EF7399">
          <w:rPr>
            <w:rStyle w:val="Hyperlink"/>
            <w:rFonts w:ascii="Times New Roman" w:hAnsi="Times New Roman" w:cs="Times New Roman"/>
            <w:lang w:val="af-ZA"/>
          </w:rPr>
          <w:t>Greece</w:t>
        </w:r>
      </w:hyperlink>
      <w:r w:rsidRPr="00EF7399">
        <w:rPr>
          <w:rFonts w:ascii="Times New Roman" w:hAnsi="Times New Roman" w:cs="Times New Roman"/>
          <w:lang w:val="af-ZA"/>
        </w:rPr>
        <w:t xml:space="preserve">, </w:t>
      </w:r>
      <w:r w:rsidR="00693253" w:rsidRPr="00EF7399">
        <w:rPr>
          <w:rFonts w:ascii="Times New Roman" w:hAnsi="Times New Roman" w:cs="Times New Roman"/>
          <w:lang w:val="af-ZA"/>
        </w:rPr>
        <w:t xml:space="preserve">2008, </w:t>
      </w:r>
      <w:r w:rsidR="00873234" w:rsidRPr="00EF7399">
        <w:rPr>
          <w:rFonts w:ascii="Times New Roman" w:hAnsi="Times New Roman" w:cs="Times New Roman"/>
          <w:lang w:val="af-ZA"/>
        </w:rPr>
        <w:t>§ </w:t>
      </w:r>
      <w:r w:rsidRPr="00EF7399">
        <w:rPr>
          <w:rFonts w:ascii="Times New Roman" w:hAnsi="Times New Roman" w:cs="Times New Roman"/>
          <w:lang w:val="af-ZA"/>
        </w:rPr>
        <w:t>51</w:t>
      </w:r>
      <w:r w:rsidR="00E80698" w:rsidRPr="00EF7399">
        <w:rPr>
          <w:rFonts w:ascii="Times New Roman" w:hAnsi="Times New Roman" w:cs="Times New Roman"/>
          <w:lang w:val="af-ZA"/>
        </w:rPr>
        <w:t>):</w:t>
      </w:r>
    </w:p>
    <w:p w14:paraId="02FDBB48" w14:textId="7D512A71" w:rsidR="00535E5C"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204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9A0BDA" w:rsidRPr="00EF7399">
        <w:rPr>
          <w:rFonts w:ascii="Times New Roman" w:hAnsi="Times New Roman" w:cs="Times New Roman"/>
          <w:lang w:val="af-ZA"/>
        </w:rPr>
        <w:t>Դատարանը գտել է, որ փ</w:t>
      </w:r>
      <w:r w:rsidR="008A47AC" w:rsidRPr="00EF7399">
        <w:rPr>
          <w:rFonts w:ascii="Times New Roman" w:hAnsi="Times New Roman" w:cs="Times New Roman"/>
          <w:lang w:val="af-ZA"/>
        </w:rPr>
        <w:t xml:space="preserve">ոքրամասնության գիտակցությունը </w:t>
      </w:r>
      <w:r w:rsidR="009A0BDA" w:rsidRPr="00EF7399">
        <w:rPr>
          <w:rFonts w:ascii="Times New Roman" w:hAnsi="Times New Roman" w:cs="Times New Roman"/>
          <w:lang w:val="af-ZA"/>
        </w:rPr>
        <w:t xml:space="preserve">քարոզող </w:t>
      </w:r>
      <w:r w:rsidR="00E80698" w:rsidRPr="00EF7399">
        <w:rPr>
          <w:rFonts w:ascii="Times New Roman" w:hAnsi="Times New Roman" w:cs="Times New Roman"/>
          <w:lang w:val="af-ZA"/>
        </w:rPr>
        <w:t>միավորման գրանցման մերժում</w:t>
      </w:r>
      <w:r w:rsidR="009A0BDA" w:rsidRPr="00EF7399">
        <w:rPr>
          <w:rFonts w:ascii="Times New Roman" w:hAnsi="Times New Roman" w:cs="Times New Roman"/>
          <w:lang w:val="af-ZA"/>
        </w:rPr>
        <w:t xml:space="preserve">ն այն հիմքով, որ </w:t>
      </w:r>
      <w:r w:rsidR="009D60FC" w:rsidRPr="00EF7399">
        <w:rPr>
          <w:rFonts w:ascii="Times New Roman" w:hAnsi="Times New Roman" w:cs="Times New Roman"/>
          <w:lang w:val="hy-AM"/>
        </w:rPr>
        <w:t>առկա է զուտ</w:t>
      </w:r>
      <w:r w:rsidR="009D60FC" w:rsidRPr="00EF7399">
        <w:rPr>
          <w:rFonts w:ascii="Times New Roman" w:hAnsi="Times New Roman" w:cs="Times New Roman"/>
          <w:lang w:val="af-ZA"/>
        </w:rPr>
        <w:t xml:space="preserve"> </w:t>
      </w:r>
      <w:r w:rsidR="009A0BDA" w:rsidRPr="00EF7399">
        <w:rPr>
          <w:rFonts w:ascii="Times New Roman" w:hAnsi="Times New Roman" w:cs="Times New Roman"/>
          <w:lang w:val="af-ZA"/>
        </w:rPr>
        <w:t xml:space="preserve">կասկած, որ միավորման հիմնադրրները </w:t>
      </w:r>
      <w:r w:rsidR="009A0BDA" w:rsidRPr="00EF7399">
        <w:rPr>
          <w:rFonts w:ascii="Times New Roman" w:hAnsi="Times New Roman" w:cs="Times New Roman"/>
          <w:lang w:val="af-ZA"/>
        </w:rPr>
        <w:lastRenderedPageBreak/>
        <w:t>մտադրություններ ունեն խարխլել</w:t>
      </w:r>
      <w:r w:rsidR="009D60FC" w:rsidRPr="00EF7399">
        <w:rPr>
          <w:rFonts w:ascii="Times New Roman" w:hAnsi="Times New Roman" w:cs="Times New Roman"/>
          <w:lang w:val="hy-AM"/>
        </w:rPr>
        <w:t>ու</w:t>
      </w:r>
      <w:r w:rsidR="009A0BDA" w:rsidRPr="00EF7399">
        <w:rPr>
          <w:rFonts w:ascii="Times New Roman" w:hAnsi="Times New Roman" w:cs="Times New Roman"/>
          <w:lang w:val="af-ZA"/>
        </w:rPr>
        <w:t xml:space="preserve"> երկրի տարածքային ամբողջականությունը</w:t>
      </w:r>
      <w:r w:rsidR="009D60FC" w:rsidRPr="00EF7399">
        <w:rPr>
          <w:rFonts w:ascii="Times New Roman" w:hAnsi="Times New Roman" w:cs="Times New Roman"/>
          <w:lang w:val="hy-AM"/>
        </w:rPr>
        <w:t>,</w:t>
      </w:r>
      <w:r w:rsidR="009A0BDA" w:rsidRPr="00EF7399">
        <w:rPr>
          <w:rFonts w:ascii="Times New Roman" w:hAnsi="Times New Roman" w:cs="Times New Roman"/>
          <w:lang w:val="af-ZA"/>
        </w:rPr>
        <w:t xml:space="preserve"> համաչափ չէ պետական անվտանգություն</w:t>
      </w:r>
      <w:r w:rsidR="00F264EE" w:rsidRPr="00EF7399">
        <w:rPr>
          <w:rFonts w:ascii="Times New Roman" w:hAnsi="Times New Roman" w:cs="Times New Roman"/>
          <w:lang w:val="hy-AM"/>
        </w:rPr>
        <w:t>ը</w:t>
      </w:r>
      <w:r w:rsidR="009A0BDA" w:rsidRPr="00EF7399">
        <w:rPr>
          <w:rFonts w:ascii="Times New Roman" w:hAnsi="Times New Roman" w:cs="Times New Roman"/>
          <w:lang w:val="af-ZA"/>
        </w:rPr>
        <w:t xml:space="preserve"> պաշտպանելու նպատակին:</w:t>
      </w:r>
    </w:p>
    <w:p w14:paraId="5B0675EC" w14:textId="4F5DAEB9"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205</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Pr="00EF7399">
        <w:rPr>
          <w:rFonts w:ascii="Times New Roman" w:hAnsi="Times New Roman" w:cs="Times New Roman"/>
          <w:i/>
          <w:lang w:val="af-ZA"/>
        </w:rPr>
        <w:t xml:space="preserve"> </w:t>
      </w:r>
      <w:hyperlink r:id="rId466" w:history="1">
        <w:r w:rsidRPr="00EF7399">
          <w:rPr>
            <w:rStyle w:val="Hyperlink"/>
            <w:rFonts w:ascii="Times New Roman" w:hAnsi="Times New Roman" w:cs="Times New Roman"/>
            <w:lang w:val="af-ZA"/>
          </w:rPr>
          <w:t>Sidiropoulos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Greece</w:t>
        </w:r>
      </w:hyperlink>
      <w:r w:rsidRPr="00EF7399">
        <w:rPr>
          <w:rFonts w:ascii="Times New Roman" w:hAnsi="Times New Roman" w:cs="Times New Roman"/>
          <w:i/>
          <w:lang w:val="af-ZA"/>
        </w:rPr>
        <w:t xml:space="preserve">, </w:t>
      </w:r>
      <w:r w:rsidR="007A38BA" w:rsidRPr="00EF7399">
        <w:rPr>
          <w:rFonts w:ascii="Times New Roman" w:hAnsi="Times New Roman" w:cs="Times New Roman"/>
          <w:lang w:val="af-ZA"/>
        </w:rPr>
        <w:t xml:space="preserve">1998, </w:t>
      </w:r>
      <w:r w:rsidR="003E1C03" w:rsidRPr="00EF7399">
        <w:rPr>
          <w:rFonts w:ascii="Times New Roman" w:hAnsi="Times New Roman" w:cs="Times New Roman"/>
          <w:lang w:val="af-ZA"/>
        </w:rPr>
        <w:t>գործով ներպետական դատարանները մերժել էին Մակեդոնական մշակութային միության գրանցումն այն հիմքով, որ վերջինս նպատակ ուներ խարխլել</w:t>
      </w:r>
      <w:r w:rsidR="00F264EE" w:rsidRPr="00EF7399">
        <w:rPr>
          <w:rFonts w:ascii="Times New Roman" w:hAnsi="Times New Roman" w:cs="Times New Roman"/>
          <w:lang w:val="hy-AM"/>
        </w:rPr>
        <w:t>ու</w:t>
      </w:r>
      <w:r w:rsidR="003E1C03" w:rsidRPr="00EF7399">
        <w:rPr>
          <w:rFonts w:ascii="Times New Roman" w:hAnsi="Times New Roman" w:cs="Times New Roman"/>
          <w:lang w:val="af-ZA"/>
        </w:rPr>
        <w:t xml:space="preserve"> երկրի տարածքային ամբողջականությունը: Դատարանը գտավ</w:t>
      </w:r>
      <w:r w:rsidR="00876A08" w:rsidRPr="00EF7399">
        <w:rPr>
          <w:rFonts w:ascii="Times New Roman" w:hAnsi="Times New Roman" w:cs="Times New Roman"/>
          <w:lang w:val="af-ZA"/>
        </w:rPr>
        <w:t>, որ միավորման նպատակները` մակեդոնական փոքրամասնության ավանդույթների և մշակույթի պահպանումն ու զարգացումը, լիովին իրավաչափ են: Դատարանի կարծիքով</w:t>
      </w:r>
      <w:r w:rsidR="00F264EE" w:rsidRPr="00EF7399">
        <w:rPr>
          <w:rFonts w:ascii="Times New Roman" w:hAnsi="Times New Roman" w:cs="Times New Roman"/>
          <w:lang w:val="hy-AM"/>
        </w:rPr>
        <w:t>՝</w:t>
      </w:r>
      <w:r w:rsidR="00876A08" w:rsidRPr="00EF7399">
        <w:rPr>
          <w:rFonts w:ascii="Times New Roman" w:hAnsi="Times New Roman" w:cs="Times New Roman"/>
          <w:lang w:val="af-ZA"/>
        </w:rPr>
        <w:t xml:space="preserve"> երկրի որևէ տարածաշրջանի բնակիչներն իրավունք ունեն</w:t>
      </w:r>
      <w:r w:rsidR="007B28E4" w:rsidRPr="00EF7399">
        <w:rPr>
          <w:rFonts w:ascii="Times New Roman" w:hAnsi="Times New Roman" w:cs="Times New Roman"/>
          <w:lang w:val="hy-AM"/>
        </w:rPr>
        <w:t xml:space="preserve"> </w:t>
      </w:r>
      <w:r w:rsidR="007B28E4" w:rsidRPr="00EF7399">
        <w:rPr>
          <w:rFonts w:ascii="Times New Roman" w:hAnsi="Times New Roman" w:cs="Times New Roman"/>
          <w:lang w:val="af-ZA"/>
        </w:rPr>
        <w:t>ձևավորել միավորումներ</w:t>
      </w:r>
      <w:r w:rsidR="00876A08" w:rsidRPr="00EF7399">
        <w:rPr>
          <w:rFonts w:ascii="Times New Roman" w:hAnsi="Times New Roman" w:cs="Times New Roman"/>
          <w:lang w:val="af-ZA"/>
        </w:rPr>
        <w:t xml:space="preserve"> տվյալ տարածաշրջանի առանձնահատկությունները </w:t>
      </w:r>
      <w:r w:rsidR="00F264EE" w:rsidRPr="00EF7399">
        <w:rPr>
          <w:rFonts w:ascii="Times New Roman" w:hAnsi="Times New Roman" w:cs="Times New Roman"/>
          <w:lang w:val="hy-AM"/>
        </w:rPr>
        <w:t>խթանելու</w:t>
      </w:r>
      <w:r w:rsidR="00F264EE" w:rsidRPr="00EF7399">
        <w:rPr>
          <w:rFonts w:ascii="Times New Roman" w:hAnsi="Times New Roman" w:cs="Times New Roman"/>
          <w:lang w:val="af-ZA"/>
        </w:rPr>
        <w:t xml:space="preserve"> </w:t>
      </w:r>
      <w:r w:rsidR="00876A08" w:rsidRPr="00EF7399">
        <w:rPr>
          <w:rFonts w:ascii="Times New Roman" w:hAnsi="Times New Roman" w:cs="Times New Roman"/>
          <w:lang w:val="af-ZA"/>
        </w:rPr>
        <w:t xml:space="preserve">նպատակով: Ազգային դատարանների պնդումը, որ միավորումը սպառնում էր Հունաստանի տարածքային </w:t>
      </w:r>
      <w:r w:rsidR="0012626F" w:rsidRPr="00EF7399">
        <w:rPr>
          <w:rFonts w:ascii="Times New Roman" w:hAnsi="Times New Roman" w:cs="Times New Roman"/>
          <w:lang w:val="af-ZA"/>
        </w:rPr>
        <w:t xml:space="preserve">ամբողջականությանը հիմնված էր </w:t>
      </w:r>
      <w:r w:rsidR="007B28E4" w:rsidRPr="00EF7399">
        <w:rPr>
          <w:rFonts w:ascii="Times New Roman" w:hAnsi="Times New Roman" w:cs="Times New Roman"/>
          <w:lang w:val="hy-AM"/>
        </w:rPr>
        <w:t>զուտ</w:t>
      </w:r>
      <w:r w:rsidR="007B28E4" w:rsidRPr="00EF7399">
        <w:rPr>
          <w:rFonts w:ascii="Times New Roman" w:hAnsi="Times New Roman" w:cs="Times New Roman"/>
          <w:lang w:val="af-ZA"/>
        </w:rPr>
        <w:t xml:space="preserve"> </w:t>
      </w:r>
      <w:r w:rsidR="0012626F" w:rsidRPr="00EF7399">
        <w:rPr>
          <w:rFonts w:ascii="Times New Roman" w:hAnsi="Times New Roman" w:cs="Times New Roman"/>
          <w:lang w:val="af-ZA"/>
        </w:rPr>
        <w:t xml:space="preserve">կասկածի վրա: Եթե գրանցումից հետո միավորումն իրականացներ գործունեություն, որը </w:t>
      </w:r>
      <w:r w:rsidR="007B28E4" w:rsidRPr="00EF7399">
        <w:rPr>
          <w:rFonts w:ascii="Times New Roman" w:hAnsi="Times New Roman" w:cs="Times New Roman"/>
          <w:lang w:val="hy-AM"/>
        </w:rPr>
        <w:t>կ</w:t>
      </w:r>
      <w:r w:rsidR="0012626F" w:rsidRPr="00EF7399">
        <w:rPr>
          <w:rFonts w:ascii="Times New Roman" w:hAnsi="Times New Roman" w:cs="Times New Roman"/>
          <w:lang w:val="af-ZA"/>
        </w:rPr>
        <w:t>հակաս</w:t>
      </w:r>
      <w:r w:rsidR="007B28E4" w:rsidRPr="00EF7399">
        <w:rPr>
          <w:rFonts w:ascii="Times New Roman" w:hAnsi="Times New Roman" w:cs="Times New Roman"/>
          <w:lang w:val="hy-AM"/>
        </w:rPr>
        <w:t>եր</w:t>
      </w:r>
      <w:r w:rsidR="0012626F" w:rsidRPr="00EF7399">
        <w:rPr>
          <w:rFonts w:ascii="Times New Roman" w:hAnsi="Times New Roman" w:cs="Times New Roman"/>
          <w:lang w:val="af-ZA"/>
        </w:rPr>
        <w:t xml:space="preserve"> իր հռչակած նպատակներին կամ օրենքին, իշխանությունները կարող էին լուծարել այն:</w:t>
      </w:r>
      <w:r w:rsidR="00C10406" w:rsidRPr="00EF7399">
        <w:rPr>
          <w:rFonts w:ascii="Times New Roman" w:hAnsi="Times New Roman" w:cs="Times New Roman"/>
          <w:lang w:val="af-ZA"/>
        </w:rPr>
        <w:t xml:space="preserve"> Հետևաբար, գանգատաբերների միավորումը գրանցելու մերժումը համաչափ չէր հետապնդած նպատակներին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44-47)</w:t>
      </w:r>
      <w:r w:rsidR="00C10406" w:rsidRPr="00EF7399">
        <w:rPr>
          <w:rFonts w:ascii="Times New Roman" w:hAnsi="Times New Roman" w:cs="Times New Roman"/>
          <w:lang w:val="af-ZA"/>
        </w:rPr>
        <w:t>:</w:t>
      </w:r>
    </w:p>
    <w:p w14:paraId="21E6C47E" w14:textId="020C57BE"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206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6F5EC7" w:rsidRPr="00EF7399">
        <w:rPr>
          <w:rFonts w:ascii="Times New Roman" w:hAnsi="Times New Roman" w:cs="Times New Roman"/>
          <w:lang w:val="af-ZA"/>
        </w:rPr>
        <w:t>Նմանատիպ նկատառումներից ելնելով</w:t>
      </w:r>
      <w:r w:rsidR="00F006EA" w:rsidRPr="00EF7399">
        <w:rPr>
          <w:rFonts w:ascii="Times New Roman" w:hAnsi="Times New Roman" w:cs="Times New Roman"/>
          <w:lang w:val="af-ZA"/>
        </w:rPr>
        <w:t>`</w:t>
      </w:r>
      <w:r w:rsidR="006F5EC7" w:rsidRPr="00EF7399">
        <w:rPr>
          <w:rFonts w:ascii="Times New Roman" w:hAnsi="Times New Roman" w:cs="Times New Roman"/>
          <w:lang w:val="af-ZA"/>
        </w:rPr>
        <w:t xml:space="preserve"> Դատարանը գտավ 11-րդ հոդվածի խախտում, երբ իշխանությունները մերժել էին գրանցել մահմեդական փոքրամասնության միավորում </w:t>
      </w:r>
      <w:r w:rsidRPr="00EF7399">
        <w:rPr>
          <w:rFonts w:ascii="Times New Roman" w:hAnsi="Times New Roman" w:cs="Times New Roman"/>
          <w:lang w:val="af-ZA"/>
        </w:rPr>
        <w:t>(</w:t>
      </w:r>
      <w:hyperlink r:id="rId467" w:history="1">
        <w:r w:rsidRPr="00EF7399">
          <w:rPr>
            <w:rStyle w:val="Hyperlink"/>
            <w:rFonts w:ascii="Times New Roman" w:hAnsi="Times New Roman" w:cs="Times New Roman"/>
            <w:lang w:val="af-ZA"/>
          </w:rPr>
          <w:t>Bekir-Ousta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Greece</w:t>
        </w:r>
      </w:hyperlink>
      <w:r w:rsidRPr="00EF7399">
        <w:rPr>
          <w:rFonts w:ascii="Times New Roman" w:hAnsi="Times New Roman" w:cs="Times New Roman"/>
          <w:lang w:val="af-ZA"/>
        </w:rPr>
        <w:t xml:space="preserve">, </w:t>
      </w:r>
      <w:r w:rsidR="00693253" w:rsidRPr="00EF7399">
        <w:rPr>
          <w:rFonts w:ascii="Times New Roman" w:hAnsi="Times New Roman" w:cs="Times New Roman"/>
          <w:lang w:val="af-ZA"/>
        </w:rPr>
        <w:t xml:space="preserve">2007,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42-44; </w:t>
      </w:r>
      <w:hyperlink r:id="rId468" w:history="1">
        <w:r w:rsidRPr="00EF7399">
          <w:rPr>
            <w:rStyle w:val="Hyperlink"/>
            <w:rFonts w:ascii="Times New Roman" w:hAnsi="Times New Roman" w:cs="Times New Roman"/>
            <w:iCs/>
            <w:lang w:val="af-ZA"/>
          </w:rPr>
          <w:t>National Turkish Union Kungyun</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Bulgaria</w:t>
        </w:r>
      </w:hyperlink>
      <w:r w:rsidRPr="00EF7399">
        <w:rPr>
          <w:rFonts w:ascii="Times New Roman" w:hAnsi="Times New Roman" w:cs="Times New Roman"/>
          <w:i/>
          <w:lang w:val="af-ZA"/>
        </w:rPr>
        <w:t xml:space="preserve">, </w:t>
      </w:r>
      <w:r w:rsidR="00F11699" w:rsidRPr="00EF7399">
        <w:rPr>
          <w:rFonts w:ascii="Times New Roman" w:hAnsi="Times New Roman" w:cs="Times New Roman"/>
          <w:lang w:val="af-ZA"/>
        </w:rPr>
        <w:t xml:space="preserve">2017,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44- 45)</w:t>
      </w:r>
      <w:r w:rsidR="006F5EC7" w:rsidRPr="00EF7399">
        <w:rPr>
          <w:rFonts w:ascii="Times New Roman" w:hAnsi="Times New Roman" w:cs="Times New Roman"/>
          <w:lang w:val="af-ZA"/>
        </w:rPr>
        <w:t>: Ոչինչ չէր հուշում, որ միավորումները քարոզում էին բռնության գործադրում կամ հակաժողովրդավարական միջոցներ:</w:t>
      </w:r>
    </w:p>
    <w:p w14:paraId="2D0CD384" w14:textId="5CDFFBBC"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207</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490C35" w:rsidRPr="00EF7399">
        <w:rPr>
          <w:rFonts w:ascii="Times New Roman" w:hAnsi="Times New Roman" w:cs="Times New Roman"/>
          <w:lang w:val="af-ZA"/>
        </w:rPr>
        <w:t>Բոլոր դեպքերում, անջատողական տեսակետ</w:t>
      </w:r>
      <w:r w:rsidR="00F006EA" w:rsidRPr="00EF7399">
        <w:rPr>
          <w:rFonts w:ascii="Times New Roman" w:hAnsi="Times New Roman" w:cs="Times New Roman"/>
          <w:lang w:val="hy-AM"/>
        </w:rPr>
        <w:t>ն</w:t>
      </w:r>
      <w:r w:rsidR="00490C35" w:rsidRPr="00EF7399">
        <w:rPr>
          <w:rFonts w:ascii="Times New Roman" w:hAnsi="Times New Roman" w:cs="Times New Roman"/>
          <w:lang w:val="af-ZA"/>
        </w:rPr>
        <w:t xml:space="preserve">երի արտահայտումը և ինքնավարության կամ տարածքային փոփոխությունների կոչերն ինքնին սպառնալիք չեն երկրի տարածքային ամբողջականությանը և պետական անվտանգությանը </w:t>
      </w:r>
      <w:r w:rsidRPr="00EF7399">
        <w:rPr>
          <w:rFonts w:ascii="Times New Roman" w:hAnsi="Times New Roman" w:cs="Times New Roman"/>
          <w:lang w:val="af-ZA"/>
        </w:rPr>
        <w:t>(</w:t>
      </w:r>
      <w:hyperlink r:id="rId469" w:history="1">
        <w:r w:rsidR="003F7A5C" w:rsidRPr="00EF7399">
          <w:rPr>
            <w:rStyle w:val="Hyperlink"/>
            <w:rFonts w:ascii="Times New Roman" w:hAnsi="Times New Roman" w:cs="Times New Roman"/>
            <w:lang w:val="af-ZA"/>
          </w:rPr>
          <w:t>The United Macedonian Organisation Ilinden and Others</w:t>
        </w:r>
        <w:r w:rsidR="00873234" w:rsidRPr="00EF7399">
          <w:rPr>
            <w:rStyle w:val="Hyperlink"/>
            <w:rFonts w:ascii="Times New Roman" w:hAnsi="Times New Roman" w:cs="Times New Roman"/>
            <w:lang w:val="af-ZA"/>
          </w:rPr>
          <w:t xml:space="preserve"> v. </w:t>
        </w:r>
        <w:r w:rsidR="003F7A5C" w:rsidRPr="00EF7399">
          <w:rPr>
            <w:rStyle w:val="Hyperlink"/>
            <w:rFonts w:ascii="Times New Roman" w:hAnsi="Times New Roman" w:cs="Times New Roman"/>
            <w:lang w:val="af-ZA"/>
          </w:rPr>
          <w:t>Bulgaria</w:t>
        </w:r>
      </w:hyperlink>
      <w:r w:rsidRPr="00EF7399">
        <w:rPr>
          <w:rFonts w:ascii="Times New Roman" w:hAnsi="Times New Roman" w:cs="Times New Roman"/>
          <w:lang w:val="af-ZA"/>
        </w:rPr>
        <w:t xml:space="preserve">, </w:t>
      </w:r>
      <w:r w:rsidR="001821E6" w:rsidRPr="00EF7399">
        <w:rPr>
          <w:rFonts w:ascii="Times New Roman" w:hAnsi="Times New Roman" w:cs="Times New Roman"/>
          <w:lang w:val="af-ZA"/>
        </w:rPr>
        <w:t xml:space="preserve">2006, </w:t>
      </w:r>
      <w:r w:rsidR="00873234" w:rsidRPr="00EF7399">
        <w:rPr>
          <w:rFonts w:ascii="Times New Roman" w:hAnsi="Times New Roman" w:cs="Times New Roman"/>
          <w:lang w:val="af-ZA"/>
        </w:rPr>
        <w:t>§ </w:t>
      </w:r>
      <w:r w:rsidRPr="00EF7399">
        <w:rPr>
          <w:rFonts w:ascii="Times New Roman" w:hAnsi="Times New Roman" w:cs="Times New Roman"/>
          <w:lang w:val="af-ZA"/>
        </w:rPr>
        <w:t>76)</w:t>
      </w:r>
      <w:r w:rsidR="00490C35" w:rsidRPr="00EF7399">
        <w:rPr>
          <w:rFonts w:ascii="Times New Roman" w:hAnsi="Times New Roman" w:cs="Times New Roman"/>
          <w:lang w:val="af-ZA"/>
        </w:rPr>
        <w:t xml:space="preserve">: </w:t>
      </w:r>
      <w:r w:rsidR="0065153C" w:rsidRPr="00EF7399">
        <w:rPr>
          <w:rFonts w:ascii="Times New Roman" w:hAnsi="Times New Roman" w:cs="Times New Roman"/>
          <w:lang w:val="af-ZA"/>
        </w:rPr>
        <w:t xml:space="preserve">Ոչ էլ միավորման անվանման մեջ որոշակի բառերի օգտագործումը չի կարող ենթադրել նման սպառնալիք </w:t>
      </w:r>
      <w:r w:rsidRPr="00EF7399">
        <w:rPr>
          <w:rFonts w:ascii="Times New Roman" w:hAnsi="Times New Roman" w:cs="Times New Roman"/>
          <w:lang w:val="af-ZA"/>
        </w:rPr>
        <w:t>(</w:t>
      </w:r>
      <w:hyperlink r:id="rId470" w:history="1">
        <w:r w:rsidRPr="00EF7399">
          <w:rPr>
            <w:rStyle w:val="Hyperlink"/>
            <w:rFonts w:ascii="Times New Roman" w:hAnsi="Times New Roman" w:cs="Times New Roman"/>
            <w:iCs/>
            <w:lang w:val="af-ZA"/>
          </w:rPr>
          <w:t>National Turkish Union Kungyun</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Bulgaria</w:t>
        </w:r>
      </w:hyperlink>
      <w:r w:rsidRPr="00EF7399">
        <w:rPr>
          <w:rFonts w:ascii="Times New Roman" w:hAnsi="Times New Roman" w:cs="Times New Roman"/>
          <w:i/>
          <w:lang w:val="af-ZA"/>
        </w:rPr>
        <w:t>,</w:t>
      </w:r>
      <w:r w:rsidRPr="00EF7399">
        <w:rPr>
          <w:rFonts w:ascii="Times New Roman" w:hAnsi="Times New Roman" w:cs="Times New Roman"/>
          <w:lang w:val="af-ZA"/>
        </w:rPr>
        <w:t xml:space="preserve"> </w:t>
      </w:r>
      <w:r w:rsidR="00F11699" w:rsidRPr="00EF7399">
        <w:rPr>
          <w:rFonts w:ascii="Times New Roman" w:hAnsi="Times New Roman" w:cs="Times New Roman"/>
          <w:lang w:val="af-ZA"/>
        </w:rPr>
        <w:t xml:space="preserve">2017, </w:t>
      </w:r>
      <w:r w:rsidR="00873234" w:rsidRPr="00EF7399">
        <w:rPr>
          <w:rFonts w:ascii="Times New Roman" w:hAnsi="Times New Roman" w:cs="Times New Roman"/>
          <w:lang w:val="af-ZA"/>
        </w:rPr>
        <w:t>§ </w:t>
      </w:r>
      <w:r w:rsidRPr="00EF7399">
        <w:rPr>
          <w:rFonts w:ascii="Times New Roman" w:hAnsi="Times New Roman" w:cs="Times New Roman"/>
          <w:lang w:val="af-ZA"/>
        </w:rPr>
        <w:t>45)</w:t>
      </w:r>
      <w:r w:rsidR="0065153C" w:rsidRPr="00EF7399">
        <w:rPr>
          <w:rFonts w:ascii="Times New Roman" w:hAnsi="Times New Roman" w:cs="Times New Roman"/>
          <w:lang w:val="af-ZA"/>
        </w:rPr>
        <w:t>:</w:t>
      </w:r>
    </w:p>
    <w:p w14:paraId="601B3C34" w14:textId="60279CF1"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208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65153C" w:rsidRPr="00EF7399">
        <w:rPr>
          <w:rFonts w:ascii="Times New Roman" w:hAnsi="Times New Roman" w:cs="Times New Roman"/>
          <w:lang w:val="af-ZA"/>
        </w:rPr>
        <w:t xml:space="preserve">Համեմատության համար` պետություններն ունեն ընտրություններին մասնակցելու չափորոշիչներ սահմանելու զգալի ազատություն: Օրինակ, </w:t>
      </w:r>
      <w:r w:rsidR="00AE4E44" w:rsidRPr="00EF7399">
        <w:rPr>
          <w:rFonts w:ascii="Times New Roman" w:hAnsi="Times New Roman" w:cs="Times New Roman"/>
          <w:lang w:val="af-ZA"/>
        </w:rPr>
        <w:t>իրավաբանական անձ ստեղծելու մերժումը, որն իրավունք կունենար մասնակցել</w:t>
      </w:r>
      <w:r w:rsidR="00F006EA" w:rsidRPr="00EF7399">
        <w:rPr>
          <w:rFonts w:ascii="Times New Roman" w:hAnsi="Times New Roman" w:cs="Times New Roman"/>
          <w:lang w:val="hy-AM"/>
        </w:rPr>
        <w:t>ու</w:t>
      </w:r>
      <w:r w:rsidR="00AE4E44" w:rsidRPr="00EF7399">
        <w:rPr>
          <w:rFonts w:ascii="Times New Roman" w:hAnsi="Times New Roman" w:cs="Times New Roman"/>
          <w:lang w:val="af-ZA"/>
        </w:rPr>
        <w:t xml:space="preserve"> ընտրություններին, կարող է</w:t>
      </w:r>
      <w:r w:rsidR="00501BBC" w:rsidRPr="00EF7399">
        <w:rPr>
          <w:rFonts w:ascii="Times New Roman" w:hAnsi="Times New Roman" w:cs="Times New Roman"/>
          <w:lang w:val="af-ZA"/>
        </w:rPr>
        <w:t>ր</w:t>
      </w:r>
      <w:r w:rsidR="00AE4E44" w:rsidRPr="00EF7399">
        <w:rPr>
          <w:rFonts w:ascii="Times New Roman" w:hAnsi="Times New Roman" w:cs="Times New Roman"/>
          <w:lang w:val="af-ZA"/>
        </w:rPr>
        <w:t xml:space="preserve"> </w:t>
      </w:r>
      <w:r w:rsidR="00501BBC" w:rsidRPr="00EF7399">
        <w:rPr>
          <w:rFonts w:ascii="Times New Roman" w:hAnsi="Times New Roman" w:cs="Times New Roman"/>
          <w:lang w:val="af-ZA"/>
        </w:rPr>
        <w:t xml:space="preserve">անհրաժեշտ </w:t>
      </w:r>
      <w:r w:rsidR="00AE4E44" w:rsidRPr="00EF7399">
        <w:rPr>
          <w:rFonts w:ascii="Times New Roman" w:hAnsi="Times New Roman" w:cs="Times New Roman"/>
          <w:lang w:val="af-ZA"/>
        </w:rPr>
        <w:t>համարվել ժողովրդավարական հասարակությունում, որտեղ անհատների համար չկային փոքրամասնության առանձնահատկություններն արտահայտելու և պաշտպանելու նպատակով միավորում ստեղծելու այլ արգելքներ</w:t>
      </w:r>
      <w:r w:rsidR="00501BBC" w:rsidRPr="00EF7399">
        <w:rPr>
          <w:rFonts w:ascii="Times New Roman" w:hAnsi="Times New Roman" w:cs="Times New Roman"/>
          <w:lang w:val="af-ZA"/>
        </w:rPr>
        <w:t>:</w:t>
      </w:r>
    </w:p>
    <w:p w14:paraId="0FE17B26" w14:textId="1004E886" w:rsidR="001148BF" w:rsidRPr="001B2612" w:rsidRDefault="001148BF" w:rsidP="001148BF">
      <w:pPr>
        <w:pStyle w:val="ECHRParaSpaced"/>
        <w:rPr>
          <w:rFonts w:ascii="Times New Roman" w:hAnsi="Times New Roman" w:cs="Times New Roman"/>
          <w:lang w:val="hy-AM"/>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209</w:t>
      </w:r>
      <w:r w:rsidRPr="00EF7399">
        <w:rPr>
          <w:rFonts w:ascii="Times New Roman" w:hAnsi="Times New Roman" w:cs="Times New Roman"/>
          <w:lang w:val="af-ZA"/>
        </w:rPr>
        <w:fldChar w:fldCharType="end"/>
      </w:r>
      <w:r w:rsidRPr="00EF7399">
        <w:rPr>
          <w:rFonts w:ascii="Times New Roman" w:hAnsi="Times New Roman" w:cs="Times New Roman"/>
          <w:lang w:val="af-ZA"/>
        </w:rPr>
        <w:t>.  </w:t>
      </w:r>
      <w:hyperlink r:id="rId471" w:history="1">
        <w:r w:rsidRPr="00EF7399">
          <w:rPr>
            <w:rStyle w:val="Hyperlink"/>
            <w:rFonts w:ascii="Times New Roman" w:hAnsi="Times New Roman" w:cs="Times New Roman"/>
            <w:lang w:val="af-ZA"/>
          </w:rPr>
          <w:t>Gorzelik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Poland</w:t>
        </w:r>
      </w:hyperlink>
      <w:r w:rsidRPr="00EF7399">
        <w:rPr>
          <w:rFonts w:ascii="Times New Roman" w:hAnsi="Times New Roman" w:cs="Times New Roman"/>
          <w:i/>
          <w:lang w:val="af-ZA"/>
        </w:rPr>
        <w:t xml:space="preserve"> </w:t>
      </w:r>
      <w:r w:rsidRPr="00EF7399">
        <w:rPr>
          <w:rFonts w:ascii="Times New Roman" w:hAnsi="Times New Roman" w:cs="Times New Roman"/>
          <w:lang w:val="af-ZA"/>
        </w:rPr>
        <w:t xml:space="preserve">[GC], </w:t>
      </w:r>
      <w:r w:rsidR="007A38BA" w:rsidRPr="00EF7399">
        <w:rPr>
          <w:rFonts w:ascii="Times New Roman" w:hAnsi="Times New Roman" w:cs="Times New Roman"/>
          <w:lang w:val="af-ZA"/>
        </w:rPr>
        <w:t>2004,</w:t>
      </w:r>
      <w:r w:rsidR="00501BBC" w:rsidRPr="00EF7399">
        <w:rPr>
          <w:rFonts w:ascii="Times New Roman" w:hAnsi="Times New Roman" w:cs="Times New Roman"/>
          <w:lang w:val="af-ZA"/>
        </w:rPr>
        <w:t xml:space="preserve"> գործով իշխանությունները մերժել էին գրանցել միավորում, որն ինքն իրեն բնութագրում էր</w:t>
      </w:r>
      <w:r w:rsidR="00625533" w:rsidRPr="00EF7399">
        <w:rPr>
          <w:rFonts w:ascii="Times New Roman" w:hAnsi="Times New Roman" w:cs="Times New Roman"/>
          <w:lang w:val="hy-AM"/>
        </w:rPr>
        <w:t>՝</w:t>
      </w:r>
      <w:r w:rsidR="00501BBC" w:rsidRPr="00EF7399">
        <w:rPr>
          <w:rFonts w:ascii="Times New Roman" w:hAnsi="Times New Roman" w:cs="Times New Roman"/>
          <w:lang w:val="af-ZA"/>
        </w:rPr>
        <w:t xml:space="preserve"> որպես սիլեզյան ազգային փոքրամասնության կազմակերպություն: Իշխանությունները համարել էին, որ սիլեզիացիներն ազգային փոքրամասնություն չեն</w:t>
      </w:r>
      <w:r w:rsidR="00A506FF">
        <w:rPr>
          <w:rFonts w:ascii="Times New Roman" w:hAnsi="Times New Roman" w:cs="Times New Roman"/>
          <w:lang w:val="hy-AM"/>
        </w:rPr>
        <w:t>,</w:t>
      </w:r>
      <w:r w:rsidR="00501BBC" w:rsidRPr="00EF7399">
        <w:rPr>
          <w:rFonts w:ascii="Times New Roman" w:hAnsi="Times New Roman" w:cs="Times New Roman"/>
          <w:lang w:val="af-ZA"/>
        </w:rPr>
        <w:t xml:space="preserve"> և միավորման գրանցումը որպես «ազգային փոքրամասնության կազմակերպություն» կօժտեր վերջինիս ընտրական արտոնություններով, որոնք առավելություն կտային մյուս էթնիկ կազմակերպությունների նկատմամբ:</w:t>
      </w:r>
      <w:r w:rsidR="00416C7C" w:rsidRPr="00EF7399">
        <w:rPr>
          <w:rFonts w:ascii="Times New Roman" w:hAnsi="Times New Roman" w:cs="Times New Roman"/>
          <w:lang w:val="af-ZA"/>
        </w:rPr>
        <w:t xml:space="preserve"> Դատարանն ընդունեց, որ ազգային իշխանությունները </w:t>
      </w:r>
      <w:r w:rsidR="00AA2E56" w:rsidRPr="00EF7399">
        <w:rPr>
          <w:rFonts w:ascii="Times New Roman" w:hAnsi="Times New Roman" w:cs="Times New Roman"/>
          <w:lang w:val="af-ZA"/>
        </w:rPr>
        <w:t xml:space="preserve">դուրս </w:t>
      </w:r>
      <w:r w:rsidR="00416C7C" w:rsidRPr="00EF7399">
        <w:rPr>
          <w:rFonts w:ascii="Times New Roman" w:hAnsi="Times New Roman" w:cs="Times New Roman"/>
          <w:lang w:val="af-ZA"/>
        </w:rPr>
        <w:t>չ</w:t>
      </w:r>
      <w:r w:rsidR="00AA2E56" w:rsidRPr="00EF7399">
        <w:rPr>
          <w:rFonts w:ascii="Times New Roman" w:hAnsi="Times New Roman" w:cs="Times New Roman"/>
          <w:lang w:val="af-ZA"/>
        </w:rPr>
        <w:t>էին եկել</w:t>
      </w:r>
      <w:r w:rsidR="00416C7C" w:rsidRPr="00EF7399">
        <w:rPr>
          <w:rFonts w:ascii="Times New Roman" w:hAnsi="Times New Roman" w:cs="Times New Roman"/>
          <w:lang w:val="af-ZA"/>
        </w:rPr>
        <w:t xml:space="preserve"> </w:t>
      </w:r>
      <w:r w:rsidR="00AA2E56" w:rsidRPr="00EF7399">
        <w:rPr>
          <w:rFonts w:ascii="Times New Roman" w:hAnsi="Times New Roman" w:cs="Times New Roman"/>
          <w:lang w:val="af-ZA"/>
        </w:rPr>
        <w:t xml:space="preserve">իրենց հայեցողության սահմաններից, երբ համարել էին, որ գրանցման պահին առկա էր միավորման` «ազգային փոքրամասնության կազմակերպություն» ինքնանվանվելու ազատ ընտրությունը կանոնակարգելու ծայրահեղ սոցիալական անհրաժեշտություն` </w:t>
      </w:r>
      <w:r w:rsidR="00AC4807" w:rsidRPr="00EF7399">
        <w:rPr>
          <w:rFonts w:ascii="Times New Roman" w:hAnsi="Times New Roman" w:cs="Times New Roman"/>
          <w:lang w:val="af-ZA"/>
        </w:rPr>
        <w:t xml:space="preserve">Լեհաստանում գործող ժողովրդավարական հաստատոթյունները և ընտրական ընթացակարգերը պաշտպանելու համար: Մերժումը համաչափ էր հետապնդած իրավաչափ նպատակներին, քանի որ հիմնականում առնչվում էր ոչ թե ընդհանուր շահերի ոլորտում կոլեկտիվ գործելու ունակությանը, այլ անվանմանը, որը միավորումը կարող էր օգտագործել օրենքով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103-106)</w:t>
      </w:r>
      <w:r w:rsidR="00AC4807" w:rsidRPr="00EF7399">
        <w:rPr>
          <w:rFonts w:ascii="Times New Roman" w:hAnsi="Times New Roman" w:cs="Times New Roman"/>
          <w:lang w:val="af-ZA"/>
        </w:rPr>
        <w:t>:</w:t>
      </w:r>
    </w:p>
    <w:p w14:paraId="583E15A1" w14:textId="30055CE4"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210</w:t>
      </w:r>
      <w:r w:rsidRPr="00EF7399">
        <w:rPr>
          <w:rFonts w:ascii="Times New Roman" w:hAnsi="Times New Roman" w:cs="Times New Roman"/>
          <w:lang w:val="af-ZA"/>
        </w:rPr>
        <w:fldChar w:fldCharType="end"/>
      </w:r>
      <w:r w:rsidRPr="00EF7399">
        <w:rPr>
          <w:rFonts w:ascii="Times New Roman" w:hAnsi="Times New Roman" w:cs="Times New Roman"/>
          <w:lang w:val="af-ZA"/>
        </w:rPr>
        <w:t>.  </w:t>
      </w:r>
      <w:hyperlink r:id="rId472" w:history="1">
        <w:r w:rsidRPr="00EF7399">
          <w:rPr>
            <w:rStyle w:val="Hyperlink"/>
            <w:rFonts w:ascii="Times New Roman" w:hAnsi="Times New Roman" w:cs="Times New Roman"/>
            <w:lang w:val="af-ZA"/>
          </w:rPr>
          <w:t>Artyomov</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Russia</w:t>
        </w:r>
      </w:hyperlink>
      <w:r w:rsidRPr="00EF7399">
        <w:rPr>
          <w:rFonts w:ascii="Times New Roman" w:hAnsi="Times New Roman" w:cs="Times New Roman"/>
          <w:lang w:val="af-ZA"/>
        </w:rPr>
        <w:t xml:space="preserve"> (dec.), </w:t>
      </w:r>
      <w:r w:rsidR="00693253" w:rsidRPr="00EF7399">
        <w:rPr>
          <w:rFonts w:ascii="Times New Roman" w:hAnsi="Times New Roman" w:cs="Times New Roman"/>
          <w:lang w:val="af-ZA"/>
        </w:rPr>
        <w:t>2006,</w:t>
      </w:r>
      <w:r w:rsidR="006A7AD0" w:rsidRPr="00EF7399">
        <w:rPr>
          <w:rFonts w:ascii="Times New Roman" w:hAnsi="Times New Roman" w:cs="Times New Roman"/>
          <w:lang w:val="af-ZA"/>
        </w:rPr>
        <w:t xml:space="preserve"> գործով Դատարանը հիմնավոր համարեց քաղաքական կուսակցությ</w:t>
      </w:r>
      <w:r w:rsidR="00507272" w:rsidRPr="00EF7399">
        <w:rPr>
          <w:rFonts w:ascii="Times New Roman" w:hAnsi="Times New Roman" w:cs="Times New Roman"/>
          <w:lang w:val="af-ZA"/>
        </w:rPr>
        <w:t>ունը, որ</w:t>
      </w:r>
      <w:r w:rsidR="00A47CB2" w:rsidRPr="00EF7399">
        <w:rPr>
          <w:rFonts w:ascii="Times New Roman" w:hAnsi="Times New Roman" w:cs="Times New Roman"/>
          <w:lang w:val="af-ZA"/>
        </w:rPr>
        <w:t>ը</w:t>
      </w:r>
      <w:r w:rsidR="00507272" w:rsidRPr="00EF7399">
        <w:rPr>
          <w:rFonts w:ascii="Times New Roman" w:hAnsi="Times New Roman" w:cs="Times New Roman"/>
          <w:lang w:val="af-ZA"/>
        </w:rPr>
        <w:t xml:space="preserve"> բացահայտ հայտարարում էր որոշակի էթնիկ խմբի հետ կապի մասին, </w:t>
      </w:r>
      <w:r w:rsidR="006A7AD0" w:rsidRPr="00EF7399">
        <w:rPr>
          <w:rFonts w:ascii="Times New Roman" w:hAnsi="Times New Roman" w:cs="Times New Roman"/>
          <w:lang w:val="af-ZA"/>
        </w:rPr>
        <w:t xml:space="preserve"> որպես միավորում գրանց</w:t>
      </w:r>
      <w:r w:rsidR="00507272" w:rsidRPr="00EF7399">
        <w:rPr>
          <w:rFonts w:ascii="Times New Roman" w:hAnsi="Times New Roman" w:cs="Times New Roman"/>
          <w:lang w:val="af-ZA"/>
        </w:rPr>
        <w:t>ելու</w:t>
      </w:r>
      <w:r w:rsidR="006A7AD0" w:rsidRPr="00EF7399">
        <w:rPr>
          <w:rFonts w:ascii="Times New Roman" w:hAnsi="Times New Roman" w:cs="Times New Roman"/>
          <w:lang w:val="af-ZA"/>
        </w:rPr>
        <w:t xml:space="preserve"> մերժումը </w:t>
      </w:r>
      <w:r w:rsidRPr="00EF7399">
        <w:rPr>
          <w:rFonts w:ascii="Times New Roman" w:hAnsi="Times New Roman" w:cs="Times New Roman"/>
          <w:lang w:val="af-ZA"/>
        </w:rPr>
        <w:t>(</w:t>
      </w:r>
      <w:r w:rsidR="00507272" w:rsidRPr="00EF7399">
        <w:rPr>
          <w:rFonts w:ascii="Times New Roman" w:hAnsi="Times New Roman" w:cs="Times New Roman"/>
          <w:lang w:val="af-ZA"/>
        </w:rPr>
        <w:t xml:space="preserve">«Ռուսական համազգային միություն», անգլ.` </w:t>
      </w:r>
      <w:r w:rsidRPr="00EF7399">
        <w:rPr>
          <w:rFonts w:ascii="Times New Roman" w:hAnsi="Times New Roman" w:cs="Times New Roman"/>
          <w:lang w:val="af-ZA"/>
        </w:rPr>
        <w:t>“Russian All-Nation Union”)</w:t>
      </w:r>
      <w:r w:rsidR="00507272" w:rsidRPr="00EF7399">
        <w:rPr>
          <w:rFonts w:ascii="Times New Roman" w:hAnsi="Times New Roman" w:cs="Times New Roman"/>
          <w:lang w:val="af-ZA"/>
        </w:rPr>
        <w:t xml:space="preserve">: Իշխանությունները չեն </w:t>
      </w:r>
      <w:r w:rsidR="00197366" w:rsidRPr="00EF7399">
        <w:rPr>
          <w:rFonts w:ascii="Times New Roman" w:hAnsi="Times New Roman" w:cs="Times New Roman"/>
          <w:lang w:val="af-ZA"/>
        </w:rPr>
        <w:t>արգելել</w:t>
      </w:r>
      <w:r w:rsidR="00507272" w:rsidRPr="00EF7399">
        <w:rPr>
          <w:rFonts w:ascii="Times New Roman" w:hAnsi="Times New Roman" w:cs="Times New Roman"/>
          <w:lang w:val="af-ZA"/>
        </w:rPr>
        <w:t xml:space="preserve"> գանգատաբերին ստեղծել միավորում, որը կարտահայտի և </w:t>
      </w:r>
      <w:r w:rsidR="00493049" w:rsidRPr="00EF7399">
        <w:rPr>
          <w:rFonts w:ascii="Times New Roman" w:hAnsi="Times New Roman" w:cs="Times New Roman"/>
          <w:lang w:val="hy-AM"/>
        </w:rPr>
        <w:t>կխթանի</w:t>
      </w:r>
      <w:r w:rsidR="00493049" w:rsidRPr="00EF7399">
        <w:rPr>
          <w:rFonts w:ascii="Times New Roman" w:hAnsi="Times New Roman" w:cs="Times New Roman"/>
          <w:lang w:val="af-ZA"/>
        </w:rPr>
        <w:t xml:space="preserve"> </w:t>
      </w:r>
      <w:r w:rsidR="00507272" w:rsidRPr="00EF7399">
        <w:rPr>
          <w:rFonts w:ascii="Times New Roman" w:hAnsi="Times New Roman" w:cs="Times New Roman"/>
          <w:lang w:val="af-ZA"/>
        </w:rPr>
        <w:t xml:space="preserve">դրա որդեգրած </w:t>
      </w:r>
      <w:r w:rsidR="00197366" w:rsidRPr="00EF7399">
        <w:rPr>
          <w:rFonts w:ascii="Times New Roman" w:hAnsi="Times New Roman" w:cs="Times New Roman"/>
          <w:lang w:val="af-ZA"/>
        </w:rPr>
        <w:t xml:space="preserve">կոնկրետ </w:t>
      </w:r>
      <w:r w:rsidR="00507272" w:rsidRPr="00EF7399">
        <w:rPr>
          <w:rFonts w:ascii="Times New Roman" w:hAnsi="Times New Roman" w:cs="Times New Roman"/>
          <w:lang w:val="af-ZA"/>
        </w:rPr>
        <w:t>նպատակները,</w:t>
      </w:r>
      <w:r w:rsidR="00197366" w:rsidRPr="00EF7399">
        <w:rPr>
          <w:rFonts w:ascii="Times New Roman" w:hAnsi="Times New Roman" w:cs="Times New Roman"/>
          <w:lang w:val="af-ZA"/>
        </w:rPr>
        <w:t xml:space="preserve"> բայց թույլ չեն տվել հիմնադրել իրավաբանական անձ, որը գրանցումից հետո իրավունք կունենար մասնակցել ընտրություններին: Հաշվի առնելով ընտրական հարցերում ազգային առանձնահատկության </w:t>
      </w:r>
      <w:r w:rsidR="00197366" w:rsidRPr="00EF7399">
        <w:rPr>
          <w:rFonts w:ascii="Times New Roman" w:hAnsi="Times New Roman" w:cs="Times New Roman"/>
          <w:lang w:val="af-ZA"/>
        </w:rPr>
        <w:lastRenderedPageBreak/>
        <w:t>նկատմամբ հարգանքի սկզբունքը</w:t>
      </w:r>
      <w:r w:rsidR="00493049" w:rsidRPr="00EF7399">
        <w:rPr>
          <w:rFonts w:ascii="Times New Roman" w:hAnsi="Times New Roman" w:cs="Times New Roman"/>
          <w:lang w:val="hy-AM"/>
        </w:rPr>
        <w:t>՝</w:t>
      </w:r>
      <w:r w:rsidR="00197366" w:rsidRPr="00EF7399">
        <w:rPr>
          <w:rFonts w:ascii="Times New Roman" w:hAnsi="Times New Roman" w:cs="Times New Roman"/>
          <w:lang w:val="af-ZA"/>
        </w:rPr>
        <w:t xml:space="preserve"> Դատարանը չգտավ թերություններ ազգային դատարանների այն եզրահանգումներում, որ ժամանակակից Ռուսաստանում վտանգավոր կլիներ խրախուսել ընտրական մրցակցություն</w:t>
      </w:r>
      <w:r w:rsidR="0084101D" w:rsidRPr="00EF7399">
        <w:rPr>
          <w:rFonts w:ascii="Times New Roman" w:hAnsi="Times New Roman" w:cs="Times New Roman"/>
          <w:lang w:val="af-ZA"/>
        </w:rPr>
        <w:t>ն</w:t>
      </w:r>
      <w:r w:rsidR="00197366" w:rsidRPr="00EF7399">
        <w:rPr>
          <w:rFonts w:ascii="Times New Roman" w:hAnsi="Times New Roman" w:cs="Times New Roman"/>
          <w:lang w:val="af-ZA"/>
        </w:rPr>
        <w:t xml:space="preserve"> </w:t>
      </w:r>
      <w:r w:rsidR="0084101D" w:rsidRPr="00EF7399">
        <w:rPr>
          <w:rFonts w:ascii="Times New Roman" w:hAnsi="Times New Roman" w:cs="Times New Roman"/>
          <w:lang w:val="af-ZA"/>
        </w:rPr>
        <w:t xml:space="preserve">էթնիկ կամ կրոնական պատկանելության վրա հիմնված </w:t>
      </w:r>
      <w:r w:rsidR="00197366" w:rsidRPr="00EF7399">
        <w:rPr>
          <w:rFonts w:ascii="Times New Roman" w:hAnsi="Times New Roman" w:cs="Times New Roman"/>
          <w:lang w:val="af-ZA"/>
        </w:rPr>
        <w:t>քաղաքական կուսակցությունների միջև</w:t>
      </w:r>
      <w:r w:rsidR="0084101D" w:rsidRPr="00EF7399">
        <w:rPr>
          <w:rFonts w:ascii="Times New Roman" w:hAnsi="Times New Roman" w:cs="Times New Roman"/>
          <w:lang w:val="af-ZA"/>
        </w:rPr>
        <w:t xml:space="preserve">: </w:t>
      </w:r>
    </w:p>
    <w:p w14:paraId="60D09D80" w14:textId="1949E959"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211</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D96864" w:rsidRPr="00EF7399">
        <w:rPr>
          <w:rFonts w:ascii="Times New Roman" w:hAnsi="Times New Roman" w:cs="Times New Roman"/>
          <w:lang w:val="af-ZA"/>
        </w:rPr>
        <w:t>Միավորման անվանում</w:t>
      </w:r>
      <w:r w:rsidR="00ED48A6" w:rsidRPr="00EF7399">
        <w:rPr>
          <w:rFonts w:ascii="Times New Roman" w:hAnsi="Times New Roman" w:cs="Times New Roman"/>
          <w:lang w:val="af-ZA"/>
        </w:rPr>
        <w:t>ը</w:t>
      </w:r>
      <w:r w:rsidR="00D96864" w:rsidRPr="00EF7399">
        <w:rPr>
          <w:rFonts w:ascii="Times New Roman" w:hAnsi="Times New Roman" w:cs="Times New Roman"/>
          <w:lang w:val="af-ZA"/>
        </w:rPr>
        <w:t xml:space="preserve"> չի կարող ինքնին հիմնավորել դրա լուծարումը, նույնիսկ երբ անվան</w:t>
      </w:r>
      <w:r w:rsidR="00ED48A6" w:rsidRPr="00EF7399">
        <w:rPr>
          <w:rFonts w:ascii="Times New Roman" w:hAnsi="Times New Roman" w:cs="Times New Roman"/>
          <w:lang w:val="af-ZA"/>
        </w:rPr>
        <w:t xml:space="preserve">ման հետևանքով բնակչության մեծ մասի մոտ առաջանում են թշնամական զգացմունքներ, բայց չկան հասարակական կարգին իրական սպառնալիքի կոնկրետ ապացույցներ </w:t>
      </w:r>
      <w:r w:rsidRPr="00EF7399">
        <w:rPr>
          <w:rFonts w:ascii="Times New Roman" w:hAnsi="Times New Roman" w:cs="Times New Roman"/>
          <w:lang w:val="af-ZA"/>
        </w:rPr>
        <w:t>(</w:t>
      </w:r>
      <w:hyperlink r:id="rId473" w:history="1">
        <w:r w:rsidR="00D965BC" w:rsidRPr="00EF7399">
          <w:rPr>
            <w:rStyle w:val="Hyperlink"/>
            <w:rFonts w:ascii="Times New Roman" w:hAnsi="Times New Roman" w:cs="Times New Roman"/>
            <w:lang w:val="af-ZA"/>
          </w:rPr>
          <w:t>Association of Citizens “Radko” and Paunkovski</w:t>
        </w:r>
        <w:r w:rsidR="00873234" w:rsidRPr="00EF7399">
          <w:rPr>
            <w:rStyle w:val="Hyperlink"/>
            <w:rFonts w:ascii="Times New Roman" w:hAnsi="Times New Roman" w:cs="Times New Roman"/>
            <w:lang w:val="af-ZA"/>
          </w:rPr>
          <w:t xml:space="preserve"> v. </w:t>
        </w:r>
        <w:r w:rsidR="00D965BC" w:rsidRPr="00EF7399">
          <w:rPr>
            <w:rStyle w:val="Hyperlink"/>
            <w:rFonts w:ascii="Times New Roman" w:hAnsi="Times New Roman" w:cs="Times New Roman"/>
            <w:lang w:val="af-ZA"/>
          </w:rPr>
          <w:t>the former Yugoslav Republic of Macedonia</w:t>
        </w:r>
      </w:hyperlink>
      <w:r w:rsidRPr="00EF7399">
        <w:rPr>
          <w:rFonts w:ascii="Times New Roman" w:hAnsi="Times New Roman" w:cs="Times New Roman"/>
          <w:lang w:val="af-ZA"/>
        </w:rPr>
        <w:t xml:space="preserve">, </w:t>
      </w:r>
      <w:r w:rsidR="002C470F" w:rsidRPr="00EF7399">
        <w:rPr>
          <w:rFonts w:ascii="Times New Roman" w:hAnsi="Times New Roman" w:cs="Times New Roman"/>
          <w:lang w:val="af-ZA"/>
        </w:rPr>
        <w:t xml:space="preserve">2009,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75, </w:t>
      </w:r>
      <w:r w:rsidR="004745DD" w:rsidRPr="00EF7399">
        <w:rPr>
          <w:rFonts w:ascii="Times New Roman" w:hAnsi="Times New Roman" w:cs="Times New Roman"/>
          <w:lang w:val="af-ZA"/>
        </w:rPr>
        <w:t xml:space="preserve">առնչվում էր միավորման լուծարմանը, </w:t>
      </w:r>
      <w:r w:rsidR="00ED48A6" w:rsidRPr="00EF7399">
        <w:rPr>
          <w:rFonts w:ascii="Times New Roman" w:hAnsi="Times New Roman" w:cs="Times New Roman"/>
          <w:lang w:val="af-ZA"/>
        </w:rPr>
        <w:t>որը ժխտում էր մակեդոնական էթնիկության գոյությունը</w:t>
      </w:r>
      <w:r w:rsidRPr="00EF7399">
        <w:rPr>
          <w:rFonts w:ascii="Times New Roman" w:hAnsi="Times New Roman" w:cs="Times New Roman"/>
          <w:lang w:val="af-ZA"/>
        </w:rPr>
        <w:t>)</w:t>
      </w:r>
      <w:r w:rsidR="004745DD" w:rsidRPr="00EF7399">
        <w:rPr>
          <w:rFonts w:ascii="Times New Roman" w:hAnsi="Times New Roman" w:cs="Times New Roman"/>
          <w:lang w:val="af-ZA"/>
        </w:rPr>
        <w:t>:</w:t>
      </w:r>
    </w:p>
    <w:p w14:paraId="3E371370" w14:textId="6C3B99BB"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212</w:t>
      </w:r>
      <w:r w:rsidRPr="00EF7399">
        <w:rPr>
          <w:rFonts w:ascii="Times New Roman" w:hAnsi="Times New Roman" w:cs="Times New Roman"/>
          <w:lang w:val="af-ZA"/>
        </w:rPr>
        <w:fldChar w:fldCharType="end"/>
      </w:r>
      <w:r w:rsidRPr="00EF7399">
        <w:rPr>
          <w:rFonts w:ascii="Times New Roman" w:hAnsi="Times New Roman" w:cs="Times New Roman"/>
          <w:lang w:val="af-ZA"/>
        </w:rPr>
        <w:t>.  </w:t>
      </w:r>
      <w:hyperlink r:id="rId474" w:history="1">
        <w:r w:rsidR="004745DD" w:rsidRPr="00EF7399">
          <w:rPr>
            <w:rStyle w:val="Hyperlink"/>
            <w:rFonts w:ascii="Times New Roman" w:hAnsi="Times New Roman" w:cs="Times New Roman"/>
            <w:lang w:val="af-ZA"/>
          </w:rPr>
          <w:t>Eğitim ve Bilim Emekçileri Sendikası v. Turkey</w:t>
        </w:r>
      </w:hyperlink>
      <w:r w:rsidR="004745DD" w:rsidRPr="00EF7399">
        <w:rPr>
          <w:rStyle w:val="Hyperlink"/>
          <w:rFonts w:ascii="Times New Roman" w:hAnsi="Times New Roman" w:cs="Times New Roman"/>
          <w:i w:val="0"/>
          <w:iCs/>
          <w:color w:val="auto"/>
          <w:lang w:val="af-ZA"/>
        </w:rPr>
        <w:t>, 2012</w:t>
      </w:r>
      <w:r w:rsidR="004745DD" w:rsidRPr="00EF7399">
        <w:rPr>
          <w:rFonts w:ascii="Times New Roman" w:hAnsi="Times New Roman" w:cs="Times New Roman"/>
          <w:lang w:val="af-ZA"/>
        </w:rPr>
        <w:t>, գործով Դատարանը գտավ, որ պետական լեզվից տարբեր մայրենի լեզվով կրթության իրավունքին աջակցելու համար գանգատաբեր միավորման լուծարումը 11-րդ հոդվածի խախտում էր:</w:t>
      </w:r>
      <w:r w:rsidR="00EC12D1" w:rsidRPr="00EF7399">
        <w:rPr>
          <w:rFonts w:ascii="Times New Roman" w:hAnsi="Times New Roman" w:cs="Times New Roman"/>
          <w:lang w:val="af-ZA"/>
        </w:rPr>
        <w:t xml:space="preserve"> Թեև խնդիրը կարող էր վիրավորել բնակչության մեծ մասի որոշակի համոզ</w:t>
      </w:r>
      <w:r w:rsidR="0093339C" w:rsidRPr="00EF7399">
        <w:rPr>
          <w:rFonts w:ascii="Times New Roman" w:hAnsi="Times New Roman" w:cs="Times New Roman"/>
          <w:lang w:val="af-ZA"/>
        </w:rPr>
        <w:t>մ</w:t>
      </w:r>
      <w:r w:rsidR="00EC12D1" w:rsidRPr="00EF7399">
        <w:rPr>
          <w:rFonts w:ascii="Times New Roman" w:hAnsi="Times New Roman" w:cs="Times New Roman"/>
          <w:lang w:val="af-ZA"/>
        </w:rPr>
        <w:t>ուն</w:t>
      </w:r>
      <w:r w:rsidR="0093339C" w:rsidRPr="00EF7399">
        <w:rPr>
          <w:rFonts w:ascii="Times New Roman" w:hAnsi="Times New Roman" w:cs="Times New Roman"/>
          <w:lang w:val="af-ZA"/>
        </w:rPr>
        <w:t>քն</w:t>
      </w:r>
      <w:r w:rsidR="00EC12D1" w:rsidRPr="00EF7399">
        <w:rPr>
          <w:rFonts w:ascii="Times New Roman" w:hAnsi="Times New Roman" w:cs="Times New Roman"/>
          <w:lang w:val="af-ZA"/>
        </w:rPr>
        <w:t>երը, պատշաճ գործող ժողովրդավարությունը պահանջում էր հանրային քննարկում, որը կօգներ գտնել քաղաքական կամ հանրային հետաքրքություն ունեցող հարցերի լուծումներ:</w:t>
      </w:r>
      <w:r w:rsidRPr="00EF7399">
        <w:rPr>
          <w:rFonts w:ascii="Times New Roman" w:hAnsi="Times New Roman" w:cs="Times New Roman"/>
          <w:lang w:val="af-ZA"/>
        </w:rPr>
        <w:t xml:space="preserve"> </w:t>
      </w:r>
      <w:r w:rsidR="00567D60" w:rsidRPr="00EF7399">
        <w:rPr>
          <w:rFonts w:ascii="Times New Roman" w:hAnsi="Times New Roman" w:cs="Times New Roman"/>
          <w:lang w:val="af-ZA"/>
        </w:rPr>
        <w:t>Դատարանի կարծիքով</w:t>
      </w:r>
      <w:r w:rsidR="0067120B" w:rsidRPr="00EF7399">
        <w:rPr>
          <w:rFonts w:ascii="Times New Roman" w:hAnsi="Times New Roman" w:cs="Times New Roman"/>
          <w:lang w:val="hy-AM"/>
        </w:rPr>
        <w:t>՝</w:t>
      </w:r>
      <w:r w:rsidR="00567D60" w:rsidRPr="00EF7399">
        <w:rPr>
          <w:rFonts w:ascii="Times New Roman" w:hAnsi="Times New Roman" w:cs="Times New Roman"/>
          <w:lang w:val="af-ZA"/>
        </w:rPr>
        <w:t xml:space="preserve"> թուրքերենից տարբեր մայրենի լեզու ունեցող ազգությունների մշակույթը` այդ մայրենի լեզվով կրթության միջոցով զարգացնելու նպատակն ինքնին չէր հակասում պետական անվտանգությանը և սպառնալիք չէր հասարակական կարգի համար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55-59)</w:t>
      </w:r>
      <w:r w:rsidR="00567D60" w:rsidRPr="00EF7399">
        <w:rPr>
          <w:rFonts w:ascii="Times New Roman" w:hAnsi="Times New Roman" w:cs="Times New Roman"/>
          <w:lang w:val="af-ZA"/>
        </w:rPr>
        <w:t>:</w:t>
      </w:r>
    </w:p>
    <w:p w14:paraId="61F184A8" w14:textId="43D71486" w:rsidR="00FE52C1"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213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567D60" w:rsidRPr="00EF7399">
        <w:rPr>
          <w:rFonts w:ascii="Times New Roman" w:hAnsi="Times New Roman" w:cs="Times New Roman"/>
          <w:lang w:val="af-ZA"/>
        </w:rPr>
        <w:t>Միավորման ազատությունն ընդգրկում է սեփական էթնիկ ինքնության մասին ունեցած համոզ</w:t>
      </w:r>
      <w:r w:rsidR="0067120B" w:rsidRPr="00EF7399">
        <w:rPr>
          <w:rFonts w:ascii="Times New Roman" w:hAnsi="Times New Roman" w:cs="Times New Roman"/>
          <w:lang w:val="hy-AM"/>
        </w:rPr>
        <w:t>մունք</w:t>
      </w:r>
      <w:r w:rsidR="00567D60" w:rsidRPr="00EF7399">
        <w:rPr>
          <w:rFonts w:ascii="Times New Roman" w:hAnsi="Times New Roman" w:cs="Times New Roman"/>
          <w:lang w:val="af-ZA"/>
        </w:rPr>
        <w:t xml:space="preserve">ներն </w:t>
      </w:r>
      <w:r w:rsidR="0067120B" w:rsidRPr="00EF7399">
        <w:rPr>
          <w:rFonts w:ascii="Times New Roman" w:hAnsi="Times New Roman" w:cs="Times New Roman"/>
          <w:lang w:val="hy-AM"/>
        </w:rPr>
        <w:t>իրավաչափ</w:t>
      </w:r>
      <w:r w:rsidR="0067120B" w:rsidRPr="00EF7399">
        <w:rPr>
          <w:rFonts w:ascii="Times New Roman" w:hAnsi="Times New Roman" w:cs="Times New Roman"/>
          <w:lang w:val="af-ZA"/>
        </w:rPr>
        <w:t xml:space="preserve"> համատեքստում </w:t>
      </w:r>
      <w:r w:rsidR="00567D60" w:rsidRPr="00EF7399">
        <w:rPr>
          <w:rFonts w:ascii="Times New Roman" w:hAnsi="Times New Roman" w:cs="Times New Roman"/>
          <w:lang w:val="af-ZA"/>
        </w:rPr>
        <w:t xml:space="preserve">արտահայտելու յուրաքանչյուր անձի իրավունքը: Որքան էլ </w:t>
      </w:r>
      <w:r w:rsidR="0093339C" w:rsidRPr="00EF7399">
        <w:rPr>
          <w:rFonts w:ascii="Times New Roman" w:hAnsi="Times New Roman" w:cs="Times New Roman"/>
          <w:lang w:val="af-ZA"/>
        </w:rPr>
        <w:t>տհաճ</w:t>
      </w:r>
      <w:r w:rsidR="00567D60" w:rsidRPr="00EF7399">
        <w:rPr>
          <w:rFonts w:ascii="Times New Roman" w:hAnsi="Times New Roman" w:cs="Times New Roman"/>
          <w:lang w:val="af-ZA"/>
        </w:rPr>
        <w:t xml:space="preserve"> և անընդունելի լինեն որոշակի տեսակետ</w:t>
      </w:r>
      <w:r w:rsidR="0067120B" w:rsidRPr="00EF7399">
        <w:rPr>
          <w:rFonts w:ascii="Times New Roman" w:hAnsi="Times New Roman" w:cs="Times New Roman"/>
          <w:lang w:val="hy-AM"/>
        </w:rPr>
        <w:t>ն</w:t>
      </w:r>
      <w:r w:rsidR="00567D60" w:rsidRPr="00EF7399">
        <w:rPr>
          <w:rFonts w:ascii="Times New Roman" w:hAnsi="Times New Roman" w:cs="Times New Roman"/>
          <w:lang w:val="af-ZA"/>
        </w:rPr>
        <w:t>եր կամ օգտագործած բառեր</w:t>
      </w:r>
      <w:r w:rsidR="0093339C" w:rsidRPr="00EF7399">
        <w:rPr>
          <w:rFonts w:ascii="Times New Roman" w:hAnsi="Times New Roman" w:cs="Times New Roman"/>
          <w:lang w:val="af-ZA"/>
        </w:rPr>
        <w:t xml:space="preserve">ն իշխանությունների համար, դրանց տարածումը չի կարող ինքնաբերաբար համարվել սպառնալիք հանրային քաղաքականության կամ երկրի տարածքային ամբողջականության համար </w:t>
      </w:r>
      <w:r w:rsidRPr="00EF7399">
        <w:rPr>
          <w:rFonts w:ascii="Times New Roman" w:hAnsi="Times New Roman" w:cs="Times New Roman"/>
          <w:lang w:val="af-ZA"/>
        </w:rPr>
        <w:t>(</w:t>
      </w:r>
      <w:hyperlink r:id="rId475" w:history="1">
        <w:r w:rsidR="00431080" w:rsidRPr="00EF7399">
          <w:rPr>
            <w:rStyle w:val="Hyperlink"/>
            <w:rFonts w:ascii="Times New Roman" w:hAnsi="Times New Roman" w:cs="Times New Roman"/>
            <w:lang w:val="af-ZA"/>
          </w:rPr>
          <w:t>Tourkiki Enosi Xanthis and Others</w:t>
        </w:r>
        <w:r w:rsidR="00873234" w:rsidRPr="00EF7399">
          <w:rPr>
            <w:rStyle w:val="Hyperlink"/>
            <w:rFonts w:ascii="Times New Roman" w:hAnsi="Times New Roman" w:cs="Times New Roman"/>
            <w:lang w:val="af-ZA"/>
          </w:rPr>
          <w:t xml:space="preserve"> v. </w:t>
        </w:r>
        <w:r w:rsidR="00431080" w:rsidRPr="00EF7399">
          <w:rPr>
            <w:rStyle w:val="Hyperlink"/>
            <w:rFonts w:ascii="Times New Roman" w:hAnsi="Times New Roman" w:cs="Times New Roman"/>
            <w:lang w:val="af-ZA"/>
          </w:rPr>
          <w:t>Greece</w:t>
        </w:r>
      </w:hyperlink>
      <w:r w:rsidRPr="00EF7399">
        <w:rPr>
          <w:rFonts w:ascii="Times New Roman" w:hAnsi="Times New Roman" w:cs="Times New Roman"/>
          <w:lang w:val="af-ZA"/>
        </w:rPr>
        <w:t xml:space="preserve">, </w:t>
      </w:r>
      <w:r w:rsidR="00693253" w:rsidRPr="00EF7399">
        <w:rPr>
          <w:rFonts w:ascii="Times New Roman" w:hAnsi="Times New Roman" w:cs="Times New Roman"/>
          <w:lang w:val="af-ZA"/>
        </w:rPr>
        <w:t xml:space="preserve">2008,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51, </w:t>
      </w:r>
      <w:r w:rsidR="0093339C" w:rsidRPr="00EF7399">
        <w:rPr>
          <w:rFonts w:ascii="Times New Roman" w:hAnsi="Times New Roman" w:cs="Times New Roman"/>
          <w:lang w:val="af-ZA"/>
        </w:rPr>
        <w:t>որտեղ առաջին գանգատաբեր միավորումը լուծարվել էր</w:t>
      </w:r>
      <w:r w:rsidR="00052186" w:rsidRPr="00EF7399">
        <w:rPr>
          <w:rFonts w:ascii="Times New Roman" w:hAnsi="Times New Roman" w:cs="Times New Roman"/>
          <w:lang w:val="af-ZA"/>
        </w:rPr>
        <w:t>՝</w:t>
      </w:r>
      <w:r w:rsidR="0093339C" w:rsidRPr="00EF7399">
        <w:rPr>
          <w:rFonts w:ascii="Times New Roman" w:hAnsi="Times New Roman" w:cs="Times New Roman"/>
          <w:lang w:val="af-ZA"/>
        </w:rPr>
        <w:t xml:space="preserve"> ի թիվս այլ պատճառների, փոքրամասնությունների մասին ունեցած տեսակետ</w:t>
      </w:r>
      <w:r w:rsidR="0034172E">
        <w:rPr>
          <w:rFonts w:ascii="Times New Roman" w:hAnsi="Times New Roman" w:cs="Times New Roman"/>
          <w:lang w:val="hy-AM"/>
        </w:rPr>
        <w:t>ն</w:t>
      </w:r>
      <w:r w:rsidR="0093339C" w:rsidRPr="00EF7399">
        <w:rPr>
          <w:rFonts w:ascii="Times New Roman" w:hAnsi="Times New Roman" w:cs="Times New Roman"/>
          <w:lang w:val="af-ZA"/>
        </w:rPr>
        <w:t>երի համար</w:t>
      </w:r>
      <w:r w:rsidRPr="00EF7399">
        <w:rPr>
          <w:rFonts w:ascii="Times New Roman" w:hAnsi="Times New Roman" w:cs="Times New Roman"/>
          <w:lang w:val="af-ZA"/>
        </w:rPr>
        <w:t>)</w:t>
      </w:r>
      <w:r w:rsidR="0093339C" w:rsidRPr="00EF7399">
        <w:rPr>
          <w:rFonts w:ascii="Times New Roman" w:hAnsi="Times New Roman" w:cs="Times New Roman"/>
          <w:lang w:val="af-ZA"/>
        </w:rPr>
        <w:t>:</w:t>
      </w:r>
    </w:p>
    <w:p w14:paraId="097AFA20" w14:textId="0F1881AB" w:rsidR="00FE52C1" w:rsidRPr="00EF7399" w:rsidRDefault="0093339C" w:rsidP="00FE52C1">
      <w:pPr>
        <w:pStyle w:val="ECHRHeading3"/>
        <w:rPr>
          <w:rFonts w:ascii="Times New Roman" w:eastAsiaTheme="minorHAnsi" w:hAnsi="Times New Roman" w:cs="Times New Roman"/>
          <w:color w:val="auto"/>
          <w:sz w:val="22"/>
          <w:lang w:val="af-ZA"/>
        </w:rPr>
      </w:pPr>
      <w:bookmarkStart w:id="92" w:name="_Toc159945251"/>
      <w:r w:rsidRPr="00EF7399">
        <w:rPr>
          <w:rFonts w:ascii="Times New Roman" w:hAnsi="Times New Roman" w:cs="Times New Roman"/>
          <w:lang w:val="af-ZA"/>
        </w:rPr>
        <w:t>Կրոնական միավորումներ</w:t>
      </w:r>
      <w:bookmarkEnd w:id="92"/>
    </w:p>
    <w:p w14:paraId="4DDA4FFA" w14:textId="422FECF5" w:rsidR="001148BF" w:rsidRPr="00EF7399" w:rsidRDefault="0036651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214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26E21" w:rsidRPr="00EF7399">
        <w:rPr>
          <w:rFonts w:ascii="Times New Roman" w:hAnsi="Times New Roman" w:cs="Times New Roman"/>
          <w:lang w:val="af-ZA"/>
        </w:rPr>
        <w:t>Հավատացյալների` կրոնի ազատության իրավունքը, որն ընդգրկում է անձի` այլ անձանց հետ միասին իր կրոնը դավանելու իրավունքը, ներառում է այն ակնկալիքը, որ հավատացյալներ</w:t>
      </w:r>
      <w:r w:rsidR="00E66878" w:rsidRPr="00EF7399">
        <w:rPr>
          <w:rFonts w:ascii="Times New Roman" w:hAnsi="Times New Roman" w:cs="Times New Roman"/>
          <w:lang w:val="af-ZA"/>
        </w:rPr>
        <w:t>ին</w:t>
      </w:r>
      <w:r w:rsidR="00126E21" w:rsidRPr="00EF7399">
        <w:rPr>
          <w:rFonts w:ascii="Times New Roman" w:hAnsi="Times New Roman" w:cs="Times New Roman"/>
          <w:lang w:val="af-ZA"/>
        </w:rPr>
        <w:t xml:space="preserve"> </w:t>
      </w:r>
      <w:r w:rsidR="004814F3" w:rsidRPr="00EF7399">
        <w:rPr>
          <w:rFonts w:ascii="Times New Roman" w:hAnsi="Times New Roman" w:cs="Times New Roman"/>
          <w:lang w:val="af-ZA"/>
        </w:rPr>
        <w:t xml:space="preserve">հնարավորություն կտրվի ազատ միավորվելու` </w:t>
      </w:r>
      <w:r w:rsidR="00126E21" w:rsidRPr="00EF7399">
        <w:rPr>
          <w:rFonts w:ascii="Times New Roman" w:hAnsi="Times New Roman" w:cs="Times New Roman"/>
          <w:lang w:val="af-ZA"/>
        </w:rPr>
        <w:t>առանց պետության կամայական միջամտությ</w:t>
      </w:r>
      <w:r w:rsidR="004814F3" w:rsidRPr="00EF7399">
        <w:rPr>
          <w:rFonts w:ascii="Times New Roman" w:hAnsi="Times New Roman" w:cs="Times New Roman"/>
          <w:lang w:val="af-ZA"/>
        </w:rPr>
        <w:t>ան:</w:t>
      </w:r>
      <w:r w:rsidR="0067120B" w:rsidRPr="00EF7399">
        <w:rPr>
          <w:rFonts w:ascii="Times New Roman" w:hAnsi="Times New Roman" w:cs="Times New Roman"/>
          <w:lang w:val="hy-AM"/>
        </w:rPr>
        <w:t xml:space="preserve"> Իրապես,</w:t>
      </w:r>
      <w:r w:rsidR="004814F3" w:rsidRPr="00EF7399">
        <w:rPr>
          <w:rFonts w:ascii="Times New Roman" w:hAnsi="Times New Roman" w:cs="Times New Roman"/>
          <w:lang w:val="af-ZA"/>
        </w:rPr>
        <w:t xml:space="preserve"> </w:t>
      </w:r>
      <w:r w:rsidR="0067120B" w:rsidRPr="00EF7399">
        <w:rPr>
          <w:rFonts w:ascii="Times New Roman" w:hAnsi="Times New Roman" w:cs="Times New Roman"/>
          <w:lang w:val="hy-AM"/>
        </w:rPr>
        <w:t>կ</w:t>
      </w:r>
      <w:r w:rsidR="00025308" w:rsidRPr="00EF7399">
        <w:rPr>
          <w:rFonts w:ascii="Times New Roman" w:hAnsi="Times New Roman" w:cs="Times New Roman"/>
          <w:lang w:val="af-ZA"/>
        </w:rPr>
        <w:t>րոնական համայնքների ինքնավար գոյություն</w:t>
      </w:r>
      <w:r w:rsidR="006932DD" w:rsidRPr="00EF7399">
        <w:rPr>
          <w:rFonts w:ascii="Times New Roman" w:hAnsi="Times New Roman" w:cs="Times New Roman"/>
          <w:lang w:val="af-ZA"/>
        </w:rPr>
        <w:t>ն անհրաժեշտ է ժողովրդավարական հասարակության բազմակարծության համար: Պետության չեզոքության և անկողմնակալության պարտականությունը բացառում է պետության</w:t>
      </w:r>
      <w:r w:rsidR="00293F86" w:rsidRPr="00EF7399">
        <w:rPr>
          <w:rFonts w:ascii="Times New Roman" w:hAnsi="Times New Roman" w:cs="Times New Roman"/>
          <w:lang w:val="hy-AM"/>
        </w:rPr>
        <w:t>՝</w:t>
      </w:r>
      <w:r w:rsidR="006932DD" w:rsidRPr="00EF7399">
        <w:rPr>
          <w:rFonts w:ascii="Times New Roman" w:hAnsi="Times New Roman" w:cs="Times New Roman"/>
          <w:lang w:val="af-ZA"/>
        </w:rPr>
        <w:t xml:space="preserve"> կրոնական </w:t>
      </w:r>
      <w:r w:rsidR="00293F86" w:rsidRPr="00EF7399">
        <w:rPr>
          <w:rFonts w:ascii="Times New Roman" w:hAnsi="Times New Roman" w:cs="Times New Roman"/>
          <w:lang w:val="hy-AM"/>
        </w:rPr>
        <w:t>համոզմունքների</w:t>
      </w:r>
      <w:r w:rsidR="00293F86" w:rsidRPr="00EF7399">
        <w:rPr>
          <w:rFonts w:ascii="Times New Roman" w:hAnsi="Times New Roman" w:cs="Times New Roman"/>
          <w:lang w:val="af-ZA"/>
        </w:rPr>
        <w:t xml:space="preserve"> </w:t>
      </w:r>
      <w:r w:rsidR="006932DD" w:rsidRPr="00EF7399">
        <w:rPr>
          <w:rFonts w:ascii="Times New Roman" w:hAnsi="Times New Roman" w:cs="Times New Roman"/>
          <w:lang w:val="af-ZA"/>
        </w:rPr>
        <w:t xml:space="preserve">կամ դրանց արտահայտման համար օգտագործվող միջոցների  իրավաչափությունը որոշելու հայեցողությունը </w:t>
      </w:r>
      <w:r w:rsidR="001148BF" w:rsidRPr="00EF7399">
        <w:rPr>
          <w:rFonts w:ascii="Times New Roman" w:hAnsi="Times New Roman" w:cs="Times New Roman"/>
          <w:lang w:val="af-ZA"/>
        </w:rPr>
        <w:t>(</w:t>
      </w:r>
      <w:hyperlink r:id="rId476" w:history="1">
        <w:r w:rsidR="001148BF" w:rsidRPr="00EF7399">
          <w:rPr>
            <w:rStyle w:val="Hyperlink"/>
            <w:rFonts w:ascii="Times New Roman" w:hAnsi="Times New Roman" w:cs="Times New Roman"/>
            <w:lang w:val="af-ZA"/>
          </w:rPr>
          <w:t>Moscow Branch of the Salvation Army</w:t>
        </w:r>
        <w:r w:rsidR="00873234" w:rsidRPr="00EF7399">
          <w:rPr>
            <w:rStyle w:val="Hyperlink"/>
            <w:rFonts w:ascii="Times New Roman" w:hAnsi="Times New Roman" w:cs="Times New Roman"/>
            <w:lang w:val="af-ZA"/>
          </w:rPr>
          <w:t xml:space="preserve"> v. </w:t>
        </w:r>
        <w:r w:rsidR="001148BF" w:rsidRPr="00EF7399">
          <w:rPr>
            <w:rStyle w:val="Hyperlink"/>
            <w:rFonts w:ascii="Times New Roman" w:hAnsi="Times New Roman" w:cs="Times New Roman"/>
            <w:lang w:val="af-ZA"/>
          </w:rPr>
          <w:t>Russia</w:t>
        </w:r>
      </w:hyperlink>
      <w:r w:rsidR="00805F8E" w:rsidRPr="00EF7399">
        <w:rPr>
          <w:rFonts w:ascii="Times New Roman" w:hAnsi="Times New Roman" w:cs="Times New Roman"/>
          <w:lang w:val="af-ZA"/>
        </w:rPr>
        <w:t xml:space="preserve">, </w:t>
      </w:r>
      <w:r w:rsidR="007A38BA" w:rsidRPr="00EF7399">
        <w:rPr>
          <w:rFonts w:ascii="Times New Roman" w:hAnsi="Times New Roman" w:cs="Times New Roman"/>
          <w:lang w:val="af-ZA"/>
        </w:rPr>
        <w:t xml:space="preserve">2006, </w:t>
      </w:r>
      <w:r w:rsidR="00805F8E" w:rsidRPr="00EF7399">
        <w:rPr>
          <w:rFonts w:ascii="Times New Roman" w:hAnsi="Times New Roman" w:cs="Times New Roman"/>
          <w:lang w:val="af-ZA"/>
        </w:rPr>
        <w:t>§</w:t>
      </w:r>
      <w:r w:rsidR="00873234" w:rsidRPr="00EF7399">
        <w:rPr>
          <w:rFonts w:ascii="Times New Roman" w:hAnsi="Times New Roman" w:cs="Times New Roman"/>
          <w:lang w:val="af-ZA"/>
        </w:rPr>
        <w:t>§ </w:t>
      </w:r>
      <w:r w:rsidR="00805F8E" w:rsidRPr="00EF7399">
        <w:rPr>
          <w:rFonts w:ascii="Times New Roman" w:hAnsi="Times New Roman" w:cs="Times New Roman"/>
          <w:lang w:val="af-ZA"/>
        </w:rPr>
        <w:t xml:space="preserve">58 </w:t>
      </w:r>
      <w:r w:rsidR="006932DD" w:rsidRPr="00EF7399">
        <w:rPr>
          <w:rFonts w:ascii="Times New Roman" w:hAnsi="Times New Roman" w:cs="Times New Roman"/>
          <w:lang w:val="af-ZA"/>
        </w:rPr>
        <w:t>և</w:t>
      </w:r>
      <w:r w:rsidR="00805F8E" w:rsidRPr="00EF7399">
        <w:rPr>
          <w:rFonts w:ascii="Times New Roman" w:hAnsi="Times New Roman" w:cs="Times New Roman"/>
          <w:lang w:val="af-ZA"/>
        </w:rPr>
        <w:t xml:space="preserve"> 92)</w:t>
      </w:r>
      <w:r w:rsidR="006932DD" w:rsidRPr="00EF7399">
        <w:rPr>
          <w:rFonts w:ascii="Times New Roman" w:hAnsi="Times New Roman" w:cs="Times New Roman"/>
          <w:lang w:val="af-ZA"/>
        </w:rPr>
        <w:t>:</w:t>
      </w:r>
    </w:p>
    <w:p w14:paraId="4B3B060F" w14:textId="6BF55F48"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215</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F92CE6" w:rsidRPr="00EF7399">
        <w:rPr>
          <w:rFonts w:ascii="Times New Roman" w:hAnsi="Times New Roman" w:cs="Times New Roman"/>
          <w:lang w:val="af-ZA"/>
        </w:rPr>
        <w:t>Երբ քննարկման առարկա է կրոնական համայնքի կազմակերպ</w:t>
      </w:r>
      <w:r w:rsidR="00197B91" w:rsidRPr="00EF7399">
        <w:rPr>
          <w:rFonts w:ascii="Times New Roman" w:hAnsi="Times New Roman" w:cs="Times New Roman"/>
          <w:lang w:val="af-ZA"/>
        </w:rPr>
        <w:t>ություն</w:t>
      </w:r>
      <w:r w:rsidR="00293F86" w:rsidRPr="00EF7399">
        <w:rPr>
          <w:rFonts w:ascii="Times New Roman" w:hAnsi="Times New Roman" w:cs="Times New Roman"/>
          <w:lang w:val="hy-AM"/>
        </w:rPr>
        <w:t>ը,</w:t>
      </w:r>
      <w:r w:rsidR="00F92CE6" w:rsidRPr="00EF7399">
        <w:rPr>
          <w:rFonts w:ascii="Times New Roman" w:hAnsi="Times New Roman" w:cs="Times New Roman"/>
          <w:lang w:val="af-ZA"/>
        </w:rPr>
        <w:t xml:space="preserve"> դրա ճանաչման մերժումը նույնպես </w:t>
      </w:r>
      <w:r w:rsidR="00293F86" w:rsidRPr="00EF7399">
        <w:rPr>
          <w:rFonts w:ascii="Times New Roman" w:hAnsi="Times New Roman" w:cs="Times New Roman"/>
          <w:lang w:val="hy-AM"/>
        </w:rPr>
        <w:t>պարունակում</w:t>
      </w:r>
      <w:r w:rsidR="00293F86" w:rsidRPr="00EF7399">
        <w:rPr>
          <w:rFonts w:ascii="Times New Roman" w:hAnsi="Times New Roman" w:cs="Times New Roman"/>
          <w:lang w:val="af-ZA"/>
        </w:rPr>
        <w:t xml:space="preserve"> </w:t>
      </w:r>
      <w:r w:rsidR="00F92CE6" w:rsidRPr="00EF7399">
        <w:rPr>
          <w:rFonts w:ascii="Times New Roman" w:hAnsi="Times New Roman" w:cs="Times New Roman"/>
          <w:lang w:val="af-ZA"/>
        </w:rPr>
        <w:t xml:space="preserve">է միջամտություն </w:t>
      </w:r>
      <w:r w:rsidR="00197B91" w:rsidRPr="00EF7399">
        <w:rPr>
          <w:rFonts w:ascii="Times New Roman" w:hAnsi="Times New Roman" w:cs="Times New Roman"/>
          <w:lang w:val="af-ZA"/>
        </w:rPr>
        <w:t>գանգատաբերների</w:t>
      </w:r>
      <w:r w:rsidR="00293F86" w:rsidRPr="00EF7399">
        <w:rPr>
          <w:rFonts w:ascii="Times New Roman" w:hAnsi="Times New Roman" w:cs="Times New Roman"/>
          <w:lang w:val="hy-AM"/>
        </w:rPr>
        <w:t>՝</w:t>
      </w:r>
      <w:r w:rsidR="00197B91" w:rsidRPr="00EF7399">
        <w:rPr>
          <w:rFonts w:ascii="Times New Roman" w:hAnsi="Times New Roman" w:cs="Times New Roman"/>
          <w:lang w:val="af-ZA"/>
        </w:rPr>
        <w:t xml:space="preserve"> Կոնվենցիայի 9-րդ հոդվածում ամրագրված </w:t>
      </w:r>
      <w:r w:rsidR="00F92CE6" w:rsidRPr="00EF7399">
        <w:rPr>
          <w:rFonts w:ascii="Times New Roman" w:hAnsi="Times New Roman" w:cs="Times New Roman"/>
          <w:lang w:val="af-ZA"/>
        </w:rPr>
        <w:t xml:space="preserve">կրոնի ազատության իրավունքին  </w:t>
      </w:r>
      <w:r w:rsidRPr="00EF7399">
        <w:rPr>
          <w:rFonts w:ascii="Times New Roman" w:hAnsi="Times New Roman" w:cs="Times New Roman"/>
          <w:lang w:val="af-ZA"/>
        </w:rPr>
        <w:t>(</w:t>
      </w:r>
      <w:hyperlink r:id="rId477" w:history="1">
        <w:r w:rsidR="002C470F" w:rsidRPr="00EF7399">
          <w:rPr>
            <w:rStyle w:val="Hyperlink"/>
            <w:rFonts w:ascii="Times New Roman" w:hAnsi="Times New Roman" w:cs="Times New Roman"/>
            <w:lang w:val="af-ZA"/>
          </w:rPr>
          <w:t>Moscow Branch of the Salvation Army</w:t>
        </w:r>
        <w:r w:rsidR="00873234" w:rsidRPr="00EF7399">
          <w:rPr>
            <w:rStyle w:val="Hyperlink"/>
            <w:rFonts w:ascii="Times New Roman" w:hAnsi="Times New Roman" w:cs="Times New Roman"/>
            <w:lang w:val="af-ZA"/>
          </w:rPr>
          <w:t xml:space="preserve"> v. </w:t>
        </w:r>
        <w:r w:rsidR="002C470F" w:rsidRPr="00EF7399">
          <w:rPr>
            <w:rStyle w:val="Hyperlink"/>
            <w:rFonts w:ascii="Times New Roman" w:hAnsi="Times New Roman" w:cs="Times New Roman"/>
            <w:lang w:val="af-ZA"/>
          </w:rPr>
          <w:t>Russia</w:t>
        </w:r>
      </w:hyperlink>
      <w:r w:rsidRPr="00EF7399">
        <w:rPr>
          <w:rFonts w:ascii="Times New Roman" w:hAnsi="Times New Roman" w:cs="Times New Roman"/>
          <w:lang w:val="af-ZA"/>
        </w:rPr>
        <w:t xml:space="preserve">, </w:t>
      </w:r>
      <w:r w:rsidR="002C470F" w:rsidRPr="00EF7399">
        <w:rPr>
          <w:rFonts w:ascii="Times New Roman" w:hAnsi="Times New Roman" w:cs="Times New Roman"/>
          <w:lang w:val="af-ZA"/>
        </w:rPr>
        <w:t xml:space="preserve">2006, </w:t>
      </w:r>
      <w:r w:rsidR="00873234" w:rsidRPr="00EF7399">
        <w:rPr>
          <w:rFonts w:ascii="Times New Roman" w:hAnsi="Times New Roman" w:cs="Times New Roman"/>
          <w:lang w:val="af-ZA"/>
        </w:rPr>
        <w:t>§ </w:t>
      </w:r>
      <w:r w:rsidRPr="00EF7399">
        <w:rPr>
          <w:rFonts w:ascii="Times New Roman" w:hAnsi="Times New Roman" w:cs="Times New Roman"/>
          <w:lang w:val="af-ZA"/>
        </w:rPr>
        <w:t>71)</w:t>
      </w:r>
      <w:r w:rsidR="00197B91" w:rsidRPr="00EF7399">
        <w:rPr>
          <w:rFonts w:ascii="Times New Roman" w:hAnsi="Times New Roman" w:cs="Times New Roman"/>
          <w:lang w:val="af-ZA"/>
        </w:rPr>
        <w:t>:</w:t>
      </w:r>
      <w:r w:rsidRPr="00EF7399">
        <w:rPr>
          <w:rFonts w:ascii="Times New Roman" w:hAnsi="Times New Roman" w:cs="Times New Roman"/>
          <w:vertAlign w:val="superscript"/>
          <w:lang w:val="af-ZA"/>
        </w:rPr>
        <w:footnoteReference w:id="6"/>
      </w:r>
      <w:r w:rsidR="00197B91" w:rsidRPr="00EF7399">
        <w:rPr>
          <w:rFonts w:ascii="Times New Roman" w:hAnsi="Times New Roman" w:cs="Times New Roman"/>
          <w:lang w:val="af-ZA"/>
        </w:rPr>
        <w:t xml:space="preserve"> </w:t>
      </w:r>
    </w:p>
    <w:p w14:paraId="326437EE" w14:textId="56A6B414"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216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97B91" w:rsidRPr="00EF7399">
        <w:rPr>
          <w:rFonts w:ascii="Times New Roman" w:hAnsi="Times New Roman" w:cs="Times New Roman"/>
          <w:lang w:val="af-ZA"/>
        </w:rPr>
        <w:t>Սակայն</w:t>
      </w:r>
      <w:r w:rsidR="00293F86" w:rsidRPr="00EF7399">
        <w:rPr>
          <w:rFonts w:ascii="Times New Roman" w:hAnsi="Times New Roman" w:cs="Times New Roman"/>
          <w:lang w:val="hy-AM"/>
        </w:rPr>
        <w:t>,</w:t>
      </w:r>
      <w:r w:rsidR="00197B91" w:rsidRPr="00EF7399">
        <w:rPr>
          <w:rFonts w:ascii="Times New Roman" w:hAnsi="Times New Roman" w:cs="Times New Roman"/>
          <w:lang w:val="af-ZA"/>
        </w:rPr>
        <w:t xml:space="preserve"> 11-րդ հոդվածով` 9-րդ հոդվածի</w:t>
      </w:r>
      <w:r w:rsidR="00293F86" w:rsidRPr="00EF7399">
        <w:rPr>
          <w:rFonts w:ascii="Times New Roman" w:hAnsi="Times New Roman" w:cs="Times New Roman"/>
          <w:lang w:val="hy-AM"/>
        </w:rPr>
        <w:t xml:space="preserve"> հետ</w:t>
      </w:r>
      <w:r w:rsidR="00197B91" w:rsidRPr="00EF7399">
        <w:rPr>
          <w:rFonts w:ascii="Times New Roman" w:hAnsi="Times New Roman" w:cs="Times New Roman"/>
          <w:lang w:val="af-ZA"/>
        </w:rPr>
        <w:t xml:space="preserve"> համակցությամբ, կրոնական կազմակերպություններին տրված չէ որոշակի իրավական կարգավիճակ ունենալու իրավունք: Կոնվենցիայի </w:t>
      </w:r>
      <w:r w:rsidRPr="00EF7399">
        <w:rPr>
          <w:rFonts w:ascii="Times New Roman" w:hAnsi="Times New Roman" w:cs="Times New Roman"/>
          <w:lang w:val="af-ZA"/>
        </w:rPr>
        <w:t>9</w:t>
      </w:r>
      <w:r w:rsidR="00197B91" w:rsidRPr="00EF7399">
        <w:rPr>
          <w:rFonts w:ascii="Times New Roman" w:hAnsi="Times New Roman" w:cs="Times New Roman"/>
          <w:lang w:val="af-ZA"/>
        </w:rPr>
        <w:t>-րդ և</w:t>
      </w:r>
      <w:r w:rsidRPr="00EF7399">
        <w:rPr>
          <w:rFonts w:ascii="Times New Roman" w:hAnsi="Times New Roman" w:cs="Times New Roman"/>
          <w:lang w:val="af-ZA"/>
        </w:rPr>
        <w:t xml:space="preserve"> 11</w:t>
      </w:r>
      <w:r w:rsidR="00197B91" w:rsidRPr="00EF7399">
        <w:rPr>
          <w:rFonts w:ascii="Times New Roman" w:hAnsi="Times New Roman" w:cs="Times New Roman"/>
          <w:lang w:val="af-ZA"/>
        </w:rPr>
        <w:t>-րդ հոդվածներն ընդամենը պահանջում են պետությունից երաշխավորել</w:t>
      </w:r>
      <w:r w:rsidR="00903F5D" w:rsidRPr="00EF7399">
        <w:rPr>
          <w:rFonts w:ascii="Times New Roman" w:hAnsi="Times New Roman" w:cs="Times New Roman"/>
          <w:lang w:val="af-ZA"/>
        </w:rPr>
        <w:t>, որ</w:t>
      </w:r>
      <w:r w:rsidR="00197B91" w:rsidRPr="00EF7399">
        <w:rPr>
          <w:rFonts w:ascii="Times New Roman" w:hAnsi="Times New Roman" w:cs="Times New Roman"/>
          <w:lang w:val="af-ZA"/>
        </w:rPr>
        <w:t xml:space="preserve"> կրոնական համայնքներ</w:t>
      </w:r>
      <w:r w:rsidR="00903F5D" w:rsidRPr="00EF7399">
        <w:rPr>
          <w:rFonts w:ascii="Times New Roman" w:hAnsi="Times New Roman" w:cs="Times New Roman"/>
          <w:lang w:val="af-ZA"/>
        </w:rPr>
        <w:t>ը հնարավորություն ունենան</w:t>
      </w:r>
      <w:r w:rsidR="005D16BF" w:rsidRPr="00EF7399">
        <w:rPr>
          <w:rFonts w:ascii="Times New Roman" w:hAnsi="Times New Roman" w:cs="Times New Roman"/>
          <w:lang w:val="af-ZA"/>
        </w:rPr>
        <w:t>,</w:t>
      </w:r>
      <w:r w:rsidR="00903F5D" w:rsidRPr="00EF7399">
        <w:rPr>
          <w:rFonts w:ascii="Times New Roman" w:hAnsi="Times New Roman" w:cs="Times New Roman"/>
          <w:lang w:val="af-ZA"/>
        </w:rPr>
        <w:t xml:space="preserve"> որպես քաղաքացիական իրավունքի սուբյեկտներ</w:t>
      </w:r>
      <w:r w:rsidR="005D16BF" w:rsidRPr="00EF7399">
        <w:rPr>
          <w:rFonts w:ascii="Times New Roman" w:hAnsi="Times New Roman" w:cs="Times New Roman"/>
          <w:lang w:val="af-ZA"/>
        </w:rPr>
        <w:t>,</w:t>
      </w:r>
      <w:r w:rsidR="00903F5D" w:rsidRPr="00EF7399">
        <w:rPr>
          <w:rFonts w:ascii="Times New Roman" w:hAnsi="Times New Roman" w:cs="Times New Roman"/>
          <w:lang w:val="af-ZA"/>
        </w:rPr>
        <w:t xml:space="preserve"> ձեռք բերել իրավունակություն, բայց չեն </w:t>
      </w:r>
      <w:r w:rsidR="00903F5D" w:rsidRPr="00EF7399">
        <w:rPr>
          <w:rFonts w:ascii="Times New Roman" w:hAnsi="Times New Roman" w:cs="Times New Roman"/>
          <w:lang w:val="af-ZA"/>
        </w:rPr>
        <w:lastRenderedPageBreak/>
        <w:t xml:space="preserve">պահանջում, որ դրանց տրվի հանրային իրավունքի կոնկրետ կարգավիճակ </w:t>
      </w:r>
      <w:r w:rsidRPr="00EF7399">
        <w:rPr>
          <w:rFonts w:ascii="Times New Roman" w:hAnsi="Times New Roman" w:cs="Times New Roman"/>
          <w:lang w:val="af-ZA"/>
        </w:rPr>
        <w:t>(</w:t>
      </w:r>
      <w:hyperlink r:id="rId478" w:history="1">
        <w:r w:rsidRPr="00EF7399">
          <w:rPr>
            <w:rStyle w:val="Hyperlink"/>
            <w:rFonts w:ascii="Times New Roman" w:hAnsi="Times New Roman" w:cs="Times New Roman"/>
            <w:lang w:val="af-ZA"/>
          </w:rPr>
          <w:t>Magyar Keresztény Mennonita Egyház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Hungary</w:t>
        </w:r>
      </w:hyperlink>
      <w:r w:rsidRPr="00EF7399">
        <w:rPr>
          <w:rFonts w:ascii="Times New Roman" w:hAnsi="Times New Roman" w:cs="Times New Roman"/>
          <w:lang w:val="af-ZA"/>
        </w:rPr>
        <w:t xml:space="preserve">, </w:t>
      </w:r>
      <w:r w:rsidR="00F11699"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Pr="00EF7399">
        <w:rPr>
          <w:rFonts w:ascii="Times New Roman" w:hAnsi="Times New Roman" w:cs="Times New Roman"/>
          <w:lang w:val="af-ZA"/>
        </w:rPr>
        <w:t>91)</w:t>
      </w:r>
      <w:r w:rsidR="00903F5D" w:rsidRPr="00EF7399">
        <w:rPr>
          <w:rFonts w:ascii="Times New Roman" w:hAnsi="Times New Roman" w:cs="Times New Roman"/>
          <w:lang w:val="af-ZA"/>
        </w:rPr>
        <w:t>:</w:t>
      </w:r>
    </w:p>
    <w:p w14:paraId="49C26E11" w14:textId="645CFD51"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217</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903F5D" w:rsidRPr="00EF7399">
        <w:rPr>
          <w:rFonts w:ascii="Times New Roman" w:hAnsi="Times New Roman" w:cs="Times New Roman"/>
          <w:lang w:val="af-ZA"/>
        </w:rPr>
        <w:t xml:space="preserve">Տարիներ շարունակ գոյություն ունեցած կրոնական համայնքի վերագրանցումը մերժելու համար պահանջվում են առանձնակի ծանրակշիռ և համոզիչ պատճառներ </w:t>
      </w:r>
      <w:r w:rsidRPr="00EF7399">
        <w:rPr>
          <w:rFonts w:ascii="Times New Roman" w:hAnsi="Times New Roman" w:cs="Times New Roman"/>
          <w:lang w:val="af-ZA"/>
        </w:rPr>
        <w:t>(</w:t>
      </w:r>
      <w:hyperlink r:id="rId479" w:history="1">
        <w:r w:rsidRPr="00EF7399">
          <w:rPr>
            <w:rStyle w:val="Hyperlink"/>
            <w:rFonts w:ascii="Times New Roman" w:hAnsi="Times New Roman" w:cs="Times New Roman"/>
            <w:lang w:val="af-ZA"/>
          </w:rPr>
          <w:t>Church of Scientology Moscow</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Russia</w:t>
        </w:r>
      </w:hyperlink>
      <w:r w:rsidRPr="00EF7399">
        <w:rPr>
          <w:rFonts w:ascii="Times New Roman" w:hAnsi="Times New Roman" w:cs="Times New Roman"/>
          <w:lang w:val="af-ZA"/>
        </w:rPr>
        <w:t xml:space="preserve">, </w:t>
      </w:r>
      <w:r w:rsidR="002C470F" w:rsidRPr="00EF7399">
        <w:rPr>
          <w:rFonts w:ascii="Times New Roman" w:hAnsi="Times New Roman" w:cs="Times New Roman"/>
          <w:lang w:val="af-ZA"/>
        </w:rPr>
        <w:t xml:space="preserve">2007,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96; </w:t>
      </w:r>
      <w:hyperlink r:id="rId480" w:history="1">
        <w:r w:rsidR="002C470F" w:rsidRPr="00EF7399">
          <w:rPr>
            <w:rStyle w:val="Hyperlink"/>
            <w:rFonts w:ascii="Times New Roman" w:hAnsi="Times New Roman" w:cs="Times New Roman"/>
            <w:lang w:val="af-ZA"/>
          </w:rPr>
          <w:t>Moscow Branch of the Salvation Army</w:t>
        </w:r>
        <w:r w:rsidR="00873234" w:rsidRPr="00EF7399">
          <w:rPr>
            <w:rStyle w:val="Hyperlink"/>
            <w:rFonts w:ascii="Times New Roman" w:hAnsi="Times New Roman" w:cs="Times New Roman"/>
            <w:lang w:val="af-ZA"/>
          </w:rPr>
          <w:t xml:space="preserve"> v. </w:t>
        </w:r>
        <w:r w:rsidR="002C470F" w:rsidRPr="00EF7399">
          <w:rPr>
            <w:rStyle w:val="Hyperlink"/>
            <w:rFonts w:ascii="Times New Roman" w:hAnsi="Times New Roman" w:cs="Times New Roman"/>
            <w:lang w:val="af-ZA"/>
          </w:rPr>
          <w:t>Russia</w:t>
        </w:r>
      </w:hyperlink>
      <w:r w:rsidRPr="00EF7399">
        <w:rPr>
          <w:rFonts w:ascii="Times New Roman" w:hAnsi="Times New Roman" w:cs="Times New Roman"/>
          <w:lang w:val="af-ZA"/>
        </w:rPr>
        <w:t xml:space="preserve">, </w:t>
      </w:r>
      <w:r w:rsidR="002C470F" w:rsidRPr="00EF7399">
        <w:rPr>
          <w:rFonts w:ascii="Times New Roman" w:hAnsi="Times New Roman" w:cs="Times New Roman"/>
          <w:lang w:val="af-ZA"/>
        </w:rPr>
        <w:t xml:space="preserve">2006,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96; </w:t>
      </w:r>
      <w:hyperlink r:id="rId481" w:history="1">
        <w:r w:rsidRPr="00EF7399">
          <w:rPr>
            <w:rStyle w:val="Hyperlink"/>
            <w:rFonts w:ascii="Times New Roman" w:hAnsi="Times New Roman" w:cs="Times New Roman"/>
            <w:lang w:val="af-ZA"/>
          </w:rPr>
          <w:t>J</w:t>
        </w:r>
        <w:r w:rsidRPr="00EF7399">
          <w:rPr>
            <w:rStyle w:val="Hyperlink"/>
            <w:rFonts w:ascii="Times New Roman" w:hAnsi="Times New Roman" w:cs="Times New Roman"/>
            <w:iCs/>
            <w:lang w:val="af-ZA"/>
          </w:rPr>
          <w:t>ehovah</w:t>
        </w:r>
        <w:r w:rsidR="00DF297D" w:rsidRPr="00EF7399">
          <w:rPr>
            <w:rStyle w:val="Hyperlink"/>
            <w:rFonts w:ascii="Times New Roman" w:hAnsi="Times New Roman" w:cs="Times New Roman"/>
            <w:iCs/>
            <w:lang w:val="af-ZA"/>
          </w:rPr>
          <w:t>’</w:t>
        </w:r>
        <w:r w:rsidRPr="00EF7399">
          <w:rPr>
            <w:rStyle w:val="Hyperlink"/>
            <w:rFonts w:ascii="Times New Roman" w:hAnsi="Times New Roman" w:cs="Times New Roman"/>
            <w:iCs/>
            <w:lang w:val="af-ZA"/>
          </w:rPr>
          <w:t>s Witnesses of Moscow</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Russia</w:t>
        </w:r>
      </w:hyperlink>
      <w:r w:rsidRPr="00EF7399">
        <w:rPr>
          <w:rFonts w:ascii="Times New Roman" w:hAnsi="Times New Roman" w:cs="Times New Roman"/>
          <w:iCs/>
          <w:lang w:val="af-ZA"/>
        </w:rPr>
        <w:t xml:space="preserve">, </w:t>
      </w:r>
      <w:r w:rsidR="002C470F" w:rsidRPr="00EF7399">
        <w:rPr>
          <w:rFonts w:ascii="Times New Roman" w:hAnsi="Times New Roman" w:cs="Times New Roman"/>
          <w:iCs/>
          <w:lang w:val="af-ZA"/>
        </w:rPr>
        <w:t xml:space="preserve">2010, </w:t>
      </w:r>
      <w:r w:rsidR="00873234" w:rsidRPr="00EF7399">
        <w:rPr>
          <w:rFonts w:ascii="Times New Roman" w:hAnsi="Times New Roman" w:cs="Times New Roman"/>
          <w:lang w:val="af-ZA"/>
        </w:rPr>
        <w:t>§ </w:t>
      </w:r>
      <w:r w:rsidR="00805F8E" w:rsidRPr="00EF7399">
        <w:rPr>
          <w:rFonts w:ascii="Times New Roman" w:hAnsi="Times New Roman" w:cs="Times New Roman"/>
          <w:lang w:val="af-ZA"/>
        </w:rPr>
        <w:t>180)</w:t>
      </w:r>
      <w:r w:rsidR="00903F5D" w:rsidRPr="00EF7399">
        <w:rPr>
          <w:rFonts w:ascii="Times New Roman" w:hAnsi="Times New Roman" w:cs="Times New Roman"/>
          <w:lang w:val="af-ZA"/>
        </w:rPr>
        <w:t>:</w:t>
      </w:r>
    </w:p>
    <w:p w14:paraId="43055C64" w14:textId="21BD9A8D" w:rsidR="001148BF" w:rsidRPr="00EF7399" w:rsidRDefault="001148BF" w:rsidP="001148BF">
      <w:pPr>
        <w:pStyle w:val="ECHRParaSpaced"/>
        <w:rPr>
          <w:rFonts w:ascii="Times New Roman" w:hAnsi="Times New Roman" w:cs="Times New Roman"/>
          <w:iCs/>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218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903F5D" w:rsidRPr="00EF7399">
        <w:rPr>
          <w:rFonts w:ascii="Times New Roman" w:hAnsi="Times New Roman" w:cs="Times New Roman"/>
          <w:lang w:val="af-ZA"/>
        </w:rPr>
        <w:t>Երբ գր</w:t>
      </w:r>
      <w:r w:rsidR="005D16BF" w:rsidRPr="00EF7399">
        <w:rPr>
          <w:rFonts w:ascii="Times New Roman" w:hAnsi="Times New Roman" w:cs="Times New Roman"/>
          <w:lang w:val="af-ZA"/>
        </w:rPr>
        <w:t>ա</w:t>
      </w:r>
      <w:r w:rsidR="00903F5D" w:rsidRPr="00EF7399">
        <w:rPr>
          <w:rFonts w:ascii="Times New Roman" w:hAnsi="Times New Roman" w:cs="Times New Roman"/>
          <w:lang w:val="af-ZA"/>
        </w:rPr>
        <w:t>նցումը մերժելու պատճառները չեն ունեցել իրավական կամ փաստական հիմքեր</w:t>
      </w:r>
      <w:r w:rsidR="009C5E4E" w:rsidRPr="00EF7399">
        <w:rPr>
          <w:rFonts w:ascii="Times New Roman" w:hAnsi="Times New Roman" w:cs="Times New Roman"/>
          <w:lang w:val="hy-AM"/>
        </w:rPr>
        <w:t>,</w:t>
      </w:r>
      <w:r w:rsidR="00903F5D" w:rsidRPr="00EF7399">
        <w:rPr>
          <w:rFonts w:ascii="Times New Roman" w:hAnsi="Times New Roman" w:cs="Times New Roman"/>
          <w:lang w:val="af-ZA"/>
        </w:rPr>
        <w:t xml:space="preserve"> Դատարանը գտել է, որ իշխանությունները բարեխղճորեն չեն գործել և անտեսել են </w:t>
      </w:r>
      <w:r w:rsidR="000F37D9" w:rsidRPr="00EF7399">
        <w:rPr>
          <w:rFonts w:ascii="Times New Roman" w:hAnsi="Times New Roman" w:cs="Times New Roman"/>
          <w:lang w:val="af-ZA"/>
        </w:rPr>
        <w:t xml:space="preserve">գանգատաբերի կրոնական համայնքի նկատմամբ ունեցած </w:t>
      </w:r>
      <w:r w:rsidR="00903F5D" w:rsidRPr="00EF7399">
        <w:rPr>
          <w:rFonts w:ascii="Times New Roman" w:hAnsi="Times New Roman" w:cs="Times New Roman"/>
          <w:lang w:val="af-ZA"/>
        </w:rPr>
        <w:t>չեզոքության  և անկողմնակալության իրենց պարտականությունը</w:t>
      </w:r>
      <w:r w:rsidR="000F37D9"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482" w:history="1">
        <w:r w:rsidR="002C470F" w:rsidRPr="00EF7399">
          <w:rPr>
            <w:rStyle w:val="Hyperlink"/>
            <w:rFonts w:ascii="Times New Roman" w:hAnsi="Times New Roman" w:cs="Times New Roman"/>
            <w:iCs/>
            <w:lang w:val="af-ZA"/>
          </w:rPr>
          <w:t>Moscow Branch of the Salvation Army</w:t>
        </w:r>
        <w:r w:rsidR="00873234" w:rsidRPr="00EF7399">
          <w:rPr>
            <w:rStyle w:val="Hyperlink"/>
            <w:rFonts w:ascii="Times New Roman" w:hAnsi="Times New Roman" w:cs="Times New Roman"/>
            <w:iCs/>
            <w:lang w:val="af-ZA"/>
          </w:rPr>
          <w:t xml:space="preserve"> v. </w:t>
        </w:r>
        <w:r w:rsidR="002C470F" w:rsidRPr="00EF7399">
          <w:rPr>
            <w:rStyle w:val="Hyperlink"/>
            <w:rFonts w:ascii="Times New Roman" w:hAnsi="Times New Roman" w:cs="Times New Roman"/>
            <w:iCs/>
            <w:lang w:val="af-ZA"/>
          </w:rPr>
          <w:t>Russia</w:t>
        </w:r>
      </w:hyperlink>
      <w:r w:rsidR="00535E5C" w:rsidRPr="00EF7399">
        <w:rPr>
          <w:rFonts w:ascii="Times New Roman" w:hAnsi="Times New Roman" w:cs="Times New Roman"/>
          <w:iCs/>
          <w:lang w:val="af-ZA"/>
        </w:rPr>
        <w:t xml:space="preserve">, </w:t>
      </w:r>
      <w:r w:rsidR="002C470F" w:rsidRPr="00EF7399">
        <w:rPr>
          <w:rFonts w:ascii="Times New Roman" w:hAnsi="Times New Roman" w:cs="Times New Roman"/>
          <w:lang w:val="af-ZA"/>
        </w:rPr>
        <w:t xml:space="preserve">2006, </w:t>
      </w:r>
      <w:r w:rsidR="00873234" w:rsidRPr="00EF7399">
        <w:rPr>
          <w:rFonts w:ascii="Times New Roman" w:hAnsi="Times New Roman" w:cs="Times New Roman"/>
          <w:iCs/>
          <w:lang w:val="af-ZA"/>
        </w:rPr>
        <w:t>§ </w:t>
      </w:r>
      <w:r w:rsidRPr="00EF7399">
        <w:rPr>
          <w:rFonts w:ascii="Times New Roman" w:hAnsi="Times New Roman" w:cs="Times New Roman"/>
          <w:iCs/>
          <w:lang w:val="af-ZA"/>
        </w:rPr>
        <w:t xml:space="preserve">97; </w:t>
      </w:r>
      <w:hyperlink r:id="rId483" w:history="1">
        <w:r w:rsidRPr="00EF7399">
          <w:rPr>
            <w:rStyle w:val="Hyperlink"/>
            <w:rFonts w:ascii="Times New Roman" w:hAnsi="Times New Roman" w:cs="Times New Roman"/>
            <w:iCs/>
            <w:lang w:val="af-ZA"/>
          </w:rPr>
          <w:t>Jehovah</w:t>
        </w:r>
        <w:r w:rsidR="00DF297D" w:rsidRPr="00EF7399">
          <w:rPr>
            <w:rStyle w:val="Hyperlink"/>
            <w:rFonts w:ascii="Times New Roman" w:hAnsi="Times New Roman" w:cs="Times New Roman"/>
            <w:iCs/>
            <w:lang w:val="af-ZA"/>
          </w:rPr>
          <w:t>’</w:t>
        </w:r>
        <w:r w:rsidRPr="00EF7399">
          <w:rPr>
            <w:rStyle w:val="Hyperlink"/>
            <w:rFonts w:ascii="Times New Roman" w:hAnsi="Times New Roman" w:cs="Times New Roman"/>
            <w:iCs/>
            <w:lang w:val="af-ZA"/>
          </w:rPr>
          <w:t>s Witnesses of Moscow</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Russia</w:t>
        </w:r>
      </w:hyperlink>
      <w:r w:rsidRPr="00EF7399">
        <w:rPr>
          <w:rFonts w:ascii="Times New Roman" w:hAnsi="Times New Roman" w:cs="Times New Roman"/>
          <w:lang w:val="af-ZA"/>
        </w:rPr>
        <w:t xml:space="preserve">, </w:t>
      </w:r>
      <w:r w:rsidR="002C470F" w:rsidRPr="00EF7399">
        <w:rPr>
          <w:rFonts w:ascii="Times New Roman" w:hAnsi="Times New Roman" w:cs="Times New Roman"/>
          <w:lang w:val="af-ZA"/>
        </w:rPr>
        <w:t xml:space="preserve">2010, </w:t>
      </w:r>
      <w:r w:rsidR="00873234" w:rsidRPr="00EF7399">
        <w:rPr>
          <w:rFonts w:ascii="Times New Roman" w:hAnsi="Times New Roman" w:cs="Times New Roman"/>
          <w:iCs/>
          <w:lang w:val="af-ZA"/>
        </w:rPr>
        <w:t>§ </w:t>
      </w:r>
      <w:r w:rsidRPr="00EF7399">
        <w:rPr>
          <w:rFonts w:ascii="Times New Roman" w:hAnsi="Times New Roman" w:cs="Times New Roman"/>
          <w:iCs/>
          <w:lang w:val="af-ZA"/>
        </w:rPr>
        <w:t xml:space="preserve">181; </w:t>
      </w:r>
      <w:hyperlink r:id="rId484" w:history="1">
        <w:r w:rsidRPr="00EF7399">
          <w:rPr>
            <w:rStyle w:val="Hyperlink"/>
            <w:rFonts w:ascii="Times New Roman" w:hAnsi="Times New Roman" w:cs="Times New Roman"/>
            <w:iCs/>
            <w:lang w:val="af-ZA"/>
          </w:rPr>
          <w:t>Church of Scientology Moscow</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Russia</w:t>
        </w:r>
      </w:hyperlink>
      <w:r w:rsidRPr="00EF7399">
        <w:rPr>
          <w:rFonts w:ascii="Times New Roman" w:hAnsi="Times New Roman" w:cs="Times New Roman"/>
          <w:iCs/>
          <w:lang w:val="af-ZA"/>
        </w:rPr>
        <w:t xml:space="preserve">, </w:t>
      </w:r>
      <w:r w:rsidR="002C470F" w:rsidRPr="00EF7399">
        <w:rPr>
          <w:rFonts w:ascii="Times New Roman" w:hAnsi="Times New Roman" w:cs="Times New Roman"/>
          <w:iCs/>
          <w:lang w:val="af-ZA"/>
        </w:rPr>
        <w:t xml:space="preserve">2007, </w:t>
      </w:r>
      <w:r w:rsidR="00873234" w:rsidRPr="00EF7399">
        <w:rPr>
          <w:rFonts w:ascii="Times New Roman" w:hAnsi="Times New Roman" w:cs="Times New Roman"/>
          <w:iCs/>
          <w:lang w:val="af-ZA"/>
        </w:rPr>
        <w:t>§ </w:t>
      </w:r>
      <w:r w:rsidRPr="00EF7399">
        <w:rPr>
          <w:rFonts w:ascii="Times New Roman" w:hAnsi="Times New Roman" w:cs="Times New Roman"/>
          <w:iCs/>
          <w:lang w:val="af-ZA"/>
        </w:rPr>
        <w:t>97)</w:t>
      </w:r>
      <w:r w:rsidR="000F37D9" w:rsidRPr="00EF7399">
        <w:rPr>
          <w:rFonts w:ascii="Times New Roman" w:hAnsi="Times New Roman" w:cs="Times New Roman"/>
          <w:iCs/>
          <w:lang w:val="af-ZA"/>
        </w:rPr>
        <w:t>:</w:t>
      </w:r>
    </w:p>
    <w:p w14:paraId="3FB6367B" w14:textId="0F7D9098"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219</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554537" w:rsidRPr="00EF7399">
        <w:rPr>
          <w:rFonts w:ascii="Times New Roman" w:hAnsi="Times New Roman" w:cs="Times New Roman"/>
          <w:lang w:val="af-ZA"/>
        </w:rPr>
        <w:t>Պետության իշխանություններ</w:t>
      </w:r>
      <w:r w:rsidR="005D16BF" w:rsidRPr="00EF7399">
        <w:rPr>
          <w:rFonts w:ascii="Times New Roman" w:hAnsi="Times New Roman" w:cs="Times New Roman"/>
          <w:lang w:val="af-ZA"/>
        </w:rPr>
        <w:t>ը</w:t>
      </w:r>
      <w:r w:rsidR="00554537" w:rsidRPr="00EF7399">
        <w:rPr>
          <w:rFonts w:ascii="Times New Roman" w:hAnsi="Times New Roman" w:cs="Times New Roman"/>
          <w:lang w:val="af-ZA"/>
        </w:rPr>
        <w:t xml:space="preserve"> պարտավոր են ողջամտորեն կրճատել</w:t>
      </w:r>
      <w:r w:rsidR="00D32208" w:rsidRPr="00EF7399">
        <w:rPr>
          <w:rFonts w:ascii="Times New Roman" w:hAnsi="Times New Roman" w:cs="Times New Roman"/>
          <w:lang w:val="af-ZA"/>
        </w:rPr>
        <w:t xml:space="preserve"> ժամանակը, որի ընթացքում</w:t>
      </w:r>
      <w:r w:rsidR="00554537" w:rsidRPr="00EF7399">
        <w:rPr>
          <w:rFonts w:ascii="Times New Roman" w:hAnsi="Times New Roman" w:cs="Times New Roman"/>
          <w:lang w:val="af-ZA"/>
        </w:rPr>
        <w:t xml:space="preserve"> </w:t>
      </w:r>
      <w:r w:rsidR="00D32208" w:rsidRPr="00EF7399">
        <w:rPr>
          <w:rFonts w:ascii="Times New Roman" w:hAnsi="Times New Roman" w:cs="Times New Roman"/>
          <w:lang w:val="af-ZA"/>
        </w:rPr>
        <w:t xml:space="preserve">կրոնական համայնքը սպասում է իրավաբանական անձի կարգավիճակ շնորհելուն </w:t>
      </w:r>
      <w:r w:rsidRPr="00EF7399">
        <w:rPr>
          <w:rFonts w:ascii="Times New Roman" w:hAnsi="Times New Roman" w:cs="Times New Roman"/>
          <w:lang w:val="af-ZA"/>
        </w:rPr>
        <w:t>(</w:t>
      </w:r>
      <w:hyperlink r:id="rId485" w:history="1">
        <w:r w:rsidRPr="00EF7399">
          <w:rPr>
            <w:rStyle w:val="Hyperlink"/>
            <w:rFonts w:ascii="Times New Roman" w:hAnsi="Times New Roman" w:cs="Times New Roman"/>
            <w:lang w:val="af-ZA"/>
          </w:rPr>
          <w:t>Religionsgemeinschaft der Zeugen Jehovas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Austria</w:t>
        </w:r>
      </w:hyperlink>
      <w:r w:rsidRPr="00EF7399">
        <w:rPr>
          <w:rFonts w:ascii="Times New Roman" w:hAnsi="Times New Roman" w:cs="Times New Roman"/>
          <w:lang w:val="af-ZA"/>
        </w:rPr>
        <w:t xml:space="preserve">, </w:t>
      </w:r>
      <w:r w:rsidR="002C470F" w:rsidRPr="00EF7399">
        <w:rPr>
          <w:rFonts w:ascii="Times New Roman" w:hAnsi="Times New Roman" w:cs="Times New Roman"/>
          <w:lang w:val="af-ZA"/>
        </w:rPr>
        <w:t xml:space="preserve">2008, </w:t>
      </w:r>
      <w:r w:rsidR="00873234" w:rsidRPr="00EF7399">
        <w:rPr>
          <w:rFonts w:ascii="Times New Roman" w:hAnsi="Times New Roman" w:cs="Times New Roman"/>
          <w:lang w:val="af-ZA"/>
        </w:rPr>
        <w:t>§ </w:t>
      </w:r>
      <w:r w:rsidRPr="00EF7399">
        <w:rPr>
          <w:rFonts w:ascii="Times New Roman" w:hAnsi="Times New Roman" w:cs="Times New Roman"/>
          <w:lang w:val="af-ZA"/>
        </w:rPr>
        <w:t>79)</w:t>
      </w:r>
      <w:r w:rsidR="00D32208" w:rsidRPr="00EF7399">
        <w:rPr>
          <w:rFonts w:ascii="Times New Roman" w:hAnsi="Times New Roman" w:cs="Times New Roman"/>
          <w:lang w:val="af-ZA"/>
        </w:rPr>
        <w:t xml:space="preserve">: Սակայն նոր ստեղծված և անհայտ կրոնական խմբերի դեպքում կարող է առաջանալ </w:t>
      </w:r>
      <w:r w:rsidR="007D6796" w:rsidRPr="00EF7399">
        <w:rPr>
          <w:rFonts w:ascii="Times New Roman" w:hAnsi="Times New Roman" w:cs="Times New Roman"/>
          <w:lang w:val="af-ZA"/>
        </w:rPr>
        <w:t xml:space="preserve">ողջամիտ նվազագույն ժամանակահատված սահմանելու </w:t>
      </w:r>
      <w:r w:rsidR="00D32208" w:rsidRPr="00EF7399">
        <w:rPr>
          <w:rFonts w:ascii="Times New Roman" w:hAnsi="Times New Roman" w:cs="Times New Roman"/>
          <w:lang w:val="af-ZA"/>
        </w:rPr>
        <w:t>անհրաժեշտություն</w:t>
      </w:r>
      <w:r w:rsidRPr="00EF7399">
        <w:rPr>
          <w:rFonts w:ascii="Times New Roman" w:hAnsi="Times New Roman" w:cs="Times New Roman"/>
          <w:lang w:val="af-ZA"/>
        </w:rPr>
        <w:t xml:space="preserve"> (</w:t>
      </w:r>
      <w:hyperlink r:id="rId486" w:history="1">
        <w:r w:rsidRPr="00EF7399">
          <w:rPr>
            <w:rStyle w:val="Hyperlink"/>
            <w:rFonts w:ascii="Times New Roman" w:hAnsi="Times New Roman" w:cs="Times New Roman"/>
            <w:lang w:val="af-ZA"/>
          </w:rPr>
          <w:t>Magyar Keresztény Mennonita Egyház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Hungary</w:t>
        </w:r>
      </w:hyperlink>
      <w:r w:rsidRPr="00EF7399">
        <w:rPr>
          <w:rFonts w:ascii="Times New Roman" w:hAnsi="Times New Roman" w:cs="Times New Roman"/>
          <w:lang w:val="af-ZA"/>
        </w:rPr>
        <w:t xml:space="preserve">, </w:t>
      </w:r>
      <w:r w:rsidR="00F11699"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Pr="00EF7399">
        <w:rPr>
          <w:rFonts w:ascii="Times New Roman" w:hAnsi="Times New Roman" w:cs="Times New Roman"/>
          <w:lang w:val="af-ZA"/>
        </w:rPr>
        <w:t>111)</w:t>
      </w:r>
      <w:r w:rsidR="007D6796" w:rsidRPr="00EF7399">
        <w:rPr>
          <w:rFonts w:ascii="Times New Roman" w:hAnsi="Times New Roman" w:cs="Times New Roman"/>
          <w:lang w:val="af-ZA"/>
        </w:rPr>
        <w:t>:</w:t>
      </w:r>
    </w:p>
    <w:p w14:paraId="4C54D178" w14:textId="3F552CC4"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220</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7D6796" w:rsidRPr="00EF7399">
        <w:rPr>
          <w:rFonts w:ascii="Times New Roman" w:hAnsi="Times New Roman" w:cs="Times New Roman"/>
          <w:lang w:val="af-ZA"/>
        </w:rPr>
        <w:t>Գրանցման մերժումն</w:t>
      </w:r>
      <w:r w:rsidR="0019088C" w:rsidRPr="00EF7399">
        <w:rPr>
          <w:rFonts w:ascii="Times New Roman" w:hAnsi="Times New Roman" w:cs="Times New Roman"/>
          <w:lang w:val="af-ZA"/>
        </w:rPr>
        <w:t xml:space="preserve"> </w:t>
      </w:r>
      <w:r w:rsidR="0019088C" w:rsidRPr="00EF7399">
        <w:rPr>
          <w:rFonts w:ascii="Times New Roman" w:hAnsi="Times New Roman" w:cs="Times New Roman"/>
          <w:lang w:val="hy-AM"/>
        </w:rPr>
        <w:t>այն</w:t>
      </w:r>
      <w:r w:rsidR="007D6796" w:rsidRPr="00EF7399">
        <w:rPr>
          <w:rFonts w:ascii="Times New Roman" w:hAnsi="Times New Roman" w:cs="Times New Roman"/>
          <w:lang w:val="af-ZA"/>
        </w:rPr>
        <w:t xml:space="preserve"> իրավական </w:t>
      </w:r>
      <w:r w:rsidR="0019088C" w:rsidRPr="00EF7399">
        <w:rPr>
          <w:rFonts w:ascii="Times New Roman" w:hAnsi="Times New Roman" w:cs="Times New Roman"/>
          <w:lang w:val="hy-AM"/>
        </w:rPr>
        <w:t>դրույթների հիմքով</w:t>
      </w:r>
      <w:r w:rsidR="007D6796" w:rsidRPr="00EF7399">
        <w:rPr>
          <w:rFonts w:ascii="Times New Roman" w:hAnsi="Times New Roman" w:cs="Times New Roman"/>
          <w:lang w:val="af-ZA"/>
        </w:rPr>
        <w:t>, որոնք արգելում են իրավաբանական անձի կարգավիճակ շնորհել տվյալ տարածքում առնվազն տասնհինգ տարուց քիչ գոյություն ունեցող կրոնական բոլոր խմբերին</w:t>
      </w:r>
      <w:r w:rsidR="0019088C" w:rsidRPr="00EF7399">
        <w:rPr>
          <w:rFonts w:ascii="Times New Roman" w:hAnsi="Times New Roman" w:cs="Times New Roman"/>
          <w:lang w:val="hy-AM"/>
        </w:rPr>
        <w:t>,</w:t>
      </w:r>
      <w:r w:rsidR="007D6796" w:rsidRPr="00EF7399">
        <w:rPr>
          <w:rFonts w:ascii="Times New Roman" w:hAnsi="Times New Roman" w:cs="Times New Roman"/>
          <w:lang w:val="af-ZA"/>
        </w:rPr>
        <w:t xml:space="preserve"> հիմնավոր չէ </w:t>
      </w:r>
      <w:r w:rsidRPr="00EF7399">
        <w:rPr>
          <w:rFonts w:ascii="Times New Roman" w:hAnsi="Times New Roman" w:cs="Times New Roman"/>
          <w:lang w:val="af-ZA"/>
        </w:rPr>
        <w:t>(</w:t>
      </w:r>
      <w:hyperlink r:id="rId487" w:history="1">
        <w:r w:rsidRPr="00EF7399">
          <w:rPr>
            <w:rStyle w:val="Hyperlink"/>
            <w:rFonts w:ascii="Times New Roman" w:hAnsi="Times New Roman" w:cs="Times New Roman"/>
            <w:lang w:val="af-ZA"/>
          </w:rPr>
          <w:t>Kimlya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Russia</w:t>
        </w:r>
      </w:hyperlink>
      <w:r w:rsidRPr="00EF7399">
        <w:rPr>
          <w:rFonts w:ascii="Times New Roman" w:hAnsi="Times New Roman" w:cs="Times New Roman"/>
          <w:lang w:val="af-ZA"/>
        </w:rPr>
        <w:t xml:space="preserve">, </w:t>
      </w:r>
      <w:r w:rsidR="00F11699" w:rsidRPr="00EF7399">
        <w:rPr>
          <w:rFonts w:ascii="Times New Roman" w:hAnsi="Times New Roman" w:cs="Times New Roman"/>
          <w:lang w:val="af-ZA"/>
        </w:rPr>
        <w:t xml:space="preserve">2009, </w:t>
      </w:r>
      <w:r w:rsidR="00873234" w:rsidRPr="00EF7399">
        <w:rPr>
          <w:rFonts w:ascii="Times New Roman" w:hAnsi="Times New Roman" w:cs="Times New Roman"/>
          <w:lang w:val="af-ZA"/>
        </w:rPr>
        <w:t>§ </w:t>
      </w:r>
      <w:r w:rsidRPr="00EF7399">
        <w:rPr>
          <w:rFonts w:ascii="Times New Roman" w:hAnsi="Times New Roman" w:cs="Times New Roman"/>
          <w:lang w:val="af-ZA"/>
        </w:rPr>
        <w:t>98-101)</w:t>
      </w:r>
      <w:r w:rsidR="007D6796" w:rsidRPr="00EF7399">
        <w:rPr>
          <w:rFonts w:ascii="Times New Roman" w:hAnsi="Times New Roman" w:cs="Times New Roman"/>
          <w:lang w:val="af-ZA"/>
        </w:rPr>
        <w:t>:</w:t>
      </w:r>
    </w:p>
    <w:p w14:paraId="6CF4B8B1" w14:textId="0EE872E1"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221</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7D6796" w:rsidRPr="00EF7399">
        <w:rPr>
          <w:rFonts w:ascii="Times New Roman" w:hAnsi="Times New Roman" w:cs="Times New Roman"/>
          <w:lang w:val="af-ZA"/>
        </w:rPr>
        <w:t>Կրոնի հիմնարար սկզբունք</w:t>
      </w:r>
      <w:r w:rsidR="00D77495" w:rsidRPr="00EF7399">
        <w:rPr>
          <w:rFonts w:ascii="Times New Roman" w:hAnsi="Times New Roman" w:cs="Times New Roman"/>
          <w:lang w:val="hy-AM"/>
        </w:rPr>
        <w:t>ն</w:t>
      </w:r>
      <w:r w:rsidR="007D6796" w:rsidRPr="00EF7399">
        <w:rPr>
          <w:rFonts w:ascii="Times New Roman" w:hAnsi="Times New Roman" w:cs="Times New Roman"/>
          <w:lang w:val="af-ZA"/>
        </w:rPr>
        <w:t>երի մասին տեղեկություններ չներկայացնելու հիմքով գրանցման մերժումը</w:t>
      </w:r>
      <w:r w:rsidR="00D77495" w:rsidRPr="00EF7399">
        <w:rPr>
          <w:rFonts w:ascii="Times New Roman" w:hAnsi="Times New Roman" w:cs="Times New Roman"/>
          <w:lang w:val="hy-AM"/>
        </w:rPr>
        <w:t>,</w:t>
      </w:r>
      <w:r w:rsidR="007D6796" w:rsidRPr="00EF7399">
        <w:rPr>
          <w:rFonts w:ascii="Times New Roman" w:hAnsi="Times New Roman" w:cs="Times New Roman"/>
          <w:lang w:val="af-ZA"/>
        </w:rPr>
        <w:t xml:space="preserve"> գործի առանձնահատուկ հանգամանքներից ելնելով</w:t>
      </w:r>
      <w:r w:rsidR="00D77495" w:rsidRPr="00EF7399">
        <w:rPr>
          <w:rFonts w:ascii="Times New Roman" w:hAnsi="Times New Roman" w:cs="Times New Roman"/>
          <w:lang w:val="hy-AM"/>
        </w:rPr>
        <w:t>,</w:t>
      </w:r>
      <w:r w:rsidR="007D6796" w:rsidRPr="00EF7399">
        <w:rPr>
          <w:rFonts w:ascii="Times New Roman" w:hAnsi="Times New Roman" w:cs="Times New Roman"/>
          <w:lang w:val="af-ZA"/>
        </w:rPr>
        <w:t xml:space="preserve"> </w:t>
      </w:r>
      <w:r w:rsidR="00D77495" w:rsidRPr="00EF7399">
        <w:rPr>
          <w:rFonts w:ascii="Times New Roman" w:hAnsi="Times New Roman" w:cs="Times New Roman"/>
          <w:lang w:val="af-ZA"/>
        </w:rPr>
        <w:t xml:space="preserve">կարող է </w:t>
      </w:r>
      <w:r w:rsidR="007D6796" w:rsidRPr="00EF7399">
        <w:rPr>
          <w:rFonts w:ascii="Times New Roman" w:hAnsi="Times New Roman" w:cs="Times New Roman"/>
          <w:lang w:val="af-ZA"/>
        </w:rPr>
        <w:t>հիմնավորվ</w:t>
      </w:r>
      <w:r w:rsidR="00F57CA3" w:rsidRPr="00EF7399">
        <w:rPr>
          <w:rFonts w:ascii="Times New Roman" w:hAnsi="Times New Roman" w:cs="Times New Roman"/>
          <w:lang w:val="hy-AM"/>
        </w:rPr>
        <w:t>ած լինել</w:t>
      </w:r>
      <w:r w:rsidR="007D6796" w:rsidRPr="00EF7399">
        <w:rPr>
          <w:rFonts w:ascii="Times New Roman" w:hAnsi="Times New Roman" w:cs="Times New Roman"/>
          <w:lang w:val="af-ZA"/>
        </w:rPr>
        <w:t xml:space="preserve"> </w:t>
      </w:r>
      <w:r w:rsidR="00DD637A" w:rsidRPr="00EF7399">
        <w:rPr>
          <w:rFonts w:ascii="Times New Roman" w:hAnsi="Times New Roman" w:cs="Times New Roman"/>
          <w:lang w:val="af-ZA"/>
        </w:rPr>
        <w:t xml:space="preserve">ժողովրդավարական հասարակության համար գրանցման դիմած հարանվանության վտանգավորությունը </w:t>
      </w:r>
      <w:r w:rsidR="007D6796" w:rsidRPr="00EF7399">
        <w:rPr>
          <w:rFonts w:ascii="Times New Roman" w:hAnsi="Times New Roman" w:cs="Times New Roman"/>
          <w:lang w:val="af-ZA"/>
        </w:rPr>
        <w:t xml:space="preserve">պարզելու անհրաժեշտությամբ </w:t>
      </w:r>
      <w:r w:rsidRPr="00EF7399">
        <w:rPr>
          <w:rFonts w:ascii="Times New Roman" w:hAnsi="Times New Roman" w:cs="Times New Roman"/>
          <w:lang w:val="af-ZA"/>
        </w:rPr>
        <w:t>(</w:t>
      </w:r>
      <w:hyperlink r:id="rId488" w:history="1">
        <w:r w:rsidRPr="00EF7399">
          <w:rPr>
            <w:rStyle w:val="Hyperlink"/>
            <w:rFonts w:ascii="Times New Roman" w:hAnsi="Times New Roman" w:cs="Times New Roman"/>
            <w:lang w:val="af-ZA"/>
          </w:rPr>
          <w:t>Cârmuirea Spirituală a Musulmanilor din Republica Moldova</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Moldova</w:t>
        </w:r>
      </w:hyperlink>
      <w:r w:rsidR="00805F8E" w:rsidRPr="00EF7399">
        <w:rPr>
          <w:rFonts w:ascii="Times New Roman" w:hAnsi="Times New Roman" w:cs="Times New Roman"/>
          <w:lang w:val="af-ZA"/>
        </w:rPr>
        <w:t xml:space="preserve"> (dec.)</w:t>
      </w:r>
      <w:r w:rsidR="002C470F" w:rsidRPr="00EF7399">
        <w:rPr>
          <w:rFonts w:ascii="Times New Roman" w:hAnsi="Times New Roman" w:cs="Times New Roman"/>
          <w:lang w:val="af-ZA"/>
        </w:rPr>
        <w:t>, 2005</w:t>
      </w:r>
      <w:r w:rsidR="00805F8E" w:rsidRPr="00EF7399">
        <w:rPr>
          <w:rFonts w:ascii="Times New Roman" w:hAnsi="Times New Roman" w:cs="Times New Roman"/>
          <w:lang w:val="af-ZA"/>
        </w:rPr>
        <w:t>)</w:t>
      </w:r>
      <w:r w:rsidR="00DD637A" w:rsidRPr="00EF7399">
        <w:rPr>
          <w:rFonts w:ascii="Times New Roman" w:hAnsi="Times New Roman" w:cs="Times New Roman"/>
          <w:lang w:val="af-ZA"/>
        </w:rPr>
        <w:t>:</w:t>
      </w:r>
    </w:p>
    <w:p w14:paraId="035E3ED0" w14:textId="5F17913A" w:rsidR="001148BF" w:rsidRPr="00EF7399" w:rsidRDefault="001148BF" w:rsidP="001148BF">
      <w:pPr>
        <w:pStyle w:val="ECHRParaSpaced"/>
        <w:rPr>
          <w:rFonts w:ascii="Times New Roman" w:hAnsi="Times New Roman" w:cs="Times New Roman"/>
          <w:bCs/>
          <w:iCs/>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222</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DD637A" w:rsidRPr="00EF7399">
        <w:rPr>
          <w:rFonts w:ascii="Times New Roman" w:hAnsi="Times New Roman" w:cs="Times New Roman"/>
          <w:lang w:val="af-ZA"/>
        </w:rPr>
        <w:t>Իրավաչափ է պահանջել</w:t>
      </w:r>
      <w:r w:rsidR="004911DA" w:rsidRPr="00EF7399">
        <w:rPr>
          <w:rFonts w:ascii="Times New Roman" w:hAnsi="Times New Roman" w:cs="Times New Roman"/>
          <w:lang w:val="hy-AM"/>
        </w:rPr>
        <w:t>ը</w:t>
      </w:r>
      <w:r w:rsidR="00DD637A" w:rsidRPr="00EF7399">
        <w:rPr>
          <w:rFonts w:ascii="Times New Roman" w:hAnsi="Times New Roman" w:cs="Times New Roman"/>
          <w:lang w:val="af-ZA"/>
        </w:rPr>
        <w:t xml:space="preserve"> գրանցման դիմող կազմակերպությունից տարբեր</w:t>
      </w:r>
      <w:r w:rsidR="004911DA" w:rsidRPr="00EF7399">
        <w:rPr>
          <w:rFonts w:ascii="Times New Roman" w:hAnsi="Times New Roman" w:cs="Times New Roman"/>
          <w:lang w:val="hy-AM"/>
        </w:rPr>
        <w:t>ակ</w:t>
      </w:r>
      <w:r w:rsidR="00DD637A" w:rsidRPr="00EF7399">
        <w:rPr>
          <w:rFonts w:ascii="Times New Roman" w:hAnsi="Times New Roman" w:cs="Times New Roman"/>
          <w:lang w:val="af-ZA"/>
        </w:rPr>
        <w:t xml:space="preserve">ել իրեն արդեն իսկ գոյություն ունեցող միավորումներից` հանրության աչքերում շփոթությունը կանխելու համար </w:t>
      </w:r>
      <w:r w:rsidRPr="00EF7399">
        <w:rPr>
          <w:rFonts w:ascii="Times New Roman" w:hAnsi="Times New Roman" w:cs="Times New Roman"/>
          <w:lang w:val="af-ZA"/>
        </w:rPr>
        <w:t>(</w:t>
      </w:r>
      <w:hyperlink r:id="rId489" w:history="1">
        <w:r w:rsidRPr="00EF7399">
          <w:rPr>
            <w:rStyle w:val="Hyperlink"/>
            <w:rFonts w:ascii="Times New Roman" w:hAnsi="Times New Roman" w:cs="Times New Roman"/>
            <w:bCs/>
            <w:iCs/>
            <w:lang w:val="af-ZA"/>
          </w:rPr>
          <w:t>Metodiev and Others</w:t>
        </w:r>
        <w:r w:rsidR="00873234" w:rsidRPr="00EF7399">
          <w:rPr>
            <w:rStyle w:val="Hyperlink"/>
            <w:rFonts w:ascii="Times New Roman" w:hAnsi="Times New Roman" w:cs="Times New Roman"/>
            <w:bCs/>
            <w:iCs/>
            <w:lang w:val="af-ZA"/>
          </w:rPr>
          <w:t xml:space="preserve"> v. </w:t>
        </w:r>
        <w:r w:rsidRPr="00EF7399">
          <w:rPr>
            <w:rStyle w:val="Hyperlink"/>
            <w:rFonts w:ascii="Times New Roman" w:hAnsi="Times New Roman" w:cs="Times New Roman"/>
            <w:bCs/>
            <w:iCs/>
            <w:lang w:val="af-ZA"/>
          </w:rPr>
          <w:t>Bulgaria</w:t>
        </w:r>
      </w:hyperlink>
      <w:r w:rsidRPr="00EF7399">
        <w:rPr>
          <w:rFonts w:ascii="Times New Roman" w:hAnsi="Times New Roman" w:cs="Times New Roman"/>
          <w:bCs/>
          <w:lang w:val="af-ZA"/>
        </w:rPr>
        <w:t xml:space="preserve">, </w:t>
      </w:r>
      <w:r w:rsidR="002C470F" w:rsidRPr="00EF7399">
        <w:rPr>
          <w:rFonts w:ascii="Times New Roman" w:hAnsi="Times New Roman" w:cs="Times New Roman"/>
          <w:bCs/>
          <w:lang w:val="af-ZA"/>
        </w:rPr>
        <w:t xml:space="preserve">2017, </w:t>
      </w:r>
      <w:r w:rsidR="00873234" w:rsidRPr="00EF7399">
        <w:rPr>
          <w:rFonts w:ascii="Times New Roman" w:hAnsi="Times New Roman" w:cs="Times New Roman"/>
          <w:bCs/>
          <w:iCs/>
          <w:lang w:val="af-ZA"/>
        </w:rPr>
        <w:t>§ </w:t>
      </w:r>
      <w:r w:rsidRPr="00EF7399">
        <w:rPr>
          <w:rFonts w:ascii="Times New Roman" w:hAnsi="Times New Roman" w:cs="Times New Roman"/>
          <w:bCs/>
          <w:iCs/>
          <w:lang w:val="af-ZA"/>
        </w:rPr>
        <w:t xml:space="preserve">43; </w:t>
      </w:r>
      <w:hyperlink r:id="rId490" w:history="1">
        <w:r w:rsidRPr="00EF7399">
          <w:rPr>
            <w:rStyle w:val="Hyperlink"/>
            <w:rFonts w:ascii="Times New Roman" w:hAnsi="Times New Roman" w:cs="Times New Roman"/>
            <w:bCs/>
            <w:iCs/>
            <w:lang w:val="af-ZA"/>
          </w:rPr>
          <w:t>“Orthodox Ohrid Archdiocese (Greek-Orthodox Ohrid Archdiocese of the Peć Patriarchy)”</w:t>
        </w:r>
        <w:r w:rsidR="00873234" w:rsidRPr="00EF7399">
          <w:rPr>
            <w:rStyle w:val="Hyperlink"/>
            <w:rFonts w:ascii="Times New Roman" w:hAnsi="Times New Roman" w:cs="Times New Roman"/>
            <w:bCs/>
            <w:iCs/>
            <w:lang w:val="af-ZA"/>
          </w:rPr>
          <w:t xml:space="preserve"> v. </w:t>
        </w:r>
        <w:r w:rsidRPr="00EF7399">
          <w:rPr>
            <w:rStyle w:val="Hyperlink"/>
            <w:rFonts w:ascii="Times New Roman" w:hAnsi="Times New Roman" w:cs="Times New Roman"/>
            <w:bCs/>
            <w:iCs/>
            <w:lang w:val="af-ZA"/>
          </w:rPr>
          <w:t>the former Yugoslav Republic of Macedonia</w:t>
        </w:r>
      </w:hyperlink>
      <w:r w:rsidRPr="00EF7399">
        <w:rPr>
          <w:rFonts w:ascii="Times New Roman" w:hAnsi="Times New Roman" w:cs="Times New Roman"/>
          <w:bCs/>
          <w:lang w:val="af-ZA"/>
        </w:rPr>
        <w:t xml:space="preserve">, </w:t>
      </w:r>
      <w:r w:rsidR="002A3689" w:rsidRPr="00EF7399">
        <w:rPr>
          <w:rFonts w:ascii="Times New Roman" w:hAnsi="Times New Roman" w:cs="Times New Roman"/>
          <w:bCs/>
          <w:lang w:val="af-ZA"/>
        </w:rPr>
        <w:t xml:space="preserve">2017, </w:t>
      </w:r>
      <w:r w:rsidR="00873234" w:rsidRPr="00EF7399">
        <w:rPr>
          <w:rFonts w:ascii="Times New Roman" w:hAnsi="Times New Roman" w:cs="Times New Roman"/>
          <w:bCs/>
          <w:iCs/>
          <w:lang w:val="af-ZA"/>
        </w:rPr>
        <w:t>§ </w:t>
      </w:r>
      <w:r w:rsidRPr="00EF7399">
        <w:rPr>
          <w:rFonts w:ascii="Times New Roman" w:hAnsi="Times New Roman" w:cs="Times New Roman"/>
          <w:bCs/>
          <w:iCs/>
          <w:lang w:val="af-ZA"/>
        </w:rPr>
        <w:t xml:space="preserve">111; </w:t>
      </w:r>
      <w:hyperlink r:id="rId491" w:history="1">
        <w:r w:rsidRPr="00EF7399">
          <w:rPr>
            <w:rStyle w:val="Hyperlink"/>
            <w:rFonts w:ascii="Times New Roman" w:hAnsi="Times New Roman" w:cs="Times New Roman"/>
            <w:bCs/>
            <w:iCs/>
            <w:lang w:val="af-ZA"/>
          </w:rPr>
          <w:t>Bektashi Community and Others</w:t>
        </w:r>
        <w:r w:rsidR="00873234" w:rsidRPr="00EF7399">
          <w:rPr>
            <w:rStyle w:val="Hyperlink"/>
            <w:rFonts w:ascii="Times New Roman" w:hAnsi="Times New Roman" w:cs="Times New Roman"/>
            <w:bCs/>
            <w:iCs/>
            <w:lang w:val="af-ZA"/>
          </w:rPr>
          <w:t xml:space="preserve"> v. </w:t>
        </w:r>
        <w:r w:rsidRPr="00EF7399">
          <w:rPr>
            <w:rStyle w:val="Hyperlink"/>
            <w:rFonts w:ascii="Times New Roman" w:hAnsi="Times New Roman" w:cs="Times New Roman"/>
            <w:bCs/>
            <w:iCs/>
            <w:lang w:val="af-ZA"/>
          </w:rPr>
          <w:t>the former Yugoslav Republic of Macedonia</w:t>
        </w:r>
      </w:hyperlink>
      <w:r w:rsidRPr="00EF7399">
        <w:rPr>
          <w:rFonts w:ascii="Times New Roman" w:hAnsi="Times New Roman" w:cs="Times New Roman"/>
          <w:bCs/>
          <w:iCs/>
          <w:lang w:val="af-ZA"/>
        </w:rPr>
        <w:t xml:space="preserve">, </w:t>
      </w:r>
      <w:r w:rsidR="002A3689" w:rsidRPr="00EF7399">
        <w:rPr>
          <w:rFonts w:ascii="Times New Roman" w:hAnsi="Times New Roman" w:cs="Times New Roman"/>
          <w:bCs/>
          <w:iCs/>
          <w:lang w:val="af-ZA"/>
        </w:rPr>
        <w:t xml:space="preserve">2018, </w:t>
      </w:r>
      <w:r w:rsidR="00873234" w:rsidRPr="00EF7399">
        <w:rPr>
          <w:rFonts w:ascii="Times New Roman" w:hAnsi="Times New Roman" w:cs="Times New Roman"/>
          <w:bCs/>
          <w:iCs/>
          <w:lang w:val="af-ZA"/>
        </w:rPr>
        <w:t>§ </w:t>
      </w:r>
      <w:r w:rsidRPr="00EF7399">
        <w:rPr>
          <w:rFonts w:ascii="Times New Roman" w:hAnsi="Times New Roman" w:cs="Times New Roman"/>
          <w:bCs/>
          <w:iCs/>
          <w:lang w:val="af-ZA"/>
        </w:rPr>
        <w:t>71)</w:t>
      </w:r>
      <w:r w:rsidR="00DD637A" w:rsidRPr="00EF7399">
        <w:rPr>
          <w:rFonts w:ascii="Times New Roman" w:hAnsi="Times New Roman" w:cs="Times New Roman"/>
          <w:bCs/>
          <w:iCs/>
          <w:lang w:val="af-ZA"/>
        </w:rPr>
        <w:t>: Դատարանը</w:t>
      </w:r>
      <w:r w:rsidR="00EA39E2" w:rsidRPr="00EF7399">
        <w:rPr>
          <w:rFonts w:ascii="Times New Roman" w:hAnsi="Times New Roman" w:cs="Times New Roman"/>
          <w:bCs/>
          <w:iCs/>
          <w:lang w:val="af-ZA"/>
        </w:rPr>
        <w:t>, սակայն,</w:t>
      </w:r>
      <w:r w:rsidR="00DD637A" w:rsidRPr="00EF7399">
        <w:rPr>
          <w:rFonts w:ascii="Times New Roman" w:hAnsi="Times New Roman" w:cs="Times New Roman"/>
          <w:bCs/>
          <w:iCs/>
          <w:lang w:val="af-ZA"/>
        </w:rPr>
        <w:t xml:space="preserve"> գտել է, որ կրոնական միավորման կանոնադրության մեջ սեփական </w:t>
      </w:r>
      <w:r w:rsidR="004911DA" w:rsidRPr="00EF7399">
        <w:rPr>
          <w:rFonts w:ascii="Times New Roman" w:hAnsi="Times New Roman" w:cs="Times New Roman"/>
          <w:bCs/>
          <w:iCs/>
          <w:lang w:val="hy-AM"/>
        </w:rPr>
        <w:t>համոզմունքների</w:t>
      </w:r>
      <w:r w:rsidR="004911DA" w:rsidRPr="00EF7399">
        <w:rPr>
          <w:rFonts w:ascii="Times New Roman" w:hAnsi="Times New Roman" w:cs="Times New Roman"/>
          <w:bCs/>
          <w:iCs/>
          <w:lang w:val="af-ZA"/>
        </w:rPr>
        <w:t xml:space="preserve"> </w:t>
      </w:r>
      <w:r w:rsidR="00DD637A" w:rsidRPr="00EF7399">
        <w:rPr>
          <w:rFonts w:ascii="Times New Roman" w:hAnsi="Times New Roman" w:cs="Times New Roman"/>
          <w:bCs/>
          <w:iCs/>
          <w:lang w:val="af-ZA"/>
        </w:rPr>
        <w:t>և ծեսերի նկարագրության</w:t>
      </w:r>
      <w:r w:rsidR="00EA39E2" w:rsidRPr="00EF7399">
        <w:rPr>
          <w:rFonts w:ascii="Times New Roman" w:hAnsi="Times New Roman" w:cs="Times New Roman"/>
          <w:bCs/>
          <w:iCs/>
          <w:lang w:val="af-ZA"/>
        </w:rPr>
        <w:t xml:space="preserve"> ենթադրյալ անորոշությունը</w:t>
      </w:r>
      <w:r w:rsidR="00DD637A" w:rsidRPr="00EF7399">
        <w:rPr>
          <w:rFonts w:ascii="Times New Roman" w:hAnsi="Times New Roman" w:cs="Times New Roman"/>
          <w:bCs/>
          <w:iCs/>
          <w:lang w:val="af-ZA"/>
        </w:rPr>
        <w:t xml:space="preserve"> </w:t>
      </w:r>
      <w:r w:rsidR="00EA39E2" w:rsidRPr="00EF7399">
        <w:rPr>
          <w:rFonts w:ascii="Times New Roman" w:hAnsi="Times New Roman" w:cs="Times New Roman"/>
          <w:bCs/>
          <w:iCs/>
          <w:lang w:val="af-ZA"/>
        </w:rPr>
        <w:t>չի կարող հիմնավորել միավ</w:t>
      </w:r>
      <w:r w:rsidR="004911DA" w:rsidRPr="00EF7399">
        <w:rPr>
          <w:rFonts w:ascii="Times New Roman" w:hAnsi="Times New Roman" w:cs="Times New Roman"/>
          <w:bCs/>
          <w:iCs/>
          <w:lang w:val="hy-AM"/>
        </w:rPr>
        <w:t>ո</w:t>
      </w:r>
      <w:r w:rsidR="00EA39E2" w:rsidRPr="00EF7399">
        <w:rPr>
          <w:rFonts w:ascii="Times New Roman" w:hAnsi="Times New Roman" w:cs="Times New Roman"/>
          <w:bCs/>
          <w:iCs/>
          <w:lang w:val="af-ZA"/>
        </w:rPr>
        <w:t xml:space="preserve">րման գրանցման մերժումը </w:t>
      </w:r>
      <w:r w:rsidRPr="00EF7399">
        <w:rPr>
          <w:rFonts w:ascii="Times New Roman" w:hAnsi="Times New Roman" w:cs="Times New Roman"/>
          <w:lang w:val="af-ZA"/>
        </w:rPr>
        <w:t>(</w:t>
      </w:r>
      <w:hyperlink r:id="rId492" w:history="1">
        <w:r w:rsidRPr="00EF7399">
          <w:rPr>
            <w:rStyle w:val="Hyperlink"/>
            <w:rFonts w:ascii="Times New Roman" w:hAnsi="Times New Roman" w:cs="Times New Roman"/>
            <w:bCs/>
            <w:iCs/>
            <w:lang w:val="af-ZA"/>
          </w:rPr>
          <w:t>Metodiev and Others</w:t>
        </w:r>
        <w:r w:rsidR="00873234" w:rsidRPr="00EF7399">
          <w:rPr>
            <w:rStyle w:val="Hyperlink"/>
            <w:rFonts w:ascii="Times New Roman" w:hAnsi="Times New Roman" w:cs="Times New Roman"/>
            <w:bCs/>
            <w:iCs/>
            <w:lang w:val="af-ZA"/>
          </w:rPr>
          <w:t xml:space="preserve"> v. </w:t>
        </w:r>
        <w:r w:rsidRPr="00EF7399">
          <w:rPr>
            <w:rStyle w:val="Hyperlink"/>
            <w:rFonts w:ascii="Times New Roman" w:hAnsi="Times New Roman" w:cs="Times New Roman"/>
            <w:bCs/>
            <w:iCs/>
            <w:lang w:val="af-ZA"/>
          </w:rPr>
          <w:t>Bulgaria</w:t>
        </w:r>
      </w:hyperlink>
      <w:r w:rsidRPr="00EF7399">
        <w:rPr>
          <w:rFonts w:ascii="Times New Roman" w:hAnsi="Times New Roman" w:cs="Times New Roman"/>
          <w:bCs/>
          <w:i/>
          <w:iCs/>
          <w:lang w:val="af-ZA"/>
        </w:rPr>
        <w:t>,</w:t>
      </w:r>
      <w:r w:rsidR="00535E5C" w:rsidRPr="00EF7399">
        <w:rPr>
          <w:rFonts w:ascii="Times New Roman" w:hAnsi="Times New Roman" w:cs="Times New Roman"/>
          <w:bCs/>
          <w:iCs/>
          <w:lang w:val="af-ZA"/>
        </w:rPr>
        <w:t xml:space="preserve"> </w:t>
      </w:r>
      <w:r w:rsidR="002C470F" w:rsidRPr="00EF7399">
        <w:rPr>
          <w:rFonts w:ascii="Times New Roman" w:hAnsi="Times New Roman" w:cs="Times New Roman"/>
          <w:bCs/>
          <w:iCs/>
          <w:lang w:val="af-ZA"/>
        </w:rPr>
        <w:t xml:space="preserve">2017, </w:t>
      </w:r>
      <w:r w:rsidR="00535E5C" w:rsidRPr="00EF7399">
        <w:rPr>
          <w:rFonts w:ascii="Times New Roman" w:hAnsi="Times New Roman" w:cs="Times New Roman"/>
          <w:bCs/>
          <w:iCs/>
          <w:lang w:val="af-ZA"/>
        </w:rPr>
        <w:t>§</w:t>
      </w:r>
      <w:r w:rsidR="00873234" w:rsidRPr="00EF7399">
        <w:rPr>
          <w:rFonts w:ascii="Times New Roman" w:hAnsi="Times New Roman" w:cs="Times New Roman"/>
          <w:bCs/>
          <w:iCs/>
          <w:lang w:val="af-ZA"/>
        </w:rPr>
        <w:t>§ </w:t>
      </w:r>
      <w:r w:rsidRPr="00EF7399">
        <w:rPr>
          <w:rFonts w:ascii="Times New Roman" w:hAnsi="Times New Roman" w:cs="Times New Roman"/>
          <w:bCs/>
          <w:iCs/>
          <w:lang w:val="af-ZA"/>
        </w:rPr>
        <w:t>44-46)</w:t>
      </w:r>
      <w:r w:rsidR="00EA39E2" w:rsidRPr="00EF7399">
        <w:rPr>
          <w:rFonts w:ascii="Times New Roman" w:hAnsi="Times New Roman" w:cs="Times New Roman"/>
          <w:bCs/>
          <w:iCs/>
          <w:lang w:val="af-ZA"/>
        </w:rPr>
        <w:t>:</w:t>
      </w:r>
    </w:p>
    <w:p w14:paraId="519C633D" w14:textId="4C3128A3"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223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EA39E2" w:rsidRPr="00EF7399">
        <w:rPr>
          <w:rFonts w:ascii="Times New Roman" w:hAnsi="Times New Roman" w:cs="Times New Roman"/>
          <w:lang w:val="af-ZA"/>
        </w:rPr>
        <w:t>Բարձր պայմանավորվող կողմերն ունեն զանազան կրոնական համայնքների հետ համագործակցության ձևերն ընտրելու հայեցողությ</w:t>
      </w:r>
      <w:r w:rsidR="004911DA" w:rsidRPr="00EF7399">
        <w:rPr>
          <w:rFonts w:ascii="Times New Roman" w:hAnsi="Times New Roman" w:cs="Times New Roman"/>
          <w:lang w:val="hy-AM"/>
        </w:rPr>
        <w:t>ա</w:t>
      </w:r>
      <w:r w:rsidR="00EA39E2" w:rsidRPr="00EF7399">
        <w:rPr>
          <w:rFonts w:ascii="Times New Roman" w:hAnsi="Times New Roman" w:cs="Times New Roman"/>
          <w:lang w:val="af-ZA"/>
        </w:rPr>
        <w:t>ն</w:t>
      </w:r>
      <w:r w:rsidR="004911DA" w:rsidRPr="00EF7399">
        <w:rPr>
          <w:rFonts w:ascii="Times New Roman" w:hAnsi="Times New Roman" w:cs="Times New Roman"/>
          <w:lang w:val="hy-AM"/>
        </w:rPr>
        <w:t xml:space="preserve"> շրջանակ</w:t>
      </w:r>
      <w:r w:rsidR="00EA39E2"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493" w:history="1">
        <w:r w:rsidRPr="00EF7399">
          <w:rPr>
            <w:rStyle w:val="Hyperlink"/>
            <w:rFonts w:ascii="Times New Roman" w:hAnsi="Times New Roman" w:cs="Times New Roman"/>
            <w:lang w:val="af-ZA"/>
          </w:rPr>
          <w:t>İzzettin Doğan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i/>
          <w:lang w:val="af-ZA"/>
        </w:rPr>
        <w:t xml:space="preserve"> </w:t>
      </w:r>
      <w:r w:rsidRPr="00EF7399">
        <w:rPr>
          <w:rFonts w:ascii="Times New Roman" w:hAnsi="Times New Roman" w:cs="Times New Roman"/>
          <w:lang w:val="af-ZA"/>
        </w:rPr>
        <w:t xml:space="preserve">[GC], </w:t>
      </w:r>
      <w:r w:rsidR="002A3689" w:rsidRPr="00EF7399">
        <w:rPr>
          <w:rFonts w:ascii="Times New Roman" w:hAnsi="Times New Roman" w:cs="Times New Roman"/>
          <w:lang w:val="af-ZA"/>
        </w:rPr>
        <w:t xml:space="preserve">2016, </w:t>
      </w:r>
      <w:r w:rsidR="00873234" w:rsidRPr="00EF7399">
        <w:rPr>
          <w:rFonts w:ascii="Times New Roman" w:hAnsi="Times New Roman" w:cs="Times New Roman"/>
          <w:lang w:val="af-ZA"/>
        </w:rPr>
        <w:t>§ </w:t>
      </w:r>
      <w:r w:rsidRPr="00EF7399">
        <w:rPr>
          <w:rFonts w:ascii="Times New Roman" w:hAnsi="Times New Roman" w:cs="Times New Roman"/>
          <w:lang w:val="af-ZA"/>
        </w:rPr>
        <w:t>112)</w:t>
      </w:r>
      <w:r w:rsidR="00EA39E2" w:rsidRPr="00EF7399">
        <w:rPr>
          <w:rFonts w:ascii="Times New Roman" w:hAnsi="Times New Roman" w:cs="Times New Roman"/>
          <w:lang w:val="af-ZA"/>
        </w:rPr>
        <w:t>:</w:t>
      </w:r>
      <w:r w:rsidRPr="00EF7399">
        <w:rPr>
          <w:rFonts w:ascii="Times New Roman" w:hAnsi="Times New Roman" w:cs="Times New Roman"/>
          <w:lang w:val="af-ZA"/>
        </w:rPr>
        <w:t xml:space="preserve"> </w:t>
      </w:r>
      <w:r w:rsidR="00EA39E2" w:rsidRPr="00EF7399">
        <w:rPr>
          <w:rFonts w:ascii="Times New Roman" w:hAnsi="Times New Roman" w:cs="Times New Roman"/>
          <w:lang w:val="af-ZA"/>
        </w:rPr>
        <w:t xml:space="preserve">Եկեղեցիների հետ հարաբերությունները կանոնակարգելու հարցում պետություններին տրված ազատությունը ներառում է նաև շնորհված արտոնություններն օրենսդրական միջոցներով փոփոխելու հնարավորությունը: Այս ազատությունը, սակայն, չի կարող հասնել այնպիսի աստիճանի, որ խախտի այս ոլորտում պետությունից պահանջվող չեզոքությունը և անկողմնակալությունը </w:t>
      </w:r>
      <w:r w:rsidRPr="00EF7399">
        <w:rPr>
          <w:rFonts w:ascii="Times New Roman" w:hAnsi="Times New Roman" w:cs="Times New Roman"/>
          <w:lang w:val="af-ZA"/>
        </w:rPr>
        <w:t>(</w:t>
      </w:r>
      <w:hyperlink r:id="rId494" w:history="1">
        <w:r w:rsidRPr="00EF7399">
          <w:rPr>
            <w:rStyle w:val="Hyperlink"/>
            <w:rFonts w:ascii="Times New Roman" w:hAnsi="Times New Roman" w:cs="Times New Roman"/>
            <w:lang w:val="af-ZA"/>
          </w:rPr>
          <w:t>Magyar Keresztény Mennonita Egyház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Hungary</w:t>
        </w:r>
      </w:hyperlink>
      <w:r w:rsidRPr="00EF7399">
        <w:rPr>
          <w:rFonts w:ascii="Times New Roman" w:hAnsi="Times New Roman" w:cs="Times New Roman"/>
          <w:lang w:val="af-ZA"/>
        </w:rPr>
        <w:t xml:space="preserve">, </w:t>
      </w:r>
      <w:r w:rsidR="00F11699"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Pr="00EF7399">
        <w:rPr>
          <w:rFonts w:ascii="Times New Roman" w:hAnsi="Times New Roman" w:cs="Times New Roman"/>
          <w:lang w:val="af-ZA"/>
        </w:rPr>
        <w:t>111)</w:t>
      </w:r>
      <w:r w:rsidR="00EA39E2" w:rsidRPr="00EF7399">
        <w:rPr>
          <w:rFonts w:ascii="Times New Roman" w:hAnsi="Times New Roman" w:cs="Times New Roman"/>
          <w:lang w:val="af-ZA"/>
        </w:rPr>
        <w:t>:</w:t>
      </w:r>
    </w:p>
    <w:p w14:paraId="77980568" w14:textId="403D9DF5" w:rsidR="00FE52C1"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224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865761" w:rsidRPr="00EF7399">
        <w:rPr>
          <w:rFonts w:ascii="Times New Roman" w:hAnsi="Times New Roman" w:cs="Times New Roman"/>
          <w:lang w:val="af-ZA"/>
        </w:rPr>
        <w:t xml:space="preserve">Բոլոր դեպքերում, երբ </w:t>
      </w:r>
      <w:r w:rsidR="004911DA" w:rsidRPr="00EF7399">
        <w:rPr>
          <w:rFonts w:ascii="Times New Roman" w:hAnsi="Times New Roman" w:cs="Times New Roman"/>
          <w:lang w:val="af-ZA"/>
        </w:rPr>
        <w:t>պետությունը</w:t>
      </w:r>
      <w:r w:rsidR="004911DA" w:rsidRPr="00EF7399">
        <w:rPr>
          <w:rFonts w:ascii="Times New Roman" w:hAnsi="Times New Roman" w:cs="Times New Roman"/>
          <w:lang w:val="hy-AM"/>
        </w:rPr>
        <w:t>,</w:t>
      </w:r>
      <w:r w:rsidR="004911DA" w:rsidRPr="00EF7399">
        <w:rPr>
          <w:rFonts w:ascii="Times New Roman" w:hAnsi="Times New Roman" w:cs="Times New Roman"/>
          <w:lang w:val="af-ZA"/>
        </w:rPr>
        <w:t xml:space="preserve"> </w:t>
      </w:r>
      <w:r w:rsidR="00865761" w:rsidRPr="00EF7399">
        <w:rPr>
          <w:rFonts w:ascii="Times New Roman" w:hAnsi="Times New Roman" w:cs="Times New Roman"/>
          <w:lang w:val="af-ZA"/>
        </w:rPr>
        <w:t xml:space="preserve">9-րդ և 11-րդ հոդվածներին համապատասխան, որոշում է  </w:t>
      </w:r>
      <w:r w:rsidR="005B7CE1" w:rsidRPr="00EF7399">
        <w:rPr>
          <w:rFonts w:ascii="Times New Roman" w:hAnsi="Times New Roman" w:cs="Times New Roman"/>
          <w:lang w:val="af-ZA"/>
        </w:rPr>
        <w:t>ունենալ</w:t>
      </w:r>
      <w:r w:rsidR="00865761" w:rsidRPr="00EF7399">
        <w:rPr>
          <w:rFonts w:ascii="Times New Roman" w:hAnsi="Times New Roman" w:cs="Times New Roman"/>
          <w:lang w:val="af-ZA"/>
        </w:rPr>
        <w:t xml:space="preserve"> համակարգ, որում սահմանադրո</w:t>
      </w:r>
      <w:r w:rsidR="004911DA" w:rsidRPr="00EF7399">
        <w:rPr>
          <w:rFonts w:ascii="Times New Roman" w:hAnsi="Times New Roman" w:cs="Times New Roman"/>
          <w:lang w:val="hy-AM"/>
        </w:rPr>
        <w:t>րեն</w:t>
      </w:r>
      <w:r w:rsidR="00865761" w:rsidRPr="00EF7399">
        <w:rPr>
          <w:rFonts w:ascii="Times New Roman" w:hAnsi="Times New Roman" w:cs="Times New Roman"/>
          <w:lang w:val="af-ZA"/>
        </w:rPr>
        <w:t xml:space="preserve"> պարտավորված է</w:t>
      </w:r>
      <w:r w:rsidRPr="00EF7399">
        <w:rPr>
          <w:rFonts w:ascii="Times New Roman" w:hAnsi="Times New Roman" w:cs="Times New Roman"/>
          <w:lang w:val="af-ZA"/>
        </w:rPr>
        <w:t xml:space="preserve"> </w:t>
      </w:r>
      <w:r w:rsidR="00865761" w:rsidRPr="00EF7399">
        <w:rPr>
          <w:rFonts w:ascii="Times New Roman" w:hAnsi="Times New Roman" w:cs="Times New Roman"/>
          <w:lang w:val="af-ZA"/>
        </w:rPr>
        <w:t>դավանել որոշակի կրոն</w:t>
      </w:r>
      <w:r w:rsidR="004911DA" w:rsidRPr="00EF7399">
        <w:rPr>
          <w:rFonts w:ascii="Times New Roman" w:hAnsi="Times New Roman" w:cs="Times New Roman"/>
          <w:lang w:val="hy-AM"/>
        </w:rPr>
        <w:t>,</w:t>
      </w:r>
      <w:r w:rsidR="00865761" w:rsidRPr="00EF7399">
        <w:rPr>
          <w:rFonts w:ascii="Times New Roman" w:hAnsi="Times New Roman" w:cs="Times New Roman"/>
          <w:lang w:val="af-ZA"/>
        </w:rPr>
        <w:t xml:space="preserve"> ինչպես եվրոպական որոշ երկրներում, և </w:t>
      </w:r>
      <w:r w:rsidR="009742A6" w:rsidRPr="00EF7399">
        <w:rPr>
          <w:rFonts w:ascii="Times New Roman" w:hAnsi="Times New Roman" w:cs="Times New Roman"/>
          <w:lang w:val="af-ZA"/>
        </w:rPr>
        <w:t>այն</w:t>
      </w:r>
      <w:r w:rsidR="00865761" w:rsidRPr="00EF7399">
        <w:rPr>
          <w:rFonts w:ascii="Times New Roman" w:hAnsi="Times New Roman" w:cs="Times New Roman"/>
          <w:lang w:val="af-ZA"/>
        </w:rPr>
        <w:t xml:space="preserve"> </w:t>
      </w:r>
      <w:r w:rsidR="009742A6" w:rsidRPr="00EF7399">
        <w:rPr>
          <w:rFonts w:ascii="Times New Roman" w:hAnsi="Times New Roman" w:cs="Times New Roman"/>
          <w:lang w:val="af-ZA"/>
        </w:rPr>
        <w:t>պետական արտոնություններ</w:t>
      </w:r>
      <w:r w:rsidR="00865761" w:rsidRPr="00EF7399">
        <w:rPr>
          <w:rFonts w:ascii="Times New Roman" w:hAnsi="Times New Roman" w:cs="Times New Roman"/>
          <w:lang w:val="af-ZA"/>
        </w:rPr>
        <w:t xml:space="preserve"> է </w:t>
      </w:r>
      <w:r w:rsidR="009742A6" w:rsidRPr="00EF7399">
        <w:rPr>
          <w:rFonts w:ascii="Times New Roman" w:hAnsi="Times New Roman" w:cs="Times New Roman"/>
          <w:lang w:val="af-ZA"/>
        </w:rPr>
        <w:t xml:space="preserve">տալիս </w:t>
      </w:r>
      <w:r w:rsidR="00865761" w:rsidRPr="00EF7399">
        <w:rPr>
          <w:rFonts w:ascii="Times New Roman" w:hAnsi="Times New Roman" w:cs="Times New Roman"/>
          <w:lang w:val="af-ZA"/>
        </w:rPr>
        <w:t xml:space="preserve">կրոնական որոշ </w:t>
      </w:r>
      <w:r w:rsidR="004911DA" w:rsidRPr="00EF7399">
        <w:rPr>
          <w:rFonts w:ascii="Times New Roman" w:hAnsi="Times New Roman" w:cs="Times New Roman"/>
          <w:lang w:val="hy-AM"/>
        </w:rPr>
        <w:t>կազմակերպությունների</w:t>
      </w:r>
      <w:r w:rsidR="00865761" w:rsidRPr="00EF7399">
        <w:rPr>
          <w:rFonts w:ascii="Times New Roman" w:hAnsi="Times New Roman" w:cs="Times New Roman"/>
          <w:lang w:val="af-ZA"/>
        </w:rPr>
        <w:t xml:space="preserve">, բայց ոչ </w:t>
      </w:r>
      <w:r w:rsidR="009742A6" w:rsidRPr="00EF7399">
        <w:rPr>
          <w:rFonts w:ascii="Times New Roman" w:hAnsi="Times New Roman" w:cs="Times New Roman"/>
          <w:lang w:val="af-ZA"/>
        </w:rPr>
        <w:t>բոլորին</w:t>
      </w:r>
      <w:r w:rsidR="00865761" w:rsidRPr="00EF7399">
        <w:rPr>
          <w:rFonts w:ascii="Times New Roman" w:hAnsi="Times New Roman" w:cs="Times New Roman"/>
          <w:lang w:val="af-ZA"/>
        </w:rPr>
        <w:t xml:space="preserve">, դա </w:t>
      </w:r>
      <w:r w:rsidR="00D14EA8" w:rsidRPr="00EF7399">
        <w:rPr>
          <w:rFonts w:ascii="Times New Roman" w:hAnsi="Times New Roman" w:cs="Times New Roman"/>
          <w:lang w:val="af-ZA"/>
        </w:rPr>
        <w:t>պետք է արվի հանրային շահեր</w:t>
      </w:r>
      <w:r w:rsidR="009742A6" w:rsidRPr="00EF7399">
        <w:rPr>
          <w:rFonts w:ascii="Times New Roman" w:hAnsi="Times New Roman" w:cs="Times New Roman"/>
          <w:lang w:val="af-ZA"/>
        </w:rPr>
        <w:t xml:space="preserve"> հետապնդելու </w:t>
      </w:r>
      <w:r w:rsidR="00D14EA8" w:rsidRPr="00EF7399">
        <w:rPr>
          <w:rFonts w:ascii="Times New Roman" w:hAnsi="Times New Roman" w:cs="Times New Roman"/>
          <w:lang w:val="af-ZA"/>
        </w:rPr>
        <w:t>ողջամիտ չափորոշիչների հիման վրա</w:t>
      </w:r>
      <w:r w:rsidR="009742A6"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495" w:history="1">
        <w:r w:rsidR="00C46086" w:rsidRPr="00EF7399">
          <w:rPr>
            <w:rStyle w:val="Hyperlink"/>
            <w:rFonts w:ascii="Times New Roman" w:hAnsi="Times New Roman" w:cs="Times New Roman"/>
            <w:lang w:val="af-ZA"/>
          </w:rPr>
          <w:t>Magyar Keresztény Mennonita Egyház and Others</w:t>
        </w:r>
        <w:r w:rsidR="00873234" w:rsidRPr="00EF7399">
          <w:rPr>
            <w:rStyle w:val="Hyperlink"/>
            <w:rFonts w:ascii="Times New Roman" w:hAnsi="Times New Roman" w:cs="Times New Roman"/>
            <w:lang w:val="af-ZA"/>
          </w:rPr>
          <w:t xml:space="preserve"> v. </w:t>
        </w:r>
        <w:r w:rsidR="00C46086" w:rsidRPr="00EF7399">
          <w:rPr>
            <w:rStyle w:val="Hyperlink"/>
            <w:rFonts w:ascii="Times New Roman" w:hAnsi="Times New Roman" w:cs="Times New Roman"/>
            <w:lang w:val="af-ZA"/>
          </w:rPr>
          <w:t>Hungary</w:t>
        </w:r>
      </w:hyperlink>
      <w:r w:rsidRPr="00EF7399">
        <w:rPr>
          <w:rFonts w:ascii="Times New Roman" w:hAnsi="Times New Roman" w:cs="Times New Roman"/>
          <w:lang w:val="af-ZA"/>
        </w:rPr>
        <w:t xml:space="preserve">, </w:t>
      </w:r>
      <w:r w:rsidR="00C46086"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Pr="00EF7399">
        <w:rPr>
          <w:rFonts w:ascii="Times New Roman" w:hAnsi="Times New Roman" w:cs="Times New Roman"/>
          <w:lang w:val="af-ZA"/>
        </w:rPr>
        <w:t>113)</w:t>
      </w:r>
      <w:r w:rsidR="009742A6" w:rsidRPr="00EF7399">
        <w:rPr>
          <w:rFonts w:ascii="Times New Roman" w:hAnsi="Times New Roman" w:cs="Times New Roman"/>
          <w:lang w:val="af-ZA"/>
        </w:rPr>
        <w:t>:</w:t>
      </w:r>
    </w:p>
    <w:p w14:paraId="1E14565A" w14:textId="5FB0A98A" w:rsidR="001148BF" w:rsidRPr="00EF7399" w:rsidRDefault="00A83DAB" w:rsidP="00A83DAB">
      <w:pPr>
        <w:pStyle w:val="ECHRHeading2"/>
        <w:numPr>
          <w:ilvl w:val="0"/>
          <w:numId w:val="0"/>
        </w:numPr>
        <w:rPr>
          <w:rFonts w:ascii="Times New Roman" w:eastAsiaTheme="minorHAnsi" w:hAnsi="Times New Roman" w:cs="Times New Roman"/>
          <w:color w:val="auto"/>
          <w:szCs w:val="32"/>
          <w:lang w:val="af-ZA"/>
        </w:rPr>
      </w:pPr>
      <w:bookmarkStart w:id="93" w:name="_Toc159945252"/>
      <w:r>
        <w:rPr>
          <w:rFonts w:ascii="Times New Roman" w:hAnsi="Times New Roman" w:cs="Times New Roman"/>
          <w:szCs w:val="32"/>
          <w:lang w:val="hy-AM"/>
        </w:rPr>
        <w:lastRenderedPageBreak/>
        <w:t xml:space="preserve">Զ․ </w:t>
      </w:r>
      <w:r w:rsidR="009742A6" w:rsidRPr="00EF7399">
        <w:rPr>
          <w:rFonts w:ascii="Times New Roman" w:hAnsi="Times New Roman" w:cs="Times New Roman"/>
          <w:szCs w:val="32"/>
          <w:lang w:val="af-ZA"/>
        </w:rPr>
        <w:t>Պոզիտիվ պարտավորություններ</w:t>
      </w:r>
      <w:bookmarkEnd w:id="93"/>
    </w:p>
    <w:p w14:paraId="0D418002" w14:textId="33AC801A"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225</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9742A6" w:rsidRPr="00EF7399">
        <w:rPr>
          <w:rFonts w:ascii="Times New Roman" w:hAnsi="Times New Roman" w:cs="Times New Roman"/>
          <w:lang w:val="af-ZA"/>
        </w:rPr>
        <w:t>Միավորման ազատության իրական և արդյունավետ ապահովումը չի կարող սահմանափակվել</w:t>
      </w:r>
      <w:r w:rsidR="00C5434B" w:rsidRPr="00EF7399">
        <w:rPr>
          <w:rFonts w:ascii="Times New Roman" w:hAnsi="Times New Roman" w:cs="Times New Roman"/>
          <w:lang w:val="hy-AM"/>
        </w:rPr>
        <w:t xml:space="preserve"> </w:t>
      </w:r>
      <w:r w:rsidR="009742A6" w:rsidRPr="00EF7399">
        <w:rPr>
          <w:rFonts w:ascii="Times New Roman" w:hAnsi="Times New Roman" w:cs="Times New Roman"/>
          <w:lang w:val="af-ZA"/>
        </w:rPr>
        <w:t>պետության</w:t>
      </w:r>
      <w:r w:rsidR="008B6905" w:rsidRPr="00EF7399">
        <w:rPr>
          <w:rFonts w:ascii="Times New Roman" w:hAnsi="Times New Roman" w:cs="Times New Roman"/>
          <w:lang w:val="af-ZA"/>
        </w:rPr>
        <w:t>՝</w:t>
      </w:r>
      <w:r w:rsidR="009742A6" w:rsidRPr="00EF7399">
        <w:rPr>
          <w:rFonts w:ascii="Times New Roman" w:hAnsi="Times New Roman" w:cs="Times New Roman"/>
          <w:lang w:val="af-ZA"/>
        </w:rPr>
        <w:t xml:space="preserve"> </w:t>
      </w:r>
      <w:r w:rsidR="00C5434B" w:rsidRPr="00EF7399">
        <w:rPr>
          <w:rFonts w:ascii="Times New Roman" w:hAnsi="Times New Roman" w:cs="Times New Roman"/>
          <w:lang w:val="hy-AM"/>
        </w:rPr>
        <w:t>զուտ</w:t>
      </w:r>
      <w:r w:rsidR="00C5434B" w:rsidRPr="00EF7399">
        <w:rPr>
          <w:rFonts w:ascii="Times New Roman" w:hAnsi="Times New Roman" w:cs="Times New Roman"/>
          <w:lang w:val="af-ZA"/>
        </w:rPr>
        <w:t xml:space="preserve"> </w:t>
      </w:r>
      <w:r w:rsidR="009742A6" w:rsidRPr="00EF7399">
        <w:rPr>
          <w:rFonts w:ascii="Times New Roman" w:hAnsi="Times New Roman" w:cs="Times New Roman"/>
          <w:lang w:val="af-ZA"/>
        </w:rPr>
        <w:t xml:space="preserve">չմիջամտելու պարտավորությամբ </w:t>
      </w:r>
      <w:r w:rsidRPr="00EF7399">
        <w:rPr>
          <w:rFonts w:ascii="Times New Roman" w:hAnsi="Times New Roman" w:cs="Times New Roman"/>
          <w:lang w:val="af-ZA"/>
        </w:rPr>
        <w:t>(</w:t>
      </w:r>
      <w:hyperlink r:id="rId496" w:history="1">
        <w:r w:rsidRPr="00EF7399">
          <w:rPr>
            <w:rStyle w:val="Hyperlink"/>
            <w:rFonts w:ascii="Times New Roman" w:hAnsi="Times New Roman" w:cs="Times New Roman"/>
            <w:lang w:val="af-ZA"/>
          </w:rPr>
          <w:t>Ouranio Toxo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Greece</w:t>
        </w:r>
      </w:hyperlink>
      <w:r w:rsidRPr="00EF7399">
        <w:rPr>
          <w:rFonts w:ascii="Times New Roman" w:hAnsi="Times New Roman" w:cs="Times New Roman"/>
          <w:lang w:val="af-ZA"/>
        </w:rPr>
        <w:t xml:space="preserve">, </w:t>
      </w:r>
      <w:r w:rsidR="00693253" w:rsidRPr="00EF7399">
        <w:rPr>
          <w:rFonts w:ascii="Times New Roman" w:hAnsi="Times New Roman" w:cs="Times New Roman"/>
          <w:lang w:val="af-ZA"/>
        </w:rPr>
        <w:t xml:space="preserve">2005, </w:t>
      </w:r>
      <w:r w:rsidR="00873234" w:rsidRPr="00EF7399">
        <w:rPr>
          <w:rFonts w:ascii="Times New Roman" w:hAnsi="Times New Roman" w:cs="Times New Roman"/>
          <w:lang w:val="af-ZA"/>
        </w:rPr>
        <w:t>§ </w:t>
      </w:r>
      <w:r w:rsidRPr="00EF7399">
        <w:rPr>
          <w:rFonts w:ascii="Times New Roman" w:hAnsi="Times New Roman" w:cs="Times New Roman"/>
          <w:lang w:val="af-ZA"/>
        </w:rPr>
        <w:t>37)</w:t>
      </w:r>
      <w:r w:rsidR="009742A6" w:rsidRPr="00EF7399">
        <w:rPr>
          <w:rFonts w:ascii="Times New Roman" w:hAnsi="Times New Roman" w:cs="Times New Roman"/>
          <w:lang w:val="af-ZA"/>
        </w:rPr>
        <w:t>: Որոշակի հանգամանքներում ազգային իշխանությունները կարող են ստիպված լինեն միջամտել մասնավոր անհատների միջև հարաբերություններին</w:t>
      </w:r>
      <w:r w:rsidR="00C5434B" w:rsidRPr="00EF7399">
        <w:rPr>
          <w:rFonts w:ascii="Times New Roman" w:hAnsi="Times New Roman" w:cs="Times New Roman"/>
          <w:lang w:val="hy-AM"/>
        </w:rPr>
        <w:t>՝</w:t>
      </w:r>
      <w:r w:rsidR="009742A6" w:rsidRPr="00EF7399">
        <w:rPr>
          <w:rFonts w:ascii="Times New Roman" w:hAnsi="Times New Roman" w:cs="Times New Roman"/>
          <w:lang w:val="af-ZA"/>
        </w:rPr>
        <w:t xml:space="preserve"> ձեռնարկելով ողջամիտ և պատշաճ միջոցներ</w:t>
      </w:r>
      <w:r w:rsidR="008B6905" w:rsidRPr="00EF7399">
        <w:rPr>
          <w:rFonts w:ascii="Times New Roman" w:hAnsi="Times New Roman" w:cs="Times New Roman"/>
          <w:lang w:val="af-ZA"/>
        </w:rPr>
        <w:t>՝</w:t>
      </w:r>
      <w:r w:rsidR="009742A6" w:rsidRPr="00EF7399">
        <w:rPr>
          <w:rFonts w:ascii="Times New Roman" w:hAnsi="Times New Roman" w:cs="Times New Roman"/>
          <w:lang w:val="af-ZA"/>
        </w:rPr>
        <w:t xml:space="preserve"> միավորման ազատության իրավունքի արդյունավետ իրա</w:t>
      </w:r>
      <w:r w:rsidR="00C5434B" w:rsidRPr="00EF7399">
        <w:rPr>
          <w:rFonts w:ascii="Times New Roman" w:hAnsi="Times New Roman" w:cs="Times New Roman"/>
          <w:lang w:val="hy-AM"/>
        </w:rPr>
        <w:t>ց</w:t>
      </w:r>
      <w:r w:rsidR="009742A6" w:rsidRPr="00EF7399">
        <w:rPr>
          <w:rFonts w:ascii="Times New Roman" w:hAnsi="Times New Roman" w:cs="Times New Roman"/>
          <w:lang w:val="af-ZA"/>
        </w:rPr>
        <w:t>ումն ապահով</w:t>
      </w:r>
      <w:r w:rsidR="007F6591" w:rsidRPr="00EF7399">
        <w:rPr>
          <w:rFonts w:ascii="Times New Roman" w:hAnsi="Times New Roman" w:cs="Times New Roman"/>
          <w:lang w:val="af-ZA"/>
        </w:rPr>
        <w:t xml:space="preserve">ելու համար </w:t>
      </w:r>
      <w:r w:rsidRPr="00EF7399">
        <w:rPr>
          <w:rFonts w:ascii="Times New Roman" w:hAnsi="Times New Roman" w:cs="Times New Roman"/>
          <w:lang w:val="af-ZA"/>
        </w:rPr>
        <w:t>(</w:t>
      </w:r>
      <w:hyperlink r:id="rId497" w:history="1">
        <w:r w:rsidR="00D943C3" w:rsidRPr="00EF7399">
          <w:rPr>
            <w:rStyle w:val="Hyperlink"/>
            <w:rFonts w:ascii="Times New Roman" w:hAnsi="Times New Roman" w:cs="Times New Roman"/>
            <w:lang w:val="af-ZA"/>
          </w:rPr>
          <w:t>Wilson, National Union of Journalists and Others</w:t>
        </w:r>
        <w:r w:rsidR="00873234" w:rsidRPr="00EF7399">
          <w:rPr>
            <w:rStyle w:val="Hyperlink"/>
            <w:rFonts w:ascii="Times New Roman" w:hAnsi="Times New Roman" w:cs="Times New Roman"/>
            <w:lang w:val="af-ZA"/>
          </w:rPr>
          <w:t xml:space="preserve"> v. </w:t>
        </w:r>
        <w:r w:rsidR="00D943C3" w:rsidRPr="00EF7399">
          <w:rPr>
            <w:rStyle w:val="Hyperlink"/>
            <w:rFonts w:ascii="Times New Roman" w:hAnsi="Times New Roman" w:cs="Times New Roman"/>
            <w:lang w:val="af-ZA"/>
          </w:rPr>
          <w:t>the United Kingdom</w:t>
        </w:r>
      </w:hyperlink>
      <w:r w:rsidRPr="00EF7399">
        <w:rPr>
          <w:rFonts w:ascii="Times New Roman" w:hAnsi="Times New Roman" w:cs="Times New Roman"/>
          <w:lang w:val="af-ZA"/>
        </w:rPr>
        <w:t xml:space="preserve">, </w:t>
      </w:r>
      <w:r w:rsidR="002A3689" w:rsidRPr="00EF7399">
        <w:rPr>
          <w:rFonts w:ascii="Times New Roman" w:hAnsi="Times New Roman" w:cs="Times New Roman"/>
          <w:lang w:val="af-ZA"/>
        </w:rPr>
        <w:t xml:space="preserve">2002, </w:t>
      </w:r>
      <w:r w:rsidR="00873234" w:rsidRPr="00EF7399">
        <w:rPr>
          <w:rFonts w:ascii="Times New Roman" w:hAnsi="Times New Roman" w:cs="Times New Roman"/>
          <w:lang w:val="af-ZA"/>
        </w:rPr>
        <w:t>§ </w:t>
      </w:r>
      <w:r w:rsidRPr="00EF7399">
        <w:rPr>
          <w:rFonts w:ascii="Times New Roman" w:hAnsi="Times New Roman" w:cs="Times New Roman"/>
          <w:lang w:val="af-ZA"/>
        </w:rPr>
        <w:t>41)</w:t>
      </w:r>
      <w:r w:rsidR="007F6591" w:rsidRPr="00EF7399">
        <w:rPr>
          <w:rFonts w:ascii="Times New Roman" w:hAnsi="Times New Roman" w:cs="Times New Roman"/>
          <w:lang w:val="af-ZA"/>
        </w:rPr>
        <w:t>:</w:t>
      </w:r>
    </w:p>
    <w:p w14:paraId="24D880E1" w14:textId="0B720EB3"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226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7F6591" w:rsidRPr="00EF7399">
        <w:rPr>
          <w:rFonts w:ascii="Times New Roman" w:hAnsi="Times New Roman" w:cs="Times New Roman"/>
          <w:lang w:val="af-ZA"/>
        </w:rPr>
        <w:t>Անկախ</w:t>
      </w:r>
      <w:r w:rsidR="00542232" w:rsidRPr="00EF7399">
        <w:rPr>
          <w:rFonts w:ascii="Times New Roman" w:hAnsi="Times New Roman" w:cs="Times New Roman"/>
          <w:lang w:val="hy-AM"/>
        </w:rPr>
        <w:t xml:space="preserve"> նրանից՝ </w:t>
      </w:r>
      <w:r w:rsidR="007F6591" w:rsidRPr="00EF7399">
        <w:rPr>
          <w:rFonts w:ascii="Times New Roman" w:hAnsi="Times New Roman" w:cs="Times New Roman"/>
          <w:lang w:val="af-ZA"/>
        </w:rPr>
        <w:t>գործ</w:t>
      </w:r>
      <w:r w:rsidR="00542232" w:rsidRPr="00EF7399">
        <w:rPr>
          <w:rFonts w:ascii="Times New Roman" w:hAnsi="Times New Roman" w:cs="Times New Roman"/>
          <w:lang w:val="hy-AM"/>
        </w:rPr>
        <w:t>ն ուսումնասիրվում է</w:t>
      </w:r>
      <w:r w:rsidR="007F6591" w:rsidRPr="00EF7399">
        <w:rPr>
          <w:rFonts w:ascii="Times New Roman" w:hAnsi="Times New Roman" w:cs="Times New Roman"/>
          <w:lang w:val="af-ZA"/>
        </w:rPr>
        <w:t xml:space="preserve"> պետության պոզիտիվ պարտավորության կամ իշխանության</w:t>
      </w:r>
      <w:r w:rsidR="00542232" w:rsidRPr="00EF7399">
        <w:rPr>
          <w:rFonts w:ascii="Times New Roman" w:hAnsi="Times New Roman" w:cs="Times New Roman"/>
          <w:lang w:val="hy-AM"/>
        </w:rPr>
        <w:t>՝</w:t>
      </w:r>
      <w:r w:rsidR="007F6591" w:rsidRPr="00EF7399">
        <w:rPr>
          <w:rFonts w:ascii="Times New Roman" w:hAnsi="Times New Roman" w:cs="Times New Roman"/>
          <w:lang w:val="af-ZA"/>
        </w:rPr>
        <w:t xml:space="preserve"> հիմնավորում պահանջող միջամտության տես</w:t>
      </w:r>
      <w:r w:rsidR="00542232" w:rsidRPr="00EF7399">
        <w:rPr>
          <w:rFonts w:ascii="Times New Roman" w:hAnsi="Times New Roman" w:cs="Times New Roman"/>
          <w:lang w:val="hy-AM"/>
        </w:rPr>
        <w:t>ա</w:t>
      </w:r>
      <w:r w:rsidR="007F6591" w:rsidRPr="00EF7399">
        <w:rPr>
          <w:rFonts w:ascii="Times New Roman" w:hAnsi="Times New Roman" w:cs="Times New Roman"/>
          <w:lang w:val="af-ZA"/>
        </w:rPr>
        <w:t>նկյունի</w:t>
      </w:r>
      <w:r w:rsidR="00542232" w:rsidRPr="00EF7399">
        <w:rPr>
          <w:rFonts w:ascii="Times New Roman" w:hAnsi="Times New Roman" w:cs="Times New Roman"/>
          <w:lang w:val="hy-AM"/>
        </w:rPr>
        <w:t>ց</w:t>
      </w:r>
      <w:r w:rsidR="007F6591" w:rsidRPr="00EF7399">
        <w:rPr>
          <w:rFonts w:ascii="Times New Roman" w:hAnsi="Times New Roman" w:cs="Times New Roman"/>
          <w:lang w:val="af-ZA"/>
        </w:rPr>
        <w:t xml:space="preserve">` կիրառելի չափորոշիչների էությունը չի տարբերվում: Երկու համատեքստում էլ կարևորությունը տրվում է անհատի և </w:t>
      </w:r>
      <w:r w:rsidR="00542232" w:rsidRPr="00EF7399">
        <w:rPr>
          <w:rFonts w:ascii="Times New Roman" w:hAnsi="Times New Roman" w:cs="Times New Roman"/>
          <w:lang w:val="hy-AM"/>
        </w:rPr>
        <w:t>ողջ</w:t>
      </w:r>
      <w:r w:rsidR="00542232" w:rsidRPr="00EF7399">
        <w:rPr>
          <w:rFonts w:ascii="Times New Roman" w:hAnsi="Times New Roman" w:cs="Times New Roman"/>
          <w:lang w:val="af-ZA"/>
        </w:rPr>
        <w:t xml:space="preserve"> </w:t>
      </w:r>
      <w:r w:rsidR="007F6591" w:rsidRPr="00EF7399">
        <w:rPr>
          <w:rFonts w:ascii="Times New Roman" w:hAnsi="Times New Roman" w:cs="Times New Roman"/>
          <w:lang w:val="af-ZA"/>
        </w:rPr>
        <w:t xml:space="preserve">համայնքի </w:t>
      </w:r>
      <w:r w:rsidR="00542232" w:rsidRPr="00EF7399">
        <w:rPr>
          <w:rFonts w:ascii="Times New Roman" w:hAnsi="Times New Roman" w:cs="Times New Roman"/>
          <w:lang w:val="hy-AM"/>
        </w:rPr>
        <w:t>մրցակցող</w:t>
      </w:r>
      <w:r w:rsidR="00542232" w:rsidRPr="00EF7399">
        <w:rPr>
          <w:rFonts w:ascii="Times New Roman" w:hAnsi="Times New Roman" w:cs="Times New Roman"/>
          <w:lang w:val="af-ZA"/>
        </w:rPr>
        <w:t xml:space="preserve"> </w:t>
      </w:r>
      <w:r w:rsidR="007F6591" w:rsidRPr="00EF7399">
        <w:rPr>
          <w:rFonts w:ascii="Times New Roman" w:hAnsi="Times New Roman" w:cs="Times New Roman"/>
          <w:lang w:val="af-ZA"/>
        </w:rPr>
        <w:t xml:space="preserve">շահերի արդար հավասարակշռմանը </w:t>
      </w:r>
      <w:r w:rsidR="006B6FEB" w:rsidRPr="00EF7399">
        <w:rPr>
          <w:rFonts w:ascii="Times New Roman" w:hAnsi="Times New Roman" w:cs="Times New Roman"/>
          <w:lang w:val="af-ZA"/>
        </w:rPr>
        <w:t>(</w:t>
      </w:r>
      <w:hyperlink r:id="rId498" w:history="1">
        <w:r w:rsidR="006B6FEB" w:rsidRPr="00EF7399">
          <w:rPr>
            <w:rStyle w:val="Hyperlink"/>
            <w:rFonts w:ascii="Times New Roman" w:hAnsi="Times New Roman" w:cs="Times New Roman"/>
            <w:lang w:val="af-ZA"/>
          </w:rPr>
          <w:t>Sørensen and Rasmussen</w:t>
        </w:r>
        <w:r w:rsidR="00873234" w:rsidRPr="00EF7399">
          <w:rPr>
            <w:rStyle w:val="Hyperlink"/>
            <w:rFonts w:ascii="Times New Roman" w:hAnsi="Times New Roman" w:cs="Times New Roman"/>
            <w:lang w:val="af-ZA"/>
          </w:rPr>
          <w:t xml:space="preserve"> v. </w:t>
        </w:r>
        <w:r w:rsidR="006B6FEB" w:rsidRPr="00EF7399">
          <w:rPr>
            <w:rStyle w:val="Hyperlink"/>
            <w:rFonts w:ascii="Times New Roman" w:hAnsi="Times New Roman" w:cs="Times New Roman"/>
            <w:lang w:val="af-ZA"/>
          </w:rPr>
          <w:t>Denmark</w:t>
        </w:r>
      </w:hyperlink>
      <w:r w:rsidR="006B6FEB" w:rsidRPr="00EF7399">
        <w:rPr>
          <w:rFonts w:ascii="Times New Roman" w:hAnsi="Times New Roman" w:cs="Times New Roman"/>
          <w:lang w:val="af-ZA"/>
        </w:rPr>
        <w:t xml:space="preserve"> [GC], </w:t>
      </w:r>
      <w:r w:rsidR="002762F8" w:rsidRPr="00EF7399">
        <w:rPr>
          <w:rFonts w:ascii="Times New Roman" w:hAnsi="Times New Roman" w:cs="Times New Roman"/>
          <w:lang w:val="af-ZA"/>
        </w:rPr>
        <w:t xml:space="preserve">2006, </w:t>
      </w:r>
      <w:r w:rsidR="00873234" w:rsidRPr="00EF7399">
        <w:rPr>
          <w:rFonts w:ascii="Times New Roman" w:hAnsi="Times New Roman" w:cs="Times New Roman"/>
          <w:lang w:val="af-ZA"/>
        </w:rPr>
        <w:t>§ </w:t>
      </w:r>
      <w:r w:rsidR="006B6FEB" w:rsidRPr="00EF7399">
        <w:rPr>
          <w:rFonts w:ascii="Times New Roman" w:hAnsi="Times New Roman" w:cs="Times New Roman"/>
          <w:lang w:val="af-ZA"/>
        </w:rPr>
        <w:t>58)</w:t>
      </w:r>
      <w:r w:rsidR="007F6591" w:rsidRPr="00EF7399">
        <w:rPr>
          <w:rFonts w:ascii="Times New Roman" w:hAnsi="Times New Roman" w:cs="Times New Roman"/>
          <w:lang w:val="af-ZA"/>
        </w:rPr>
        <w:t>:</w:t>
      </w:r>
    </w:p>
    <w:p w14:paraId="20D4FB67" w14:textId="7B6AB9B4"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227</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3C35A4" w:rsidRPr="00EF7399">
        <w:rPr>
          <w:rFonts w:ascii="Times New Roman" w:hAnsi="Times New Roman" w:cs="Times New Roman"/>
          <w:lang w:val="af-ZA"/>
        </w:rPr>
        <w:t xml:space="preserve">Պետական իշխանությունների վրա է դրված միավորման կամ քաղաքական կուսակցության բնականոն գործունեությունը երաշխավորելու պարտավորությունը, նույնիսկ այն դեպքում, երբ </w:t>
      </w:r>
      <w:r w:rsidR="00AD5F9B" w:rsidRPr="00EF7399">
        <w:rPr>
          <w:rFonts w:ascii="Times New Roman" w:hAnsi="Times New Roman" w:cs="Times New Roman"/>
          <w:lang w:val="af-ZA"/>
        </w:rPr>
        <w:t>դ</w:t>
      </w:r>
      <w:r w:rsidR="003C35A4" w:rsidRPr="00EF7399">
        <w:rPr>
          <w:rFonts w:ascii="Times New Roman" w:hAnsi="Times New Roman" w:cs="Times New Roman"/>
          <w:lang w:val="af-ZA"/>
        </w:rPr>
        <w:t xml:space="preserve">րանք </w:t>
      </w:r>
      <w:r w:rsidR="00AD5F9B" w:rsidRPr="00EF7399">
        <w:rPr>
          <w:rFonts w:ascii="Times New Roman" w:hAnsi="Times New Roman" w:cs="Times New Roman"/>
          <w:lang w:val="af-ZA"/>
        </w:rPr>
        <w:t xml:space="preserve">զայրացնում կամ </w:t>
      </w:r>
      <w:r w:rsidR="003C35A4" w:rsidRPr="00EF7399">
        <w:rPr>
          <w:rFonts w:ascii="Times New Roman" w:hAnsi="Times New Roman" w:cs="Times New Roman"/>
          <w:lang w:val="af-ZA"/>
        </w:rPr>
        <w:t>վիրավորում</w:t>
      </w:r>
      <w:r w:rsidR="00AD5F9B" w:rsidRPr="00EF7399">
        <w:rPr>
          <w:rFonts w:ascii="Times New Roman" w:hAnsi="Times New Roman" w:cs="Times New Roman"/>
          <w:lang w:val="af-ZA"/>
        </w:rPr>
        <w:t xml:space="preserve"> են անձանց, ովքեր հակադրվում են իրավաչափ գաղափարներին կամ պնդումներին, որոնք դրանք ցանկանում են </w:t>
      </w:r>
      <w:r w:rsidR="00542232" w:rsidRPr="00EF7399">
        <w:rPr>
          <w:rFonts w:ascii="Times New Roman" w:hAnsi="Times New Roman" w:cs="Times New Roman"/>
          <w:lang w:val="hy-AM"/>
        </w:rPr>
        <w:t>առաջ մղել</w:t>
      </w:r>
      <w:r w:rsidR="00AD5F9B" w:rsidRPr="00EF7399">
        <w:rPr>
          <w:rFonts w:ascii="Times New Roman" w:hAnsi="Times New Roman" w:cs="Times New Roman"/>
          <w:lang w:val="af-ZA"/>
        </w:rPr>
        <w:t xml:space="preserve">: Դրանց անդամները պետք է կարողանան </w:t>
      </w:r>
      <w:r w:rsidR="008B518C" w:rsidRPr="00EF7399">
        <w:rPr>
          <w:rFonts w:ascii="Times New Roman" w:hAnsi="Times New Roman" w:cs="Times New Roman"/>
          <w:lang w:val="af-ZA"/>
        </w:rPr>
        <w:t>կազմակերպել հավաքներ</w:t>
      </w:r>
      <w:r w:rsidR="00542232" w:rsidRPr="00EF7399">
        <w:rPr>
          <w:rFonts w:ascii="Times New Roman" w:hAnsi="Times New Roman" w:cs="Times New Roman"/>
          <w:lang w:val="hy-AM"/>
        </w:rPr>
        <w:t>՝</w:t>
      </w:r>
      <w:r w:rsidR="008B518C" w:rsidRPr="00EF7399">
        <w:rPr>
          <w:rFonts w:ascii="Times New Roman" w:hAnsi="Times New Roman" w:cs="Times New Roman"/>
          <w:lang w:val="af-ZA"/>
        </w:rPr>
        <w:t xml:space="preserve"> չվախենալով, որ կենթարկվեն ֆիզիկական բռնության իրենց ընդդիմադիրների կողմից: Նման վախը կարող է հետ պահել այլ միավորումներին կամ քաղաքական կուսակցություններին համայնքի վրա ազդեցություն ունեցող խիստ հակասական խնդիրների վերաբերյալ իրենց կարծիքներն ազատ արտահայտելուց: Ժողովրդավարության պայմաններում հակընդդեմ ցույցի իրավունքը չի կարող խոչընդոտել միավորման իրավունքի իրա</w:t>
      </w:r>
      <w:r w:rsidR="00542232" w:rsidRPr="00EF7399">
        <w:rPr>
          <w:rFonts w:ascii="Times New Roman" w:hAnsi="Times New Roman" w:cs="Times New Roman"/>
          <w:lang w:val="hy-AM"/>
        </w:rPr>
        <w:t>ց</w:t>
      </w:r>
      <w:r w:rsidR="008B518C" w:rsidRPr="00EF7399">
        <w:rPr>
          <w:rFonts w:ascii="Times New Roman" w:hAnsi="Times New Roman" w:cs="Times New Roman"/>
          <w:lang w:val="af-ZA"/>
        </w:rPr>
        <w:t xml:space="preserve">մանը </w:t>
      </w:r>
      <w:r w:rsidRPr="00EF7399">
        <w:rPr>
          <w:rFonts w:ascii="Times New Roman" w:hAnsi="Times New Roman" w:cs="Times New Roman"/>
          <w:lang w:val="af-ZA"/>
        </w:rPr>
        <w:t>(</w:t>
      </w:r>
      <w:hyperlink r:id="rId499" w:history="1">
        <w:r w:rsidRPr="00EF7399">
          <w:rPr>
            <w:rStyle w:val="Hyperlink"/>
            <w:rFonts w:ascii="Times New Roman" w:hAnsi="Times New Roman" w:cs="Times New Roman"/>
            <w:lang w:val="af-ZA"/>
          </w:rPr>
          <w:t>Ouranio Toxo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Greece</w:t>
        </w:r>
      </w:hyperlink>
      <w:r w:rsidRPr="00EF7399">
        <w:rPr>
          <w:rFonts w:ascii="Times New Roman" w:hAnsi="Times New Roman" w:cs="Times New Roman"/>
          <w:lang w:val="af-ZA"/>
        </w:rPr>
        <w:t xml:space="preserve">, </w:t>
      </w:r>
      <w:r w:rsidR="00693253" w:rsidRPr="00EF7399">
        <w:rPr>
          <w:rFonts w:ascii="Times New Roman" w:hAnsi="Times New Roman" w:cs="Times New Roman"/>
          <w:lang w:val="af-ZA"/>
        </w:rPr>
        <w:t xml:space="preserve">2005, </w:t>
      </w:r>
      <w:r w:rsidR="00873234" w:rsidRPr="00EF7399">
        <w:rPr>
          <w:rFonts w:ascii="Times New Roman" w:hAnsi="Times New Roman" w:cs="Times New Roman"/>
          <w:lang w:val="af-ZA"/>
        </w:rPr>
        <w:t>§ </w:t>
      </w:r>
      <w:r w:rsidRPr="00EF7399">
        <w:rPr>
          <w:rFonts w:ascii="Times New Roman" w:hAnsi="Times New Roman" w:cs="Times New Roman"/>
          <w:lang w:val="af-ZA"/>
        </w:rPr>
        <w:t>37</w:t>
      </w:r>
      <w:r w:rsidR="00873126" w:rsidRPr="00EF7399">
        <w:rPr>
          <w:rFonts w:ascii="Times New Roman" w:hAnsi="Times New Roman" w:cs="Times New Roman"/>
          <w:lang w:val="af-ZA"/>
        </w:rPr>
        <w:t xml:space="preserve">; </w:t>
      </w:r>
      <w:hyperlink r:id="rId500" w:history="1">
        <w:r w:rsidR="000C7A73" w:rsidRPr="00EF7399">
          <w:rPr>
            <w:rStyle w:val="Hyperlink"/>
            <w:rFonts w:ascii="Times New Roman" w:hAnsi="Times New Roman" w:cs="Times New Roman"/>
            <w:lang w:val="af-ZA"/>
          </w:rPr>
          <w:t>Zhdanov and Others</w:t>
        </w:r>
        <w:r w:rsidR="00873234" w:rsidRPr="00EF7399">
          <w:rPr>
            <w:rStyle w:val="Hyperlink"/>
            <w:rFonts w:ascii="Times New Roman" w:hAnsi="Times New Roman" w:cs="Times New Roman"/>
            <w:lang w:val="af-ZA"/>
          </w:rPr>
          <w:t xml:space="preserve"> v. </w:t>
        </w:r>
        <w:r w:rsidR="000C7A73" w:rsidRPr="00EF7399">
          <w:rPr>
            <w:rStyle w:val="Hyperlink"/>
            <w:rFonts w:ascii="Times New Roman" w:hAnsi="Times New Roman" w:cs="Times New Roman"/>
            <w:lang w:val="af-ZA"/>
          </w:rPr>
          <w:t>Russia</w:t>
        </w:r>
      </w:hyperlink>
      <w:r w:rsidR="00873126" w:rsidRPr="00EF7399">
        <w:rPr>
          <w:rFonts w:ascii="Times New Roman" w:hAnsi="Times New Roman" w:cs="Times New Roman"/>
          <w:lang w:val="af-ZA"/>
        </w:rPr>
        <w:t xml:space="preserve">, </w:t>
      </w:r>
      <w:r w:rsidR="00693253" w:rsidRPr="00EF7399">
        <w:rPr>
          <w:rFonts w:ascii="Times New Roman" w:hAnsi="Times New Roman" w:cs="Times New Roman"/>
          <w:lang w:val="af-ZA"/>
        </w:rPr>
        <w:t xml:space="preserve">2019, </w:t>
      </w:r>
      <w:r w:rsidR="00873234" w:rsidRPr="00EF7399">
        <w:rPr>
          <w:rFonts w:ascii="Times New Roman" w:hAnsi="Times New Roman" w:cs="Times New Roman"/>
          <w:lang w:val="af-ZA"/>
        </w:rPr>
        <w:t>§ </w:t>
      </w:r>
      <w:r w:rsidR="00873126" w:rsidRPr="00EF7399">
        <w:rPr>
          <w:rFonts w:ascii="Times New Roman" w:hAnsi="Times New Roman" w:cs="Times New Roman"/>
          <w:lang w:val="af-ZA"/>
        </w:rPr>
        <w:t>162</w:t>
      </w:r>
      <w:r w:rsidRPr="00EF7399">
        <w:rPr>
          <w:rFonts w:ascii="Times New Roman" w:hAnsi="Times New Roman" w:cs="Times New Roman"/>
          <w:lang w:val="af-ZA"/>
        </w:rPr>
        <w:t>)</w:t>
      </w:r>
      <w:r w:rsidR="008B518C" w:rsidRPr="00EF7399">
        <w:rPr>
          <w:rFonts w:ascii="Times New Roman" w:hAnsi="Times New Roman" w:cs="Times New Roman"/>
          <w:lang w:val="af-ZA"/>
        </w:rPr>
        <w:t>:</w:t>
      </w:r>
    </w:p>
    <w:p w14:paraId="25BD52B8" w14:textId="4863162B"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228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8B518C" w:rsidRPr="00EF7399">
        <w:rPr>
          <w:rFonts w:ascii="Times New Roman" w:hAnsi="Times New Roman" w:cs="Times New Roman"/>
          <w:lang w:val="af-ZA"/>
        </w:rPr>
        <w:t>Միավորման ազատության իրավունքի արդյունավետ իրա</w:t>
      </w:r>
      <w:r w:rsidR="005A3C48" w:rsidRPr="00EF7399">
        <w:rPr>
          <w:rFonts w:ascii="Times New Roman" w:hAnsi="Times New Roman" w:cs="Times New Roman"/>
          <w:lang w:val="hy-AM"/>
        </w:rPr>
        <w:t>ց</w:t>
      </w:r>
      <w:r w:rsidR="008B518C" w:rsidRPr="00EF7399">
        <w:rPr>
          <w:rFonts w:ascii="Times New Roman" w:hAnsi="Times New Roman" w:cs="Times New Roman"/>
          <w:lang w:val="af-ZA"/>
        </w:rPr>
        <w:t xml:space="preserve">ումն ապահովելու պոզիտիվ պարտավորությունն առանձնակի կարևորություն ունի </w:t>
      </w:r>
      <w:r w:rsidR="00F350B3" w:rsidRPr="00EF7399">
        <w:rPr>
          <w:rFonts w:ascii="Times New Roman" w:hAnsi="Times New Roman" w:cs="Times New Roman"/>
          <w:lang w:val="af-ZA"/>
        </w:rPr>
        <w:t>ժողովրդականություն չվայելող տեսակետ</w:t>
      </w:r>
      <w:r w:rsidR="005A3C48" w:rsidRPr="00EF7399">
        <w:rPr>
          <w:rFonts w:ascii="Times New Roman" w:hAnsi="Times New Roman" w:cs="Times New Roman"/>
          <w:lang w:val="hy-AM"/>
        </w:rPr>
        <w:t>ն</w:t>
      </w:r>
      <w:r w:rsidR="00F350B3" w:rsidRPr="00EF7399">
        <w:rPr>
          <w:rFonts w:ascii="Times New Roman" w:hAnsi="Times New Roman" w:cs="Times New Roman"/>
          <w:lang w:val="af-ZA"/>
        </w:rPr>
        <w:t xml:space="preserve">եր ունեցող կամ փոքրամասնություններին պատկանող անձանց համար, քանի որ նրանք ավելի խոցելի են զոհականացման հարցում </w:t>
      </w:r>
      <w:r w:rsidRPr="00EF7399">
        <w:rPr>
          <w:rFonts w:ascii="Times New Roman" w:hAnsi="Times New Roman" w:cs="Times New Roman"/>
          <w:lang w:val="af-ZA"/>
        </w:rPr>
        <w:t>(</w:t>
      </w:r>
      <w:hyperlink r:id="rId501" w:history="1">
        <w:r w:rsidRPr="00EF7399">
          <w:rPr>
            <w:rStyle w:val="Hyperlink"/>
            <w:rFonts w:ascii="Times New Roman" w:hAnsi="Times New Roman" w:cs="Times New Roman"/>
            <w:lang w:val="af-ZA"/>
          </w:rPr>
          <w:t>Bączkowski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Poland</w:t>
        </w:r>
      </w:hyperlink>
      <w:r w:rsidRPr="00EF7399">
        <w:rPr>
          <w:rFonts w:ascii="Times New Roman" w:hAnsi="Times New Roman" w:cs="Times New Roman"/>
          <w:lang w:val="af-ZA"/>
        </w:rPr>
        <w:t xml:space="preserve">, </w:t>
      </w:r>
      <w:r w:rsidR="00BF5C01" w:rsidRPr="00EF7399">
        <w:rPr>
          <w:rFonts w:ascii="Times New Roman" w:hAnsi="Times New Roman" w:cs="Times New Roman"/>
          <w:lang w:val="af-ZA"/>
        </w:rPr>
        <w:t xml:space="preserve">2007, </w:t>
      </w:r>
      <w:r w:rsidR="00873234" w:rsidRPr="00EF7399">
        <w:rPr>
          <w:rFonts w:ascii="Times New Roman" w:hAnsi="Times New Roman" w:cs="Times New Roman"/>
          <w:lang w:val="af-ZA"/>
        </w:rPr>
        <w:t>§ </w:t>
      </w:r>
      <w:r w:rsidRPr="00EF7399">
        <w:rPr>
          <w:rFonts w:ascii="Times New Roman" w:hAnsi="Times New Roman" w:cs="Times New Roman"/>
          <w:lang w:val="af-ZA"/>
        </w:rPr>
        <w:t>64)</w:t>
      </w:r>
      <w:r w:rsidR="00F350B3" w:rsidRPr="00EF7399">
        <w:rPr>
          <w:rFonts w:ascii="Times New Roman" w:hAnsi="Times New Roman" w:cs="Times New Roman"/>
          <w:lang w:val="af-ZA"/>
        </w:rPr>
        <w:t>:</w:t>
      </w:r>
    </w:p>
    <w:p w14:paraId="6B1B2E70" w14:textId="32DA61BC"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229</w:t>
      </w:r>
      <w:r w:rsidRPr="00EF7399">
        <w:rPr>
          <w:rFonts w:ascii="Times New Roman" w:hAnsi="Times New Roman" w:cs="Times New Roman"/>
          <w:lang w:val="af-ZA"/>
        </w:rPr>
        <w:fldChar w:fldCharType="end"/>
      </w:r>
      <w:r w:rsidRPr="00EF7399">
        <w:rPr>
          <w:rFonts w:ascii="Times New Roman" w:hAnsi="Times New Roman" w:cs="Times New Roman"/>
          <w:lang w:val="af-ZA"/>
        </w:rPr>
        <w:t>.  </w:t>
      </w:r>
      <w:hyperlink r:id="rId502" w:history="1">
        <w:r w:rsidRPr="00EF7399">
          <w:rPr>
            <w:rStyle w:val="Hyperlink"/>
            <w:rFonts w:ascii="Times New Roman" w:hAnsi="Times New Roman" w:cs="Times New Roman"/>
            <w:lang w:val="af-ZA"/>
          </w:rPr>
          <w:t>Ouranio Toxo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Greece</w:t>
        </w:r>
      </w:hyperlink>
      <w:r w:rsidRPr="00EF7399">
        <w:rPr>
          <w:rFonts w:ascii="Times New Roman" w:hAnsi="Times New Roman" w:cs="Times New Roman"/>
          <w:lang w:val="af-ZA"/>
        </w:rPr>
        <w:t xml:space="preserve">, </w:t>
      </w:r>
      <w:r w:rsidR="00693253" w:rsidRPr="00EF7399">
        <w:rPr>
          <w:rFonts w:ascii="Times New Roman" w:hAnsi="Times New Roman" w:cs="Times New Roman"/>
          <w:lang w:val="af-ZA"/>
        </w:rPr>
        <w:t xml:space="preserve">2005, </w:t>
      </w:r>
      <w:r w:rsidR="007B38AC" w:rsidRPr="00EF7399">
        <w:rPr>
          <w:rFonts w:ascii="Times New Roman" w:hAnsi="Times New Roman" w:cs="Times New Roman"/>
          <w:lang w:val="af-ZA"/>
        </w:rPr>
        <w:t xml:space="preserve">գործով եղել է 11-րդ հոդվածի խախտում, ի թիվս այլ հանգամանքների, Հունաստանի իշխանությունների անգործության հիմքով: </w:t>
      </w:r>
      <w:r w:rsidR="00CC1F89" w:rsidRPr="00EF7399">
        <w:rPr>
          <w:rFonts w:ascii="Times New Roman" w:hAnsi="Times New Roman" w:cs="Times New Roman"/>
          <w:lang w:val="af-ZA"/>
        </w:rPr>
        <w:t>Մասնավորապես, պետությունը չէր ձեռնարկել համարժեք միջոցներ բռնությունը կանխելու կամ զսպելու ուղղությամբ, որը սկ</w:t>
      </w:r>
      <w:r w:rsidR="008B6905" w:rsidRPr="00EF7399">
        <w:rPr>
          <w:rFonts w:ascii="Times New Roman" w:hAnsi="Times New Roman" w:cs="Times New Roman"/>
          <w:lang w:val="af-ZA"/>
        </w:rPr>
        <w:t>ս</w:t>
      </w:r>
      <w:r w:rsidR="00CC1F89" w:rsidRPr="00EF7399">
        <w:rPr>
          <w:rFonts w:ascii="Times New Roman" w:hAnsi="Times New Roman" w:cs="Times New Roman"/>
          <w:lang w:val="af-ZA"/>
        </w:rPr>
        <w:t xml:space="preserve">վել էր այն բանից հետո, երբ </w:t>
      </w:r>
      <w:r w:rsidR="00E341BB" w:rsidRPr="00EF7399">
        <w:rPr>
          <w:rFonts w:ascii="Times New Roman" w:hAnsi="Times New Roman" w:cs="Times New Roman"/>
          <w:lang w:val="af-ZA"/>
        </w:rPr>
        <w:t>մակեդոնական փոքրամասնության շահերը պաշտպանող կուսակցություն</w:t>
      </w:r>
      <w:r w:rsidR="002948EC" w:rsidRPr="00EF7399">
        <w:rPr>
          <w:rFonts w:ascii="Times New Roman" w:hAnsi="Times New Roman" w:cs="Times New Roman"/>
          <w:lang w:val="hy-AM"/>
        </w:rPr>
        <w:t>ն</w:t>
      </w:r>
      <w:r w:rsidR="00E341BB" w:rsidRPr="00EF7399">
        <w:rPr>
          <w:rFonts w:ascii="Times New Roman" w:hAnsi="Times New Roman" w:cs="Times New Roman"/>
          <w:lang w:val="af-ZA"/>
        </w:rPr>
        <w:t xml:space="preserve"> իր գլխավոր գրասենյակի</w:t>
      </w:r>
      <w:r w:rsidR="002B08F3" w:rsidRPr="00EF7399">
        <w:rPr>
          <w:rFonts w:ascii="Times New Roman" w:hAnsi="Times New Roman" w:cs="Times New Roman"/>
          <w:lang w:val="af-ZA"/>
        </w:rPr>
        <w:t xml:space="preserve">ց կախել էր կուսակցության անվանումով մակեդոներեն գրված նշան: Ոստիկանությունը կարող էր ողջամտորեն կանխատեսել կուսակցության անդամների նկատմամբ բռնության վտանգը և միավորման ազատության ակնհայտ խախտումները, սակայն չէր միջամտել: Ավելին, </w:t>
      </w:r>
      <w:r w:rsidR="00D165AD" w:rsidRPr="00EF7399">
        <w:rPr>
          <w:rFonts w:ascii="Times New Roman" w:hAnsi="Times New Roman" w:cs="Times New Roman"/>
          <w:lang w:val="af-ZA"/>
        </w:rPr>
        <w:t>դատախազն անհրաժեշտ չէր համարել միջադեպերի փաստով սկսել քննություն</w:t>
      </w:r>
      <w:r w:rsidR="008B6905" w:rsidRPr="00EF7399">
        <w:rPr>
          <w:rFonts w:ascii="Times New Roman" w:hAnsi="Times New Roman" w:cs="Times New Roman"/>
          <w:lang w:val="af-ZA"/>
        </w:rPr>
        <w:t>՝</w:t>
      </w:r>
      <w:r w:rsidR="00D165AD" w:rsidRPr="00EF7399">
        <w:rPr>
          <w:rFonts w:ascii="Times New Roman" w:hAnsi="Times New Roman" w:cs="Times New Roman"/>
          <w:lang w:val="af-ZA"/>
        </w:rPr>
        <w:t xml:space="preserve"> պատասխանատուներին պարզելու համար: Դատարանը շեշտեց, որ մասնավոր անձանց գործողությունների արդյունքում միավորման ազատությանը միջամտելու դեպքերում լիազոր մարմինները կրում են արդյունավետ քննություն իրականացնելու լրացուցիչ պարտավորություն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43)</w:t>
      </w:r>
      <w:r w:rsidR="00D165AD" w:rsidRPr="00EF7399">
        <w:rPr>
          <w:rFonts w:ascii="Times New Roman" w:hAnsi="Times New Roman" w:cs="Times New Roman"/>
          <w:lang w:val="af-ZA"/>
        </w:rPr>
        <w:t>:</w:t>
      </w:r>
    </w:p>
    <w:p w14:paraId="0CD1777A" w14:textId="5655E8DB" w:rsidR="00715CC0" w:rsidRPr="00EF7399" w:rsidRDefault="00715CC0"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230</w:t>
      </w:r>
      <w:r w:rsidRPr="00EF7399">
        <w:rPr>
          <w:rFonts w:ascii="Times New Roman" w:hAnsi="Times New Roman" w:cs="Times New Roman"/>
          <w:lang w:val="af-ZA"/>
        </w:rPr>
        <w:fldChar w:fldCharType="end"/>
      </w:r>
      <w:r w:rsidRPr="00EF7399">
        <w:rPr>
          <w:rFonts w:ascii="Times New Roman" w:hAnsi="Times New Roman" w:cs="Times New Roman"/>
          <w:lang w:val="af-ZA"/>
        </w:rPr>
        <w:t>.  </w:t>
      </w:r>
      <w:hyperlink r:id="rId503" w:history="1">
        <w:r w:rsidR="00CE434D" w:rsidRPr="00EF7399">
          <w:rPr>
            <w:rStyle w:val="Hyperlink"/>
            <w:rFonts w:ascii="Times New Roman" w:hAnsi="Times New Roman" w:cs="Times New Roman"/>
            <w:lang w:val="af-ZA"/>
          </w:rPr>
          <w:t>Zhdanov and Others v. Russia</w:t>
        </w:r>
      </w:hyperlink>
      <w:r w:rsidR="00CE434D" w:rsidRPr="00EF7399">
        <w:rPr>
          <w:rStyle w:val="Hyperlink"/>
          <w:rFonts w:ascii="Times New Roman" w:hAnsi="Times New Roman" w:cs="Times New Roman"/>
          <w:i w:val="0"/>
          <w:iCs/>
          <w:color w:val="auto"/>
          <w:lang w:val="af-ZA"/>
        </w:rPr>
        <w:t xml:space="preserve">, </w:t>
      </w:r>
      <w:r w:rsidR="00CE434D" w:rsidRPr="00EF7399">
        <w:rPr>
          <w:rFonts w:ascii="Times New Roman" w:hAnsi="Times New Roman" w:cs="Times New Roman"/>
          <w:lang w:val="af-ZA"/>
        </w:rPr>
        <w:t xml:space="preserve">2019, գործով </w:t>
      </w:r>
      <w:r w:rsidR="00490980" w:rsidRPr="00EF7399">
        <w:rPr>
          <w:rFonts w:ascii="Times New Roman" w:hAnsi="Times New Roman" w:cs="Times New Roman"/>
          <w:lang w:val="af-ZA"/>
        </w:rPr>
        <w:t xml:space="preserve">ԼԳԲՏ համայնքի ներկայացուցիչների իրավունքները պաշտպանելու նպատակով ստեղծված միավորումների գրանցումը մերժելը, </w:t>
      </w:r>
      <w:r w:rsidR="00CE434D" w:rsidRPr="00EF7399">
        <w:rPr>
          <w:rFonts w:ascii="Times New Roman" w:hAnsi="Times New Roman" w:cs="Times New Roman"/>
          <w:lang w:val="af-ZA"/>
        </w:rPr>
        <w:t>մասնավորապես, այն հիմքով, որ միավորումները կարող են դառնալ նույնասեռականությունը դատապարտող անձի ագրեսիայի հնարավոր զոհ, համարվեց</w:t>
      </w:r>
      <w:r w:rsidR="00B47C94" w:rsidRPr="00EF7399">
        <w:rPr>
          <w:rFonts w:ascii="Times New Roman" w:hAnsi="Times New Roman" w:cs="Times New Roman"/>
          <w:lang w:val="af-ZA"/>
        </w:rPr>
        <w:t xml:space="preserve"> </w:t>
      </w:r>
      <w:r w:rsidR="00CE434D" w:rsidRPr="00EF7399">
        <w:rPr>
          <w:rFonts w:ascii="Times New Roman" w:hAnsi="Times New Roman" w:cs="Times New Roman"/>
          <w:lang w:val="af-ZA"/>
        </w:rPr>
        <w:t xml:space="preserve">11-րդ հոդվածի խախտում: Դատարանը գտավ, որ Ռուսաստանի իշխանությունների </w:t>
      </w:r>
      <w:r w:rsidR="00AA5784" w:rsidRPr="00EF7399">
        <w:rPr>
          <w:rFonts w:ascii="Times New Roman" w:hAnsi="Times New Roman" w:cs="Times New Roman"/>
          <w:lang w:val="af-ZA"/>
        </w:rPr>
        <w:t>պարտականությունն էր</w:t>
      </w:r>
      <w:r w:rsidR="00B47C94" w:rsidRPr="00EF7399">
        <w:rPr>
          <w:rFonts w:ascii="Times New Roman" w:hAnsi="Times New Roman" w:cs="Times New Roman"/>
          <w:lang w:val="af-ZA"/>
        </w:rPr>
        <w:t xml:space="preserve"> ձեռնարկել ողջամիտ և պատշաճ միջոցներ, որոնք հնարավորություն կտային միավորումներին իրականացնել իրենց գործունեությունը զերծ լինելով ֆիզիկական բռնության վախից:</w:t>
      </w:r>
      <w:r w:rsidR="00364CBA" w:rsidRPr="00EF7399">
        <w:rPr>
          <w:rFonts w:ascii="Times New Roman" w:hAnsi="Times New Roman" w:cs="Times New Roman"/>
          <w:lang w:val="af-ZA"/>
        </w:rPr>
        <w:t xml:space="preserve"> </w:t>
      </w:r>
      <w:r w:rsidR="00B47C94" w:rsidRPr="00EF7399">
        <w:rPr>
          <w:rFonts w:ascii="Times New Roman" w:hAnsi="Times New Roman" w:cs="Times New Roman"/>
          <w:lang w:val="af-ZA"/>
        </w:rPr>
        <w:t>Թեև իշխանություններն ունեին միավորումներին անխափան գործելու հնարավորություն ընձեռող միջոցների ընտրության լայն հայեցողություն, նրանք</w:t>
      </w:r>
      <w:r w:rsidR="007E626E" w:rsidRPr="00EF7399">
        <w:rPr>
          <w:rFonts w:ascii="Times New Roman" w:hAnsi="Times New Roman" w:cs="Times New Roman"/>
          <w:lang w:val="af-ZA"/>
        </w:rPr>
        <w:t>դրա</w:t>
      </w:r>
      <w:r w:rsidR="00B47C94" w:rsidRPr="00EF7399">
        <w:rPr>
          <w:rFonts w:ascii="Times New Roman" w:hAnsi="Times New Roman" w:cs="Times New Roman"/>
          <w:lang w:val="af-ZA"/>
        </w:rPr>
        <w:t xml:space="preserve"> փոխարեն որոշեցին վերացնել լարվածության պատճառը և կանխել անկարգությունների վտանգը միավորումների </w:t>
      </w:r>
      <w:r w:rsidR="00B47C94" w:rsidRPr="00EF7399">
        <w:rPr>
          <w:rFonts w:ascii="Times New Roman" w:hAnsi="Times New Roman" w:cs="Times New Roman"/>
          <w:lang w:val="af-ZA"/>
        </w:rPr>
        <w:lastRenderedPageBreak/>
        <w:t xml:space="preserve">ազատությունը սահմանափակելու միջոցով </w:t>
      </w:r>
      <w:r w:rsidR="00DB6E48" w:rsidRPr="00EF7399">
        <w:rPr>
          <w:rFonts w:ascii="Times New Roman" w:hAnsi="Times New Roman" w:cs="Times New Roman"/>
          <w:lang w:val="af-ZA"/>
        </w:rPr>
        <w:t>(</w:t>
      </w:r>
      <w:r w:rsidR="00873234" w:rsidRPr="00EF7399">
        <w:rPr>
          <w:rFonts w:ascii="Times New Roman" w:hAnsi="Times New Roman" w:cs="Times New Roman"/>
          <w:lang w:val="af-ZA"/>
        </w:rPr>
        <w:t>§ </w:t>
      </w:r>
      <w:r w:rsidR="00DB6E48" w:rsidRPr="00EF7399">
        <w:rPr>
          <w:rFonts w:ascii="Times New Roman" w:hAnsi="Times New Roman" w:cs="Times New Roman"/>
          <w:lang w:val="af-ZA"/>
        </w:rPr>
        <w:t>164)</w:t>
      </w:r>
      <w:r w:rsidR="00B47C94" w:rsidRPr="00EF7399">
        <w:rPr>
          <w:rFonts w:ascii="Times New Roman" w:hAnsi="Times New Roman" w:cs="Times New Roman"/>
          <w:lang w:val="af-ZA"/>
        </w:rPr>
        <w:t xml:space="preserve">: Միավորումների գրանցման մերժումը համարվեց նաև սեռական կողմնորոշման հիմքով խտրականություն, ինչը 14-րդ հոդվածի խախտում էր: </w:t>
      </w:r>
    </w:p>
    <w:p w14:paraId="5AE12F4D" w14:textId="4B1F46E1"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231</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B47C94" w:rsidRPr="00EF7399">
        <w:rPr>
          <w:rFonts w:ascii="Times New Roman" w:hAnsi="Times New Roman" w:cs="Times New Roman"/>
          <w:lang w:val="af-ZA"/>
        </w:rPr>
        <w:t xml:space="preserve">Իշխանություններն ունեն </w:t>
      </w:r>
      <w:r w:rsidR="00E136EA" w:rsidRPr="00EF7399">
        <w:rPr>
          <w:rFonts w:ascii="Times New Roman" w:hAnsi="Times New Roman" w:cs="Times New Roman"/>
          <w:lang w:val="af-ZA"/>
        </w:rPr>
        <w:t xml:space="preserve">դատական վերահսկողություն և մասնավոր գործատուների կողմից աշխատանքից ազատելու դեմ երաշխիքներ ապահովելու </w:t>
      </w:r>
      <w:r w:rsidR="00B47C94" w:rsidRPr="00EF7399">
        <w:rPr>
          <w:rFonts w:ascii="Times New Roman" w:hAnsi="Times New Roman" w:cs="Times New Roman"/>
          <w:lang w:val="af-ZA"/>
        </w:rPr>
        <w:t>պոզիտիվ պարտավորություն</w:t>
      </w:r>
      <w:r w:rsidR="00E136EA" w:rsidRPr="00EF7399">
        <w:rPr>
          <w:rFonts w:ascii="Times New Roman" w:hAnsi="Times New Roman" w:cs="Times New Roman"/>
          <w:lang w:val="af-ZA"/>
        </w:rPr>
        <w:t xml:space="preserve">, եթե ազատումը պայմանավորված է բացառապես այն փաստով, որ աշխատողը պատկանում է որոշակի քաղաքական կուսակցության </w:t>
      </w:r>
      <w:r w:rsidRPr="00EF7399">
        <w:rPr>
          <w:rFonts w:ascii="Times New Roman" w:hAnsi="Times New Roman" w:cs="Times New Roman"/>
          <w:lang w:val="af-ZA"/>
        </w:rPr>
        <w:t>(</w:t>
      </w:r>
      <w:hyperlink r:id="rId504" w:history="1">
        <w:r w:rsidRPr="00EF7399">
          <w:rPr>
            <w:rStyle w:val="Hyperlink"/>
            <w:rFonts w:ascii="Times New Roman" w:hAnsi="Times New Roman" w:cs="Times New Roman"/>
            <w:lang w:val="af-ZA"/>
          </w:rPr>
          <w:t>Redfearn</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the United Kingdom</w:t>
        </w:r>
      </w:hyperlink>
      <w:r w:rsidRPr="00EF7399">
        <w:rPr>
          <w:rFonts w:ascii="Times New Roman" w:hAnsi="Times New Roman" w:cs="Times New Roman"/>
          <w:lang w:val="af-ZA"/>
        </w:rPr>
        <w:t xml:space="preserve">, </w:t>
      </w:r>
      <w:r w:rsidR="00BF5C01" w:rsidRPr="00EF7399">
        <w:rPr>
          <w:rFonts w:ascii="Times New Roman" w:hAnsi="Times New Roman" w:cs="Times New Roman"/>
          <w:lang w:val="af-ZA"/>
        </w:rPr>
        <w:t xml:space="preserve">2012,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43, </w:t>
      </w:r>
      <w:r w:rsidR="00E136EA" w:rsidRPr="00EF7399">
        <w:rPr>
          <w:rFonts w:ascii="Times New Roman" w:hAnsi="Times New Roman" w:cs="Times New Roman"/>
          <w:lang w:val="af-ZA"/>
        </w:rPr>
        <w:t>երբ աշխատողին արգելվեց դատական հայց ներկայացնել քաղաքական պատկանելության հիմքով մեկամյա փորձ</w:t>
      </w:r>
      <w:r w:rsidR="007C5B16" w:rsidRPr="00EF7399">
        <w:rPr>
          <w:rFonts w:ascii="Times New Roman" w:hAnsi="Times New Roman" w:cs="Times New Roman"/>
          <w:lang w:val="hy-AM"/>
        </w:rPr>
        <w:t>ա</w:t>
      </w:r>
      <w:r w:rsidR="00E136EA" w:rsidRPr="00EF7399">
        <w:rPr>
          <w:rFonts w:ascii="Times New Roman" w:hAnsi="Times New Roman" w:cs="Times New Roman"/>
          <w:lang w:val="af-ZA"/>
        </w:rPr>
        <w:t>շրջանի ընթացքում աշխատանքից</w:t>
      </w:r>
      <w:r w:rsidR="007C5B16" w:rsidRPr="00EF7399">
        <w:rPr>
          <w:rFonts w:ascii="Times New Roman" w:hAnsi="Times New Roman" w:cs="Times New Roman"/>
          <w:lang w:val="hy-AM"/>
        </w:rPr>
        <w:t xml:space="preserve"> </w:t>
      </w:r>
      <w:r w:rsidR="00E136EA" w:rsidRPr="00EF7399">
        <w:rPr>
          <w:rFonts w:ascii="Times New Roman" w:hAnsi="Times New Roman" w:cs="Times New Roman"/>
          <w:lang w:val="af-ZA"/>
        </w:rPr>
        <w:t>անարդար ազատ</w:t>
      </w:r>
      <w:r w:rsidR="007C5B16" w:rsidRPr="00EF7399">
        <w:rPr>
          <w:rFonts w:ascii="Times New Roman" w:hAnsi="Times New Roman" w:cs="Times New Roman"/>
          <w:lang w:val="hy-AM"/>
        </w:rPr>
        <w:t>ման</w:t>
      </w:r>
      <w:r w:rsidR="00E136EA" w:rsidRPr="00EF7399">
        <w:rPr>
          <w:rFonts w:ascii="Times New Roman" w:hAnsi="Times New Roman" w:cs="Times New Roman"/>
          <w:lang w:val="af-ZA"/>
        </w:rPr>
        <w:t xml:space="preserve"> </w:t>
      </w:r>
      <w:r w:rsidR="007C5B16" w:rsidRPr="00EF7399">
        <w:rPr>
          <w:rFonts w:ascii="Times New Roman" w:hAnsi="Times New Roman" w:cs="Times New Roman"/>
          <w:lang w:val="hy-AM"/>
        </w:rPr>
        <w:t>դեմ</w:t>
      </w:r>
      <w:r w:rsidRPr="00EF7399">
        <w:rPr>
          <w:rFonts w:ascii="Times New Roman" w:hAnsi="Times New Roman" w:cs="Times New Roman"/>
          <w:lang w:val="af-ZA"/>
        </w:rPr>
        <w:t>)</w:t>
      </w:r>
      <w:r w:rsidR="00E136EA" w:rsidRPr="00EF7399">
        <w:rPr>
          <w:rFonts w:ascii="Times New Roman" w:hAnsi="Times New Roman" w:cs="Times New Roman"/>
          <w:lang w:val="af-ZA"/>
        </w:rPr>
        <w:t>:</w:t>
      </w:r>
    </w:p>
    <w:p w14:paraId="0BE08EB8" w14:textId="4E10A977"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232</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CA018B" w:rsidRPr="00EF7399">
        <w:rPr>
          <w:rFonts w:ascii="Times New Roman" w:hAnsi="Times New Roman" w:cs="Times New Roman"/>
          <w:lang w:val="af-ZA"/>
        </w:rPr>
        <w:t xml:space="preserve">Կոնվենցիայի 11-րդ և 14-րդ հոդվածները պահանջում են պետություններից ստեղծել դատական համակարգ, որը երաշխավորում է իրական և արդյունավետ պաշտպանություն միավորման անդամության հիմքով խտրականությունից </w:t>
      </w:r>
      <w:r w:rsidRPr="00EF7399">
        <w:rPr>
          <w:rFonts w:ascii="Times New Roman" w:hAnsi="Times New Roman" w:cs="Times New Roman"/>
          <w:lang w:val="af-ZA"/>
        </w:rPr>
        <w:t>(</w:t>
      </w:r>
      <w:hyperlink r:id="rId505" w:history="1">
        <w:r w:rsidRPr="00EF7399">
          <w:rPr>
            <w:rStyle w:val="Hyperlink"/>
            <w:rFonts w:ascii="Times New Roman" w:hAnsi="Times New Roman" w:cs="Times New Roman"/>
            <w:lang w:val="af-ZA"/>
          </w:rPr>
          <w:t>Danilenkov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Russia</w:t>
        </w:r>
      </w:hyperlink>
      <w:r w:rsidRPr="00EF7399">
        <w:rPr>
          <w:rFonts w:ascii="Times New Roman" w:hAnsi="Times New Roman" w:cs="Times New Roman"/>
          <w:lang w:val="af-ZA"/>
        </w:rPr>
        <w:t xml:space="preserve">, </w:t>
      </w:r>
      <w:r w:rsidR="00BF5C01" w:rsidRPr="00EF7399">
        <w:rPr>
          <w:rFonts w:ascii="Times New Roman" w:hAnsi="Times New Roman" w:cs="Times New Roman"/>
          <w:lang w:val="af-ZA"/>
        </w:rPr>
        <w:t xml:space="preserve">2009,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124, </w:t>
      </w:r>
      <w:r w:rsidR="00BE570A" w:rsidRPr="00EF7399">
        <w:rPr>
          <w:rFonts w:ascii="Times New Roman" w:hAnsi="Times New Roman" w:cs="Times New Roman"/>
          <w:lang w:val="af-ZA"/>
        </w:rPr>
        <w:t xml:space="preserve">որտեղ </w:t>
      </w:r>
      <w:r w:rsidR="00901CA6" w:rsidRPr="00EF7399">
        <w:rPr>
          <w:rFonts w:ascii="Times New Roman" w:hAnsi="Times New Roman" w:cs="Times New Roman"/>
          <w:lang w:val="af-ZA"/>
        </w:rPr>
        <w:t>ներպետական դատարանները հրաժարվել էին քննել գանգատաբերների բողոքներ</w:t>
      </w:r>
      <w:r w:rsidR="007C5B16" w:rsidRPr="00EF7399">
        <w:rPr>
          <w:rFonts w:ascii="Times New Roman" w:hAnsi="Times New Roman" w:cs="Times New Roman"/>
          <w:lang w:val="hy-AM"/>
        </w:rPr>
        <w:t>ն</w:t>
      </w:r>
      <w:r w:rsidR="00901CA6" w:rsidRPr="00EF7399">
        <w:rPr>
          <w:rFonts w:ascii="Times New Roman" w:hAnsi="Times New Roman" w:cs="Times New Roman"/>
          <w:lang w:val="af-ZA"/>
        </w:rPr>
        <w:t xml:space="preserve"> այն հիմքով, որ խտրականության փաստը հնարավոր է պարզել միայն քրեական վարույթով</w:t>
      </w:r>
      <w:r w:rsidR="00923F5A" w:rsidRPr="00EF7399">
        <w:rPr>
          <w:rFonts w:ascii="Times New Roman" w:hAnsi="Times New Roman" w:cs="Times New Roman"/>
          <w:lang w:val="af-ZA"/>
        </w:rPr>
        <w:t xml:space="preserve">; </w:t>
      </w:r>
      <w:hyperlink r:id="rId506" w:history="1">
        <w:r w:rsidR="00923F5A" w:rsidRPr="00EF7399">
          <w:rPr>
            <w:rStyle w:val="Hyperlink"/>
            <w:rFonts w:ascii="Times New Roman" w:hAnsi="Times New Roman" w:cs="Times New Roman"/>
            <w:lang w:val="af-ZA"/>
          </w:rPr>
          <w:t>Zakharova and Others</w:t>
        </w:r>
        <w:r w:rsidR="00873234" w:rsidRPr="00EF7399">
          <w:rPr>
            <w:rStyle w:val="Hyperlink"/>
            <w:rFonts w:ascii="Times New Roman" w:hAnsi="Times New Roman" w:cs="Times New Roman"/>
            <w:lang w:val="af-ZA"/>
          </w:rPr>
          <w:t xml:space="preserve"> v. </w:t>
        </w:r>
        <w:r w:rsidR="00923F5A" w:rsidRPr="00EF7399">
          <w:rPr>
            <w:rStyle w:val="Hyperlink"/>
            <w:rFonts w:ascii="Times New Roman" w:hAnsi="Times New Roman" w:cs="Times New Roman"/>
            <w:lang w:val="af-ZA"/>
          </w:rPr>
          <w:t>Russia</w:t>
        </w:r>
      </w:hyperlink>
      <w:r w:rsidR="00923F5A" w:rsidRPr="00EF7399">
        <w:rPr>
          <w:rFonts w:ascii="Times New Roman" w:hAnsi="Times New Roman" w:cs="Times New Roman"/>
          <w:lang w:val="af-ZA"/>
        </w:rPr>
        <w:t>,</w:t>
      </w:r>
      <w:r w:rsidR="00FE68D3" w:rsidRPr="00EF7399">
        <w:rPr>
          <w:rFonts w:ascii="Times New Roman" w:hAnsi="Times New Roman" w:cs="Times New Roman"/>
          <w:lang w:val="af-ZA"/>
        </w:rPr>
        <w:t xml:space="preserve"> </w:t>
      </w:r>
      <w:r w:rsidR="00923F5A" w:rsidRPr="00EF7399">
        <w:rPr>
          <w:rFonts w:ascii="Times New Roman" w:hAnsi="Times New Roman" w:cs="Times New Roman"/>
          <w:lang w:val="af-ZA"/>
        </w:rPr>
        <w:t xml:space="preserve">2022, </w:t>
      </w:r>
      <w:r w:rsidR="00873234" w:rsidRPr="00EF7399">
        <w:rPr>
          <w:rFonts w:ascii="Times New Roman" w:hAnsi="Times New Roman" w:cs="Times New Roman"/>
          <w:lang w:val="af-ZA"/>
        </w:rPr>
        <w:t>§ </w:t>
      </w:r>
      <w:r w:rsidR="00923F5A" w:rsidRPr="00EF7399">
        <w:rPr>
          <w:rFonts w:ascii="Times New Roman" w:hAnsi="Times New Roman" w:cs="Times New Roman"/>
          <w:lang w:val="af-ZA"/>
        </w:rPr>
        <w:t xml:space="preserve">36, </w:t>
      </w:r>
      <w:r w:rsidR="00BE570A" w:rsidRPr="00EF7399">
        <w:rPr>
          <w:rFonts w:ascii="Times New Roman" w:hAnsi="Times New Roman" w:cs="Times New Roman"/>
          <w:lang w:val="af-ZA"/>
        </w:rPr>
        <w:t xml:space="preserve">որտեղ </w:t>
      </w:r>
      <w:r w:rsidR="00901CA6" w:rsidRPr="00EF7399">
        <w:rPr>
          <w:rFonts w:ascii="Times New Roman" w:hAnsi="Times New Roman" w:cs="Times New Roman"/>
          <w:lang w:val="af-ZA"/>
        </w:rPr>
        <w:t>գանգատաբերների</w:t>
      </w:r>
      <w:r w:rsidR="00923F5A" w:rsidRPr="00EF7399">
        <w:rPr>
          <w:rFonts w:ascii="Times New Roman" w:hAnsi="Times New Roman" w:cs="Times New Roman"/>
          <w:lang w:val="af-ZA"/>
        </w:rPr>
        <w:t xml:space="preserve"> </w:t>
      </w:r>
      <w:r w:rsidR="007C5B16" w:rsidRPr="001B2612">
        <w:rPr>
          <w:rFonts w:ascii="Times New Roman" w:hAnsi="Times New Roman" w:cs="Times New Roman"/>
          <w:i/>
          <w:iCs/>
          <w:lang w:val="hy-AM"/>
        </w:rPr>
        <w:t>առերևույթ</w:t>
      </w:r>
      <w:r w:rsidR="007C5B16" w:rsidRPr="00EF7399">
        <w:rPr>
          <w:rFonts w:ascii="Times New Roman" w:hAnsi="Times New Roman" w:cs="Times New Roman"/>
          <w:lang w:val="hy-AM"/>
        </w:rPr>
        <w:t xml:space="preserve"> </w:t>
      </w:r>
      <w:r w:rsidR="007C5B16" w:rsidRPr="001B2612">
        <w:rPr>
          <w:rFonts w:ascii="Times New Roman" w:hAnsi="Times New Roman" w:cs="Times New Roman"/>
          <w:i/>
          <w:iCs/>
          <w:lang w:val="af-ZA"/>
        </w:rPr>
        <w:t>(</w:t>
      </w:r>
      <w:r w:rsidR="00923F5A" w:rsidRPr="00EF7399">
        <w:rPr>
          <w:rFonts w:ascii="Times New Roman" w:hAnsi="Times New Roman" w:cs="Times New Roman"/>
          <w:i/>
          <w:iCs/>
          <w:lang w:val="af-ZA"/>
        </w:rPr>
        <w:t>prima facie</w:t>
      </w:r>
      <w:r w:rsidR="007C5B16" w:rsidRPr="00EF7399">
        <w:rPr>
          <w:rFonts w:ascii="Times New Roman" w:hAnsi="Times New Roman" w:cs="Times New Roman"/>
          <w:i/>
          <w:iCs/>
          <w:lang w:val="af-ZA"/>
        </w:rPr>
        <w:t>)</w:t>
      </w:r>
      <w:r w:rsidR="00923F5A" w:rsidRPr="00EF7399">
        <w:rPr>
          <w:rFonts w:ascii="Times New Roman" w:hAnsi="Times New Roman" w:cs="Times New Roman"/>
          <w:lang w:val="af-ZA"/>
        </w:rPr>
        <w:t xml:space="preserve"> </w:t>
      </w:r>
      <w:r w:rsidR="00901CA6" w:rsidRPr="00EF7399">
        <w:rPr>
          <w:rFonts w:ascii="Times New Roman" w:hAnsi="Times New Roman" w:cs="Times New Roman"/>
          <w:lang w:val="af-ZA"/>
        </w:rPr>
        <w:t xml:space="preserve">խտրականության գործը </w:t>
      </w:r>
      <w:r w:rsidR="00BE570A" w:rsidRPr="00EF7399">
        <w:rPr>
          <w:rFonts w:ascii="Times New Roman" w:hAnsi="Times New Roman" w:cs="Times New Roman"/>
          <w:lang w:val="af-ZA"/>
        </w:rPr>
        <w:t>կարճվել էր</w:t>
      </w:r>
      <w:r w:rsidR="007C5B16" w:rsidRPr="00EF7399">
        <w:rPr>
          <w:rFonts w:ascii="Times New Roman" w:hAnsi="Times New Roman" w:cs="Times New Roman"/>
          <w:lang w:val="hy-AM"/>
        </w:rPr>
        <w:t>՝</w:t>
      </w:r>
      <w:r w:rsidR="00BE570A" w:rsidRPr="00EF7399">
        <w:rPr>
          <w:rFonts w:ascii="Times New Roman" w:hAnsi="Times New Roman" w:cs="Times New Roman"/>
          <w:lang w:val="af-ZA"/>
        </w:rPr>
        <w:t xml:space="preserve"> </w:t>
      </w:r>
      <w:r w:rsidR="007C5B16" w:rsidRPr="00EF7399">
        <w:rPr>
          <w:rFonts w:ascii="Times New Roman" w:hAnsi="Times New Roman" w:cs="Times New Roman"/>
          <w:lang w:val="hy-AM"/>
        </w:rPr>
        <w:t>իբրև</w:t>
      </w:r>
      <w:r w:rsidR="00BE570A" w:rsidRPr="00EF7399">
        <w:rPr>
          <w:rFonts w:ascii="Times New Roman" w:hAnsi="Times New Roman" w:cs="Times New Roman"/>
          <w:lang w:val="af-ZA"/>
        </w:rPr>
        <w:t xml:space="preserve"> չհիմնավորված</w:t>
      </w:r>
      <w:r w:rsidRPr="00EF7399">
        <w:rPr>
          <w:rFonts w:ascii="Times New Roman" w:hAnsi="Times New Roman" w:cs="Times New Roman"/>
          <w:lang w:val="af-ZA"/>
        </w:rPr>
        <w:t>)</w:t>
      </w:r>
      <w:r w:rsidR="00BE570A" w:rsidRPr="00EF7399">
        <w:rPr>
          <w:rFonts w:ascii="Times New Roman" w:hAnsi="Times New Roman" w:cs="Times New Roman"/>
          <w:lang w:val="af-ZA"/>
        </w:rPr>
        <w:t>:</w:t>
      </w:r>
    </w:p>
    <w:p w14:paraId="40CFD1FB" w14:textId="5283DFEE" w:rsidR="001148BF" w:rsidRPr="00EF7399" w:rsidRDefault="001148BF" w:rsidP="001148BF">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233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BE570A" w:rsidRPr="00EF7399">
        <w:rPr>
          <w:rFonts w:ascii="Times New Roman" w:hAnsi="Times New Roman" w:cs="Times New Roman"/>
          <w:lang w:val="af-ZA"/>
        </w:rPr>
        <w:t>Պետություններն ունեն ճանաչման այնպիսի համակարգ ստեղծելու պոզիտիվ պարտավորություն, որը դյուրացնում է կրոնական համայնքների կողմից իրավաբանական անձի կարգավիճակ  ստանալը: Կրոնի և կրոնական գործունեության սահմանումն ուղղակի ազդեցություն ուն</w:t>
      </w:r>
      <w:r w:rsidR="007C5B16" w:rsidRPr="00EF7399">
        <w:rPr>
          <w:rFonts w:ascii="Times New Roman" w:hAnsi="Times New Roman" w:cs="Times New Roman"/>
          <w:lang w:val="hy-AM"/>
        </w:rPr>
        <w:t>ի</w:t>
      </w:r>
      <w:r w:rsidR="00BE570A" w:rsidRPr="00EF7399">
        <w:rPr>
          <w:rFonts w:ascii="Times New Roman" w:hAnsi="Times New Roman" w:cs="Times New Roman"/>
          <w:lang w:val="af-ZA"/>
        </w:rPr>
        <w:t xml:space="preserve"> անհատի</w:t>
      </w:r>
      <w:r w:rsidR="007C5B16" w:rsidRPr="00EF7399">
        <w:rPr>
          <w:rFonts w:ascii="Times New Roman" w:hAnsi="Times New Roman" w:cs="Times New Roman"/>
          <w:lang w:val="af-ZA"/>
        </w:rPr>
        <w:t>`</w:t>
      </w:r>
      <w:r w:rsidR="00BE570A" w:rsidRPr="00EF7399">
        <w:rPr>
          <w:rFonts w:ascii="Times New Roman" w:hAnsi="Times New Roman" w:cs="Times New Roman"/>
          <w:lang w:val="af-ZA"/>
        </w:rPr>
        <w:t xml:space="preserve"> կրոնի ազատության իրավունքի իրա</w:t>
      </w:r>
      <w:r w:rsidR="007C5B16" w:rsidRPr="00EF7399">
        <w:rPr>
          <w:rFonts w:ascii="Times New Roman" w:hAnsi="Times New Roman" w:cs="Times New Roman"/>
          <w:lang w:val="hy-AM"/>
        </w:rPr>
        <w:t>ց</w:t>
      </w:r>
      <w:r w:rsidR="00BE570A" w:rsidRPr="00EF7399">
        <w:rPr>
          <w:rFonts w:ascii="Times New Roman" w:hAnsi="Times New Roman" w:cs="Times New Roman"/>
          <w:lang w:val="af-ZA"/>
        </w:rPr>
        <w:t xml:space="preserve">ման վրա </w:t>
      </w:r>
      <w:r w:rsidRPr="00EF7399">
        <w:rPr>
          <w:rFonts w:ascii="Times New Roman" w:hAnsi="Times New Roman" w:cs="Times New Roman"/>
          <w:lang w:val="af-ZA"/>
        </w:rPr>
        <w:t>(</w:t>
      </w:r>
      <w:hyperlink r:id="rId507" w:history="1">
        <w:r w:rsidRPr="00EF7399">
          <w:rPr>
            <w:rStyle w:val="Hyperlink"/>
            <w:rFonts w:ascii="Times New Roman" w:hAnsi="Times New Roman" w:cs="Times New Roman"/>
            <w:lang w:val="af-ZA"/>
          </w:rPr>
          <w:t>Magyar Keresztény Mennonita Egyház and Others</w:t>
        </w:r>
      </w:hyperlink>
      <w:r w:rsidRPr="00EF7399">
        <w:rPr>
          <w:rFonts w:ascii="Times New Roman" w:hAnsi="Times New Roman" w:cs="Times New Roman"/>
          <w:lang w:val="af-ZA"/>
        </w:rPr>
        <w:t xml:space="preserve">, </w:t>
      </w:r>
      <w:r w:rsidR="00C46086"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Pr="00EF7399">
        <w:rPr>
          <w:rFonts w:ascii="Times New Roman" w:hAnsi="Times New Roman" w:cs="Times New Roman"/>
          <w:lang w:val="af-ZA"/>
        </w:rPr>
        <w:t>90)</w:t>
      </w:r>
      <w:r w:rsidR="00BE570A" w:rsidRPr="00EF7399">
        <w:rPr>
          <w:rFonts w:ascii="Times New Roman" w:hAnsi="Times New Roman" w:cs="Times New Roman"/>
          <w:lang w:val="af-ZA"/>
        </w:rPr>
        <w:t>:</w:t>
      </w:r>
    </w:p>
    <w:p w14:paraId="37E9FE59" w14:textId="18EBD35A" w:rsidR="00F66876" w:rsidRPr="00EF7399" w:rsidRDefault="001148BF" w:rsidP="00460F56">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234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954C27" w:rsidRPr="00EF7399">
        <w:rPr>
          <w:rFonts w:ascii="Times New Roman" w:hAnsi="Times New Roman" w:cs="Times New Roman"/>
          <w:lang w:val="af-ZA"/>
        </w:rPr>
        <w:t xml:space="preserve"> Պայմանավորվող կողմի պարտականությունն է</w:t>
      </w:r>
      <w:r w:rsidR="00BC47E5" w:rsidRPr="00EF7399">
        <w:rPr>
          <w:rFonts w:ascii="Times New Roman" w:hAnsi="Times New Roman" w:cs="Times New Roman"/>
          <w:lang w:val="hy-AM"/>
        </w:rPr>
        <w:t>՝</w:t>
      </w:r>
      <w:r w:rsidR="00954C27" w:rsidRPr="00EF7399">
        <w:rPr>
          <w:rFonts w:ascii="Times New Roman" w:hAnsi="Times New Roman" w:cs="Times New Roman"/>
          <w:lang w:val="af-ZA"/>
        </w:rPr>
        <w:t xml:space="preserve"> ստեղծել պետական գրանցման </w:t>
      </w:r>
      <w:r w:rsidR="00BC47E5" w:rsidRPr="00EF7399">
        <w:rPr>
          <w:rFonts w:ascii="Times New Roman" w:hAnsi="Times New Roman" w:cs="Times New Roman"/>
          <w:lang w:val="hy-AM"/>
        </w:rPr>
        <w:t>ներպետական</w:t>
      </w:r>
      <w:r w:rsidR="00BC47E5" w:rsidRPr="00EF7399">
        <w:rPr>
          <w:rFonts w:ascii="Times New Roman" w:hAnsi="Times New Roman" w:cs="Times New Roman"/>
          <w:lang w:val="af-ZA"/>
        </w:rPr>
        <w:t xml:space="preserve"> </w:t>
      </w:r>
      <w:r w:rsidR="00954C27" w:rsidRPr="00EF7399">
        <w:rPr>
          <w:rFonts w:ascii="Times New Roman" w:hAnsi="Times New Roman" w:cs="Times New Roman"/>
          <w:lang w:val="af-ZA"/>
        </w:rPr>
        <w:t>համա</w:t>
      </w:r>
      <w:r w:rsidR="00BC47E5" w:rsidRPr="00EF7399">
        <w:rPr>
          <w:rFonts w:ascii="Times New Roman" w:hAnsi="Times New Roman" w:cs="Times New Roman"/>
          <w:lang w:val="hy-AM"/>
        </w:rPr>
        <w:t>կա</w:t>
      </w:r>
      <w:r w:rsidR="00954C27" w:rsidRPr="00EF7399">
        <w:rPr>
          <w:rFonts w:ascii="Times New Roman" w:hAnsi="Times New Roman" w:cs="Times New Roman"/>
          <w:lang w:val="af-ZA"/>
        </w:rPr>
        <w:t xml:space="preserve">րգ և ձեռնարկել իրավական պաշտպանության անհրաժեշտ միջոցներ, որոնք հնարավորություն կտան համապատասխան իշխանություններին պահպանել իր իսկ օրենքով սահմանած ժամկետները և այս հարցում խուսափել անհարկի ուշացումներից </w:t>
      </w:r>
      <w:r w:rsidRPr="00EF7399">
        <w:rPr>
          <w:rFonts w:ascii="Times New Roman" w:hAnsi="Times New Roman" w:cs="Times New Roman"/>
          <w:lang w:val="af-ZA"/>
        </w:rPr>
        <w:t>(</w:t>
      </w:r>
      <w:hyperlink r:id="rId508" w:history="1">
        <w:r w:rsidRPr="00EF7399">
          <w:rPr>
            <w:rStyle w:val="Hyperlink"/>
            <w:rFonts w:ascii="Times New Roman" w:hAnsi="Times New Roman" w:cs="Times New Roman"/>
            <w:lang w:val="af-ZA"/>
          </w:rPr>
          <w:t>Ramazanova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Azerbaijan</w:t>
        </w:r>
      </w:hyperlink>
      <w:r w:rsidR="00F74C24" w:rsidRPr="00EF7399">
        <w:rPr>
          <w:rFonts w:ascii="Times New Roman" w:hAnsi="Times New Roman" w:cs="Times New Roman"/>
          <w:lang w:val="af-ZA"/>
        </w:rPr>
        <w:t xml:space="preserve">, </w:t>
      </w:r>
      <w:r w:rsidR="00F11699" w:rsidRPr="00EF7399">
        <w:rPr>
          <w:rFonts w:ascii="Times New Roman" w:hAnsi="Times New Roman" w:cs="Times New Roman"/>
          <w:lang w:val="af-ZA"/>
        </w:rPr>
        <w:t xml:space="preserve">2007,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65, </w:t>
      </w:r>
      <w:r w:rsidR="00954C27" w:rsidRPr="00EF7399">
        <w:rPr>
          <w:rFonts w:ascii="Times New Roman" w:hAnsi="Times New Roman" w:cs="Times New Roman"/>
          <w:lang w:val="af-ZA"/>
        </w:rPr>
        <w:t xml:space="preserve">որտեղ </w:t>
      </w:r>
      <w:r w:rsidR="00BC47E5" w:rsidRPr="00EF7399">
        <w:rPr>
          <w:rFonts w:ascii="Times New Roman" w:hAnsi="Times New Roman" w:cs="Times New Roman"/>
          <w:lang w:val="hy-AM"/>
        </w:rPr>
        <w:t>Ա</w:t>
      </w:r>
      <w:r w:rsidR="00954C27" w:rsidRPr="00EF7399">
        <w:rPr>
          <w:rFonts w:ascii="Times New Roman" w:hAnsi="Times New Roman" w:cs="Times New Roman"/>
          <w:lang w:val="af-ZA"/>
        </w:rPr>
        <w:t>րդարադատության նախարարությունը խախտել էր միավորման գրանցման համար օրենքով սահմանված ժամկետները, իսկ ներպետական օրենսդրությունը չեն տրամադրել բավարար պաշտպանություն նման ուշացումներից</w:t>
      </w:r>
      <w:r w:rsidRPr="00EF7399">
        <w:rPr>
          <w:rFonts w:ascii="Times New Roman" w:hAnsi="Times New Roman" w:cs="Times New Roman"/>
          <w:lang w:val="af-ZA"/>
        </w:rPr>
        <w:t>)</w:t>
      </w:r>
      <w:r w:rsidR="00954C27" w:rsidRPr="00EF7399">
        <w:rPr>
          <w:rFonts w:ascii="Times New Roman" w:hAnsi="Times New Roman" w:cs="Times New Roman"/>
          <w:lang w:val="af-ZA"/>
        </w:rPr>
        <w:t>:</w:t>
      </w:r>
    </w:p>
    <w:p w14:paraId="26CF5D4C" w14:textId="2A17E6E8" w:rsidR="006340B8" w:rsidRPr="00EF7399" w:rsidRDefault="00954C27" w:rsidP="006340B8">
      <w:pPr>
        <w:pStyle w:val="ECHRHeading1"/>
        <w:rPr>
          <w:rFonts w:ascii="Times New Roman" w:hAnsi="Times New Roman" w:cs="Times New Roman"/>
          <w:lang w:val="af-ZA"/>
        </w:rPr>
      </w:pPr>
      <w:bookmarkStart w:id="94" w:name="_Toc159945253"/>
      <w:r w:rsidRPr="00EF7399">
        <w:rPr>
          <w:rFonts w:ascii="Times New Roman" w:hAnsi="Times New Roman" w:cs="Times New Roman"/>
          <w:lang w:val="af-ZA"/>
        </w:rPr>
        <w:t>Արհեստակցական միություններ ստեղծելու և դրանց միանալու ազատություն</w:t>
      </w:r>
      <w:bookmarkEnd w:id="94"/>
    </w:p>
    <w:p w14:paraId="7C3AF297" w14:textId="2C4357BB" w:rsidR="006340B8" w:rsidRPr="00EF7399" w:rsidRDefault="00A83DAB" w:rsidP="00A83DAB">
      <w:pPr>
        <w:pStyle w:val="ECHRHeading2"/>
        <w:numPr>
          <w:ilvl w:val="0"/>
          <w:numId w:val="0"/>
        </w:numPr>
        <w:rPr>
          <w:rFonts w:ascii="Times New Roman" w:hAnsi="Times New Roman" w:cs="Times New Roman"/>
          <w:lang w:val="af-ZA"/>
        </w:rPr>
      </w:pPr>
      <w:bookmarkStart w:id="95" w:name="_Toc159945254"/>
      <w:r>
        <w:rPr>
          <w:rFonts w:ascii="Times New Roman" w:hAnsi="Times New Roman" w:cs="Times New Roman"/>
          <w:lang w:val="hy-AM"/>
        </w:rPr>
        <w:t xml:space="preserve">Ա․ </w:t>
      </w:r>
      <w:r w:rsidR="00C11476" w:rsidRPr="00EF7399">
        <w:rPr>
          <w:rFonts w:ascii="Times New Roman" w:hAnsi="Times New Roman" w:cs="Times New Roman"/>
          <w:lang w:val="af-ZA"/>
        </w:rPr>
        <w:t>Արհեստակցական միության իրավունքների շրջանակը</w:t>
      </w:r>
      <w:bookmarkEnd w:id="95"/>
      <w:r w:rsidR="00C11476" w:rsidRPr="00EF7399">
        <w:rPr>
          <w:rFonts w:ascii="Times New Roman" w:hAnsi="Times New Roman" w:cs="Times New Roman"/>
          <w:lang w:val="af-ZA"/>
        </w:rPr>
        <w:t xml:space="preserve"> </w:t>
      </w:r>
    </w:p>
    <w:p w14:paraId="7C797DB8" w14:textId="273F358A" w:rsidR="00844EE3" w:rsidRPr="00EF7399" w:rsidRDefault="0036651F" w:rsidP="00844EE3">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235</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5B5117" w:rsidRPr="00EF7399">
        <w:rPr>
          <w:rFonts w:ascii="Times New Roman" w:hAnsi="Times New Roman" w:cs="Times New Roman"/>
          <w:lang w:val="af-ZA"/>
        </w:rPr>
        <w:t>11-րդ հոդվածը ներկայացնում է արհեստակցական միությունների ազատությունը</w:t>
      </w:r>
      <w:r w:rsidR="0028313A" w:rsidRPr="00EF7399">
        <w:rPr>
          <w:rFonts w:ascii="Times New Roman" w:hAnsi="Times New Roman" w:cs="Times New Roman"/>
          <w:lang w:val="hy-AM"/>
        </w:rPr>
        <w:t>՝</w:t>
      </w:r>
      <w:r w:rsidR="005B5117" w:rsidRPr="00EF7399">
        <w:rPr>
          <w:rFonts w:ascii="Times New Roman" w:hAnsi="Times New Roman" w:cs="Times New Roman"/>
          <w:lang w:val="af-ZA"/>
        </w:rPr>
        <w:t xml:space="preserve"> որպես միավորման ազատության ձևերից կամ հատուկ </w:t>
      </w:r>
      <w:r w:rsidR="0028313A" w:rsidRPr="00EF7399">
        <w:rPr>
          <w:rFonts w:ascii="Times New Roman" w:hAnsi="Times New Roman" w:cs="Times New Roman"/>
          <w:lang w:val="hy-AM"/>
        </w:rPr>
        <w:t>դրսևորումներից</w:t>
      </w:r>
      <w:r w:rsidR="0028313A" w:rsidRPr="00EF7399">
        <w:rPr>
          <w:rFonts w:ascii="Times New Roman" w:hAnsi="Times New Roman" w:cs="Times New Roman"/>
          <w:lang w:val="af-ZA"/>
        </w:rPr>
        <w:t xml:space="preserve"> </w:t>
      </w:r>
      <w:r w:rsidR="005B5117" w:rsidRPr="00EF7399">
        <w:rPr>
          <w:rFonts w:ascii="Times New Roman" w:hAnsi="Times New Roman" w:cs="Times New Roman"/>
          <w:lang w:val="af-ZA"/>
        </w:rPr>
        <w:t>մեկը</w:t>
      </w:r>
      <w:r w:rsidR="0028313A" w:rsidRPr="00EF7399">
        <w:rPr>
          <w:rFonts w:ascii="Times New Roman" w:hAnsi="Times New Roman" w:cs="Times New Roman"/>
          <w:lang w:val="hy-AM"/>
        </w:rPr>
        <w:t>, այլ</w:t>
      </w:r>
      <w:r w:rsidR="005B5117" w:rsidRPr="00EF7399">
        <w:rPr>
          <w:rFonts w:ascii="Times New Roman" w:hAnsi="Times New Roman" w:cs="Times New Roman"/>
          <w:lang w:val="af-ZA"/>
        </w:rPr>
        <w:t xml:space="preserve"> ոչ թե </w:t>
      </w:r>
      <w:r w:rsidR="0028313A" w:rsidRPr="00EF7399">
        <w:rPr>
          <w:rFonts w:ascii="Times New Roman" w:hAnsi="Times New Roman" w:cs="Times New Roman"/>
          <w:lang w:val="hy-AM"/>
        </w:rPr>
        <w:t>իբրև</w:t>
      </w:r>
      <w:r w:rsidR="0028313A" w:rsidRPr="00EF7399">
        <w:rPr>
          <w:rFonts w:ascii="Times New Roman" w:hAnsi="Times New Roman" w:cs="Times New Roman"/>
          <w:lang w:val="af-ZA"/>
        </w:rPr>
        <w:t xml:space="preserve"> </w:t>
      </w:r>
      <w:r w:rsidR="005B5117" w:rsidRPr="00EF7399">
        <w:rPr>
          <w:rFonts w:ascii="Times New Roman" w:hAnsi="Times New Roman" w:cs="Times New Roman"/>
          <w:lang w:val="af-ZA"/>
        </w:rPr>
        <w:t xml:space="preserve">անկախ իրավունք </w:t>
      </w:r>
      <w:r w:rsidR="00844EE3" w:rsidRPr="00EF7399">
        <w:rPr>
          <w:rFonts w:ascii="Times New Roman" w:hAnsi="Times New Roman" w:cs="Times New Roman"/>
          <w:lang w:val="af-ZA"/>
        </w:rPr>
        <w:t>(</w:t>
      </w:r>
      <w:hyperlink r:id="rId509" w:history="1">
        <w:r w:rsidR="00844EE3" w:rsidRPr="00EF7399">
          <w:rPr>
            <w:rStyle w:val="Hyperlink"/>
            <w:rFonts w:ascii="Times New Roman" w:hAnsi="Times New Roman" w:cs="Times New Roman"/>
            <w:lang w:val="af-ZA"/>
          </w:rPr>
          <w:t>National Union of Belgian Police</w:t>
        </w:r>
        <w:r w:rsidR="00873234" w:rsidRPr="00EF7399">
          <w:rPr>
            <w:rStyle w:val="Hyperlink"/>
            <w:rFonts w:ascii="Times New Roman" w:hAnsi="Times New Roman" w:cs="Times New Roman"/>
            <w:lang w:val="af-ZA"/>
          </w:rPr>
          <w:t xml:space="preserve"> v. </w:t>
        </w:r>
        <w:r w:rsidR="00844EE3" w:rsidRPr="00EF7399">
          <w:rPr>
            <w:rStyle w:val="Hyperlink"/>
            <w:rFonts w:ascii="Times New Roman" w:hAnsi="Times New Roman" w:cs="Times New Roman"/>
            <w:lang w:val="af-ZA"/>
          </w:rPr>
          <w:t>Belgium</w:t>
        </w:r>
      </w:hyperlink>
      <w:r w:rsidR="00844EE3" w:rsidRPr="00EF7399">
        <w:rPr>
          <w:rFonts w:ascii="Times New Roman" w:hAnsi="Times New Roman" w:cs="Times New Roman"/>
          <w:lang w:val="af-ZA"/>
        </w:rPr>
        <w:t xml:space="preserve">, </w:t>
      </w:r>
      <w:r w:rsidR="008C5F4A" w:rsidRPr="00EF7399">
        <w:rPr>
          <w:rFonts w:ascii="Times New Roman" w:hAnsi="Times New Roman" w:cs="Times New Roman"/>
          <w:lang w:val="af-ZA"/>
        </w:rPr>
        <w:t xml:space="preserve">1975, </w:t>
      </w:r>
      <w:r w:rsidR="00873234" w:rsidRPr="00EF7399">
        <w:rPr>
          <w:rFonts w:ascii="Times New Roman" w:hAnsi="Times New Roman" w:cs="Times New Roman"/>
          <w:lang w:val="af-ZA"/>
        </w:rPr>
        <w:t>§ </w:t>
      </w:r>
      <w:r w:rsidR="00844EE3" w:rsidRPr="00EF7399">
        <w:rPr>
          <w:rFonts w:ascii="Times New Roman" w:hAnsi="Times New Roman" w:cs="Times New Roman"/>
          <w:lang w:val="af-ZA"/>
        </w:rPr>
        <w:t xml:space="preserve">38; </w:t>
      </w:r>
      <w:hyperlink r:id="rId510" w:history="1">
        <w:r w:rsidR="00844EE3" w:rsidRPr="00EF7399">
          <w:rPr>
            <w:rStyle w:val="Hyperlink"/>
            <w:rFonts w:ascii="Times New Roman" w:hAnsi="Times New Roman" w:cs="Times New Roman"/>
            <w:lang w:val="af-ZA"/>
          </w:rPr>
          <w:t xml:space="preserve">Manole and </w:t>
        </w:r>
        <w:r w:rsidR="00844EE3" w:rsidRPr="00EF7399">
          <w:rPr>
            <w:rStyle w:val="Hyperlink"/>
            <w:rFonts w:ascii="Times New Roman" w:hAnsi="Times New Roman" w:cs="Times New Roman"/>
            <w:iCs/>
            <w:lang w:val="af-ZA"/>
          </w:rPr>
          <w:t>“Romanian Farmers Direct”</w:t>
        </w:r>
        <w:r w:rsidR="00873234" w:rsidRPr="00EF7399">
          <w:rPr>
            <w:rStyle w:val="Hyperlink"/>
            <w:rFonts w:ascii="Times New Roman" w:hAnsi="Times New Roman" w:cs="Times New Roman"/>
            <w:iCs/>
            <w:lang w:val="af-ZA"/>
          </w:rPr>
          <w:t xml:space="preserve"> v. </w:t>
        </w:r>
        <w:r w:rsidR="00844EE3" w:rsidRPr="00EF7399">
          <w:rPr>
            <w:rStyle w:val="Hyperlink"/>
            <w:rFonts w:ascii="Times New Roman" w:hAnsi="Times New Roman" w:cs="Times New Roman"/>
            <w:iCs/>
            <w:lang w:val="af-ZA"/>
          </w:rPr>
          <w:t>Romania</w:t>
        </w:r>
      </w:hyperlink>
      <w:r w:rsidR="00805F8E" w:rsidRPr="00EF7399">
        <w:rPr>
          <w:rFonts w:ascii="Times New Roman" w:hAnsi="Times New Roman" w:cs="Times New Roman"/>
          <w:lang w:val="af-ZA"/>
        </w:rPr>
        <w:t xml:space="preserve">, </w:t>
      </w:r>
      <w:r w:rsidR="00BF5C01"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00805F8E" w:rsidRPr="00EF7399">
        <w:rPr>
          <w:rFonts w:ascii="Times New Roman" w:hAnsi="Times New Roman" w:cs="Times New Roman"/>
          <w:lang w:val="af-ZA"/>
        </w:rPr>
        <w:t>57)</w:t>
      </w:r>
      <w:r w:rsidR="005B5117" w:rsidRPr="00EF7399">
        <w:rPr>
          <w:rFonts w:ascii="Times New Roman" w:hAnsi="Times New Roman" w:cs="Times New Roman"/>
          <w:lang w:val="af-ZA"/>
        </w:rPr>
        <w:t>:</w:t>
      </w:r>
      <w:r w:rsidR="00805F8E" w:rsidRPr="00EF7399">
        <w:rPr>
          <w:rFonts w:ascii="Times New Roman" w:hAnsi="Times New Roman" w:cs="Times New Roman"/>
          <w:lang w:val="af-ZA"/>
        </w:rPr>
        <w:t xml:space="preserve"> </w:t>
      </w:r>
      <w:r w:rsidR="005B5117" w:rsidRPr="00EF7399">
        <w:rPr>
          <w:rFonts w:ascii="Times New Roman" w:hAnsi="Times New Roman" w:cs="Times New Roman"/>
          <w:lang w:val="af-ZA"/>
        </w:rPr>
        <w:t>Հետևաբար, միավորման ազատության վերոնշյալ տարրերը, նաև 11-րդ հոդվածի 2-րդ մասով</w:t>
      </w:r>
      <w:r w:rsidR="005224EC" w:rsidRPr="00EF7399">
        <w:rPr>
          <w:rFonts w:ascii="Times New Roman" w:hAnsi="Times New Roman" w:cs="Times New Roman"/>
          <w:lang w:val="af-ZA"/>
        </w:rPr>
        <w:t>,</w:t>
      </w:r>
      <w:r w:rsidR="005B5117" w:rsidRPr="00EF7399">
        <w:rPr>
          <w:rFonts w:ascii="Times New Roman" w:hAnsi="Times New Roman" w:cs="Times New Roman"/>
          <w:lang w:val="af-ZA"/>
        </w:rPr>
        <w:t xml:space="preserve"> այդ ազատությանը միջամտելու պայմանները հավասարապես կիրառելի են արհեստակցական միություններ</w:t>
      </w:r>
      <w:r w:rsidR="0028313A" w:rsidRPr="00EF7399">
        <w:rPr>
          <w:rFonts w:ascii="Times New Roman" w:hAnsi="Times New Roman" w:cs="Times New Roman"/>
          <w:lang w:val="hy-AM"/>
        </w:rPr>
        <w:t xml:space="preserve"> նկատմամբ՝</w:t>
      </w:r>
      <w:r w:rsidR="005B5117" w:rsidRPr="00EF7399">
        <w:rPr>
          <w:rFonts w:ascii="Times New Roman" w:hAnsi="Times New Roman" w:cs="Times New Roman"/>
          <w:lang w:val="af-ZA"/>
        </w:rPr>
        <w:t xml:space="preserve"> տվյալ հարցին վերաբերելի մասով: </w:t>
      </w:r>
    </w:p>
    <w:p w14:paraId="5BD8E737" w14:textId="1C88C845" w:rsidR="00844EE3" w:rsidRPr="00EF7399" w:rsidRDefault="00844EE3" w:rsidP="00844EE3">
      <w:pPr>
        <w:pStyle w:val="ECHRParaSpaced"/>
        <w:rPr>
          <w:rFonts w:ascii="Times New Roman" w:hAnsi="Times New Roman" w:cs="Times New Roman"/>
          <w:iCs/>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236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29369F" w:rsidRPr="00EF7399">
        <w:rPr>
          <w:rFonts w:ascii="Times New Roman" w:hAnsi="Times New Roman" w:cs="Times New Roman"/>
          <w:lang w:val="af-ZA"/>
        </w:rPr>
        <w:t xml:space="preserve">Արհեստակցական միությունների ազատությունն աշխատողների և գործատուների միջև սոցիալական երկխոսության </w:t>
      </w:r>
      <w:r w:rsidR="00115CFC" w:rsidRPr="00EF7399">
        <w:rPr>
          <w:rFonts w:ascii="Times New Roman" w:hAnsi="Times New Roman" w:cs="Times New Roman"/>
          <w:lang w:val="af-ZA"/>
        </w:rPr>
        <w:t>կենսական տարր է, հետևաբար</w:t>
      </w:r>
      <w:r w:rsidR="0028313A" w:rsidRPr="00EF7399">
        <w:rPr>
          <w:rFonts w:ascii="Times New Roman" w:hAnsi="Times New Roman" w:cs="Times New Roman"/>
          <w:lang w:val="hy-AM"/>
        </w:rPr>
        <w:t>,</w:t>
      </w:r>
      <w:r w:rsidR="00115CFC" w:rsidRPr="00EF7399">
        <w:rPr>
          <w:rFonts w:ascii="Times New Roman" w:hAnsi="Times New Roman" w:cs="Times New Roman"/>
          <w:lang w:val="af-ZA"/>
        </w:rPr>
        <w:t xml:space="preserve"> կարևոր գործիք է սոցիալական արդարության և համերաշխության հասնելու գործում </w:t>
      </w:r>
      <w:r w:rsidRPr="00EF7399">
        <w:rPr>
          <w:rFonts w:ascii="Times New Roman" w:hAnsi="Times New Roman" w:cs="Times New Roman"/>
          <w:lang w:val="af-ZA"/>
        </w:rPr>
        <w:t>(</w:t>
      </w:r>
      <w:hyperlink r:id="rId511" w:history="1">
        <w:r w:rsidR="00BA413F" w:rsidRPr="00EF7399">
          <w:rPr>
            <w:rStyle w:val="Hyperlink"/>
            <w:rFonts w:ascii="Times New Roman" w:hAnsi="Times New Roman" w:cs="Times New Roman"/>
            <w:lang w:val="af-ZA"/>
          </w:rPr>
          <w:t>Sindicatul “Păstorul cel Bun”</w:t>
        </w:r>
        <w:r w:rsidR="00873234" w:rsidRPr="00EF7399">
          <w:rPr>
            <w:rStyle w:val="Hyperlink"/>
            <w:rFonts w:ascii="Times New Roman" w:hAnsi="Times New Roman" w:cs="Times New Roman"/>
            <w:lang w:val="af-ZA"/>
          </w:rPr>
          <w:t xml:space="preserve"> v. </w:t>
        </w:r>
        <w:r w:rsidR="00BA413F" w:rsidRPr="00EF7399">
          <w:rPr>
            <w:rStyle w:val="Hyperlink"/>
            <w:rFonts w:ascii="Times New Roman" w:hAnsi="Times New Roman" w:cs="Times New Roman"/>
            <w:lang w:val="af-ZA"/>
          </w:rPr>
          <w:t>Romania</w:t>
        </w:r>
      </w:hyperlink>
      <w:r w:rsidRPr="00EF7399">
        <w:rPr>
          <w:rFonts w:ascii="Times New Roman" w:hAnsi="Times New Roman" w:cs="Times New Roman"/>
          <w:i/>
          <w:lang w:val="af-ZA"/>
        </w:rPr>
        <w:t xml:space="preserve"> </w:t>
      </w:r>
      <w:r w:rsidRPr="00EF7399">
        <w:rPr>
          <w:rFonts w:ascii="Times New Roman" w:hAnsi="Times New Roman" w:cs="Times New Roman"/>
          <w:lang w:val="af-ZA"/>
        </w:rPr>
        <w:t xml:space="preserve">[GC], </w:t>
      </w:r>
      <w:r w:rsidR="008C5F4A" w:rsidRPr="00EF7399">
        <w:rPr>
          <w:rFonts w:ascii="Times New Roman" w:hAnsi="Times New Roman" w:cs="Times New Roman"/>
          <w:lang w:val="af-ZA"/>
        </w:rPr>
        <w:t xml:space="preserve">2013, </w:t>
      </w:r>
      <w:r w:rsidR="00873234" w:rsidRPr="00EF7399">
        <w:rPr>
          <w:rFonts w:ascii="Times New Roman" w:hAnsi="Times New Roman" w:cs="Times New Roman"/>
          <w:lang w:val="af-ZA"/>
        </w:rPr>
        <w:t>§ </w:t>
      </w:r>
      <w:r w:rsidR="00425A3F" w:rsidRPr="00EF7399">
        <w:rPr>
          <w:rFonts w:ascii="Times New Roman" w:hAnsi="Times New Roman" w:cs="Times New Roman"/>
          <w:lang w:val="af-ZA"/>
        </w:rPr>
        <w:t>1</w:t>
      </w:r>
      <w:r w:rsidRPr="00EF7399">
        <w:rPr>
          <w:rFonts w:ascii="Times New Roman" w:hAnsi="Times New Roman" w:cs="Times New Roman"/>
          <w:lang w:val="af-ZA"/>
        </w:rPr>
        <w:t>30)</w:t>
      </w:r>
      <w:r w:rsidR="00115CFC" w:rsidRPr="00EF7399">
        <w:rPr>
          <w:rFonts w:ascii="Times New Roman" w:hAnsi="Times New Roman" w:cs="Times New Roman"/>
          <w:lang w:val="af-ZA"/>
        </w:rPr>
        <w:t>:</w:t>
      </w:r>
    </w:p>
    <w:p w14:paraId="1208257E" w14:textId="5860CA44" w:rsidR="001A5C2E" w:rsidRPr="00EF7399" w:rsidRDefault="00844EE3" w:rsidP="00704033">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237</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15CFC" w:rsidRPr="00EF7399">
        <w:rPr>
          <w:rFonts w:ascii="Times New Roman" w:hAnsi="Times New Roman" w:cs="Times New Roman"/>
          <w:lang w:val="af-ZA"/>
        </w:rPr>
        <w:t>11-րդ հոդվածը երաշխավորում է արհեստակցական միության անդամների մասնագիտական շահերի պաշտպանությունը արհեստակցական միության գործողությունների միջոցով</w:t>
      </w:r>
      <w:r w:rsidRPr="00EF7399">
        <w:rPr>
          <w:rFonts w:ascii="Times New Roman" w:hAnsi="Times New Roman" w:cs="Times New Roman"/>
          <w:lang w:val="af-ZA"/>
        </w:rPr>
        <w:t xml:space="preserve">, </w:t>
      </w:r>
      <w:r w:rsidR="00115CFC" w:rsidRPr="00EF7399">
        <w:rPr>
          <w:rFonts w:ascii="Times New Roman" w:hAnsi="Times New Roman" w:cs="Times New Roman"/>
          <w:lang w:val="af-ZA"/>
        </w:rPr>
        <w:t>որի գործունեությունը և զարգացումը պարտավոր են թույլատրե</w:t>
      </w:r>
      <w:r w:rsidR="005224EC" w:rsidRPr="00EF7399">
        <w:rPr>
          <w:rFonts w:ascii="Times New Roman" w:hAnsi="Times New Roman" w:cs="Times New Roman"/>
          <w:lang w:val="af-ZA"/>
        </w:rPr>
        <w:t>լ</w:t>
      </w:r>
      <w:r w:rsidR="00115CFC" w:rsidRPr="00EF7399">
        <w:rPr>
          <w:rFonts w:ascii="Times New Roman" w:hAnsi="Times New Roman" w:cs="Times New Roman"/>
          <w:lang w:val="af-ZA"/>
        </w:rPr>
        <w:t xml:space="preserve"> և հնարավոր դարձնե</w:t>
      </w:r>
      <w:r w:rsidR="005224EC" w:rsidRPr="00EF7399">
        <w:rPr>
          <w:rFonts w:ascii="Times New Roman" w:hAnsi="Times New Roman" w:cs="Times New Roman"/>
          <w:lang w:val="af-ZA"/>
        </w:rPr>
        <w:t>լ</w:t>
      </w:r>
      <w:r w:rsidR="00115CFC" w:rsidRPr="00EF7399">
        <w:rPr>
          <w:rFonts w:ascii="Times New Roman" w:hAnsi="Times New Roman" w:cs="Times New Roman"/>
          <w:lang w:val="af-ZA"/>
        </w:rPr>
        <w:t xml:space="preserve"> Պայմանավորվող կողմերը </w:t>
      </w:r>
      <w:r w:rsidRPr="00EF7399">
        <w:rPr>
          <w:rFonts w:ascii="Times New Roman" w:hAnsi="Times New Roman" w:cs="Times New Roman"/>
          <w:lang w:val="af-ZA"/>
        </w:rPr>
        <w:t>(</w:t>
      </w:r>
      <w:hyperlink r:id="rId512" w:history="1">
        <w:r w:rsidR="00553D74" w:rsidRPr="00EF7399">
          <w:rPr>
            <w:rStyle w:val="Hyperlink"/>
            <w:rFonts w:ascii="Times New Roman" w:hAnsi="Times New Roman" w:cs="Times New Roman"/>
            <w:lang w:val="af-ZA"/>
          </w:rPr>
          <w:t>Swedish Engine Drivers</w:t>
        </w:r>
        <w:r w:rsidR="00DF297D" w:rsidRPr="00EF7399">
          <w:rPr>
            <w:rStyle w:val="Hyperlink"/>
            <w:rFonts w:ascii="Times New Roman" w:hAnsi="Times New Roman" w:cs="Times New Roman"/>
            <w:lang w:val="af-ZA"/>
          </w:rPr>
          <w:t>’</w:t>
        </w:r>
        <w:r w:rsidR="00553D74" w:rsidRPr="00EF7399">
          <w:rPr>
            <w:rStyle w:val="Hyperlink"/>
            <w:rFonts w:ascii="Times New Roman" w:hAnsi="Times New Roman" w:cs="Times New Roman"/>
            <w:lang w:val="af-ZA"/>
          </w:rPr>
          <w:t xml:space="preserve"> Union</w:t>
        </w:r>
        <w:r w:rsidR="00873234" w:rsidRPr="00EF7399">
          <w:rPr>
            <w:rStyle w:val="Hyperlink"/>
            <w:rFonts w:ascii="Times New Roman" w:hAnsi="Times New Roman" w:cs="Times New Roman"/>
            <w:lang w:val="af-ZA"/>
          </w:rPr>
          <w:t xml:space="preserve"> v. </w:t>
        </w:r>
        <w:r w:rsidR="00553D74" w:rsidRPr="00EF7399">
          <w:rPr>
            <w:rStyle w:val="Hyperlink"/>
            <w:rFonts w:ascii="Times New Roman" w:hAnsi="Times New Roman" w:cs="Times New Roman"/>
            <w:lang w:val="af-ZA"/>
          </w:rPr>
          <w:t>Sweden</w:t>
        </w:r>
      </w:hyperlink>
      <w:r w:rsidRPr="00EF7399">
        <w:rPr>
          <w:rFonts w:ascii="Times New Roman" w:hAnsi="Times New Roman" w:cs="Times New Roman"/>
          <w:lang w:val="af-ZA"/>
        </w:rPr>
        <w:t xml:space="preserve">, </w:t>
      </w:r>
      <w:r w:rsidR="008C5F4A" w:rsidRPr="00EF7399">
        <w:rPr>
          <w:rFonts w:ascii="Times New Roman" w:hAnsi="Times New Roman" w:cs="Times New Roman"/>
          <w:lang w:val="af-ZA"/>
        </w:rPr>
        <w:t xml:space="preserve">1976,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40; </w:t>
      </w:r>
      <w:hyperlink r:id="rId513" w:history="1">
        <w:r w:rsidR="00594F9D" w:rsidRPr="00EF7399">
          <w:rPr>
            <w:rStyle w:val="Hyperlink"/>
            <w:rFonts w:ascii="Times New Roman" w:hAnsi="Times New Roman" w:cs="Times New Roman"/>
            <w:lang w:val="af-ZA"/>
          </w:rPr>
          <w:t xml:space="preserve">Tüm </w:t>
        </w:r>
        <w:r w:rsidR="00594F9D" w:rsidRPr="00EF7399">
          <w:rPr>
            <w:rStyle w:val="Hyperlink"/>
            <w:rFonts w:ascii="Times New Roman" w:hAnsi="Times New Roman" w:cs="Times New Roman"/>
            <w:lang w:val="af-ZA"/>
          </w:rPr>
          <w:lastRenderedPageBreak/>
          <w:t>Haber Sen and Çınar</w:t>
        </w:r>
        <w:r w:rsidR="00873234" w:rsidRPr="00EF7399">
          <w:rPr>
            <w:rStyle w:val="Hyperlink"/>
            <w:rFonts w:ascii="Times New Roman" w:hAnsi="Times New Roman" w:cs="Times New Roman"/>
            <w:lang w:val="af-ZA"/>
          </w:rPr>
          <w:t xml:space="preserve"> v. </w:t>
        </w:r>
        <w:r w:rsidR="00594F9D"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w:t>
      </w:r>
      <w:r w:rsidR="008C5F4A" w:rsidRPr="00EF7399">
        <w:rPr>
          <w:rFonts w:ascii="Times New Roman" w:hAnsi="Times New Roman" w:cs="Times New Roman"/>
          <w:lang w:val="af-ZA"/>
        </w:rPr>
        <w:t xml:space="preserve">2006, </w:t>
      </w:r>
      <w:r w:rsidR="00873234" w:rsidRPr="00EF7399">
        <w:rPr>
          <w:rFonts w:ascii="Times New Roman" w:hAnsi="Times New Roman" w:cs="Times New Roman"/>
          <w:lang w:val="af-ZA"/>
        </w:rPr>
        <w:t>§ </w:t>
      </w:r>
      <w:r w:rsidRPr="00EF7399">
        <w:rPr>
          <w:rFonts w:ascii="Times New Roman" w:hAnsi="Times New Roman" w:cs="Times New Roman"/>
          <w:lang w:val="af-ZA"/>
        </w:rPr>
        <w:t>28)</w:t>
      </w:r>
      <w:r w:rsidR="00115CFC" w:rsidRPr="00EF7399">
        <w:rPr>
          <w:rFonts w:ascii="Times New Roman" w:hAnsi="Times New Roman" w:cs="Times New Roman"/>
          <w:lang w:val="af-ZA"/>
        </w:rPr>
        <w:t xml:space="preserve">: Սակայն, դա չի երաշխավորում պետության </w:t>
      </w:r>
      <w:r w:rsidR="004E699A" w:rsidRPr="00EF7399">
        <w:rPr>
          <w:rFonts w:ascii="Times New Roman" w:hAnsi="Times New Roman" w:cs="Times New Roman"/>
          <w:lang w:val="hy-AM"/>
        </w:rPr>
        <w:t xml:space="preserve">որևէ </w:t>
      </w:r>
      <w:r w:rsidR="00115CFC" w:rsidRPr="00EF7399">
        <w:rPr>
          <w:rFonts w:ascii="Times New Roman" w:hAnsi="Times New Roman" w:cs="Times New Roman"/>
          <w:lang w:val="af-ZA"/>
        </w:rPr>
        <w:t xml:space="preserve">հատուկ վերաբերմունք արհեստակցական միությունների կամ դրանց անդամների համար: </w:t>
      </w:r>
      <w:r w:rsidR="004E699A" w:rsidRPr="00EF7399">
        <w:rPr>
          <w:rFonts w:ascii="Times New Roman" w:hAnsi="Times New Roman" w:cs="Times New Roman"/>
          <w:lang w:val="hy-AM"/>
        </w:rPr>
        <w:t>Ներպետական</w:t>
      </w:r>
      <w:r w:rsidR="004E699A" w:rsidRPr="00EF7399">
        <w:rPr>
          <w:rFonts w:ascii="Times New Roman" w:hAnsi="Times New Roman" w:cs="Times New Roman"/>
          <w:lang w:val="af-ZA"/>
        </w:rPr>
        <w:t xml:space="preserve"> </w:t>
      </w:r>
      <w:r w:rsidR="00115CFC" w:rsidRPr="00EF7399">
        <w:rPr>
          <w:rFonts w:ascii="Times New Roman" w:hAnsi="Times New Roman" w:cs="Times New Roman"/>
          <w:lang w:val="af-ZA"/>
        </w:rPr>
        <w:t>օրենսդրությամբ արհեստակցական միություններ</w:t>
      </w:r>
      <w:r w:rsidR="002C365A" w:rsidRPr="00EF7399">
        <w:rPr>
          <w:rFonts w:ascii="Times New Roman" w:hAnsi="Times New Roman" w:cs="Times New Roman"/>
          <w:lang w:val="af-ZA"/>
        </w:rPr>
        <w:t>ին</w:t>
      </w:r>
      <w:r w:rsidR="00115CFC" w:rsidRPr="00EF7399">
        <w:rPr>
          <w:rFonts w:ascii="Times New Roman" w:hAnsi="Times New Roman" w:cs="Times New Roman"/>
          <w:lang w:val="af-ZA"/>
        </w:rPr>
        <w:t xml:space="preserve"> </w:t>
      </w:r>
      <w:r w:rsidR="002C365A" w:rsidRPr="00EF7399">
        <w:rPr>
          <w:rFonts w:ascii="Times New Roman" w:hAnsi="Times New Roman" w:cs="Times New Roman"/>
          <w:lang w:val="af-ZA"/>
        </w:rPr>
        <w:t>պետք</w:t>
      </w:r>
      <w:r w:rsidR="004E699A" w:rsidRPr="00EF7399">
        <w:rPr>
          <w:rFonts w:ascii="Times New Roman" w:hAnsi="Times New Roman" w:cs="Times New Roman"/>
          <w:lang w:val="hy-AM"/>
        </w:rPr>
        <w:t xml:space="preserve"> է</w:t>
      </w:r>
      <w:r w:rsidR="002C365A" w:rsidRPr="00EF7399">
        <w:rPr>
          <w:rFonts w:ascii="Times New Roman" w:hAnsi="Times New Roman" w:cs="Times New Roman"/>
          <w:lang w:val="af-ZA"/>
        </w:rPr>
        <w:t xml:space="preserve"> տրվի</w:t>
      </w:r>
      <w:r w:rsidR="003116E5" w:rsidRPr="00EF7399">
        <w:rPr>
          <w:rFonts w:ascii="Times New Roman" w:hAnsi="Times New Roman" w:cs="Times New Roman"/>
          <w:lang w:val="af-ZA"/>
        </w:rPr>
        <w:t xml:space="preserve"> իրենց անդամների շահերը</w:t>
      </w:r>
      <w:r w:rsidR="002C365A" w:rsidRPr="00EF7399">
        <w:rPr>
          <w:rFonts w:ascii="Times New Roman" w:hAnsi="Times New Roman" w:cs="Times New Roman"/>
          <w:lang w:val="af-ZA"/>
        </w:rPr>
        <w:t xml:space="preserve"> պաշտպանել</w:t>
      </w:r>
      <w:r w:rsidR="003116E5" w:rsidRPr="00EF7399">
        <w:rPr>
          <w:rFonts w:ascii="Times New Roman" w:hAnsi="Times New Roman" w:cs="Times New Roman"/>
          <w:lang w:val="af-ZA"/>
        </w:rPr>
        <w:t>ու</w:t>
      </w:r>
      <w:r w:rsidR="002C365A" w:rsidRPr="00EF7399">
        <w:rPr>
          <w:rFonts w:ascii="Times New Roman" w:hAnsi="Times New Roman" w:cs="Times New Roman"/>
          <w:lang w:val="af-ZA"/>
        </w:rPr>
        <w:t xml:space="preserve"> </w:t>
      </w:r>
      <w:r w:rsidR="003116E5" w:rsidRPr="00EF7399">
        <w:rPr>
          <w:rFonts w:ascii="Times New Roman" w:hAnsi="Times New Roman" w:cs="Times New Roman"/>
          <w:lang w:val="af-ZA"/>
        </w:rPr>
        <w:t xml:space="preserve">իրավասություն` 11-րդ հոդվածին չհակասող պայմաններով </w:t>
      </w:r>
      <w:r w:rsidRPr="00EF7399">
        <w:rPr>
          <w:rFonts w:ascii="Times New Roman" w:hAnsi="Times New Roman" w:cs="Times New Roman"/>
          <w:lang w:val="af-ZA"/>
        </w:rPr>
        <w:t>(</w:t>
      </w:r>
      <w:hyperlink r:id="rId514" w:history="1">
        <w:r w:rsidR="00BA413F" w:rsidRPr="00EF7399">
          <w:rPr>
            <w:rStyle w:val="Hyperlink"/>
            <w:rFonts w:ascii="Times New Roman" w:hAnsi="Times New Roman" w:cs="Times New Roman"/>
            <w:lang w:val="af-ZA"/>
          </w:rPr>
          <w:t>Sindicatul “Păstorul cel Bun”</w:t>
        </w:r>
        <w:r w:rsidR="00873234" w:rsidRPr="00EF7399">
          <w:rPr>
            <w:rStyle w:val="Hyperlink"/>
            <w:rFonts w:ascii="Times New Roman" w:hAnsi="Times New Roman" w:cs="Times New Roman"/>
            <w:lang w:val="af-ZA"/>
          </w:rPr>
          <w:t xml:space="preserve"> v. </w:t>
        </w:r>
        <w:r w:rsidR="00BA413F" w:rsidRPr="00EF7399">
          <w:rPr>
            <w:rStyle w:val="Hyperlink"/>
            <w:rFonts w:ascii="Times New Roman" w:hAnsi="Times New Roman" w:cs="Times New Roman"/>
            <w:lang w:val="af-ZA"/>
          </w:rPr>
          <w:t>Romania</w:t>
        </w:r>
      </w:hyperlink>
      <w:r w:rsidRPr="00EF7399">
        <w:rPr>
          <w:rFonts w:ascii="Times New Roman" w:hAnsi="Times New Roman" w:cs="Times New Roman"/>
          <w:i/>
          <w:lang w:val="af-ZA"/>
        </w:rPr>
        <w:t xml:space="preserve"> </w:t>
      </w:r>
      <w:r w:rsidRPr="00EF7399">
        <w:rPr>
          <w:rFonts w:ascii="Times New Roman" w:hAnsi="Times New Roman" w:cs="Times New Roman"/>
          <w:lang w:val="af-ZA"/>
        </w:rPr>
        <w:t xml:space="preserve">[GC], </w:t>
      </w:r>
      <w:r w:rsidR="008C5F4A" w:rsidRPr="00EF7399">
        <w:rPr>
          <w:rFonts w:ascii="Times New Roman" w:hAnsi="Times New Roman" w:cs="Times New Roman"/>
          <w:lang w:val="af-ZA"/>
        </w:rPr>
        <w:t xml:space="preserve">2013, </w:t>
      </w:r>
      <w:r w:rsidR="00873234" w:rsidRPr="00EF7399">
        <w:rPr>
          <w:rFonts w:ascii="Times New Roman" w:hAnsi="Times New Roman" w:cs="Times New Roman"/>
          <w:lang w:val="af-ZA"/>
        </w:rPr>
        <w:t>§ </w:t>
      </w:r>
      <w:r w:rsidRPr="00EF7399">
        <w:rPr>
          <w:rFonts w:ascii="Times New Roman" w:hAnsi="Times New Roman" w:cs="Times New Roman"/>
          <w:lang w:val="af-ZA"/>
        </w:rPr>
        <w:t>134)</w:t>
      </w:r>
      <w:r w:rsidR="003116E5" w:rsidRPr="00EF7399">
        <w:rPr>
          <w:rFonts w:ascii="Times New Roman" w:hAnsi="Times New Roman" w:cs="Times New Roman"/>
          <w:lang w:val="af-ZA"/>
        </w:rPr>
        <w:t xml:space="preserve">: «Իր շահերի պաշտպանության համար» բառերը չեն կարող մեկնաբանվել այն իմաստով, որ այս </w:t>
      </w:r>
      <w:r w:rsidR="004E699A" w:rsidRPr="00EF7399">
        <w:rPr>
          <w:rFonts w:ascii="Times New Roman" w:hAnsi="Times New Roman" w:cs="Times New Roman"/>
          <w:lang w:val="hy-AM"/>
        </w:rPr>
        <w:t>դրույթի</w:t>
      </w:r>
      <w:r w:rsidR="004E699A" w:rsidRPr="00EF7399">
        <w:rPr>
          <w:rFonts w:ascii="Times New Roman" w:hAnsi="Times New Roman" w:cs="Times New Roman"/>
          <w:lang w:val="af-ZA"/>
        </w:rPr>
        <w:t xml:space="preserve"> </w:t>
      </w:r>
      <w:r w:rsidR="003116E5" w:rsidRPr="00EF7399">
        <w:rPr>
          <w:rFonts w:ascii="Times New Roman" w:hAnsi="Times New Roman" w:cs="Times New Roman"/>
          <w:lang w:val="af-ZA"/>
        </w:rPr>
        <w:t>համաձայն</w:t>
      </w:r>
      <w:r w:rsidR="004E699A" w:rsidRPr="00EF7399">
        <w:rPr>
          <w:rFonts w:ascii="Times New Roman" w:hAnsi="Times New Roman" w:cs="Times New Roman"/>
          <w:lang w:val="hy-AM"/>
        </w:rPr>
        <w:t>՝</w:t>
      </w:r>
      <w:r w:rsidR="003116E5" w:rsidRPr="00EF7399">
        <w:rPr>
          <w:rFonts w:ascii="Times New Roman" w:hAnsi="Times New Roman" w:cs="Times New Roman"/>
          <w:lang w:val="af-ZA"/>
        </w:rPr>
        <w:t xml:space="preserve"> միայն անհատներ</w:t>
      </w:r>
      <w:r w:rsidR="004E699A" w:rsidRPr="00EF7399">
        <w:rPr>
          <w:rFonts w:ascii="Times New Roman" w:hAnsi="Times New Roman" w:cs="Times New Roman"/>
          <w:lang w:val="hy-AM"/>
        </w:rPr>
        <w:t>ը, այլ ոչ թե</w:t>
      </w:r>
      <w:r w:rsidR="003116E5" w:rsidRPr="00EF7399">
        <w:rPr>
          <w:rFonts w:ascii="Times New Roman" w:hAnsi="Times New Roman" w:cs="Times New Roman"/>
          <w:lang w:val="af-ZA"/>
        </w:rPr>
        <w:t xml:space="preserve"> </w:t>
      </w:r>
      <w:r w:rsidR="004E699A" w:rsidRPr="00EF7399">
        <w:rPr>
          <w:rFonts w:ascii="Times New Roman" w:hAnsi="Times New Roman" w:cs="Times New Roman"/>
          <w:lang w:val="af-ZA"/>
        </w:rPr>
        <w:t>արհեստակցական միություններ</w:t>
      </w:r>
      <w:r w:rsidR="004E699A" w:rsidRPr="00EF7399">
        <w:rPr>
          <w:rFonts w:ascii="Times New Roman" w:hAnsi="Times New Roman" w:cs="Times New Roman"/>
          <w:lang w:val="hy-AM"/>
        </w:rPr>
        <w:t>ն</w:t>
      </w:r>
      <w:r w:rsidR="004E699A" w:rsidRPr="00EF7399">
        <w:rPr>
          <w:rFonts w:ascii="Times New Roman" w:hAnsi="Times New Roman" w:cs="Times New Roman"/>
          <w:lang w:val="af-ZA"/>
        </w:rPr>
        <w:t xml:space="preserve"> </w:t>
      </w:r>
      <w:r w:rsidR="003116E5" w:rsidRPr="00EF7399">
        <w:rPr>
          <w:rFonts w:ascii="Times New Roman" w:hAnsi="Times New Roman" w:cs="Times New Roman"/>
          <w:lang w:val="af-ZA"/>
        </w:rPr>
        <w:t xml:space="preserve">ունեն բողոք ներկայացնելու իրավունք </w:t>
      </w:r>
      <w:r w:rsidRPr="00EF7399">
        <w:rPr>
          <w:rFonts w:ascii="Times New Roman" w:hAnsi="Times New Roman" w:cs="Times New Roman"/>
          <w:lang w:val="af-ZA"/>
        </w:rPr>
        <w:t>(</w:t>
      </w:r>
      <w:hyperlink r:id="rId515" w:history="1">
        <w:r w:rsidRPr="00EF7399">
          <w:rPr>
            <w:rStyle w:val="Hyperlink"/>
            <w:rFonts w:ascii="Times New Roman" w:hAnsi="Times New Roman" w:cs="Times New Roman"/>
            <w:lang w:val="af-ZA"/>
          </w:rPr>
          <w:t>Federation of Offshore Workers</w:t>
        </w:r>
        <w:r w:rsidR="00DF297D" w:rsidRPr="00EF7399">
          <w:rPr>
            <w:rStyle w:val="Hyperlink"/>
            <w:rFonts w:ascii="Times New Roman" w:hAnsi="Times New Roman" w:cs="Times New Roman"/>
            <w:lang w:val="af-ZA"/>
          </w:rPr>
          <w:t>’</w:t>
        </w:r>
        <w:r w:rsidRPr="00EF7399">
          <w:rPr>
            <w:rStyle w:val="Hyperlink"/>
            <w:rFonts w:ascii="Times New Roman" w:hAnsi="Times New Roman" w:cs="Times New Roman"/>
            <w:lang w:val="af-ZA"/>
          </w:rPr>
          <w:t xml:space="preserve"> Trade Unions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Norway</w:t>
        </w:r>
      </w:hyperlink>
      <w:r w:rsidRPr="00EF7399">
        <w:rPr>
          <w:rFonts w:ascii="Times New Roman" w:hAnsi="Times New Roman" w:cs="Times New Roman"/>
          <w:lang w:val="af-ZA"/>
        </w:rPr>
        <w:t xml:space="preserve"> (dec.)</w:t>
      </w:r>
      <w:r w:rsidR="008C5F4A" w:rsidRPr="00EF7399">
        <w:rPr>
          <w:rFonts w:ascii="Times New Roman" w:hAnsi="Times New Roman" w:cs="Times New Roman"/>
          <w:lang w:val="af-ZA"/>
        </w:rPr>
        <w:t xml:space="preserve">, </w:t>
      </w:r>
      <w:r w:rsidR="008C5F4A" w:rsidRPr="00EF7399">
        <w:rPr>
          <w:rFonts w:ascii="Times New Roman" w:hAnsi="Times New Roman" w:cs="Times New Roman"/>
          <w:iCs/>
          <w:lang w:val="af-ZA"/>
        </w:rPr>
        <w:t>2002</w:t>
      </w:r>
      <w:r w:rsidRPr="00EF7399">
        <w:rPr>
          <w:rFonts w:ascii="Times New Roman" w:hAnsi="Times New Roman" w:cs="Times New Roman"/>
          <w:lang w:val="af-ZA"/>
        </w:rPr>
        <w:t>)</w:t>
      </w:r>
      <w:r w:rsidR="003116E5" w:rsidRPr="00EF7399">
        <w:rPr>
          <w:rFonts w:ascii="Times New Roman" w:hAnsi="Times New Roman" w:cs="Times New Roman"/>
          <w:lang w:val="af-ZA"/>
        </w:rPr>
        <w:t>:</w:t>
      </w:r>
      <w:r w:rsidR="00704033" w:rsidRPr="00EF7399">
        <w:rPr>
          <w:rFonts w:ascii="Times New Roman" w:hAnsi="Times New Roman" w:cs="Times New Roman"/>
          <w:lang w:val="af-ZA"/>
        </w:rPr>
        <w:t xml:space="preserve"> </w:t>
      </w:r>
      <w:r w:rsidR="00D41BB0" w:rsidRPr="00EF7399">
        <w:rPr>
          <w:rFonts w:ascii="Times New Roman" w:hAnsi="Times New Roman" w:cs="Times New Roman"/>
          <w:lang w:val="af-ZA"/>
        </w:rPr>
        <w:t>11-րդ հոդվածը պաշտպանում է թե՛ աշխ</w:t>
      </w:r>
      <w:r w:rsidR="004E699A" w:rsidRPr="00EF7399">
        <w:rPr>
          <w:rFonts w:ascii="Times New Roman" w:hAnsi="Times New Roman" w:cs="Times New Roman"/>
          <w:lang w:val="hy-AM"/>
        </w:rPr>
        <w:t>ա</w:t>
      </w:r>
      <w:r w:rsidR="00D41BB0" w:rsidRPr="00EF7399">
        <w:rPr>
          <w:rFonts w:ascii="Times New Roman" w:hAnsi="Times New Roman" w:cs="Times New Roman"/>
          <w:lang w:val="af-ZA"/>
        </w:rPr>
        <w:t xml:space="preserve">տողներին, թե՛ միությունները </w:t>
      </w:r>
      <w:r w:rsidR="00704033" w:rsidRPr="00EF7399">
        <w:rPr>
          <w:rFonts w:ascii="Times New Roman" w:hAnsi="Times New Roman" w:cs="Times New Roman"/>
          <w:lang w:val="af-ZA"/>
        </w:rPr>
        <w:t>(</w:t>
      </w:r>
      <w:hyperlink r:id="rId516" w:history="1">
        <w:r w:rsidR="00704033" w:rsidRPr="00EF7399">
          <w:rPr>
            <w:rStyle w:val="Hyperlink"/>
            <w:rFonts w:ascii="Times New Roman" w:hAnsi="Times New Roman" w:cs="Times New Roman"/>
            <w:iCs/>
            <w:lang w:val="af-ZA"/>
          </w:rPr>
          <w:t>Yakut Republican Trade-Union Federation</w:t>
        </w:r>
        <w:r w:rsidR="00873234" w:rsidRPr="00EF7399">
          <w:rPr>
            <w:rStyle w:val="Hyperlink"/>
            <w:rFonts w:ascii="Times New Roman" w:hAnsi="Times New Roman" w:cs="Times New Roman"/>
            <w:iCs/>
            <w:lang w:val="af-ZA"/>
          </w:rPr>
          <w:t xml:space="preserve"> v. </w:t>
        </w:r>
        <w:r w:rsidR="00704033" w:rsidRPr="00EF7399">
          <w:rPr>
            <w:rStyle w:val="Hyperlink"/>
            <w:rFonts w:ascii="Times New Roman" w:hAnsi="Times New Roman" w:cs="Times New Roman"/>
            <w:iCs/>
            <w:lang w:val="af-ZA"/>
          </w:rPr>
          <w:t>Russia</w:t>
        </w:r>
      </w:hyperlink>
      <w:r w:rsidR="00704033" w:rsidRPr="00EF7399">
        <w:rPr>
          <w:rFonts w:ascii="Times New Roman" w:hAnsi="Times New Roman" w:cs="Times New Roman"/>
          <w:lang w:val="af-ZA"/>
        </w:rPr>
        <w:t>,</w:t>
      </w:r>
      <w:r w:rsidR="00F247E0" w:rsidRPr="00EF7399">
        <w:rPr>
          <w:rFonts w:ascii="Times New Roman" w:hAnsi="Times New Roman" w:cs="Times New Roman"/>
          <w:lang w:val="af-ZA"/>
        </w:rPr>
        <w:t xml:space="preserve"> </w:t>
      </w:r>
      <w:r w:rsidR="00262E0D" w:rsidRPr="00EF7399">
        <w:rPr>
          <w:rFonts w:ascii="Times New Roman" w:hAnsi="Times New Roman" w:cs="Times New Roman"/>
          <w:lang w:val="af-ZA"/>
        </w:rPr>
        <w:t>2021,</w:t>
      </w:r>
      <w:r w:rsidR="00704033" w:rsidRPr="00EF7399">
        <w:rPr>
          <w:rFonts w:ascii="Times New Roman" w:hAnsi="Times New Roman" w:cs="Times New Roman"/>
          <w:lang w:val="af-ZA"/>
        </w:rPr>
        <w:t xml:space="preserve"> </w:t>
      </w:r>
      <w:r w:rsidR="00873234" w:rsidRPr="00EF7399">
        <w:rPr>
          <w:rFonts w:ascii="Times New Roman" w:hAnsi="Times New Roman" w:cs="Times New Roman"/>
          <w:lang w:val="af-ZA"/>
        </w:rPr>
        <w:t>§ </w:t>
      </w:r>
      <w:r w:rsidR="00704033" w:rsidRPr="00EF7399">
        <w:rPr>
          <w:rFonts w:ascii="Times New Roman" w:hAnsi="Times New Roman" w:cs="Times New Roman"/>
          <w:lang w:val="af-ZA"/>
        </w:rPr>
        <w:t>30)</w:t>
      </w:r>
      <w:r w:rsidR="00D41BB0" w:rsidRPr="00EF7399">
        <w:rPr>
          <w:rFonts w:ascii="Times New Roman" w:hAnsi="Times New Roman" w:cs="Times New Roman"/>
          <w:lang w:val="af-ZA"/>
        </w:rPr>
        <w:t>:</w:t>
      </w:r>
      <w:r w:rsidR="001A5C2E" w:rsidRPr="00EF7399">
        <w:rPr>
          <w:rFonts w:ascii="Times New Roman" w:hAnsi="Times New Roman" w:cs="Times New Roman"/>
          <w:lang w:val="af-ZA"/>
        </w:rPr>
        <w:t xml:space="preserve"> </w:t>
      </w:r>
      <w:r w:rsidR="00D41BB0" w:rsidRPr="00EF7399">
        <w:rPr>
          <w:rFonts w:ascii="Times New Roman" w:hAnsi="Times New Roman" w:cs="Times New Roman"/>
          <w:lang w:val="af-ZA"/>
        </w:rPr>
        <w:t>Արհեստակցական միություն</w:t>
      </w:r>
      <w:r w:rsidR="00D97B32" w:rsidRPr="00EF7399">
        <w:rPr>
          <w:rFonts w:ascii="Times New Roman" w:hAnsi="Times New Roman" w:cs="Times New Roman"/>
          <w:lang w:val="hy-AM"/>
        </w:rPr>
        <w:t>ը</w:t>
      </w:r>
      <w:r w:rsidR="00D41BB0" w:rsidRPr="00EF7399">
        <w:rPr>
          <w:rFonts w:ascii="Times New Roman" w:hAnsi="Times New Roman" w:cs="Times New Roman"/>
          <w:lang w:val="af-ZA"/>
        </w:rPr>
        <w:t xml:space="preserve"> կարող է</w:t>
      </w:r>
      <w:r w:rsidR="00972D80" w:rsidRPr="00EF7399">
        <w:rPr>
          <w:rFonts w:ascii="Times New Roman" w:hAnsi="Times New Roman" w:cs="Times New Roman"/>
          <w:lang w:val="af-ZA"/>
        </w:rPr>
        <w:t xml:space="preserve"> պնդել, որ </w:t>
      </w:r>
      <w:r w:rsidR="006733FC" w:rsidRPr="00EF7399">
        <w:rPr>
          <w:rFonts w:ascii="Times New Roman" w:hAnsi="Times New Roman" w:cs="Times New Roman"/>
          <w:lang w:val="af-ZA"/>
        </w:rPr>
        <w:t xml:space="preserve">տուժել է </w:t>
      </w:r>
      <w:r w:rsidR="00972D80" w:rsidRPr="00EF7399">
        <w:rPr>
          <w:rFonts w:ascii="Times New Roman" w:hAnsi="Times New Roman" w:cs="Times New Roman"/>
          <w:lang w:val="af-ZA"/>
        </w:rPr>
        <w:t xml:space="preserve">գործատուի կողմից իր անդամներից մեկին </w:t>
      </w:r>
      <w:r w:rsidR="00D41BB0" w:rsidRPr="00EF7399">
        <w:rPr>
          <w:rFonts w:ascii="Times New Roman" w:hAnsi="Times New Roman" w:cs="Times New Roman"/>
          <w:lang w:val="af-ZA"/>
        </w:rPr>
        <w:t>աշխատանքի</w:t>
      </w:r>
      <w:r w:rsidR="00972D80" w:rsidRPr="00EF7399">
        <w:rPr>
          <w:rFonts w:ascii="Times New Roman" w:hAnsi="Times New Roman" w:cs="Times New Roman"/>
          <w:lang w:val="af-ZA"/>
        </w:rPr>
        <w:t xml:space="preserve">ց </w:t>
      </w:r>
      <w:r w:rsidR="00D41BB0" w:rsidRPr="00EF7399">
        <w:rPr>
          <w:rFonts w:ascii="Times New Roman" w:hAnsi="Times New Roman" w:cs="Times New Roman"/>
          <w:lang w:val="af-ZA"/>
        </w:rPr>
        <w:t>ազատ</w:t>
      </w:r>
      <w:r w:rsidR="00972D80" w:rsidRPr="00EF7399">
        <w:rPr>
          <w:rFonts w:ascii="Times New Roman" w:hAnsi="Times New Roman" w:cs="Times New Roman"/>
          <w:lang w:val="af-ZA"/>
        </w:rPr>
        <w:t>ելո</w:t>
      </w:r>
      <w:r w:rsidR="001A0D43" w:rsidRPr="00EF7399">
        <w:rPr>
          <w:rFonts w:ascii="Times New Roman" w:hAnsi="Times New Roman" w:cs="Times New Roman"/>
          <w:lang w:val="af-ZA"/>
        </w:rPr>
        <w:t>ւ</w:t>
      </w:r>
      <w:r w:rsidR="00D41BB0" w:rsidRPr="00EF7399">
        <w:rPr>
          <w:rFonts w:ascii="Times New Roman" w:hAnsi="Times New Roman" w:cs="Times New Roman"/>
          <w:lang w:val="af-ZA"/>
        </w:rPr>
        <w:t xml:space="preserve"> </w:t>
      </w:r>
      <w:r w:rsidR="006733FC" w:rsidRPr="00EF7399">
        <w:rPr>
          <w:rFonts w:ascii="Times New Roman" w:hAnsi="Times New Roman" w:cs="Times New Roman"/>
          <w:lang w:val="af-ZA"/>
        </w:rPr>
        <w:t>հետևանքով</w:t>
      </w:r>
      <w:r w:rsidR="00972D80" w:rsidRPr="00EF7399">
        <w:rPr>
          <w:rFonts w:ascii="Times New Roman" w:hAnsi="Times New Roman" w:cs="Times New Roman"/>
          <w:lang w:val="af-ZA"/>
        </w:rPr>
        <w:t>, եթե ազատումն ակնհայտորեն</w:t>
      </w:r>
      <w:bookmarkStart w:id="96" w:name="_Hlk128751026"/>
      <w:r w:rsidR="006733FC" w:rsidRPr="00EF7399">
        <w:rPr>
          <w:rFonts w:ascii="Times New Roman" w:hAnsi="Times New Roman" w:cs="Times New Roman"/>
          <w:lang w:val="af-ZA"/>
        </w:rPr>
        <w:t xml:space="preserve"> պայմանավորված է եղել</w:t>
      </w:r>
      <w:r w:rsidR="004E699A" w:rsidRPr="00EF7399">
        <w:rPr>
          <w:rFonts w:ascii="Times New Roman" w:hAnsi="Times New Roman" w:cs="Times New Roman"/>
          <w:lang w:val="hy-AM"/>
        </w:rPr>
        <w:t xml:space="preserve"> անհատի՝</w:t>
      </w:r>
      <w:r w:rsidR="006733FC" w:rsidRPr="00EF7399">
        <w:rPr>
          <w:rFonts w:ascii="Times New Roman" w:hAnsi="Times New Roman" w:cs="Times New Roman"/>
          <w:lang w:val="af-ZA"/>
        </w:rPr>
        <w:t xml:space="preserve"> միության</w:t>
      </w:r>
      <w:r w:rsidR="004E699A" w:rsidRPr="00EF7399">
        <w:rPr>
          <w:rFonts w:ascii="Times New Roman" w:hAnsi="Times New Roman" w:cs="Times New Roman"/>
          <w:lang w:val="hy-AM"/>
        </w:rPr>
        <w:t>ն</w:t>
      </w:r>
      <w:r w:rsidR="006733FC" w:rsidRPr="00EF7399">
        <w:rPr>
          <w:rFonts w:ascii="Times New Roman" w:hAnsi="Times New Roman" w:cs="Times New Roman"/>
          <w:lang w:val="af-ZA"/>
        </w:rPr>
        <w:t xml:space="preserve"> անդամակցությամբ կամ միության ներսում </w:t>
      </w:r>
      <w:r w:rsidR="004E699A" w:rsidRPr="00EF7399">
        <w:rPr>
          <w:rFonts w:ascii="Times New Roman" w:hAnsi="Times New Roman" w:cs="Times New Roman"/>
          <w:lang w:val="hy-AM"/>
        </w:rPr>
        <w:t>նրա</w:t>
      </w:r>
      <w:r w:rsidR="004E699A" w:rsidRPr="00EF7399">
        <w:rPr>
          <w:rFonts w:ascii="Times New Roman" w:hAnsi="Times New Roman" w:cs="Times New Roman"/>
          <w:lang w:val="af-ZA"/>
        </w:rPr>
        <w:t xml:space="preserve"> </w:t>
      </w:r>
      <w:r w:rsidR="006733FC" w:rsidRPr="00EF7399">
        <w:rPr>
          <w:rFonts w:ascii="Times New Roman" w:hAnsi="Times New Roman" w:cs="Times New Roman"/>
          <w:lang w:val="af-ZA"/>
        </w:rPr>
        <w:t xml:space="preserve">գործունեությամբ </w:t>
      </w:r>
      <w:r w:rsidR="001A5C2E" w:rsidRPr="00EF7399">
        <w:rPr>
          <w:rFonts w:ascii="Times New Roman" w:hAnsi="Times New Roman" w:cs="Times New Roman"/>
          <w:lang w:val="af-ZA"/>
        </w:rPr>
        <w:t>(</w:t>
      </w:r>
      <w:hyperlink r:id="rId517" w:history="1">
        <w:r w:rsidR="001A5C2E" w:rsidRPr="00EF7399">
          <w:rPr>
            <w:rStyle w:val="Hyperlink"/>
            <w:rFonts w:ascii="Times New Roman" w:hAnsi="Times New Roman" w:cs="Times New Roman"/>
            <w:iCs/>
            <w:lang w:val="af-ZA"/>
          </w:rPr>
          <w:t>Hoppen and trade union of AB Amber Grid employees v. Lithuania</w:t>
        </w:r>
      </w:hyperlink>
      <w:r w:rsidR="001A5C2E" w:rsidRPr="00EF7399">
        <w:rPr>
          <w:rFonts w:ascii="Times New Roman" w:hAnsi="Times New Roman" w:cs="Times New Roman"/>
          <w:lang w:val="af-ZA"/>
        </w:rPr>
        <w:t>, 2023, § 153)</w:t>
      </w:r>
      <w:r w:rsidR="006733FC" w:rsidRPr="00EF7399">
        <w:rPr>
          <w:rFonts w:ascii="Times New Roman" w:hAnsi="Times New Roman" w:cs="Times New Roman"/>
          <w:lang w:val="af-ZA"/>
        </w:rPr>
        <w:t xml:space="preserve">: </w:t>
      </w:r>
    </w:p>
    <w:bookmarkEnd w:id="96"/>
    <w:p w14:paraId="6D73734F" w14:textId="2254EC8E" w:rsidR="009435A2" w:rsidRPr="00EF7399" w:rsidRDefault="00873234" w:rsidP="00704033">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 MERGEFORMAT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238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6733FC" w:rsidRPr="00EF7399">
        <w:rPr>
          <w:rFonts w:ascii="Times New Roman" w:hAnsi="Times New Roman" w:cs="Times New Roman"/>
          <w:lang w:val="af-ZA"/>
        </w:rPr>
        <w:t xml:space="preserve">Սեփական շահերը պաշտպանելու նպատակով արհեստակցական միության անդամներն իրավունք ունեն, որ իրենց արհեստակցական միությունը լսված լինի: </w:t>
      </w:r>
      <w:r w:rsidR="00E0503D" w:rsidRPr="00EF7399">
        <w:rPr>
          <w:rFonts w:ascii="Times New Roman" w:hAnsi="Times New Roman" w:cs="Times New Roman"/>
          <w:lang w:val="af-ZA"/>
        </w:rPr>
        <w:t xml:space="preserve">Նրանք պետք է կարողանան ներկայացնել իրենց գործատուին պահանջներ, որոնց միջոցով ձգտում են բարելավել իրենց ընկերության աշխատողների վիճակը: Արհեստակցական միությունը, որը չունի սեփական գաղափարներն ազատ արտահայտելու հնարավորություն, այս իմաստով զրկված է գործողության կենսական միջոցներից </w:t>
      </w:r>
      <w:r w:rsidR="00787A5A" w:rsidRPr="00EF7399">
        <w:rPr>
          <w:rFonts w:ascii="Times New Roman" w:hAnsi="Times New Roman" w:cs="Times New Roman"/>
          <w:lang w:val="af-ZA"/>
        </w:rPr>
        <w:t>(</w:t>
      </w:r>
      <w:hyperlink r:id="rId518" w:history="1">
        <w:r w:rsidR="00787A5A" w:rsidRPr="00EF7399">
          <w:rPr>
            <w:rStyle w:val="Hyperlink"/>
            <w:rFonts w:ascii="Times New Roman" w:hAnsi="Times New Roman" w:cs="Times New Roman"/>
            <w:lang w:val="af-ZA"/>
          </w:rPr>
          <w:t>Straume</w:t>
        </w:r>
        <w:r w:rsidRPr="00EF7399">
          <w:rPr>
            <w:rStyle w:val="Hyperlink"/>
            <w:rFonts w:ascii="Times New Roman" w:hAnsi="Times New Roman" w:cs="Times New Roman"/>
            <w:lang w:val="af-ZA"/>
          </w:rPr>
          <w:t xml:space="preserve"> v. </w:t>
        </w:r>
        <w:r w:rsidR="00787A5A" w:rsidRPr="00EF7399">
          <w:rPr>
            <w:rStyle w:val="Hyperlink"/>
            <w:rFonts w:ascii="Times New Roman" w:hAnsi="Times New Roman" w:cs="Times New Roman"/>
            <w:lang w:val="af-ZA"/>
          </w:rPr>
          <w:t>Latvia</w:t>
        </w:r>
      </w:hyperlink>
      <w:r w:rsidR="00787A5A" w:rsidRPr="00EF7399">
        <w:rPr>
          <w:rFonts w:ascii="Times New Roman" w:hAnsi="Times New Roman" w:cs="Times New Roman"/>
          <w:lang w:val="af-ZA"/>
        </w:rPr>
        <w:t>, 2022, §</w:t>
      </w:r>
      <w:r w:rsidRPr="00EF7399">
        <w:rPr>
          <w:rFonts w:ascii="Times New Roman" w:hAnsi="Times New Roman" w:cs="Times New Roman"/>
          <w:lang w:val="af-ZA"/>
        </w:rPr>
        <w:t>§ </w:t>
      </w:r>
      <w:r w:rsidR="00787A5A" w:rsidRPr="00EF7399">
        <w:rPr>
          <w:rFonts w:ascii="Times New Roman" w:hAnsi="Times New Roman" w:cs="Times New Roman"/>
          <w:lang w:val="af-ZA"/>
        </w:rPr>
        <w:t>91-92)</w:t>
      </w:r>
      <w:r w:rsidR="00E0503D" w:rsidRPr="00EF7399">
        <w:rPr>
          <w:rFonts w:ascii="Times New Roman" w:hAnsi="Times New Roman" w:cs="Times New Roman"/>
          <w:lang w:val="af-ZA"/>
        </w:rPr>
        <w:t xml:space="preserve">: Արհեստակցական միության ներկայացուցչի արտահայտման ազատության համատեքստում Դատարանը </w:t>
      </w:r>
      <w:r w:rsidR="00C362AF" w:rsidRPr="00EF7399">
        <w:rPr>
          <w:rFonts w:ascii="Times New Roman" w:hAnsi="Times New Roman" w:cs="Times New Roman"/>
          <w:lang w:val="af-ZA"/>
        </w:rPr>
        <w:t xml:space="preserve">վերաբերելի է համարում հետևյալ տարրերը. </w:t>
      </w:r>
      <w:r w:rsidR="008574DE" w:rsidRPr="00EF7399">
        <w:rPr>
          <w:rFonts w:ascii="Times New Roman" w:hAnsi="Times New Roman" w:cs="Times New Roman"/>
          <w:lang w:val="hy-AM"/>
        </w:rPr>
        <w:t>արված</w:t>
      </w:r>
      <w:r w:rsidR="00E0503D" w:rsidRPr="00EF7399">
        <w:rPr>
          <w:rFonts w:ascii="Times New Roman" w:hAnsi="Times New Roman" w:cs="Times New Roman"/>
          <w:lang w:val="af-ZA"/>
        </w:rPr>
        <w:t xml:space="preserve"> </w:t>
      </w:r>
      <w:r w:rsidR="008574DE" w:rsidRPr="00EF7399">
        <w:rPr>
          <w:rFonts w:ascii="Times New Roman" w:hAnsi="Times New Roman" w:cs="Times New Roman"/>
          <w:lang w:val="hy-AM"/>
        </w:rPr>
        <w:t>հ</w:t>
      </w:r>
      <w:r w:rsidR="00C362AF" w:rsidRPr="00EF7399">
        <w:rPr>
          <w:rFonts w:ascii="Times New Roman" w:hAnsi="Times New Roman" w:cs="Times New Roman"/>
          <w:lang w:val="af-ZA"/>
        </w:rPr>
        <w:t>այտարարություններ</w:t>
      </w:r>
      <w:r w:rsidR="008574DE" w:rsidRPr="00EF7399">
        <w:rPr>
          <w:rFonts w:ascii="Times New Roman" w:hAnsi="Times New Roman" w:cs="Times New Roman"/>
          <w:lang w:val="hy-AM"/>
        </w:rPr>
        <w:t xml:space="preserve">ի </w:t>
      </w:r>
      <w:r w:rsidR="00C362AF" w:rsidRPr="00EF7399">
        <w:rPr>
          <w:rFonts w:ascii="Times New Roman" w:hAnsi="Times New Roman" w:cs="Times New Roman"/>
          <w:lang w:val="af-ZA"/>
        </w:rPr>
        <w:t xml:space="preserve">համատեքստը (այդ թվում` </w:t>
      </w:r>
      <w:r w:rsidR="009C3163" w:rsidRPr="00EF7399">
        <w:rPr>
          <w:rFonts w:ascii="Times New Roman" w:hAnsi="Times New Roman" w:cs="Times New Roman"/>
          <w:lang w:val="af-ZA"/>
        </w:rPr>
        <w:t>արդյո՞ք դրանք արհեստակցական միության օրինական գործունեության մաս</w:t>
      </w:r>
      <w:r w:rsidR="008574DE" w:rsidRPr="00EF7399">
        <w:rPr>
          <w:rFonts w:ascii="Times New Roman" w:hAnsi="Times New Roman" w:cs="Times New Roman"/>
          <w:lang w:val="hy-AM"/>
        </w:rPr>
        <w:t xml:space="preserve"> են եղել</w:t>
      </w:r>
      <w:r w:rsidR="00C362AF" w:rsidRPr="00EF7399">
        <w:rPr>
          <w:rFonts w:ascii="Times New Roman" w:hAnsi="Times New Roman" w:cs="Times New Roman"/>
          <w:lang w:val="af-ZA"/>
        </w:rPr>
        <w:t>)</w:t>
      </w:r>
      <w:r w:rsidR="009C3163" w:rsidRPr="00EF7399">
        <w:rPr>
          <w:rFonts w:ascii="Times New Roman" w:hAnsi="Times New Roman" w:cs="Times New Roman"/>
          <w:lang w:val="af-ZA"/>
        </w:rPr>
        <w:t xml:space="preserve">, հայտարարությունների բնույթը </w:t>
      </w:r>
      <w:r w:rsidR="00787A5A" w:rsidRPr="00EF7399">
        <w:rPr>
          <w:rFonts w:ascii="Times New Roman" w:hAnsi="Times New Roman" w:cs="Times New Roman"/>
          <w:lang w:val="af-ZA"/>
        </w:rPr>
        <w:t>(</w:t>
      </w:r>
      <w:r w:rsidR="009C3163" w:rsidRPr="00EF7399">
        <w:rPr>
          <w:rFonts w:ascii="Times New Roman" w:hAnsi="Times New Roman" w:cs="Times New Roman"/>
          <w:lang w:val="af-ZA"/>
        </w:rPr>
        <w:t>այդ թվում` արդյո՞ք հատել են ընդունելի քննադատության սահմանները</w:t>
      </w:r>
      <w:r w:rsidR="00787A5A" w:rsidRPr="00EF7399">
        <w:rPr>
          <w:rFonts w:ascii="Times New Roman" w:hAnsi="Times New Roman" w:cs="Times New Roman"/>
          <w:lang w:val="af-ZA"/>
        </w:rPr>
        <w:t>)</w:t>
      </w:r>
      <w:r w:rsidR="009C3163" w:rsidRPr="00EF7399">
        <w:rPr>
          <w:rFonts w:ascii="Times New Roman" w:hAnsi="Times New Roman" w:cs="Times New Roman"/>
          <w:lang w:val="af-ZA"/>
        </w:rPr>
        <w:t>, գործատուի կամ այլ անձանց կրած վնասը, պատժամիջոցների և այլ հետևանքների բնույթ</w:t>
      </w:r>
      <w:r w:rsidR="008574DE" w:rsidRPr="00EF7399">
        <w:rPr>
          <w:rFonts w:ascii="Times New Roman" w:hAnsi="Times New Roman" w:cs="Times New Roman"/>
          <w:lang w:val="hy-AM"/>
        </w:rPr>
        <w:t>ն ու</w:t>
      </w:r>
      <w:r w:rsidR="009C3163" w:rsidRPr="00EF7399">
        <w:rPr>
          <w:rFonts w:ascii="Times New Roman" w:hAnsi="Times New Roman" w:cs="Times New Roman"/>
          <w:lang w:val="af-ZA"/>
        </w:rPr>
        <w:t xml:space="preserve"> խստությունը </w:t>
      </w:r>
      <w:r w:rsidR="00787A5A" w:rsidRPr="00EF7399">
        <w:rPr>
          <w:rFonts w:ascii="Times New Roman" w:hAnsi="Times New Roman" w:cs="Times New Roman"/>
          <w:lang w:val="af-ZA"/>
        </w:rPr>
        <w:t>(</w:t>
      </w:r>
      <w:r w:rsidRPr="00EF7399">
        <w:rPr>
          <w:rFonts w:ascii="Times New Roman" w:hAnsi="Times New Roman" w:cs="Times New Roman"/>
          <w:lang w:val="af-ZA"/>
        </w:rPr>
        <w:t>§ </w:t>
      </w:r>
      <w:r w:rsidR="00787A5A" w:rsidRPr="00EF7399">
        <w:rPr>
          <w:rFonts w:ascii="Times New Roman" w:hAnsi="Times New Roman" w:cs="Times New Roman"/>
          <w:lang w:val="af-ZA"/>
        </w:rPr>
        <w:t>103)</w:t>
      </w:r>
      <w:r w:rsidR="009C3163" w:rsidRPr="00EF7399">
        <w:rPr>
          <w:rFonts w:ascii="Times New Roman" w:hAnsi="Times New Roman" w:cs="Times New Roman"/>
          <w:lang w:val="af-ZA"/>
        </w:rPr>
        <w:t>:</w:t>
      </w:r>
    </w:p>
    <w:p w14:paraId="2DC73090" w14:textId="414FBBE9" w:rsidR="00844EE3" w:rsidRPr="00EF7399" w:rsidRDefault="00844EE3" w:rsidP="00844EE3">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239</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9C3163" w:rsidRPr="00EF7399">
        <w:rPr>
          <w:rFonts w:ascii="Times New Roman" w:hAnsi="Times New Roman" w:cs="Times New Roman"/>
          <w:iCs/>
          <w:lang w:val="af-ZA"/>
        </w:rPr>
        <w:t xml:space="preserve">Աշխատողների ներկայացուցիչները պետք է, որպես կանոն և որոշակի սահմաններում, օգտվեն արհեստակցական միության գործառույթներն արագ ու արդյունավետ կատարելու պատշաճ </w:t>
      </w:r>
      <w:r w:rsidR="00102C83" w:rsidRPr="00EF7399">
        <w:rPr>
          <w:rFonts w:ascii="Times New Roman" w:hAnsi="Times New Roman" w:cs="Times New Roman"/>
          <w:iCs/>
          <w:lang w:val="hy-AM"/>
        </w:rPr>
        <w:t>հնարավորություններից</w:t>
      </w:r>
      <w:r w:rsidR="00102C83" w:rsidRPr="00EF7399">
        <w:rPr>
          <w:rFonts w:ascii="Times New Roman" w:hAnsi="Times New Roman" w:cs="Times New Roman"/>
          <w:iCs/>
          <w:lang w:val="af-ZA"/>
        </w:rPr>
        <w:t xml:space="preserve"> </w:t>
      </w:r>
      <w:r w:rsidRPr="00EF7399">
        <w:rPr>
          <w:rFonts w:ascii="Times New Roman" w:hAnsi="Times New Roman" w:cs="Times New Roman"/>
          <w:iCs/>
          <w:lang w:val="af-ZA"/>
        </w:rPr>
        <w:t>(</w:t>
      </w:r>
      <w:hyperlink r:id="rId519" w:history="1">
        <w:r w:rsidR="0073652D" w:rsidRPr="00EF7399">
          <w:rPr>
            <w:rStyle w:val="Hyperlink"/>
            <w:rFonts w:ascii="Times New Roman" w:hAnsi="Times New Roman" w:cs="Times New Roman"/>
            <w:iCs/>
            <w:lang w:val="af-ZA"/>
          </w:rPr>
          <w:t>Sanchez Navajas</w:t>
        </w:r>
        <w:r w:rsidR="00873234" w:rsidRPr="00EF7399">
          <w:rPr>
            <w:rStyle w:val="Hyperlink"/>
            <w:rFonts w:ascii="Times New Roman" w:hAnsi="Times New Roman" w:cs="Times New Roman"/>
            <w:iCs/>
            <w:lang w:val="af-ZA"/>
          </w:rPr>
          <w:t xml:space="preserve"> v. </w:t>
        </w:r>
        <w:r w:rsidR="0073652D" w:rsidRPr="00EF7399">
          <w:rPr>
            <w:rStyle w:val="Hyperlink"/>
            <w:rFonts w:ascii="Times New Roman" w:hAnsi="Times New Roman" w:cs="Times New Roman"/>
            <w:iCs/>
            <w:lang w:val="af-ZA"/>
          </w:rPr>
          <w:t>Spain</w:t>
        </w:r>
      </w:hyperlink>
      <w:r w:rsidRPr="00EF7399">
        <w:rPr>
          <w:rFonts w:ascii="Times New Roman" w:hAnsi="Times New Roman" w:cs="Times New Roman"/>
          <w:iCs/>
          <w:lang w:val="af-ZA"/>
        </w:rPr>
        <w:t xml:space="preserve"> (dec.)</w:t>
      </w:r>
      <w:r w:rsidR="008C5F4A" w:rsidRPr="00EF7399">
        <w:rPr>
          <w:rFonts w:ascii="Times New Roman" w:hAnsi="Times New Roman" w:cs="Times New Roman"/>
          <w:iCs/>
          <w:lang w:val="af-ZA"/>
        </w:rPr>
        <w:t>, 2001</w:t>
      </w:r>
      <w:r w:rsidRPr="00EF7399">
        <w:rPr>
          <w:rFonts w:ascii="Times New Roman" w:hAnsi="Times New Roman" w:cs="Times New Roman"/>
          <w:iCs/>
          <w:lang w:val="af-ZA"/>
        </w:rPr>
        <w:t>)</w:t>
      </w:r>
      <w:r w:rsidR="009C3163" w:rsidRPr="00EF7399">
        <w:rPr>
          <w:rFonts w:ascii="Times New Roman" w:hAnsi="Times New Roman" w:cs="Times New Roman"/>
          <w:iCs/>
          <w:lang w:val="af-ZA"/>
        </w:rPr>
        <w:t>:</w:t>
      </w:r>
    </w:p>
    <w:p w14:paraId="4D9ED95B" w14:textId="6A0F10CB" w:rsidR="00844EE3" w:rsidRPr="00EF7399" w:rsidRDefault="00844EE3" w:rsidP="00844EE3">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240</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2D162B" w:rsidRPr="00EF7399">
        <w:rPr>
          <w:rFonts w:ascii="Times New Roman" w:hAnsi="Times New Roman" w:cs="Times New Roman"/>
          <w:iCs/>
          <w:lang w:val="af-ZA"/>
        </w:rPr>
        <w:t>Քաղաքականությունը, որը սահմանափակում է կազմակերպությունների թիվը, որոնց հետ պետք է խորհրդակցի կառավարությունը, չի հակասում արհեստակցական միությունների ազատությանը</w:t>
      </w:r>
      <w:r w:rsidRPr="00EF7399">
        <w:rPr>
          <w:rFonts w:ascii="Times New Roman" w:hAnsi="Times New Roman" w:cs="Times New Roman"/>
          <w:iCs/>
          <w:lang w:val="af-ZA"/>
        </w:rPr>
        <w:t xml:space="preserve"> (</w:t>
      </w:r>
      <w:hyperlink r:id="rId520" w:history="1">
        <w:r w:rsidRPr="00EF7399">
          <w:rPr>
            <w:rStyle w:val="Hyperlink"/>
            <w:rFonts w:ascii="Times New Roman" w:hAnsi="Times New Roman" w:cs="Times New Roman"/>
            <w:iCs/>
            <w:lang w:val="af-ZA"/>
          </w:rPr>
          <w:t>National Union of Belgian Police</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Belgium</w:t>
        </w:r>
      </w:hyperlink>
      <w:r w:rsidRPr="00EF7399">
        <w:rPr>
          <w:rFonts w:ascii="Times New Roman" w:hAnsi="Times New Roman" w:cs="Times New Roman"/>
          <w:iCs/>
          <w:lang w:val="af-ZA"/>
        </w:rPr>
        <w:t xml:space="preserve">, </w:t>
      </w:r>
      <w:r w:rsidR="008C5F4A" w:rsidRPr="00EF7399">
        <w:rPr>
          <w:rFonts w:ascii="Times New Roman" w:hAnsi="Times New Roman" w:cs="Times New Roman"/>
          <w:iCs/>
          <w:lang w:val="af-ZA"/>
        </w:rPr>
        <w:t xml:space="preserve">1975, </w:t>
      </w:r>
      <w:r w:rsidRPr="00EF7399">
        <w:rPr>
          <w:rFonts w:ascii="Times New Roman" w:hAnsi="Times New Roman" w:cs="Times New Roman"/>
          <w:iCs/>
          <w:lang w:val="af-ZA"/>
        </w:rPr>
        <w:t>§</w:t>
      </w:r>
      <w:r w:rsidR="00873234" w:rsidRPr="00EF7399">
        <w:rPr>
          <w:rFonts w:ascii="Times New Roman" w:hAnsi="Times New Roman" w:cs="Times New Roman"/>
          <w:iCs/>
          <w:lang w:val="af-ZA"/>
        </w:rPr>
        <w:t>§ </w:t>
      </w:r>
      <w:r w:rsidRPr="00EF7399">
        <w:rPr>
          <w:rFonts w:ascii="Times New Roman" w:hAnsi="Times New Roman" w:cs="Times New Roman"/>
          <w:iCs/>
          <w:lang w:val="af-ZA"/>
        </w:rPr>
        <w:t xml:space="preserve">40-41, </w:t>
      </w:r>
      <w:r w:rsidR="00B957F1" w:rsidRPr="00EF7399">
        <w:rPr>
          <w:rFonts w:ascii="Times New Roman" w:hAnsi="Times New Roman" w:cs="Times New Roman"/>
          <w:iCs/>
          <w:lang w:val="af-ZA"/>
        </w:rPr>
        <w:t>երբ</w:t>
      </w:r>
      <w:r w:rsidR="002D162B" w:rsidRPr="00EF7399">
        <w:rPr>
          <w:rFonts w:ascii="Times New Roman" w:hAnsi="Times New Roman" w:cs="Times New Roman"/>
          <w:iCs/>
          <w:lang w:val="af-ZA"/>
        </w:rPr>
        <w:t xml:space="preserve"> իր անդամների շահերի պաշտպանության </w:t>
      </w:r>
      <w:r w:rsidR="00F25788" w:rsidRPr="00EF7399">
        <w:rPr>
          <w:rFonts w:ascii="Times New Roman" w:hAnsi="Times New Roman" w:cs="Times New Roman"/>
          <w:iCs/>
          <w:lang w:val="af-ZA"/>
        </w:rPr>
        <w:t>համար</w:t>
      </w:r>
      <w:r w:rsidR="002D162B" w:rsidRPr="00EF7399">
        <w:rPr>
          <w:rFonts w:ascii="Times New Roman" w:hAnsi="Times New Roman" w:cs="Times New Roman"/>
          <w:iCs/>
          <w:lang w:val="af-ZA"/>
        </w:rPr>
        <w:t xml:space="preserve"> գանգատաբեր միությունը կարողացել է </w:t>
      </w:r>
      <w:r w:rsidR="00F25788" w:rsidRPr="00EF7399">
        <w:rPr>
          <w:rFonts w:ascii="Times New Roman" w:hAnsi="Times New Roman" w:cs="Times New Roman"/>
          <w:iCs/>
          <w:lang w:val="af-ZA"/>
        </w:rPr>
        <w:t xml:space="preserve">այլ </w:t>
      </w:r>
      <w:r w:rsidR="004603E3" w:rsidRPr="00EF7399">
        <w:rPr>
          <w:rFonts w:ascii="Times New Roman" w:hAnsi="Times New Roman" w:cs="Times New Roman"/>
          <w:iCs/>
          <w:lang w:val="af-ZA"/>
        </w:rPr>
        <w:t>ձևաչափի</w:t>
      </w:r>
      <w:r w:rsidR="00F25788" w:rsidRPr="00EF7399">
        <w:rPr>
          <w:rFonts w:ascii="Times New Roman" w:hAnsi="Times New Roman" w:cs="Times New Roman"/>
          <w:iCs/>
          <w:lang w:val="af-ZA"/>
        </w:rPr>
        <w:t xml:space="preserve">  </w:t>
      </w:r>
      <w:r w:rsidR="004603E3" w:rsidRPr="00EF7399">
        <w:rPr>
          <w:rFonts w:ascii="Times New Roman" w:hAnsi="Times New Roman" w:cs="Times New Roman"/>
          <w:iCs/>
          <w:lang w:val="af-ZA"/>
        </w:rPr>
        <w:t xml:space="preserve">հարաբերություններ հաստատել </w:t>
      </w:r>
      <w:r w:rsidR="00B957F1" w:rsidRPr="00EF7399">
        <w:rPr>
          <w:rFonts w:ascii="Times New Roman" w:hAnsi="Times New Roman" w:cs="Times New Roman"/>
          <w:iCs/>
          <w:lang w:val="af-ZA"/>
        </w:rPr>
        <w:t xml:space="preserve">կառավարության </w:t>
      </w:r>
      <w:r w:rsidR="00F25788" w:rsidRPr="00EF7399">
        <w:rPr>
          <w:rFonts w:ascii="Times New Roman" w:hAnsi="Times New Roman" w:cs="Times New Roman"/>
          <w:iCs/>
          <w:lang w:val="af-ZA"/>
        </w:rPr>
        <w:t xml:space="preserve"> հետ</w:t>
      </w:r>
      <w:r w:rsidRPr="00EF7399">
        <w:rPr>
          <w:rFonts w:ascii="Times New Roman" w:hAnsi="Times New Roman" w:cs="Times New Roman"/>
          <w:iCs/>
          <w:lang w:val="af-ZA"/>
        </w:rPr>
        <w:t>)</w:t>
      </w:r>
      <w:r w:rsidR="002D162B" w:rsidRPr="00EF7399">
        <w:rPr>
          <w:rFonts w:ascii="Times New Roman" w:hAnsi="Times New Roman" w:cs="Times New Roman"/>
          <w:iCs/>
          <w:lang w:val="af-ZA"/>
        </w:rPr>
        <w:t>:</w:t>
      </w:r>
    </w:p>
    <w:p w14:paraId="6205581D" w14:textId="1B27DBEC" w:rsidR="00844EE3" w:rsidRPr="00EF7399" w:rsidRDefault="00844EE3" w:rsidP="00844EE3">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241</w:t>
      </w:r>
      <w:r w:rsidRPr="00EF7399">
        <w:rPr>
          <w:rFonts w:ascii="Times New Roman" w:hAnsi="Times New Roman" w:cs="Times New Roman"/>
          <w:lang w:val="af-ZA"/>
        </w:rPr>
        <w:fldChar w:fldCharType="end"/>
      </w:r>
      <w:r w:rsidRPr="00EF7399">
        <w:rPr>
          <w:rFonts w:ascii="Times New Roman" w:hAnsi="Times New Roman" w:cs="Times New Roman"/>
          <w:lang w:val="af-ZA"/>
        </w:rPr>
        <w:t>.  11</w:t>
      </w:r>
      <w:r w:rsidR="004603E3" w:rsidRPr="00EF7399">
        <w:rPr>
          <w:rFonts w:ascii="Times New Roman" w:hAnsi="Times New Roman" w:cs="Times New Roman"/>
          <w:lang w:val="af-ZA"/>
        </w:rPr>
        <w:t xml:space="preserve">-րդ հոդվածի </w:t>
      </w:r>
      <w:r w:rsidRPr="00EF7399">
        <w:rPr>
          <w:rFonts w:ascii="Times New Roman" w:hAnsi="Times New Roman" w:cs="Times New Roman"/>
          <w:lang w:val="af-ZA"/>
        </w:rPr>
        <w:t>2</w:t>
      </w:r>
      <w:r w:rsidR="004603E3" w:rsidRPr="00EF7399">
        <w:rPr>
          <w:rFonts w:ascii="Times New Roman" w:hAnsi="Times New Roman" w:cs="Times New Roman"/>
          <w:lang w:val="af-ZA"/>
        </w:rPr>
        <w:t xml:space="preserve">-րդ մասը </w:t>
      </w:r>
      <w:r w:rsidR="009013A1" w:rsidRPr="00EF7399">
        <w:rPr>
          <w:rFonts w:ascii="Times New Roman" w:hAnsi="Times New Roman" w:cs="Times New Roman"/>
          <w:lang w:val="af-ZA"/>
        </w:rPr>
        <w:t>չի զրկում մասնագիտական որևէ խ</w:t>
      </w:r>
      <w:r w:rsidR="005224EC" w:rsidRPr="00EF7399">
        <w:rPr>
          <w:rFonts w:ascii="Times New Roman" w:hAnsi="Times New Roman" w:cs="Times New Roman"/>
          <w:lang w:val="af-ZA"/>
        </w:rPr>
        <w:t>մբի</w:t>
      </w:r>
      <w:r w:rsidR="009013A1" w:rsidRPr="00EF7399">
        <w:rPr>
          <w:rFonts w:ascii="Times New Roman" w:hAnsi="Times New Roman" w:cs="Times New Roman"/>
          <w:lang w:val="af-ZA"/>
        </w:rPr>
        <w:t xml:space="preserve"> տվյալ հոդվածի կարգավորումից: Ազգային իշխանություններն առավելագույնս իրավասու են</w:t>
      </w:r>
      <w:r w:rsidR="00757D92" w:rsidRPr="00EF7399">
        <w:rPr>
          <w:rFonts w:ascii="Times New Roman" w:hAnsi="Times New Roman" w:cs="Times New Roman"/>
          <w:lang w:val="hy-AM"/>
        </w:rPr>
        <w:t>,</w:t>
      </w:r>
      <w:r w:rsidR="009013A1" w:rsidRPr="00EF7399">
        <w:rPr>
          <w:rFonts w:ascii="Times New Roman" w:hAnsi="Times New Roman" w:cs="Times New Roman"/>
          <w:lang w:val="af-ZA"/>
        </w:rPr>
        <w:t xml:space="preserve"> 11-րդ հոդվածի 2-րդ մասի համաձայն</w:t>
      </w:r>
      <w:r w:rsidR="00757D92" w:rsidRPr="00EF7399">
        <w:rPr>
          <w:rFonts w:ascii="Times New Roman" w:hAnsi="Times New Roman" w:cs="Times New Roman"/>
          <w:lang w:val="hy-AM"/>
        </w:rPr>
        <w:t>,</w:t>
      </w:r>
      <w:r w:rsidR="009013A1" w:rsidRPr="00EF7399">
        <w:rPr>
          <w:rFonts w:ascii="Times New Roman" w:hAnsi="Times New Roman" w:cs="Times New Roman"/>
          <w:lang w:val="af-ZA"/>
        </w:rPr>
        <w:t xml:space="preserve"> «</w:t>
      </w:r>
      <w:r w:rsidR="00451D94" w:rsidRPr="00EF7399">
        <w:rPr>
          <w:rFonts w:ascii="Times New Roman" w:hAnsi="Times New Roman" w:cs="Times New Roman"/>
          <w:lang w:val="af-ZA"/>
        </w:rPr>
        <w:t>օրինական</w:t>
      </w:r>
      <w:r w:rsidR="009013A1" w:rsidRPr="00EF7399">
        <w:rPr>
          <w:rFonts w:ascii="Times New Roman" w:hAnsi="Times New Roman" w:cs="Times New Roman"/>
          <w:lang w:val="af-ZA"/>
        </w:rPr>
        <w:t xml:space="preserve"> սահմանափակումներ» կիրառել իրենց որոշ աշխատողների նկատմամբ </w:t>
      </w:r>
      <w:r w:rsidRPr="00EF7399">
        <w:rPr>
          <w:rFonts w:ascii="Times New Roman" w:hAnsi="Times New Roman" w:cs="Times New Roman"/>
          <w:lang w:val="af-ZA"/>
        </w:rPr>
        <w:t>(</w:t>
      </w:r>
      <w:hyperlink r:id="rId521" w:history="1">
        <w:r w:rsidR="00BA413F" w:rsidRPr="00EF7399">
          <w:rPr>
            <w:rStyle w:val="Hyperlink"/>
            <w:rFonts w:ascii="Times New Roman" w:hAnsi="Times New Roman" w:cs="Times New Roman"/>
            <w:lang w:val="af-ZA"/>
          </w:rPr>
          <w:t>Sindicatul “Păstorul cel Bun”</w:t>
        </w:r>
        <w:r w:rsidR="00873234" w:rsidRPr="00EF7399">
          <w:rPr>
            <w:rStyle w:val="Hyperlink"/>
            <w:rFonts w:ascii="Times New Roman" w:hAnsi="Times New Roman" w:cs="Times New Roman"/>
            <w:lang w:val="af-ZA"/>
          </w:rPr>
          <w:t xml:space="preserve"> v. </w:t>
        </w:r>
        <w:r w:rsidR="00BA413F" w:rsidRPr="00EF7399">
          <w:rPr>
            <w:rStyle w:val="Hyperlink"/>
            <w:rFonts w:ascii="Times New Roman" w:hAnsi="Times New Roman" w:cs="Times New Roman"/>
            <w:lang w:val="af-ZA"/>
          </w:rPr>
          <w:t>Romania</w:t>
        </w:r>
      </w:hyperlink>
      <w:r w:rsidRPr="00EF7399">
        <w:rPr>
          <w:rFonts w:ascii="Times New Roman" w:hAnsi="Times New Roman" w:cs="Times New Roman"/>
          <w:i/>
          <w:lang w:val="af-ZA"/>
        </w:rPr>
        <w:t xml:space="preserve"> </w:t>
      </w:r>
      <w:r w:rsidRPr="00EF7399">
        <w:rPr>
          <w:rFonts w:ascii="Times New Roman" w:hAnsi="Times New Roman" w:cs="Times New Roman"/>
          <w:lang w:val="af-ZA"/>
        </w:rPr>
        <w:t xml:space="preserve">[GC], </w:t>
      </w:r>
      <w:r w:rsidR="008C5F4A" w:rsidRPr="00EF7399">
        <w:rPr>
          <w:rFonts w:ascii="Times New Roman" w:hAnsi="Times New Roman" w:cs="Times New Roman"/>
          <w:lang w:val="af-ZA"/>
        </w:rPr>
        <w:t xml:space="preserve">2013,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145). </w:t>
      </w:r>
      <w:r w:rsidR="003E0647" w:rsidRPr="00EF7399">
        <w:rPr>
          <w:rFonts w:ascii="Times New Roman" w:hAnsi="Times New Roman" w:cs="Times New Roman"/>
          <w:lang w:val="af-ZA"/>
        </w:rPr>
        <w:t xml:space="preserve">Հետևաբար, 11-րդ հոդվածը կիրառելի է աշխատանքային իրավահարաբերությունների մեջ ներգրավված բոլոր անձանց </w:t>
      </w:r>
      <w:r w:rsidR="00757D92" w:rsidRPr="00EF7399">
        <w:rPr>
          <w:rFonts w:ascii="Times New Roman" w:hAnsi="Times New Roman" w:cs="Times New Roman"/>
          <w:lang w:val="hy-AM"/>
        </w:rPr>
        <w:t xml:space="preserve">նկատմամբ </w:t>
      </w:r>
      <w:r w:rsidRPr="00EF7399">
        <w:rPr>
          <w:rFonts w:ascii="Times New Roman" w:hAnsi="Times New Roman" w:cs="Times New Roman"/>
          <w:lang w:val="af-ZA"/>
        </w:rPr>
        <w:t>(</w:t>
      </w:r>
      <w:r w:rsidR="003E0647" w:rsidRPr="00EF7399">
        <w:rPr>
          <w:rFonts w:ascii="Times New Roman" w:hAnsi="Times New Roman" w:cs="Times New Roman"/>
          <w:lang w:val="af-ZA"/>
        </w:rPr>
        <w:t>տե՛ս</w:t>
      </w:r>
      <w:r w:rsidRPr="00EF7399">
        <w:rPr>
          <w:rFonts w:ascii="Times New Roman" w:hAnsi="Times New Roman" w:cs="Times New Roman"/>
          <w:lang w:val="af-ZA"/>
        </w:rPr>
        <w:t xml:space="preserve"> </w:t>
      </w:r>
      <w:hyperlink r:id="rId522" w:history="1">
        <w:r w:rsidR="00BA413F" w:rsidRPr="00EF7399">
          <w:rPr>
            <w:rStyle w:val="Hyperlink"/>
            <w:rFonts w:ascii="Times New Roman" w:hAnsi="Times New Roman" w:cs="Times New Roman"/>
            <w:lang w:val="af-ZA"/>
          </w:rPr>
          <w:t>Sindicatul “Păstorul cel Bun”</w:t>
        </w:r>
        <w:r w:rsidR="00873234" w:rsidRPr="00EF7399">
          <w:rPr>
            <w:rStyle w:val="Hyperlink"/>
            <w:rFonts w:ascii="Times New Roman" w:hAnsi="Times New Roman" w:cs="Times New Roman"/>
            <w:lang w:val="af-ZA"/>
          </w:rPr>
          <w:t xml:space="preserve"> v. </w:t>
        </w:r>
        <w:r w:rsidR="00BA413F" w:rsidRPr="00EF7399">
          <w:rPr>
            <w:rStyle w:val="Hyperlink"/>
            <w:rFonts w:ascii="Times New Roman" w:hAnsi="Times New Roman" w:cs="Times New Roman"/>
            <w:lang w:val="af-ZA"/>
          </w:rPr>
          <w:t>Romania</w:t>
        </w:r>
      </w:hyperlink>
      <w:r w:rsidRPr="00EF7399">
        <w:rPr>
          <w:rFonts w:ascii="Times New Roman" w:hAnsi="Times New Roman" w:cs="Times New Roman"/>
          <w:i/>
          <w:lang w:val="af-ZA"/>
        </w:rPr>
        <w:t xml:space="preserve"> </w:t>
      </w:r>
      <w:r w:rsidRPr="00EF7399">
        <w:rPr>
          <w:rFonts w:ascii="Times New Roman" w:hAnsi="Times New Roman" w:cs="Times New Roman"/>
          <w:lang w:val="af-ZA"/>
        </w:rPr>
        <w:t xml:space="preserve">[GC], </w:t>
      </w:r>
      <w:r w:rsidR="008C5F4A" w:rsidRPr="00EF7399">
        <w:rPr>
          <w:rFonts w:ascii="Times New Roman" w:hAnsi="Times New Roman" w:cs="Times New Roman"/>
          <w:lang w:val="af-ZA"/>
        </w:rPr>
        <w:t xml:space="preserve">2013,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141 </w:t>
      </w:r>
      <w:r w:rsidR="003E0647" w:rsidRPr="00EF7399">
        <w:rPr>
          <w:rFonts w:ascii="Times New Roman" w:hAnsi="Times New Roman" w:cs="Times New Roman"/>
          <w:lang w:val="af-ZA"/>
        </w:rPr>
        <w:t>և</w:t>
      </w:r>
      <w:r w:rsidRPr="00EF7399">
        <w:rPr>
          <w:rFonts w:ascii="Times New Roman" w:hAnsi="Times New Roman" w:cs="Times New Roman"/>
          <w:lang w:val="af-ZA"/>
        </w:rPr>
        <w:t xml:space="preserve"> 148, </w:t>
      </w:r>
      <w:r w:rsidR="003E0647" w:rsidRPr="00EF7399">
        <w:rPr>
          <w:rFonts w:ascii="Times New Roman" w:hAnsi="Times New Roman" w:cs="Times New Roman"/>
          <w:lang w:val="af-ZA"/>
        </w:rPr>
        <w:t>առնչվում է հոգևոր դասի անդամներին</w:t>
      </w:r>
      <w:r w:rsidRPr="00EF7399">
        <w:rPr>
          <w:rFonts w:ascii="Times New Roman" w:hAnsi="Times New Roman" w:cs="Times New Roman"/>
          <w:lang w:val="af-ZA"/>
        </w:rPr>
        <w:t xml:space="preserve">; </w:t>
      </w:r>
      <w:hyperlink r:id="rId523" w:history="1">
        <w:r w:rsidRPr="00EF7399">
          <w:rPr>
            <w:rStyle w:val="Hyperlink"/>
            <w:rFonts w:ascii="Times New Roman" w:hAnsi="Times New Roman" w:cs="Times New Roman"/>
            <w:lang w:val="af-ZA"/>
          </w:rPr>
          <w:t xml:space="preserve">Manole and </w:t>
        </w:r>
        <w:r w:rsidRPr="00EF7399">
          <w:rPr>
            <w:rStyle w:val="Hyperlink"/>
            <w:rFonts w:ascii="Times New Roman" w:hAnsi="Times New Roman" w:cs="Times New Roman"/>
            <w:iCs/>
            <w:lang w:val="af-ZA"/>
          </w:rPr>
          <w:t>“Romanian Farmers Direct”</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Romania</w:t>
        </w:r>
      </w:hyperlink>
      <w:r w:rsidRPr="00EF7399">
        <w:rPr>
          <w:rFonts w:ascii="Times New Roman" w:hAnsi="Times New Roman" w:cs="Times New Roman"/>
          <w:i/>
          <w:iCs/>
          <w:lang w:val="af-ZA"/>
        </w:rPr>
        <w:t xml:space="preserve">, </w:t>
      </w:r>
      <w:r w:rsidR="00BF5C01" w:rsidRPr="00EF7399">
        <w:rPr>
          <w:rFonts w:ascii="Times New Roman" w:hAnsi="Times New Roman" w:cs="Times New Roman"/>
          <w:lang w:val="af-ZA"/>
        </w:rPr>
        <w:t xml:space="preserve">2015, </w:t>
      </w:r>
      <w:r w:rsidR="00873234" w:rsidRPr="00EF7399">
        <w:rPr>
          <w:rFonts w:ascii="Times New Roman" w:hAnsi="Times New Roman" w:cs="Times New Roman"/>
          <w:iCs/>
          <w:lang w:val="af-ZA"/>
        </w:rPr>
        <w:t>§ </w:t>
      </w:r>
      <w:r w:rsidRPr="00EF7399">
        <w:rPr>
          <w:rFonts w:ascii="Times New Roman" w:hAnsi="Times New Roman" w:cs="Times New Roman"/>
          <w:iCs/>
          <w:lang w:val="af-ZA"/>
        </w:rPr>
        <w:t xml:space="preserve">62, </w:t>
      </w:r>
      <w:r w:rsidR="003E0647" w:rsidRPr="00EF7399">
        <w:rPr>
          <w:rFonts w:ascii="Times New Roman" w:hAnsi="Times New Roman" w:cs="Times New Roman"/>
          <w:iCs/>
          <w:lang w:val="af-ZA"/>
        </w:rPr>
        <w:t>առնչվում է ինքնազբաղված ֆերմերներին</w:t>
      </w:r>
      <w:r w:rsidRPr="00EF7399">
        <w:rPr>
          <w:rFonts w:ascii="Times New Roman" w:hAnsi="Times New Roman" w:cs="Times New Roman"/>
          <w:iCs/>
          <w:lang w:val="af-ZA"/>
        </w:rPr>
        <w:t>)</w:t>
      </w:r>
      <w:r w:rsidR="003E0647" w:rsidRPr="00EF7399">
        <w:rPr>
          <w:rFonts w:ascii="Times New Roman" w:hAnsi="Times New Roman" w:cs="Times New Roman"/>
          <w:iCs/>
          <w:lang w:val="af-ZA"/>
        </w:rPr>
        <w:t>:</w:t>
      </w:r>
      <w:r w:rsidR="00927407" w:rsidRPr="00EF7399">
        <w:rPr>
          <w:rFonts w:ascii="Times New Roman" w:hAnsi="Times New Roman" w:cs="Times New Roman"/>
          <w:iCs/>
          <w:lang w:val="af-ZA"/>
        </w:rPr>
        <w:t xml:space="preserve"> </w:t>
      </w:r>
      <w:r w:rsidR="003E0647" w:rsidRPr="00EF7399">
        <w:rPr>
          <w:rFonts w:ascii="Times New Roman" w:hAnsi="Times New Roman" w:cs="Times New Roman"/>
          <w:iCs/>
          <w:lang w:val="af-ZA"/>
        </w:rPr>
        <w:t>Աշխատանքը բանտում չի կարող հավասարեցվել սովորական զբաղվածության: Հետևաբար, արհեստակցական միություններին աշխատող դատապարտյալների անդամակցելու</w:t>
      </w:r>
      <w:r w:rsidR="00757D92" w:rsidRPr="00EF7399">
        <w:rPr>
          <w:rFonts w:ascii="Times New Roman" w:hAnsi="Times New Roman" w:cs="Times New Roman"/>
          <w:iCs/>
          <w:lang w:val="hy-AM"/>
        </w:rPr>
        <w:t>՝</w:t>
      </w:r>
      <w:r w:rsidR="003E0647" w:rsidRPr="00EF7399">
        <w:rPr>
          <w:rFonts w:ascii="Times New Roman" w:hAnsi="Times New Roman" w:cs="Times New Roman"/>
          <w:iCs/>
          <w:lang w:val="af-ZA"/>
        </w:rPr>
        <w:t xml:space="preserve"> օրենքով սահմանված արգելքը</w:t>
      </w:r>
      <w:r w:rsidR="00757D92" w:rsidRPr="00EF7399">
        <w:rPr>
          <w:rFonts w:ascii="Times New Roman" w:hAnsi="Times New Roman" w:cs="Times New Roman"/>
          <w:iCs/>
          <w:lang w:val="af-ZA"/>
        </w:rPr>
        <w:t xml:space="preserve"> </w:t>
      </w:r>
      <w:r w:rsidR="00757D92" w:rsidRPr="00EF7399">
        <w:rPr>
          <w:rFonts w:ascii="Times New Roman" w:hAnsi="Times New Roman" w:cs="Times New Roman"/>
          <w:iCs/>
          <w:lang w:val="hy-AM"/>
        </w:rPr>
        <w:t>կարող</w:t>
      </w:r>
      <w:r w:rsidR="00757D92" w:rsidRPr="00EF7399">
        <w:rPr>
          <w:rFonts w:ascii="Times New Roman" w:hAnsi="Times New Roman" w:cs="Times New Roman"/>
          <w:iCs/>
          <w:lang w:val="af-ZA"/>
        </w:rPr>
        <w:t xml:space="preserve"> է</w:t>
      </w:r>
      <w:r w:rsidR="00757D92" w:rsidRPr="00EF7399">
        <w:rPr>
          <w:rFonts w:ascii="Times New Roman" w:hAnsi="Times New Roman" w:cs="Times New Roman"/>
          <w:iCs/>
          <w:lang w:val="hy-AM"/>
        </w:rPr>
        <w:t xml:space="preserve"> լինել</w:t>
      </w:r>
      <w:r w:rsidR="00757D92" w:rsidRPr="00EF7399">
        <w:rPr>
          <w:rFonts w:ascii="Times New Roman" w:hAnsi="Times New Roman" w:cs="Times New Roman"/>
          <w:iCs/>
          <w:lang w:val="af-ZA"/>
        </w:rPr>
        <w:t xml:space="preserve"> հիմնավոր</w:t>
      </w:r>
      <w:r w:rsidR="00757D92" w:rsidRPr="00EF7399">
        <w:rPr>
          <w:rFonts w:ascii="Times New Roman" w:hAnsi="Times New Roman" w:cs="Times New Roman"/>
          <w:iCs/>
          <w:lang w:val="hy-AM"/>
        </w:rPr>
        <w:t>ված՝</w:t>
      </w:r>
      <w:r w:rsidR="003E0647" w:rsidRPr="00EF7399">
        <w:rPr>
          <w:rFonts w:ascii="Times New Roman" w:hAnsi="Times New Roman" w:cs="Times New Roman"/>
          <w:iCs/>
          <w:lang w:val="af-ZA"/>
        </w:rPr>
        <w:t xml:space="preserve"> նկատի առնելով, որ արհեստակցական միություններ ստեղծելու և դրանց միանալու</w:t>
      </w:r>
      <w:r w:rsidR="00757D92" w:rsidRPr="00EF7399">
        <w:rPr>
          <w:rFonts w:ascii="Times New Roman" w:hAnsi="Times New Roman" w:cs="Times New Roman"/>
          <w:iCs/>
          <w:lang w:val="hy-AM"/>
        </w:rPr>
        <w:t>՝</w:t>
      </w:r>
      <w:r w:rsidR="003E0647" w:rsidRPr="00EF7399">
        <w:rPr>
          <w:rFonts w:ascii="Times New Roman" w:hAnsi="Times New Roman" w:cs="Times New Roman"/>
          <w:iCs/>
          <w:lang w:val="af-ZA"/>
        </w:rPr>
        <w:t xml:space="preserve"> </w:t>
      </w:r>
      <w:r w:rsidR="005C6B5C" w:rsidRPr="00EF7399">
        <w:rPr>
          <w:rFonts w:ascii="Times New Roman" w:hAnsi="Times New Roman" w:cs="Times New Roman"/>
          <w:iCs/>
          <w:lang w:val="af-ZA"/>
        </w:rPr>
        <w:t xml:space="preserve">ազատազրկված անձանց իրավունքի հարցում </w:t>
      </w:r>
      <w:r w:rsidR="003E0647" w:rsidRPr="00EF7399">
        <w:rPr>
          <w:rFonts w:ascii="Times New Roman" w:hAnsi="Times New Roman" w:cs="Times New Roman"/>
          <w:iCs/>
          <w:lang w:val="af-ZA"/>
        </w:rPr>
        <w:t xml:space="preserve">Եվրոպայի խորհրդի անդամ պետությունների միջև </w:t>
      </w:r>
      <w:r w:rsidR="005C6B5C" w:rsidRPr="00EF7399">
        <w:rPr>
          <w:rFonts w:ascii="Times New Roman" w:hAnsi="Times New Roman" w:cs="Times New Roman"/>
          <w:iCs/>
          <w:lang w:val="af-ZA"/>
        </w:rPr>
        <w:t xml:space="preserve">չկա </w:t>
      </w:r>
      <w:r w:rsidR="003E0647" w:rsidRPr="00EF7399">
        <w:rPr>
          <w:rFonts w:ascii="Times New Roman" w:hAnsi="Times New Roman" w:cs="Times New Roman"/>
          <w:iCs/>
          <w:lang w:val="af-ZA"/>
        </w:rPr>
        <w:t>բավարար փոխհամաձայնությ</w:t>
      </w:r>
      <w:r w:rsidR="005C6B5C" w:rsidRPr="00EF7399">
        <w:rPr>
          <w:rFonts w:ascii="Times New Roman" w:hAnsi="Times New Roman" w:cs="Times New Roman"/>
          <w:iCs/>
          <w:lang w:val="af-ZA"/>
        </w:rPr>
        <w:t>ուն</w:t>
      </w:r>
      <w:r w:rsidR="003E0647" w:rsidRPr="00EF7399">
        <w:rPr>
          <w:rFonts w:ascii="Times New Roman" w:hAnsi="Times New Roman" w:cs="Times New Roman"/>
          <w:iCs/>
          <w:lang w:val="af-ZA"/>
        </w:rPr>
        <w:t xml:space="preserve"> </w:t>
      </w:r>
      <w:r w:rsidR="00857827" w:rsidRPr="00EF7399">
        <w:rPr>
          <w:rFonts w:ascii="Times New Roman" w:hAnsi="Times New Roman" w:cs="Times New Roman"/>
          <w:iCs/>
          <w:lang w:val="af-ZA"/>
        </w:rPr>
        <w:t>(</w:t>
      </w:r>
      <w:hyperlink r:id="rId524" w:history="1">
        <w:r w:rsidR="00857827" w:rsidRPr="00EF7399">
          <w:rPr>
            <w:rStyle w:val="Hyperlink"/>
            <w:rFonts w:ascii="Times New Roman" w:hAnsi="Times New Roman" w:cs="Times New Roman"/>
            <w:iCs/>
            <w:lang w:val="af-ZA"/>
          </w:rPr>
          <w:t>Yakut Republican Trade-Union Federation</w:t>
        </w:r>
        <w:r w:rsidR="00873234" w:rsidRPr="00EF7399">
          <w:rPr>
            <w:rStyle w:val="Hyperlink"/>
            <w:rFonts w:ascii="Times New Roman" w:hAnsi="Times New Roman" w:cs="Times New Roman"/>
            <w:iCs/>
            <w:lang w:val="af-ZA"/>
          </w:rPr>
          <w:t xml:space="preserve"> v. </w:t>
        </w:r>
        <w:r w:rsidR="00857827" w:rsidRPr="00EF7399">
          <w:rPr>
            <w:rStyle w:val="Hyperlink"/>
            <w:rFonts w:ascii="Times New Roman" w:hAnsi="Times New Roman" w:cs="Times New Roman"/>
            <w:iCs/>
            <w:lang w:val="af-ZA"/>
          </w:rPr>
          <w:t>Russia</w:t>
        </w:r>
      </w:hyperlink>
      <w:r w:rsidR="00857827" w:rsidRPr="00EF7399">
        <w:rPr>
          <w:rFonts w:ascii="Times New Roman" w:hAnsi="Times New Roman" w:cs="Times New Roman"/>
          <w:iCs/>
          <w:lang w:val="af-ZA"/>
        </w:rPr>
        <w:t>,</w:t>
      </w:r>
      <w:r w:rsidR="00262E0D" w:rsidRPr="00EF7399">
        <w:rPr>
          <w:rFonts w:ascii="Times New Roman" w:hAnsi="Times New Roman" w:cs="Times New Roman"/>
          <w:iCs/>
          <w:lang w:val="af-ZA"/>
        </w:rPr>
        <w:t xml:space="preserve"> 2021,</w:t>
      </w:r>
      <w:r w:rsidR="00857827" w:rsidRPr="00EF7399">
        <w:rPr>
          <w:rFonts w:ascii="Times New Roman" w:hAnsi="Times New Roman" w:cs="Times New Roman"/>
          <w:iCs/>
          <w:lang w:val="af-ZA"/>
        </w:rPr>
        <w:t xml:space="preserve"> §</w:t>
      </w:r>
      <w:r w:rsidR="00873234" w:rsidRPr="00EF7399">
        <w:rPr>
          <w:rFonts w:ascii="Times New Roman" w:hAnsi="Times New Roman" w:cs="Times New Roman"/>
          <w:iCs/>
          <w:lang w:val="af-ZA"/>
        </w:rPr>
        <w:t>§ </w:t>
      </w:r>
      <w:r w:rsidR="00857827" w:rsidRPr="00EF7399">
        <w:rPr>
          <w:rFonts w:ascii="Times New Roman" w:hAnsi="Times New Roman" w:cs="Times New Roman"/>
          <w:iCs/>
          <w:lang w:val="af-ZA"/>
        </w:rPr>
        <w:t>44-47)</w:t>
      </w:r>
      <w:r w:rsidR="005C6B5C" w:rsidRPr="00EF7399">
        <w:rPr>
          <w:rFonts w:ascii="Times New Roman" w:hAnsi="Times New Roman" w:cs="Times New Roman"/>
          <w:iCs/>
          <w:lang w:val="af-ZA"/>
        </w:rPr>
        <w:t>:</w:t>
      </w:r>
    </w:p>
    <w:p w14:paraId="02124B7F" w14:textId="4BBB57DB" w:rsidR="006340B8" w:rsidRPr="00EF7399" w:rsidRDefault="00844EE3" w:rsidP="00844EE3">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242</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5C6B5C" w:rsidRPr="00EF7399">
        <w:rPr>
          <w:rFonts w:ascii="Times New Roman" w:hAnsi="Times New Roman" w:cs="Times New Roman"/>
          <w:lang w:val="af-ZA"/>
        </w:rPr>
        <w:t>Կոնվենցիան տարբերություն չի դնում Պայմանավորվող կողմի</w:t>
      </w:r>
      <w:r w:rsidR="00757D92" w:rsidRPr="00EF7399">
        <w:rPr>
          <w:rFonts w:ascii="Times New Roman" w:hAnsi="Times New Roman" w:cs="Times New Roman"/>
          <w:lang w:val="hy-AM"/>
        </w:rPr>
        <w:t xml:space="preserve">՝ </w:t>
      </w:r>
      <w:r w:rsidR="00757D92" w:rsidRPr="00EF7399">
        <w:rPr>
          <w:rFonts w:ascii="Times New Roman" w:hAnsi="Times New Roman" w:cs="Times New Roman"/>
          <w:lang w:val="af-ZA"/>
        </w:rPr>
        <w:t>որպես պետական իշխանության կրող</w:t>
      </w:r>
      <w:r w:rsidR="00757D92" w:rsidRPr="00EF7399">
        <w:rPr>
          <w:rFonts w:ascii="Times New Roman" w:hAnsi="Times New Roman" w:cs="Times New Roman"/>
          <w:lang w:val="hy-AM"/>
        </w:rPr>
        <w:t>ի</w:t>
      </w:r>
      <w:r w:rsidR="005C6B5C" w:rsidRPr="00EF7399">
        <w:rPr>
          <w:rFonts w:ascii="Times New Roman" w:hAnsi="Times New Roman" w:cs="Times New Roman"/>
          <w:lang w:val="af-ZA"/>
        </w:rPr>
        <w:t xml:space="preserve"> գործառույթների և դրա պ</w:t>
      </w:r>
      <w:r w:rsidR="002E60EF" w:rsidRPr="00EF7399">
        <w:rPr>
          <w:rFonts w:ascii="Times New Roman" w:hAnsi="Times New Roman" w:cs="Times New Roman"/>
          <w:lang w:val="af-ZA"/>
        </w:rPr>
        <w:t>ա</w:t>
      </w:r>
      <w:r w:rsidR="005C6B5C" w:rsidRPr="00EF7399">
        <w:rPr>
          <w:rFonts w:ascii="Times New Roman" w:hAnsi="Times New Roman" w:cs="Times New Roman"/>
          <w:lang w:val="af-ZA"/>
        </w:rPr>
        <w:t>րտականությունների միջև</w:t>
      </w:r>
      <w:r w:rsidR="00757D92" w:rsidRPr="00EF7399">
        <w:rPr>
          <w:rFonts w:ascii="Times New Roman" w:hAnsi="Times New Roman" w:cs="Times New Roman"/>
          <w:lang w:val="hy-AM"/>
        </w:rPr>
        <w:t>՝</w:t>
      </w:r>
      <w:r w:rsidR="005C6B5C" w:rsidRPr="00EF7399">
        <w:rPr>
          <w:rFonts w:ascii="Times New Roman" w:hAnsi="Times New Roman" w:cs="Times New Roman"/>
          <w:lang w:val="af-ZA"/>
        </w:rPr>
        <w:t xml:space="preserve"> որպես գործատու: Համապատ</w:t>
      </w:r>
      <w:r w:rsidR="00757D92" w:rsidRPr="00EF7399">
        <w:rPr>
          <w:rFonts w:ascii="Times New Roman" w:hAnsi="Times New Roman" w:cs="Times New Roman"/>
          <w:lang w:val="hy-AM"/>
        </w:rPr>
        <w:t>ա</w:t>
      </w:r>
      <w:r w:rsidR="005C6B5C" w:rsidRPr="00EF7399">
        <w:rPr>
          <w:rFonts w:ascii="Times New Roman" w:hAnsi="Times New Roman" w:cs="Times New Roman"/>
          <w:lang w:val="af-ZA"/>
        </w:rPr>
        <w:t>սխանաբար, 11-րդ հոդվածն պարտադիր է «պետության</w:t>
      </w:r>
      <w:r w:rsidR="00757D92" w:rsidRPr="00EF7399">
        <w:rPr>
          <w:rFonts w:ascii="Times New Roman" w:hAnsi="Times New Roman" w:cs="Times New Roman"/>
          <w:lang w:val="hy-AM"/>
        </w:rPr>
        <w:t>՝</w:t>
      </w:r>
      <w:r w:rsidR="005C6B5C" w:rsidRPr="00EF7399">
        <w:rPr>
          <w:rFonts w:ascii="Times New Roman" w:hAnsi="Times New Roman" w:cs="Times New Roman"/>
          <w:lang w:val="af-ZA"/>
        </w:rPr>
        <w:t xml:space="preserve"> որպես գործատու</w:t>
      </w:r>
      <w:r w:rsidR="000E13D5" w:rsidRPr="00EF7399">
        <w:rPr>
          <w:rFonts w:ascii="Times New Roman" w:hAnsi="Times New Roman" w:cs="Times New Roman"/>
          <w:lang w:val="af-ZA"/>
        </w:rPr>
        <w:t>ի</w:t>
      </w:r>
      <w:r w:rsidR="005C6B5C" w:rsidRPr="00EF7399">
        <w:rPr>
          <w:rFonts w:ascii="Times New Roman" w:hAnsi="Times New Roman" w:cs="Times New Roman"/>
          <w:lang w:val="af-ZA"/>
        </w:rPr>
        <w:t>»</w:t>
      </w:r>
      <w:r w:rsidR="000E13D5" w:rsidRPr="00EF7399">
        <w:rPr>
          <w:rFonts w:ascii="Times New Roman" w:hAnsi="Times New Roman" w:cs="Times New Roman"/>
          <w:lang w:val="af-ZA"/>
        </w:rPr>
        <w:t xml:space="preserve"> համար` </w:t>
      </w:r>
      <w:r w:rsidR="005C6B5C" w:rsidRPr="00EF7399">
        <w:rPr>
          <w:rFonts w:ascii="Times New Roman" w:hAnsi="Times New Roman" w:cs="Times New Roman"/>
          <w:lang w:val="af-ZA"/>
        </w:rPr>
        <w:t>անկախ այն հանգամանքից</w:t>
      </w:r>
      <w:r w:rsidR="00757D92" w:rsidRPr="00EF7399">
        <w:rPr>
          <w:rFonts w:ascii="Times New Roman" w:hAnsi="Times New Roman" w:cs="Times New Roman"/>
          <w:lang w:val="hy-AM"/>
        </w:rPr>
        <w:t>՝</w:t>
      </w:r>
      <w:r w:rsidR="005C6B5C" w:rsidRPr="00EF7399">
        <w:rPr>
          <w:rFonts w:ascii="Times New Roman" w:hAnsi="Times New Roman" w:cs="Times New Roman"/>
          <w:lang w:val="af-ZA"/>
        </w:rPr>
        <w:t xml:space="preserve"> վերջինիս իրավահա</w:t>
      </w:r>
      <w:r w:rsidR="00757D92" w:rsidRPr="00EF7399">
        <w:rPr>
          <w:rFonts w:ascii="Times New Roman" w:hAnsi="Times New Roman" w:cs="Times New Roman"/>
          <w:lang w:val="hy-AM"/>
        </w:rPr>
        <w:t>ր</w:t>
      </w:r>
      <w:r w:rsidR="005C6B5C" w:rsidRPr="00EF7399">
        <w:rPr>
          <w:rFonts w:ascii="Times New Roman" w:hAnsi="Times New Roman" w:cs="Times New Roman"/>
          <w:lang w:val="af-ZA"/>
        </w:rPr>
        <w:t xml:space="preserve">աբերություններն իր աշխատողների </w:t>
      </w:r>
      <w:r w:rsidR="005C6B5C" w:rsidRPr="00EF7399">
        <w:rPr>
          <w:rFonts w:ascii="Times New Roman" w:hAnsi="Times New Roman" w:cs="Times New Roman"/>
          <w:lang w:val="af-ZA"/>
        </w:rPr>
        <w:lastRenderedPageBreak/>
        <w:t>հետ կարգավորվում են հանրային</w:t>
      </w:r>
      <w:r w:rsidR="00757D92" w:rsidRPr="00EF7399">
        <w:rPr>
          <w:rFonts w:ascii="Times New Roman" w:hAnsi="Times New Roman" w:cs="Times New Roman"/>
          <w:lang w:val="hy-AM"/>
        </w:rPr>
        <w:t>, թե</w:t>
      </w:r>
      <w:r w:rsidR="005C6B5C" w:rsidRPr="00EF7399">
        <w:rPr>
          <w:rFonts w:ascii="Times New Roman" w:hAnsi="Times New Roman" w:cs="Times New Roman"/>
          <w:lang w:val="af-ZA"/>
        </w:rPr>
        <w:t xml:space="preserve"> մասնավոր իրավունքով </w:t>
      </w:r>
      <w:r w:rsidRPr="00EF7399">
        <w:rPr>
          <w:rFonts w:ascii="Times New Roman" w:hAnsi="Times New Roman" w:cs="Times New Roman"/>
          <w:lang w:val="af-ZA"/>
        </w:rPr>
        <w:t>(</w:t>
      </w:r>
      <w:hyperlink r:id="rId525" w:history="1">
        <w:r w:rsidR="0073652D" w:rsidRPr="00EF7399">
          <w:rPr>
            <w:rStyle w:val="Hyperlink"/>
            <w:rFonts w:ascii="Times New Roman" w:hAnsi="Times New Roman" w:cs="Times New Roman"/>
            <w:lang w:val="af-ZA"/>
          </w:rPr>
          <w:t>Schmidt and Dahlström</w:t>
        </w:r>
        <w:r w:rsidR="00873234" w:rsidRPr="00EF7399">
          <w:rPr>
            <w:rStyle w:val="Hyperlink"/>
            <w:rFonts w:ascii="Times New Roman" w:hAnsi="Times New Roman" w:cs="Times New Roman"/>
            <w:lang w:val="af-ZA"/>
          </w:rPr>
          <w:t xml:space="preserve"> v. </w:t>
        </w:r>
        <w:r w:rsidR="0073652D" w:rsidRPr="00EF7399">
          <w:rPr>
            <w:rStyle w:val="Hyperlink"/>
            <w:rFonts w:ascii="Times New Roman" w:hAnsi="Times New Roman" w:cs="Times New Roman"/>
            <w:lang w:val="af-ZA"/>
          </w:rPr>
          <w:t>Sweden</w:t>
        </w:r>
      </w:hyperlink>
      <w:r w:rsidRPr="00EF7399">
        <w:rPr>
          <w:rFonts w:ascii="Times New Roman" w:hAnsi="Times New Roman" w:cs="Times New Roman"/>
          <w:lang w:val="af-ZA"/>
        </w:rPr>
        <w:t xml:space="preserve">, </w:t>
      </w:r>
      <w:r w:rsidR="00BF5C01" w:rsidRPr="00EF7399">
        <w:rPr>
          <w:rFonts w:ascii="Times New Roman" w:hAnsi="Times New Roman" w:cs="Times New Roman"/>
          <w:lang w:val="af-ZA"/>
        </w:rPr>
        <w:t xml:space="preserve">1976,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33; </w:t>
      </w:r>
      <w:hyperlink r:id="rId526" w:history="1">
        <w:r w:rsidR="00594F9D" w:rsidRPr="00EF7399">
          <w:rPr>
            <w:rStyle w:val="Hyperlink"/>
            <w:rFonts w:ascii="Times New Roman" w:hAnsi="Times New Roman" w:cs="Times New Roman"/>
            <w:lang w:val="af-ZA"/>
          </w:rPr>
          <w:t>Tüm Haber Sen and Çınar</w:t>
        </w:r>
        <w:r w:rsidR="00873234" w:rsidRPr="00EF7399">
          <w:rPr>
            <w:rStyle w:val="Hyperlink"/>
            <w:rFonts w:ascii="Times New Roman" w:hAnsi="Times New Roman" w:cs="Times New Roman"/>
            <w:lang w:val="af-ZA"/>
          </w:rPr>
          <w:t xml:space="preserve"> v. </w:t>
        </w:r>
        <w:r w:rsidR="00594F9D"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w:t>
      </w:r>
      <w:r w:rsidR="008C5F4A" w:rsidRPr="00EF7399">
        <w:rPr>
          <w:rFonts w:ascii="Times New Roman" w:hAnsi="Times New Roman" w:cs="Times New Roman"/>
          <w:lang w:val="af-ZA"/>
        </w:rPr>
        <w:t xml:space="preserve">2006, </w:t>
      </w:r>
      <w:r w:rsidR="00873234" w:rsidRPr="00EF7399">
        <w:rPr>
          <w:rFonts w:ascii="Times New Roman" w:hAnsi="Times New Roman" w:cs="Times New Roman"/>
          <w:lang w:val="af-ZA"/>
        </w:rPr>
        <w:t>§ </w:t>
      </w:r>
      <w:r w:rsidRPr="00EF7399">
        <w:rPr>
          <w:rFonts w:ascii="Times New Roman" w:hAnsi="Times New Roman" w:cs="Times New Roman"/>
          <w:lang w:val="af-ZA"/>
        </w:rPr>
        <w:t>29)</w:t>
      </w:r>
      <w:r w:rsidR="005C6B5C" w:rsidRPr="00EF7399">
        <w:rPr>
          <w:rFonts w:ascii="Times New Roman" w:hAnsi="Times New Roman" w:cs="Times New Roman"/>
          <w:lang w:val="af-ZA"/>
        </w:rPr>
        <w:t>:</w:t>
      </w:r>
    </w:p>
    <w:p w14:paraId="12E6FD63" w14:textId="6D27F2FF" w:rsidR="00B85C53" w:rsidRPr="005625C5" w:rsidRDefault="00A83DAB" w:rsidP="00A83DAB">
      <w:pPr>
        <w:pStyle w:val="ECHRHeading2"/>
        <w:numPr>
          <w:ilvl w:val="0"/>
          <w:numId w:val="0"/>
        </w:numPr>
        <w:rPr>
          <w:rFonts w:ascii="Times New Roman" w:hAnsi="Times New Roman" w:cs="Times New Roman"/>
          <w:lang w:val="af-ZA"/>
        </w:rPr>
      </w:pPr>
      <w:bookmarkStart w:id="97" w:name="_Toc159945255"/>
      <w:r>
        <w:rPr>
          <w:rFonts w:ascii="Times New Roman" w:hAnsi="Times New Roman" w:cs="Times New Roman"/>
          <w:lang w:val="hy-AM"/>
        </w:rPr>
        <w:t xml:space="preserve">Բ․ </w:t>
      </w:r>
      <w:r w:rsidR="00891CDD" w:rsidRPr="005625C5">
        <w:rPr>
          <w:rFonts w:ascii="Times New Roman" w:hAnsi="Times New Roman" w:cs="Times New Roman"/>
          <w:lang w:val="hy-AM"/>
        </w:rPr>
        <w:t>Էական</w:t>
      </w:r>
      <w:r w:rsidR="006F3593" w:rsidRPr="005625C5">
        <w:rPr>
          <w:rFonts w:ascii="Times New Roman" w:hAnsi="Times New Roman" w:cs="Times New Roman"/>
          <w:lang w:val="af-ZA"/>
        </w:rPr>
        <w:t xml:space="preserve"> </w:t>
      </w:r>
      <w:r w:rsidR="000E13D5" w:rsidRPr="005625C5">
        <w:rPr>
          <w:rFonts w:ascii="Times New Roman" w:hAnsi="Times New Roman" w:cs="Times New Roman"/>
          <w:lang w:val="af-ZA"/>
        </w:rPr>
        <w:t>տարրերը և Դատարանի մոտեցումը</w:t>
      </w:r>
      <w:bookmarkEnd w:id="97"/>
      <w:r w:rsidR="000E13D5" w:rsidRPr="005625C5">
        <w:rPr>
          <w:rFonts w:ascii="Times New Roman" w:hAnsi="Times New Roman" w:cs="Times New Roman"/>
          <w:lang w:val="af-ZA"/>
        </w:rPr>
        <w:t xml:space="preserve"> </w:t>
      </w:r>
    </w:p>
    <w:p w14:paraId="429385ED" w14:textId="5E02FAA2" w:rsidR="00B85C53" w:rsidRPr="00EF7399" w:rsidRDefault="0036651F" w:rsidP="00B85C53">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243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E20D3A" w:rsidRPr="00EF7399">
        <w:rPr>
          <w:rFonts w:ascii="Times New Roman" w:hAnsi="Times New Roman" w:cs="Times New Roman"/>
          <w:lang w:val="af-ZA"/>
        </w:rPr>
        <w:t xml:space="preserve">Միավորման իրավունքը ներառում է հետևյալ </w:t>
      </w:r>
      <w:r w:rsidR="00891CDD">
        <w:rPr>
          <w:rFonts w:ascii="Times New Roman" w:hAnsi="Times New Roman" w:cs="Times New Roman"/>
          <w:lang w:val="hy-AM"/>
        </w:rPr>
        <w:t>էական</w:t>
      </w:r>
      <w:r w:rsidR="006F3593" w:rsidRPr="00EF7399">
        <w:rPr>
          <w:rFonts w:ascii="Times New Roman" w:hAnsi="Times New Roman" w:cs="Times New Roman"/>
          <w:lang w:val="af-ZA"/>
        </w:rPr>
        <w:t xml:space="preserve"> </w:t>
      </w:r>
      <w:r w:rsidR="00E20D3A" w:rsidRPr="00EF7399">
        <w:rPr>
          <w:rFonts w:ascii="Times New Roman" w:hAnsi="Times New Roman" w:cs="Times New Roman"/>
          <w:lang w:val="af-ZA"/>
        </w:rPr>
        <w:t xml:space="preserve">տարրերը` արհեստակցական միություն ստեղծելու կամ դրան միանալու իրավունքը, </w:t>
      </w:r>
      <w:r w:rsidR="00451D94" w:rsidRPr="00EF7399">
        <w:rPr>
          <w:rFonts w:ascii="Times New Roman" w:hAnsi="Times New Roman" w:cs="Times New Roman"/>
          <w:lang w:val="af-ZA"/>
        </w:rPr>
        <w:t xml:space="preserve">«փակ ձեռնարկության» համաձայնությունների արգելքը, </w:t>
      </w:r>
      <w:r w:rsidR="00763D15" w:rsidRPr="00EF7399">
        <w:rPr>
          <w:rFonts w:ascii="Times New Roman" w:hAnsi="Times New Roman" w:cs="Times New Roman"/>
          <w:lang w:val="af-ZA"/>
        </w:rPr>
        <w:t>արհեստակցական միության իրավունքը</w:t>
      </w:r>
      <w:r w:rsidR="00782F4B" w:rsidRPr="00EF7399">
        <w:rPr>
          <w:rFonts w:ascii="Times New Roman" w:hAnsi="Times New Roman" w:cs="Times New Roman"/>
          <w:lang w:val="hy-AM"/>
        </w:rPr>
        <w:t>՝</w:t>
      </w:r>
      <w:r w:rsidR="00763D15" w:rsidRPr="00EF7399">
        <w:rPr>
          <w:rFonts w:ascii="Times New Roman" w:hAnsi="Times New Roman" w:cs="Times New Roman"/>
          <w:lang w:val="af-ZA"/>
        </w:rPr>
        <w:t xml:space="preserve"> համոզելու գործատուին լսել իր անդամների անունից ասվածը և, սկզբունքորեն, գործատուի հետ կոլեկտիվ բանակցելու իրավունքը </w:t>
      </w:r>
      <w:r w:rsidR="00B85C53" w:rsidRPr="00EF7399">
        <w:rPr>
          <w:rFonts w:ascii="Times New Roman" w:hAnsi="Times New Roman" w:cs="Times New Roman"/>
          <w:lang w:val="af-ZA"/>
        </w:rPr>
        <w:t>(</w:t>
      </w:r>
      <w:hyperlink r:id="rId527" w:history="1">
        <w:r w:rsidR="00B85C53" w:rsidRPr="00EF7399">
          <w:rPr>
            <w:rStyle w:val="Hyperlink"/>
            <w:rFonts w:ascii="Times New Roman" w:hAnsi="Times New Roman" w:cs="Times New Roman"/>
            <w:lang w:val="af-ZA"/>
          </w:rPr>
          <w:t>Demir and Baykara</w:t>
        </w:r>
        <w:r w:rsidR="00873234" w:rsidRPr="00EF7399">
          <w:rPr>
            <w:rStyle w:val="Hyperlink"/>
            <w:rFonts w:ascii="Times New Roman" w:hAnsi="Times New Roman" w:cs="Times New Roman"/>
            <w:lang w:val="af-ZA"/>
          </w:rPr>
          <w:t xml:space="preserve"> v. </w:t>
        </w:r>
        <w:r w:rsidR="00B85C53" w:rsidRPr="00EF7399">
          <w:rPr>
            <w:rStyle w:val="Hyperlink"/>
            <w:rFonts w:ascii="Times New Roman" w:hAnsi="Times New Roman" w:cs="Times New Roman"/>
            <w:lang w:val="af-ZA"/>
          </w:rPr>
          <w:t>Turkey</w:t>
        </w:r>
      </w:hyperlink>
      <w:r w:rsidR="00B85C53" w:rsidRPr="00EF7399">
        <w:rPr>
          <w:rFonts w:ascii="Times New Roman" w:hAnsi="Times New Roman" w:cs="Times New Roman"/>
          <w:lang w:val="af-ZA"/>
        </w:rPr>
        <w:t xml:space="preserve"> [GC], </w:t>
      </w:r>
      <w:r w:rsidR="002801F1" w:rsidRPr="00EF7399">
        <w:rPr>
          <w:rFonts w:ascii="Times New Roman" w:hAnsi="Times New Roman" w:cs="Times New Roman"/>
          <w:lang w:val="af-ZA"/>
        </w:rPr>
        <w:t xml:space="preserve">2008, </w:t>
      </w:r>
      <w:r w:rsidR="00B85C53" w:rsidRPr="00EF7399">
        <w:rPr>
          <w:rFonts w:ascii="Times New Roman" w:hAnsi="Times New Roman" w:cs="Times New Roman"/>
          <w:lang w:val="af-ZA"/>
        </w:rPr>
        <w:t>§</w:t>
      </w:r>
      <w:r w:rsidR="00873234" w:rsidRPr="00EF7399">
        <w:rPr>
          <w:rFonts w:ascii="Times New Roman" w:hAnsi="Times New Roman" w:cs="Times New Roman"/>
          <w:lang w:val="af-ZA"/>
        </w:rPr>
        <w:t>§ </w:t>
      </w:r>
      <w:r w:rsidR="00B85C53" w:rsidRPr="00EF7399">
        <w:rPr>
          <w:rFonts w:ascii="Times New Roman" w:hAnsi="Times New Roman" w:cs="Times New Roman"/>
          <w:lang w:val="af-ZA"/>
        </w:rPr>
        <w:t xml:space="preserve">145 and 154; </w:t>
      </w:r>
      <w:hyperlink r:id="rId528" w:history="1">
        <w:r w:rsidR="00BA413F" w:rsidRPr="00EF7399">
          <w:rPr>
            <w:rStyle w:val="Hyperlink"/>
            <w:rFonts w:ascii="Times New Roman" w:hAnsi="Times New Roman" w:cs="Times New Roman"/>
            <w:lang w:val="af-ZA"/>
          </w:rPr>
          <w:t>Sindicatul “Păstorul cel Bun”</w:t>
        </w:r>
        <w:r w:rsidR="00873234" w:rsidRPr="00EF7399">
          <w:rPr>
            <w:rStyle w:val="Hyperlink"/>
            <w:rFonts w:ascii="Times New Roman" w:hAnsi="Times New Roman" w:cs="Times New Roman"/>
            <w:lang w:val="af-ZA"/>
          </w:rPr>
          <w:t xml:space="preserve"> v. </w:t>
        </w:r>
        <w:r w:rsidR="00BA413F" w:rsidRPr="00EF7399">
          <w:rPr>
            <w:rStyle w:val="Hyperlink"/>
            <w:rFonts w:ascii="Times New Roman" w:hAnsi="Times New Roman" w:cs="Times New Roman"/>
            <w:lang w:val="af-ZA"/>
          </w:rPr>
          <w:t>Romania</w:t>
        </w:r>
      </w:hyperlink>
      <w:r w:rsidR="00B85C53" w:rsidRPr="00EF7399">
        <w:rPr>
          <w:rFonts w:ascii="Times New Roman" w:hAnsi="Times New Roman" w:cs="Times New Roman"/>
          <w:i/>
          <w:lang w:val="af-ZA"/>
        </w:rPr>
        <w:t xml:space="preserve"> </w:t>
      </w:r>
      <w:r w:rsidR="00B85C53" w:rsidRPr="00EF7399">
        <w:rPr>
          <w:rFonts w:ascii="Times New Roman" w:hAnsi="Times New Roman" w:cs="Times New Roman"/>
          <w:lang w:val="af-ZA"/>
        </w:rPr>
        <w:t xml:space="preserve">[GC], </w:t>
      </w:r>
      <w:r w:rsidR="008C5F4A" w:rsidRPr="00EF7399">
        <w:rPr>
          <w:rFonts w:ascii="Times New Roman" w:hAnsi="Times New Roman" w:cs="Times New Roman"/>
          <w:lang w:val="af-ZA"/>
        </w:rPr>
        <w:t xml:space="preserve">2013, </w:t>
      </w:r>
      <w:r w:rsidR="00873234" w:rsidRPr="00EF7399">
        <w:rPr>
          <w:rFonts w:ascii="Times New Roman" w:hAnsi="Times New Roman" w:cs="Times New Roman"/>
          <w:lang w:val="af-ZA"/>
        </w:rPr>
        <w:t>§ </w:t>
      </w:r>
      <w:r w:rsidR="00B85C53" w:rsidRPr="00EF7399">
        <w:rPr>
          <w:rFonts w:ascii="Times New Roman" w:hAnsi="Times New Roman" w:cs="Times New Roman"/>
          <w:lang w:val="af-ZA"/>
        </w:rPr>
        <w:t>135)</w:t>
      </w:r>
      <w:r w:rsidR="00763D15" w:rsidRPr="00EF7399">
        <w:rPr>
          <w:rFonts w:ascii="Times New Roman" w:hAnsi="Times New Roman" w:cs="Times New Roman"/>
          <w:lang w:val="af-ZA"/>
        </w:rPr>
        <w:t>:</w:t>
      </w:r>
    </w:p>
    <w:p w14:paraId="3085A01A" w14:textId="02A8ADE7" w:rsidR="00B85C53" w:rsidRPr="00EF7399" w:rsidRDefault="00B85C53" w:rsidP="00B85C53">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244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DA22B9" w:rsidRPr="00EF7399">
        <w:rPr>
          <w:rFonts w:ascii="Times New Roman" w:hAnsi="Times New Roman" w:cs="Times New Roman"/>
          <w:lang w:val="af-ZA"/>
        </w:rPr>
        <w:t>Այս ցանկը սպառիչ չէ և կարող է փո</w:t>
      </w:r>
      <w:r w:rsidR="00782F4B" w:rsidRPr="00EF7399">
        <w:rPr>
          <w:rFonts w:ascii="Times New Roman" w:hAnsi="Times New Roman" w:cs="Times New Roman"/>
          <w:lang w:val="hy-AM"/>
        </w:rPr>
        <w:t>փո</w:t>
      </w:r>
      <w:r w:rsidR="00DA22B9" w:rsidRPr="00EF7399">
        <w:rPr>
          <w:rFonts w:ascii="Times New Roman" w:hAnsi="Times New Roman" w:cs="Times New Roman"/>
          <w:lang w:val="af-ZA"/>
        </w:rPr>
        <w:t>խվել</w:t>
      </w:r>
      <w:r w:rsidR="00782F4B" w:rsidRPr="00EF7399">
        <w:rPr>
          <w:rFonts w:ascii="Times New Roman" w:hAnsi="Times New Roman" w:cs="Times New Roman"/>
          <w:lang w:val="hy-AM"/>
        </w:rPr>
        <w:t>՝</w:t>
      </w:r>
      <w:r w:rsidR="00DA22B9" w:rsidRPr="00EF7399">
        <w:rPr>
          <w:rFonts w:ascii="Times New Roman" w:hAnsi="Times New Roman" w:cs="Times New Roman"/>
          <w:lang w:val="af-ZA"/>
        </w:rPr>
        <w:t xml:space="preserve"> աշխատանքային իրավահարաբերությունների կոնկրետ զարգացումներից ելնելով: Դատարանը, բացի Կոնվենցիայից, հաշվի կառնի միջազգային իրավունքի տարրերը, նման տարրերի մեկնաբանությունը իրավասու մարմինների կողմից, եվրոպական պետությունների պրակտիկան, որն արտացոլում է նրանց ընդհանուր արժեքները </w:t>
      </w:r>
      <w:r w:rsidRPr="00EF7399">
        <w:rPr>
          <w:rFonts w:ascii="Times New Roman" w:hAnsi="Times New Roman" w:cs="Times New Roman"/>
          <w:lang w:val="af-ZA"/>
        </w:rPr>
        <w:t>(</w:t>
      </w:r>
      <w:hyperlink r:id="rId529" w:history="1">
        <w:r w:rsidRPr="00EF7399">
          <w:rPr>
            <w:rStyle w:val="Hyperlink"/>
            <w:rFonts w:ascii="Times New Roman" w:hAnsi="Times New Roman" w:cs="Times New Roman"/>
            <w:lang w:val="af-ZA"/>
          </w:rPr>
          <w:t>Demir and Baykara</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[GC], </w:t>
      </w:r>
      <w:r w:rsidR="002801F1" w:rsidRPr="00EF7399">
        <w:rPr>
          <w:rFonts w:ascii="Times New Roman" w:hAnsi="Times New Roman" w:cs="Times New Roman"/>
          <w:lang w:val="af-ZA"/>
        </w:rPr>
        <w:t xml:space="preserve">2008,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85 </w:t>
      </w:r>
      <w:r w:rsidR="00DA22B9" w:rsidRPr="00EF7399">
        <w:rPr>
          <w:rFonts w:ascii="Times New Roman" w:hAnsi="Times New Roman" w:cs="Times New Roman"/>
          <w:lang w:val="af-ZA"/>
        </w:rPr>
        <w:t>և</w:t>
      </w:r>
      <w:r w:rsidRPr="00EF7399">
        <w:rPr>
          <w:rFonts w:ascii="Times New Roman" w:hAnsi="Times New Roman" w:cs="Times New Roman"/>
          <w:lang w:val="af-ZA"/>
        </w:rPr>
        <w:t xml:space="preserve"> 146; </w:t>
      </w:r>
      <w:hyperlink r:id="rId530" w:history="1">
        <w:r w:rsidRPr="00EF7399">
          <w:rPr>
            <w:rStyle w:val="Hyperlink"/>
            <w:rFonts w:ascii="Times New Roman" w:hAnsi="Times New Roman" w:cs="Times New Roman"/>
            <w:lang w:val="af-ZA"/>
          </w:rPr>
          <w:t xml:space="preserve">Manole and </w:t>
        </w:r>
        <w:r w:rsidRPr="00EF7399">
          <w:rPr>
            <w:rStyle w:val="Hyperlink"/>
            <w:rFonts w:ascii="Times New Roman" w:hAnsi="Times New Roman" w:cs="Times New Roman"/>
            <w:iCs/>
            <w:lang w:val="af-ZA"/>
          </w:rPr>
          <w:t>“Romanian Farmers Direct”</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Romania</w:t>
        </w:r>
      </w:hyperlink>
      <w:r w:rsidRPr="00EF7399">
        <w:rPr>
          <w:rFonts w:ascii="Times New Roman" w:hAnsi="Times New Roman" w:cs="Times New Roman"/>
          <w:i/>
          <w:iCs/>
          <w:lang w:val="af-ZA"/>
        </w:rPr>
        <w:t xml:space="preserve">, </w:t>
      </w:r>
      <w:r w:rsidR="00BF5C01" w:rsidRPr="00EF7399">
        <w:rPr>
          <w:rFonts w:ascii="Times New Roman" w:hAnsi="Times New Roman" w:cs="Times New Roman"/>
          <w:lang w:val="af-ZA"/>
        </w:rPr>
        <w:t xml:space="preserve">2015, </w:t>
      </w:r>
      <w:r w:rsidR="00873234" w:rsidRPr="00EF7399">
        <w:rPr>
          <w:rFonts w:ascii="Times New Roman" w:hAnsi="Times New Roman" w:cs="Times New Roman"/>
          <w:iCs/>
          <w:lang w:val="af-ZA"/>
        </w:rPr>
        <w:t>§ </w:t>
      </w:r>
      <w:r w:rsidRPr="00EF7399">
        <w:rPr>
          <w:rFonts w:ascii="Times New Roman" w:hAnsi="Times New Roman" w:cs="Times New Roman"/>
          <w:iCs/>
          <w:lang w:val="af-ZA"/>
        </w:rPr>
        <w:t>67)</w:t>
      </w:r>
      <w:r w:rsidR="00DA22B9" w:rsidRPr="00EF7399">
        <w:rPr>
          <w:rFonts w:ascii="Times New Roman" w:hAnsi="Times New Roman" w:cs="Times New Roman"/>
          <w:iCs/>
          <w:lang w:val="af-ZA"/>
        </w:rPr>
        <w:t xml:space="preserve">: </w:t>
      </w:r>
      <w:r w:rsidRPr="00EF7399">
        <w:rPr>
          <w:rFonts w:ascii="Times New Roman" w:hAnsi="Times New Roman" w:cs="Times New Roman"/>
          <w:iCs/>
          <w:lang w:val="af-ZA"/>
        </w:rPr>
        <w:t xml:space="preserve"> </w:t>
      </w:r>
      <w:r w:rsidR="00B11463" w:rsidRPr="00EF7399">
        <w:rPr>
          <w:rFonts w:ascii="Times New Roman" w:hAnsi="Times New Roman" w:cs="Times New Roman"/>
          <w:iCs/>
          <w:lang w:val="af-ZA"/>
        </w:rPr>
        <w:t xml:space="preserve">Դատարանի կողմից </w:t>
      </w:r>
      <w:r w:rsidR="00B11463" w:rsidRPr="00EF7399">
        <w:rPr>
          <w:rFonts w:ascii="Times New Roman" w:hAnsi="Times New Roman" w:cs="Times New Roman"/>
          <w:lang w:val="af-ZA"/>
        </w:rPr>
        <w:t>արհեստակցական միություն</w:t>
      </w:r>
      <w:r w:rsidR="00B11463" w:rsidRPr="00EF7399">
        <w:rPr>
          <w:rFonts w:ascii="Times New Roman" w:hAnsi="Times New Roman" w:cs="Times New Roman"/>
          <w:iCs/>
          <w:lang w:val="af-ZA"/>
        </w:rPr>
        <w:t xml:space="preserve">ների միավորման ազատության 11-րդ հոդվածով սահմանված շրջանակի էապես ավելի նեղ մեկնաբանությունը, քան այն, որը գերակայում է միջազգային իրավունքում, կհակասի այս մեթոդին </w:t>
      </w:r>
      <w:r w:rsidRPr="00EF7399">
        <w:rPr>
          <w:rFonts w:ascii="Times New Roman" w:hAnsi="Times New Roman" w:cs="Times New Roman"/>
          <w:iCs/>
          <w:lang w:val="af-ZA"/>
        </w:rPr>
        <w:t>(</w:t>
      </w:r>
      <w:hyperlink r:id="rId531" w:history="1">
        <w:r w:rsidRPr="00EF7399">
          <w:rPr>
            <w:rStyle w:val="Hyperlink"/>
            <w:rFonts w:ascii="Times New Roman" w:hAnsi="Times New Roman" w:cs="Times New Roman"/>
            <w:iCs/>
            <w:lang w:val="af-ZA"/>
          </w:rPr>
          <w:t>National Union of Rail, Maritime and Transport Workers</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the United Kingdom</w:t>
        </w:r>
      </w:hyperlink>
      <w:r w:rsidRPr="00EF7399">
        <w:rPr>
          <w:rFonts w:ascii="Times New Roman" w:hAnsi="Times New Roman" w:cs="Times New Roman"/>
          <w:iCs/>
          <w:lang w:val="af-ZA"/>
        </w:rPr>
        <w:t xml:space="preserve">, </w:t>
      </w:r>
      <w:r w:rsidR="00723C02" w:rsidRPr="00EF7399">
        <w:rPr>
          <w:rFonts w:ascii="Times New Roman" w:hAnsi="Times New Roman" w:cs="Times New Roman"/>
          <w:iCs/>
          <w:lang w:val="af-ZA"/>
        </w:rPr>
        <w:t xml:space="preserve">2014, </w:t>
      </w:r>
      <w:r w:rsidR="00873234" w:rsidRPr="00EF7399">
        <w:rPr>
          <w:rFonts w:ascii="Times New Roman" w:hAnsi="Times New Roman" w:cs="Times New Roman"/>
          <w:iCs/>
          <w:lang w:val="af-ZA"/>
        </w:rPr>
        <w:t>§ </w:t>
      </w:r>
      <w:r w:rsidRPr="00EF7399">
        <w:rPr>
          <w:rFonts w:ascii="Times New Roman" w:hAnsi="Times New Roman" w:cs="Times New Roman"/>
          <w:iCs/>
          <w:lang w:val="af-ZA"/>
        </w:rPr>
        <w:t>76)</w:t>
      </w:r>
      <w:r w:rsidR="00B11463" w:rsidRPr="00EF7399">
        <w:rPr>
          <w:rFonts w:ascii="Times New Roman" w:hAnsi="Times New Roman" w:cs="Times New Roman"/>
          <w:iCs/>
          <w:lang w:val="af-ZA"/>
        </w:rPr>
        <w:t>:</w:t>
      </w:r>
    </w:p>
    <w:p w14:paraId="115BD878" w14:textId="7F44977A" w:rsidR="00B85C53" w:rsidRPr="00EF7399" w:rsidRDefault="00B85C53" w:rsidP="00B85C53">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245</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B11463" w:rsidRPr="00EF7399">
        <w:rPr>
          <w:rFonts w:ascii="Times New Roman" w:hAnsi="Times New Roman" w:cs="Times New Roman"/>
          <w:iCs/>
          <w:lang w:val="af-ZA"/>
        </w:rPr>
        <w:t>Դատարանի մոտեցումը միավորման իրավունքի բովանդակութ</w:t>
      </w:r>
      <w:r w:rsidR="00782F4B" w:rsidRPr="00EF7399">
        <w:rPr>
          <w:rFonts w:ascii="Times New Roman" w:hAnsi="Times New Roman" w:cs="Times New Roman"/>
          <w:iCs/>
          <w:lang w:val="hy-AM"/>
        </w:rPr>
        <w:t>յա</w:t>
      </w:r>
      <w:r w:rsidR="00B11463" w:rsidRPr="00EF7399">
        <w:rPr>
          <w:rFonts w:ascii="Times New Roman" w:hAnsi="Times New Roman" w:cs="Times New Roman"/>
          <w:iCs/>
          <w:lang w:val="af-ZA"/>
        </w:rPr>
        <w:t>ն</w:t>
      </w:r>
      <w:r w:rsidR="00782F4B" w:rsidRPr="00EF7399">
        <w:rPr>
          <w:rFonts w:ascii="Times New Roman" w:hAnsi="Times New Roman" w:cs="Times New Roman"/>
          <w:iCs/>
          <w:lang w:val="hy-AM"/>
        </w:rPr>
        <w:t xml:space="preserve"> առումով</w:t>
      </w:r>
      <w:r w:rsidR="00B11463" w:rsidRPr="00EF7399">
        <w:rPr>
          <w:rFonts w:ascii="Times New Roman" w:hAnsi="Times New Roman" w:cs="Times New Roman"/>
          <w:iCs/>
          <w:lang w:val="af-ZA"/>
        </w:rPr>
        <w:t xml:space="preserve"> առաջնորդվում է երկու սկզբունքով</w:t>
      </w:r>
      <w:r w:rsidR="00782F4B" w:rsidRPr="00EF7399">
        <w:rPr>
          <w:rFonts w:ascii="Times New Roman" w:hAnsi="Times New Roman" w:cs="Times New Roman"/>
          <w:iCs/>
          <w:lang w:val="hy-AM"/>
        </w:rPr>
        <w:t>։</w:t>
      </w:r>
      <w:r w:rsidR="00B11463" w:rsidRPr="00EF7399">
        <w:rPr>
          <w:rFonts w:ascii="Times New Roman" w:hAnsi="Times New Roman" w:cs="Times New Roman"/>
          <w:iCs/>
          <w:lang w:val="af-ZA"/>
        </w:rPr>
        <w:t xml:space="preserve"> </w:t>
      </w:r>
      <w:r w:rsidR="00782F4B" w:rsidRPr="00EF7399">
        <w:rPr>
          <w:rFonts w:ascii="Times New Roman" w:hAnsi="Times New Roman" w:cs="Times New Roman"/>
          <w:iCs/>
          <w:lang w:val="hy-AM"/>
        </w:rPr>
        <w:t>Ն</w:t>
      </w:r>
      <w:r w:rsidR="00B11463" w:rsidRPr="00EF7399">
        <w:rPr>
          <w:rFonts w:ascii="Times New Roman" w:hAnsi="Times New Roman" w:cs="Times New Roman"/>
          <w:iCs/>
          <w:lang w:val="af-ZA"/>
        </w:rPr>
        <w:t xml:space="preserve">ախ, Դատարանը </w:t>
      </w:r>
      <w:r w:rsidR="00782F4B" w:rsidRPr="00EF7399">
        <w:rPr>
          <w:rFonts w:ascii="Times New Roman" w:hAnsi="Times New Roman" w:cs="Times New Roman"/>
          <w:iCs/>
          <w:lang w:val="hy-AM"/>
        </w:rPr>
        <w:t>հաշվի</w:t>
      </w:r>
      <w:r w:rsidR="00782F4B" w:rsidRPr="00EF7399">
        <w:rPr>
          <w:rFonts w:ascii="Times New Roman" w:hAnsi="Times New Roman" w:cs="Times New Roman"/>
          <w:iCs/>
          <w:lang w:val="af-ZA"/>
        </w:rPr>
        <w:t xml:space="preserve"> </w:t>
      </w:r>
      <w:r w:rsidR="00B11463" w:rsidRPr="00EF7399">
        <w:rPr>
          <w:rFonts w:ascii="Times New Roman" w:hAnsi="Times New Roman" w:cs="Times New Roman"/>
          <w:iCs/>
          <w:lang w:val="af-ZA"/>
        </w:rPr>
        <w:t>է առնում</w:t>
      </w:r>
      <w:r w:rsidR="007D300B" w:rsidRPr="00EF7399">
        <w:rPr>
          <w:rFonts w:ascii="Times New Roman" w:hAnsi="Times New Roman" w:cs="Times New Roman"/>
          <w:iCs/>
          <w:lang w:val="af-ZA"/>
        </w:rPr>
        <w:t xml:space="preserve"> </w:t>
      </w:r>
      <w:r w:rsidR="00B11463" w:rsidRPr="00EF7399">
        <w:rPr>
          <w:rFonts w:ascii="Times New Roman" w:hAnsi="Times New Roman" w:cs="Times New Roman"/>
          <w:lang w:val="af-ZA"/>
        </w:rPr>
        <w:t>արհեստակցական միությունների</w:t>
      </w:r>
      <w:r w:rsidR="007D300B" w:rsidRPr="00EF7399">
        <w:rPr>
          <w:rFonts w:ascii="Times New Roman" w:hAnsi="Times New Roman" w:cs="Times New Roman"/>
          <w:lang w:val="af-ZA"/>
        </w:rPr>
        <w:t xml:space="preserve"> ազատությունն ապահովելու նպատակով </w:t>
      </w:r>
      <w:r w:rsidR="007D300B" w:rsidRPr="00EF7399">
        <w:rPr>
          <w:rFonts w:ascii="Times New Roman" w:hAnsi="Times New Roman" w:cs="Times New Roman"/>
          <w:iCs/>
          <w:lang w:val="af-ZA"/>
        </w:rPr>
        <w:t xml:space="preserve">իր հայեցողության սահմաններում </w:t>
      </w:r>
      <w:r w:rsidR="00B11463" w:rsidRPr="00EF7399">
        <w:rPr>
          <w:rFonts w:ascii="Times New Roman" w:hAnsi="Times New Roman" w:cs="Times New Roman"/>
          <w:iCs/>
          <w:lang w:val="af-ZA"/>
        </w:rPr>
        <w:t xml:space="preserve">պետության </w:t>
      </w:r>
      <w:r w:rsidR="007D300B" w:rsidRPr="00EF7399">
        <w:rPr>
          <w:rFonts w:ascii="Times New Roman" w:hAnsi="Times New Roman" w:cs="Times New Roman"/>
          <w:iCs/>
          <w:lang w:val="af-ZA"/>
        </w:rPr>
        <w:t>ձեռնարկած</w:t>
      </w:r>
      <w:r w:rsidR="00B11463" w:rsidRPr="00EF7399">
        <w:rPr>
          <w:rFonts w:ascii="Times New Roman" w:hAnsi="Times New Roman" w:cs="Times New Roman"/>
          <w:iCs/>
          <w:lang w:val="af-ZA"/>
        </w:rPr>
        <w:t xml:space="preserve"> միջոցների ամբողջությունը</w:t>
      </w:r>
      <w:r w:rsidRPr="00EF7399">
        <w:rPr>
          <w:rFonts w:ascii="Times New Roman" w:hAnsi="Times New Roman" w:cs="Times New Roman"/>
          <w:iCs/>
          <w:lang w:val="af-ZA"/>
        </w:rPr>
        <w:t xml:space="preserve">, </w:t>
      </w:r>
      <w:r w:rsidR="007D300B" w:rsidRPr="00EF7399">
        <w:rPr>
          <w:rFonts w:ascii="Times New Roman" w:hAnsi="Times New Roman" w:cs="Times New Roman"/>
          <w:iCs/>
          <w:lang w:val="af-ZA"/>
        </w:rPr>
        <w:t xml:space="preserve">երկրորդ` Դատարանը չի ընդունում սահմանափակումները, որոնք ազդում են </w:t>
      </w:r>
      <w:r w:rsidR="007D300B" w:rsidRPr="00EF7399">
        <w:rPr>
          <w:rFonts w:ascii="Times New Roman" w:hAnsi="Times New Roman" w:cs="Times New Roman"/>
          <w:lang w:val="af-ZA"/>
        </w:rPr>
        <w:t xml:space="preserve">արհեստակցական միությունների ազատության </w:t>
      </w:r>
      <w:r w:rsidR="00891CDD">
        <w:rPr>
          <w:rFonts w:ascii="Times New Roman" w:hAnsi="Times New Roman" w:cs="Times New Roman"/>
          <w:lang w:val="hy-AM"/>
        </w:rPr>
        <w:t>էական</w:t>
      </w:r>
      <w:r w:rsidR="00782F4B" w:rsidRPr="00EF7399">
        <w:rPr>
          <w:rFonts w:ascii="Times New Roman" w:hAnsi="Times New Roman" w:cs="Times New Roman"/>
          <w:lang w:val="af-ZA"/>
        </w:rPr>
        <w:t xml:space="preserve"> </w:t>
      </w:r>
      <w:r w:rsidR="007D300B" w:rsidRPr="00EF7399">
        <w:rPr>
          <w:rFonts w:ascii="Times New Roman" w:hAnsi="Times New Roman" w:cs="Times New Roman"/>
          <w:lang w:val="af-ZA"/>
        </w:rPr>
        <w:t>տարրերի վրա, որոնց բացակայությամբ այդ ազատությունը զրկվում է բովանդակությունից:</w:t>
      </w:r>
      <w:r w:rsidRPr="00EF7399">
        <w:rPr>
          <w:rFonts w:ascii="Times New Roman" w:hAnsi="Times New Roman" w:cs="Times New Roman"/>
          <w:iCs/>
          <w:lang w:val="af-ZA"/>
        </w:rPr>
        <w:t xml:space="preserve"> </w:t>
      </w:r>
      <w:r w:rsidR="007D300B" w:rsidRPr="00EF7399">
        <w:rPr>
          <w:rFonts w:ascii="Times New Roman" w:hAnsi="Times New Roman" w:cs="Times New Roman"/>
          <w:iCs/>
          <w:lang w:val="af-ZA"/>
        </w:rPr>
        <w:t xml:space="preserve">Թեև պետությունները սկզբունքորեն ազատ են որոշելու, </w:t>
      </w:r>
      <w:r w:rsidR="005F0F5C" w:rsidRPr="00EF7399">
        <w:rPr>
          <w:rFonts w:ascii="Times New Roman" w:hAnsi="Times New Roman" w:cs="Times New Roman"/>
          <w:iCs/>
          <w:lang w:val="hy-AM"/>
        </w:rPr>
        <w:t xml:space="preserve">թե </w:t>
      </w:r>
      <w:r w:rsidR="007D300B" w:rsidRPr="00EF7399">
        <w:rPr>
          <w:rFonts w:ascii="Times New Roman" w:hAnsi="Times New Roman" w:cs="Times New Roman"/>
          <w:iCs/>
          <w:lang w:val="af-ZA"/>
        </w:rPr>
        <w:t xml:space="preserve">ինչ միջոցներ են ցանկանում ձեռնարկել, որ ապահովեն համապատասխանությունը 11-րդ հոդվածին, </w:t>
      </w:r>
      <w:r w:rsidR="00240CB4" w:rsidRPr="00EF7399">
        <w:rPr>
          <w:rFonts w:ascii="Times New Roman" w:hAnsi="Times New Roman" w:cs="Times New Roman"/>
          <w:iCs/>
          <w:lang w:val="af-ZA"/>
        </w:rPr>
        <w:t>դրանք նաև պարտավոր են հաշվի առնել այն տարրերը, որոնք Դատարանի նախադեպային իրավունքո</w:t>
      </w:r>
      <w:r w:rsidR="004A199C" w:rsidRPr="00EF7399">
        <w:rPr>
          <w:rFonts w:ascii="Times New Roman" w:hAnsi="Times New Roman" w:cs="Times New Roman"/>
          <w:iCs/>
          <w:lang w:val="hy-AM"/>
        </w:rPr>
        <w:t>ւմ</w:t>
      </w:r>
      <w:r w:rsidR="00240CB4" w:rsidRPr="00EF7399">
        <w:rPr>
          <w:rFonts w:ascii="Times New Roman" w:hAnsi="Times New Roman" w:cs="Times New Roman"/>
          <w:iCs/>
          <w:lang w:val="af-ZA"/>
        </w:rPr>
        <w:t xml:space="preserve"> համարվել են </w:t>
      </w:r>
      <w:r w:rsidR="00DB339E">
        <w:rPr>
          <w:rFonts w:ascii="Times New Roman" w:hAnsi="Times New Roman" w:cs="Times New Roman"/>
          <w:iCs/>
          <w:lang w:val="hy-AM"/>
        </w:rPr>
        <w:t>էական</w:t>
      </w:r>
      <w:r w:rsidR="004A199C" w:rsidRPr="00EF7399">
        <w:rPr>
          <w:rFonts w:ascii="Times New Roman" w:hAnsi="Times New Roman" w:cs="Times New Roman"/>
          <w:iCs/>
          <w:lang w:val="af-ZA"/>
        </w:rPr>
        <w:t xml:space="preserve"> </w:t>
      </w:r>
      <w:r w:rsidRPr="00EF7399">
        <w:rPr>
          <w:rFonts w:ascii="Times New Roman" w:hAnsi="Times New Roman" w:cs="Times New Roman"/>
          <w:iCs/>
          <w:lang w:val="af-ZA"/>
        </w:rPr>
        <w:t>(</w:t>
      </w:r>
      <w:hyperlink r:id="rId532" w:history="1">
        <w:r w:rsidRPr="00EF7399">
          <w:rPr>
            <w:rStyle w:val="Hyperlink"/>
            <w:rFonts w:ascii="Times New Roman" w:hAnsi="Times New Roman" w:cs="Times New Roman"/>
            <w:iCs/>
            <w:lang w:val="af-ZA"/>
          </w:rPr>
          <w:t>Demir and Baykara</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Turkey</w:t>
        </w:r>
      </w:hyperlink>
      <w:r w:rsidRPr="00EF7399">
        <w:rPr>
          <w:rFonts w:ascii="Times New Roman" w:hAnsi="Times New Roman" w:cs="Times New Roman"/>
          <w:iCs/>
          <w:lang w:val="af-ZA"/>
        </w:rPr>
        <w:t xml:space="preserve"> [GC], </w:t>
      </w:r>
      <w:r w:rsidR="002801F1" w:rsidRPr="00EF7399">
        <w:rPr>
          <w:rFonts w:ascii="Times New Roman" w:hAnsi="Times New Roman" w:cs="Times New Roman"/>
          <w:lang w:val="af-ZA"/>
        </w:rPr>
        <w:t xml:space="preserve">2008, </w:t>
      </w:r>
      <w:r w:rsidR="00873234" w:rsidRPr="00EF7399">
        <w:rPr>
          <w:rFonts w:ascii="Times New Roman" w:hAnsi="Times New Roman" w:cs="Times New Roman"/>
          <w:iCs/>
          <w:lang w:val="af-ZA"/>
        </w:rPr>
        <w:t>§ </w:t>
      </w:r>
      <w:r w:rsidRPr="00EF7399">
        <w:rPr>
          <w:rFonts w:ascii="Times New Roman" w:hAnsi="Times New Roman" w:cs="Times New Roman"/>
          <w:iCs/>
          <w:lang w:val="af-ZA"/>
        </w:rPr>
        <w:t>144)</w:t>
      </w:r>
      <w:r w:rsidR="00240CB4" w:rsidRPr="00EF7399">
        <w:rPr>
          <w:rFonts w:ascii="Times New Roman" w:hAnsi="Times New Roman" w:cs="Times New Roman"/>
          <w:iCs/>
          <w:lang w:val="af-ZA"/>
        </w:rPr>
        <w:t>:</w:t>
      </w:r>
    </w:p>
    <w:p w14:paraId="600ACC59" w14:textId="0A1F07D7" w:rsidR="00314385" w:rsidRPr="00EF7399" w:rsidRDefault="00314385" w:rsidP="00B85C53">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 MERGEFORMAT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246</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240CB4" w:rsidRPr="00EF7399">
        <w:rPr>
          <w:rFonts w:ascii="Times New Roman" w:hAnsi="Times New Roman" w:cs="Times New Roman"/>
          <w:iCs/>
          <w:lang w:val="af-ZA"/>
        </w:rPr>
        <w:t>ԵՄ և ԵՏԳ օրենսդրությամբ սահմանված պարտավորությունները կատարելու ընթացքում Պայմանավորվող կողմերը պետք է երաշխավորեն, որ 11-րդ հոդվածում ամրագրված իրավունքների նկատմամբ կիրառվող սահմանափակումները չազդեն</w:t>
      </w:r>
      <w:r w:rsidR="00240CB4" w:rsidRPr="00EF7399">
        <w:rPr>
          <w:rFonts w:ascii="Times New Roman" w:hAnsi="Times New Roman" w:cs="Times New Roman"/>
          <w:lang w:val="af-ZA"/>
        </w:rPr>
        <w:t xml:space="preserve"> արհեստակցական միությունների ազատության </w:t>
      </w:r>
      <w:r w:rsidR="00891CDD">
        <w:rPr>
          <w:rFonts w:ascii="Times New Roman" w:hAnsi="Times New Roman" w:cs="Times New Roman"/>
          <w:lang w:val="hy-AM"/>
        </w:rPr>
        <w:t>էական</w:t>
      </w:r>
      <w:r w:rsidR="004A199C" w:rsidRPr="00EF7399">
        <w:rPr>
          <w:rFonts w:ascii="Times New Roman" w:hAnsi="Times New Roman" w:cs="Times New Roman"/>
          <w:lang w:val="af-ZA"/>
        </w:rPr>
        <w:t xml:space="preserve"> </w:t>
      </w:r>
      <w:r w:rsidR="00240CB4" w:rsidRPr="00EF7399">
        <w:rPr>
          <w:rFonts w:ascii="Times New Roman" w:hAnsi="Times New Roman" w:cs="Times New Roman"/>
          <w:lang w:val="af-ZA"/>
        </w:rPr>
        <w:t xml:space="preserve">տարրերի վրա, որոնց բացակայությամբ այդ ազատությունը կզրկվի բովանդակությունից </w:t>
      </w:r>
      <w:r w:rsidR="00660E93" w:rsidRPr="00EF7399">
        <w:rPr>
          <w:rFonts w:ascii="Times New Roman" w:hAnsi="Times New Roman" w:cs="Times New Roman"/>
          <w:iCs/>
          <w:lang w:val="af-ZA"/>
        </w:rPr>
        <w:t>(</w:t>
      </w:r>
      <w:bookmarkStart w:id="98" w:name="_Hlk78963763"/>
      <w:r w:rsidR="00660E93" w:rsidRPr="00EF7399">
        <w:rPr>
          <w:rFonts w:ascii="Times New Roman" w:hAnsi="Times New Roman" w:cs="Times New Roman"/>
          <w:i/>
          <w:iCs/>
          <w:lang w:val="af-ZA"/>
        </w:rPr>
        <w:fldChar w:fldCharType="begin"/>
      </w:r>
      <w:r w:rsidR="00660E93" w:rsidRPr="00EF7399">
        <w:rPr>
          <w:rFonts w:ascii="Times New Roman" w:hAnsi="Times New Roman" w:cs="Times New Roman"/>
          <w:i/>
          <w:iCs/>
          <w:lang w:val="af-ZA"/>
        </w:rPr>
        <w:instrText xml:space="preserve"> HYPERLINK "http://hudoc.echr.coe.int/eng?i=001-210332" </w:instrText>
      </w:r>
      <w:r w:rsidR="00660E93" w:rsidRPr="00EF7399">
        <w:rPr>
          <w:rFonts w:ascii="Times New Roman" w:hAnsi="Times New Roman" w:cs="Times New Roman"/>
          <w:i/>
          <w:iCs/>
          <w:lang w:val="af-ZA"/>
        </w:rPr>
      </w:r>
      <w:r w:rsidR="00660E93" w:rsidRPr="00EF7399">
        <w:rPr>
          <w:rFonts w:ascii="Times New Roman" w:hAnsi="Times New Roman" w:cs="Times New Roman"/>
          <w:i/>
          <w:iCs/>
          <w:lang w:val="af-ZA"/>
        </w:rPr>
        <w:fldChar w:fldCharType="separate"/>
      </w:r>
      <w:r w:rsidR="00660E93" w:rsidRPr="00EF7399">
        <w:rPr>
          <w:rStyle w:val="Hyperlink"/>
          <w:rFonts w:ascii="Times New Roman" w:hAnsi="Times New Roman" w:cs="Times New Roman"/>
          <w:iCs/>
          <w:lang w:val="af-ZA"/>
        </w:rPr>
        <w:t>Norwegian Confederation of Trade Unions (LO) and Norwegian Transport Workers</w:t>
      </w:r>
      <w:r w:rsidR="00DF297D" w:rsidRPr="00EF7399">
        <w:rPr>
          <w:rStyle w:val="Hyperlink"/>
          <w:rFonts w:ascii="Times New Roman" w:hAnsi="Times New Roman" w:cs="Times New Roman"/>
          <w:iCs/>
          <w:lang w:val="af-ZA"/>
        </w:rPr>
        <w:t>’</w:t>
      </w:r>
      <w:r w:rsidR="00660E93" w:rsidRPr="00EF7399">
        <w:rPr>
          <w:rStyle w:val="Hyperlink"/>
          <w:rFonts w:ascii="Times New Roman" w:hAnsi="Times New Roman" w:cs="Times New Roman"/>
          <w:iCs/>
          <w:lang w:val="af-ZA"/>
        </w:rPr>
        <w:t xml:space="preserve"> Union (NTF)</w:t>
      </w:r>
      <w:r w:rsidR="00873234" w:rsidRPr="00EF7399">
        <w:rPr>
          <w:rStyle w:val="Hyperlink"/>
          <w:rFonts w:ascii="Times New Roman" w:hAnsi="Times New Roman" w:cs="Times New Roman"/>
          <w:iCs/>
          <w:lang w:val="af-ZA"/>
        </w:rPr>
        <w:t xml:space="preserve"> v. </w:t>
      </w:r>
      <w:r w:rsidR="00660E93" w:rsidRPr="00EF7399">
        <w:rPr>
          <w:rStyle w:val="Hyperlink"/>
          <w:rFonts w:ascii="Times New Roman" w:hAnsi="Times New Roman" w:cs="Times New Roman"/>
          <w:iCs/>
          <w:lang w:val="af-ZA"/>
        </w:rPr>
        <w:t>Norway</w:t>
      </w:r>
      <w:r w:rsidR="00660E93" w:rsidRPr="00EF7399">
        <w:rPr>
          <w:rFonts w:ascii="Times New Roman" w:hAnsi="Times New Roman" w:cs="Times New Roman"/>
          <w:iCs/>
          <w:lang w:val="af-ZA"/>
        </w:rPr>
        <w:fldChar w:fldCharType="end"/>
      </w:r>
      <w:bookmarkEnd w:id="98"/>
      <w:r w:rsidR="00660E93" w:rsidRPr="00EF7399">
        <w:rPr>
          <w:rFonts w:ascii="Times New Roman" w:hAnsi="Times New Roman" w:cs="Times New Roman"/>
          <w:iCs/>
          <w:lang w:val="af-ZA"/>
        </w:rPr>
        <w:t>,</w:t>
      </w:r>
      <w:r w:rsidR="008B7BE6" w:rsidRPr="00EF7399">
        <w:rPr>
          <w:rFonts w:ascii="Times New Roman" w:hAnsi="Times New Roman" w:cs="Times New Roman"/>
          <w:iCs/>
          <w:lang w:val="af-ZA"/>
        </w:rPr>
        <w:t xml:space="preserve"> </w:t>
      </w:r>
      <w:r w:rsidR="00660E93" w:rsidRPr="00EF7399">
        <w:rPr>
          <w:rFonts w:ascii="Times New Roman" w:hAnsi="Times New Roman" w:cs="Times New Roman"/>
          <w:iCs/>
          <w:lang w:val="af-ZA"/>
        </w:rPr>
        <w:t xml:space="preserve">2021, </w:t>
      </w:r>
      <w:r w:rsidR="00873234" w:rsidRPr="00EF7399">
        <w:rPr>
          <w:rFonts w:ascii="Times New Roman" w:hAnsi="Times New Roman" w:cs="Times New Roman"/>
          <w:iCs/>
          <w:lang w:val="af-ZA"/>
        </w:rPr>
        <w:t>§ </w:t>
      </w:r>
      <w:r w:rsidR="00660E93" w:rsidRPr="00EF7399">
        <w:rPr>
          <w:rFonts w:ascii="Times New Roman" w:hAnsi="Times New Roman" w:cs="Times New Roman"/>
          <w:iCs/>
          <w:lang w:val="af-ZA"/>
        </w:rPr>
        <w:t>117)</w:t>
      </w:r>
      <w:r w:rsidR="00240CB4" w:rsidRPr="00EF7399">
        <w:rPr>
          <w:rFonts w:ascii="Times New Roman" w:hAnsi="Times New Roman" w:cs="Times New Roman"/>
          <w:iCs/>
          <w:lang w:val="af-ZA"/>
        </w:rPr>
        <w:t xml:space="preserve">: </w:t>
      </w:r>
      <w:r w:rsidR="00660E93" w:rsidRPr="00EF7399">
        <w:rPr>
          <w:rFonts w:ascii="Times New Roman" w:hAnsi="Times New Roman" w:cs="Times New Roman"/>
          <w:iCs/>
          <w:lang w:val="af-ZA"/>
        </w:rPr>
        <w:t xml:space="preserve"> </w:t>
      </w:r>
      <w:r w:rsidR="00240CB4" w:rsidRPr="00EF7399">
        <w:rPr>
          <w:rFonts w:ascii="Times New Roman" w:hAnsi="Times New Roman" w:cs="Times New Roman"/>
          <w:iCs/>
          <w:lang w:val="af-ZA"/>
        </w:rPr>
        <w:t xml:space="preserve">ԵՏԳ </w:t>
      </w:r>
      <w:r w:rsidR="004A199C" w:rsidRPr="00EF7399">
        <w:rPr>
          <w:rFonts w:ascii="Times New Roman" w:hAnsi="Times New Roman" w:cs="Times New Roman"/>
          <w:iCs/>
          <w:lang w:val="hy-AM"/>
        </w:rPr>
        <w:t>հաստատման</w:t>
      </w:r>
      <w:r w:rsidR="00240CB4" w:rsidRPr="00EF7399">
        <w:rPr>
          <w:rFonts w:ascii="Times New Roman" w:hAnsi="Times New Roman" w:cs="Times New Roman"/>
          <w:iCs/>
          <w:lang w:val="af-ZA"/>
        </w:rPr>
        <w:t xml:space="preserve"> ազատությունը միավորման ազատությ</w:t>
      </w:r>
      <w:r w:rsidR="004A199C" w:rsidRPr="00EF7399">
        <w:rPr>
          <w:rFonts w:ascii="Times New Roman" w:hAnsi="Times New Roman" w:cs="Times New Roman"/>
          <w:iCs/>
          <w:lang w:val="hy-AM"/>
        </w:rPr>
        <w:t>ա</w:t>
      </w:r>
      <w:r w:rsidR="00240CB4" w:rsidRPr="00EF7399">
        <w:rPr>
          <w:rFonts w:ascii="Times New Roman" w:hAnsi="Times New Roman" w:cs="Times New Roman"/>
          <w:iCs/>
          <w:lang w:val="af-ZA"/>
        </w:rPr>
        <w:t xml:space="preserve">նը հակակշռող հիմնարար իրավունք չէ, այլ, թեև շատ կարևոր,  մի տարր է, որը հարկ է հաշվի առնել, երբ 11-րդ հոդվածի 2-րդ մասի շրջանակում գնահատվում է համաչափությունը </w:t>
      </w:r>
      <w:r w:rsidR="00660E93" w:rsidRPr="00EF7399">
        <w:rPr>
          <w:rFonts w:ascii="Times New Roman" w:hAnsi="Times New Roman" w:cs="Times New Roman"/>
          <w:iCs/>
          <w:lang w:val="af-ZA"/>
        </w:rPr>
        <w:t>(</w:t>
      </w:r>
      <w:hyperlink r:id="rId533" w:history="1">
        <w:r w:rsidR="00660E93" w:rsidRPr="00EF7399">
          <w:rPr>
            <w:rStyle w:val="Hyperlink"/>
            <w:rFonts w:ascii="Times New Roman" w:hAnsi="Times New Roman" w:cs="Times New Roman"/>
            <w:iCs/>
            <w:lang w:val="af-ZA"/>
          </w:rPr>
          <w:t>ibid</w:t>
        </w:r>
      </w:hyperlink>
      <w:r w:rsidR="00660E93" w:rsidRPr="00EF7399">
        <w:rPr>
          <w:rFonts w:ascii="Times New Roman" w:hAnsi="Times New Roman" w:cs="Times New Roman"/>
          <w:iCs/>
          <w:lang w:val="af-ZA"/>
        </w:rPr>
        <w:t xml:space="preserve">., </w:t>
      </w:r>
      <w:r w:rsidR="00873234" w:rsidRPr="00EF7399">
        <w:rPr>
          <w:rFonts w:ascii="Times New Roman" w:hAnsi="Times New Roman" w:cs="Times New Roman"/>
          <w:iCs/>
          <w:lang w:val="af-ZA"/>
        </w:rPr>
        <w:t>§ </w:t>
      </w:r>
      <w:r w:rsidR="00660E93" w:rsidRPr="00EF7399">
        <w:rPr>
          <w:rFonts w:ascii="Times New Roman" w:hAnsi="Times New Roman" w:cs="Times New Roman"/>
          <w:iCs/>
          <w:lang w:val="af-ZA"/>
        </w:rPr>
        <w:t>118)</w:t>
      </w:r>
      <w:r w:rsidR="00240CB4" w:rsidRPr="00EF7399">
        <w:rPr>
          <w:rFonts w:ascii="Times New Roman" w:hAnsi="Times New Roman" w:cs="Times New Roman"/>
          <w:iCs/>
          <w:lang w:val="af-ZA"/>
        </w:rPr>
        <w:t>:</w:t>
      </w:r>
    </w:p>
    <w:p w14:paraId="0B8C30F7" w14:textId="2DE380DD" w:rsidR="00B85C53" w:rsidRPr="00EF7399" w:rsidRDefault="00A83DAB" w:rsidP="00A83DAB">
      <w:pPr>
        <w:pStyle w:val="ECHRHeading2"/>
        <w:numPr>
          <w:ilvl w:val="0"/>
          <w:numId w:val="0"/>
        </w:numPr>
        <w:rPr>
          <w:rFonts w:ascii="Times New Roman" w:hAnsi="Times New Roman" w:cs="Times New Roman"/>
          <w:lang w:val="af-ZA"/>
        </w:rPr>
      </w:pPr>
      <w:bookmarkStart w:id="99" w:name="_Toc159945256"/>
      <w:r>
        <w:rPr>
          <w:rFonts w:ascii="Times New Roman" w:hAnsi="Times New Roman" w:cs="Times New Roman"/>
          <w:iCs/>
          <w:lang w:val="hy-AM"/>
        </w:rPr>
        <w:t xml:space="preserve">Գ․ </w:t>
      </w:r>
      <w:r w:rsidR="006D6FA2" w:rsidRPr="00EF7399">
        <w:rPr>
          <w:rFonts w:ascii="Times New Roman" w:hAnsi="Times New Roman" w:cs="Times New Roman"/>
          <w:iCs/>
          <w:lang w:val="af-ZA"/>
        </w:rPr>
        <w:t>Գրանցման մերժումը</w:t>
      </w:r>
      <w:bookmarkEnd w:id="99"/>
    </w:p>
    <w:p w14:paraId="1C3F1E24" w14:textId="3B116A74" w:rsidR="00A617AC" w:rsidRPr="00EF7399" w:rsidRDefault="0036651F" w:rsidP="00A617AC">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247</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6D6FA2" w:rsidRPr="00EF7399">
        <w:rPr>
          <w:rFonts w:ascii="Times New Roman" w:hAnsi="Times New Roman" w:cs="Times New Roman"/>
          <w:iCs/>
          <w:lang w:val="af-ZA"/>
        </w:rPr>
        <w:t xml:space="preserve">Թեև յուրաքանչյուր աշխատող անձ իրավունք ունի հիմնել </w:t>
      </w:r>
      <w:r w:rsidR="006D6FA2" w:rsidRPr="00EF7399">
        <w:rPr>
          <w:rFonts w:ascii="Times New Roman" w:hAnsi="Times New Roman" w:cs="Times New Roman"/>
          <w:lang w:val="af-ZA"/>
        </w:rPr>
        <w:t xml:space="preserve">արհեստակցական միություն, որոշ իրավիճակներում Դատարանը հիմնավոր է համարել արհեստակցական միություն գրանցելու պետության մերժումը: </w:t>
      </w:r>
    </w:p>
    <w:p w14:paraId="3C741D93" w14:textId="437C5C41" w:rsidR="00A617AC" w:rsidRPr="00EF7399" w:rsidRDefault="00A617AC" w:rsidP="00A617AC">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248</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hyperlink r:id="rId534" w:history="1">
        <w:r w:rsidR="00BA413F" w:rsidRPr="00EF7399">
          <w:rPr>
            <w:rStyle w:val="Hyperlink"/>
            <w:rFonts w:ascii="Times New Roman" w:hAnsi="Times New Roman" w:cs="Times New Roman"/>
            <w:iCs/>
            <w:lang w:val="af-ZA"/>
          </w:rPr>
          <w:t>Sindicatul “Păstorul cel Bun”</w:t>
        </w:r>
        <w:r w:rsidR="00873234" w:rsidRPr="00EF7399">
          <w:rPr>
            <w:rStyle w:val="Hyperlink"/>
            <w:rFonts w:ascii="Times New Roman" w:hAnsi="Times New Roman" w:cs="Times New Roman"/>
            <w:iCs/>
            <w:lang w:val="af-ZA"/>
          </w:rPr>
          <w:t xml:space="preserve"> v. </w:t>
        </w:r>
        <w:r w:rsidR="00BA413F" w:rsidRPr="00EF7399">
          <w:rPr>
            <w:rStyle w:val="Hyperlink"/>
            <w:rFonts w:ascii="Times New Roman" w:hAnsi="Times New Roman" w:cs="Times New Roman"/>
            <w:iCs/>
            <w:lang w:val="af-ZA"/>
          </w:rPr>
          <w:t>Romania</w:t>
        </w:r>
      </w:hyperlink>
      <w:r w:rsidRPr="00EF7399">
        <w:rPr>
          <w:rFonts w:ascii="Times New Roman" w:hAnsi="Times New Roman" w:cs="Times New Roman"/>
          <w:i/>
          <w:iCs/>
          <w:lang w:val="af-ZA"/>
        </w:rPr>
        <w:t xml:space="preserve"> </w:t>
      </w:r>
      <w:r w:rsidRPr="00EF7399">
        <w:rPr>
          <w:rFonts w:ascii="Times New Roman" w:hAnsi="Times New Roman" w:cs="Times New Roman"/>
          <w:iCs/>
          <w:lang w:val="af-ZA"/>
        </w:rPr>
        <w:t xml:space="preserve">[GC], </w:t>
      </w:r>
      <w:r w:rsidR="008C5F4A" w:rsidRPr="00EF7399">
        <w:rPr>
          <w:rFonts w:ascii="Times New Roman" w:hAnsi="Times New Roman" w:cs="Times New Roman"/>
          <w:lang w:val="af-ZA"/>
        </w:rPr>
        <w:t xml:space="preserve">2013, </w:t>
      </w:r>
      <w:r w:rsidR="006D6FA2" w:rsidRPr="00EF7399">
        <w:rPr>
          <w:rFonts w:ascii="Times New Roman" w:hAnsi="Times New Roman" w:cs="Times New Roman"/>
          <w:lang w:val="af-ZA"/>
        </w:rPr>
        <w:t xml:space="preserve">գործում ազգային իշխանությունները  մերժել էին Ռումինական ուղղափառ եկեղեցու քահանաների ստեղծած արհեստակցական միության գրանցման դիմումն արքեպիսկոպոսի թույլտվությունը ստանալու պահանջը չբավարարելու </w:t>
      </w:r>
      <w:r w:rsidR="006E28AB" w:rsidRPr="00EF7399">
        <w:rPr>
          <w:rFonts w:ascii="Times New Roman" w:hAnsi="Times New Roman" w:cs="Times New Roman"/>
          <w:lang w:val="af-ZA"/>
        </w:rPr>
        <w:t>հիմքով</w:t>
      </w:r>
      <w:r w:rsidR="006D6FA2" w:rsidRPr="00EF7399">
        <w:rPr>
          <w:rFonts w:ascii="Times New Roman" w:hAnsi="Times New Roman" w:cs="Times New Roman"/>
          <w:lang w:val="af-ZA"/>
        </w:rPr>
        <w:t xml:space="preserve">: </w:t>
      </w:r>
      <w:r w:rsidR="006E28AB" w:rsidRPr="00EF7399">
        <w:rPr>
          <w:rFonts w:ascii="Times New Roman" w:hAnsi="Times New Roman" w:cs="Times New Roman"/>
          <w:lang w:val="af-ZA"/>
        </w:rPr>
        <w:t>Չգտնելով 11-րդ հոդվածի խախտում</w:t>
      </w:r>
      <w:r w:rsidR="00FB3853" w:rsidRPr="00EF7399">
        <w:rPr>
          <w:rFonts w:ascii="Times New Roman" w:hAnsi="Times New Roman" w:cs="Times New Roman"/>
          <w:lang w:val="af-ZA"/>
        </w:rPr>
        <w:t>`</w:t>
      </w:r>
      <w:r w:rsidR="006E28AB" w:rsidRPr="00EF7399">
        <w:rPr>
          <w:rFonts w:ascii="Times New Roman" w:hAnsi="Times New Roman" w:cs="Times New Roman"/>
          <w:lang w:val="af-ZA"/>
        </w:rPr>
        <w:t xml:space="preserve"> Դատարանը նկատի էր առել, որ իշխանությունները պարզապես կիրառել էին կրոնական համայնքների ինքնավարության սկզբունքը և հրաժարվել էին միջամտել Ռումինական ուղղափառ եկեղեցու կազմակերպմանը և </w:t>
      </w:r>
      <w:r w:rsidR="006E28AB" w:rsidRPr="00EF7399">
        <w:rPr>
          <w:rFonts w:ascii="Times New Roman" w:hAnsi="Times New Roman" w:cs="Times New Roman"/>
          <w:lang w:val="af-ZA"/>
        </w:rPr>
        <w:lastRenderedPageBreak/>
        <w:t>գործունեությանը</w:t>
      </w:r>
      <w:r w:rsidR="00FB3853" w:rsidRPr="00EF7399">
        <w:rPr>
          <w:rFonts w:ascii="Times New Roman" w:hAnsi="Times New Roman" w:cs="Times New Roman"/>
          <w:lang w:val="af-ZA"/>
        </w:rPr>
        <w:t>`</w:t>
      </w:r>
      <w:r w:rsidR="006E28AB" w:rsidRPr="00EF7399">
        <w:rPr>
          <w:rFonts w:ascii="Times New Roman" w:hAnsi="Times New Roman" w:cs="Times New Roman"/>
          <w:lang w:val="af-ZA"/>
        </w:rPr>
        <w:t xml:space="preserve"> դրանով իսկ կատարելով հարանվանական չեզոքության իրենց պարտականությունը, որը սահմանված է Կոնվենցիայի 9-րդ հոդվածով: Ազգային իշխանությունները պարտավոր էին հարգել կրոնական համայնքների կարծիքը դրանց անդամների այն կոլեկտիվ գործողությունների վերաբերյալ, որոնք կարող էին խարխլել համայնքների ինքնավարությունը </w:t>
      </w:r>
      <w:r w:rsidRPr="00EF7399">
        <w:rPr>
          <w:rFonts w:ascii="Times New Roman" w:hAnsi="Times New Roman" w:cs="Times New Roman"/>
          <w:iCs/>
          <w:lang w:val="af-ZA"/>
        </w:rPr>
        <w:t>(§</w:t>
      </w:r>
      <w:r w:rsidR="00873234" w:rsidRPr="00EF7399">
        <w:rPr>
          <w:rFonts w:ascii="Times New Roman" w:hAnsi="Times New Roman" w:cs="Times New Roman"/>
          <w:iCs/>
          <w:lang w:val="af-ZA"/>
        </w:rPr>
        <w:t>§ </w:t>
      </w:r>
      <w:r w:rsidRPr="00EF7399">
        <w:rPr>
          <w:rFonts w:ascii="Times New Roman" w:hAnsi="Times New Roman" w:cs="Times New Roman"/>
          <w:iCs/>
          <w:lang w:val="af-ZA"/>
        </w:rPr>
        <w:t>159, 164-166)</w:t>
      </w:r>
      <w:r w:rsidR="006E28AB" w:rsidRPr="00EF7399">
        <w:rPr>
          <w:rFonts w:ascii="Times New Roman" w:hAnsi="Times New Roman" w:cs="Times New Roman"/>
          <w:iCs/>
          <w:lang w:val="af-ZA"/>
        </w:rPr>
        <w:t>:</w:t>
      </w:r>
    </w:p>
    <w:p w14:paraId="4D9F69B7" w14:textId="527E795C" w:rsidR="00B85C53" w:rsidRPr="00EF7399" w:rsidRDefault="00A617AC" w:rsidP="00A617AC">
      <w:pPr>
        <w:pStyle w:val="ECHRParaSpaced"/>
        <w:rPr>
          <w:rFonts w:ascii="Times New Roman" w:hAnsi="Times New Roman" w:cs="Times New Roman"/>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249</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hyperlink r:id="rId535" w:history="1">
        <w:r w:rsidRPr="00EF7399">
          <w:rPr>
            <w:rStyle w:val="Hyperlink"/>
            <w:rFonts w:ascii="Times New Roman" w:hAnsi="Times New Roman" w:cs="Times New Roman"/>
            <w:iCs/>
            <w:lang w:val="af-ZA"/>
          </w:rPr>
          <w:t>Manole and “Romanian Farmers Direct”</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Romania</w:t>
        </w:r>
      </w:hyperlink>
      <w:r w:rsidRPr="00EF7399">
        <w:rPr>
          <w:rFonts w:ascii="Times New Roman" w:hAnsi="Times New Roman" w:cs="Times New Roman"/>
          <w:i/>
          <w:iCs/>
          <w:lang w:val="af-ZA"/>
        </w:rPr>
        <w:t xml:space="preserve">, </w:t>
      </w:r>
      <w:r w:rsidR="00BF5C01" w:rsidRPr="00EF7399">
        <w:rPr>
          <w:rFonts w:ascii="Times New Roman" w:hAnsi="Times New Roman" w:cs="Times New Roman"/>
          <w:lang w:val="af-ZA"/>
        </w:rPr>
        <w:t xml:space="preserve">2015, </w:t>
      </w:r>
      <w:r w:rsidR="006E28AB" w:rsidRPr="00EF7399">
        <w:rPr>
          <w:rFonts w:ascii="Times New Roman" w:hAnsi="Times New Roman" w:cs="Times New Roman"/>
          <w:lang w:val="af-ZA"/>
        </w:rPr>
        <w:t xml:space="preserve">գործով մերժվել էր </w:t>
      </w:r>
      <w:r w:rsidR="00FB3853" w:rsidRPr="00EF7399">
        <w:rPr>
          <w:rFonts w:ascii="Times New Roman" w:hAnsi="Times New Roman" w:cs="Times New Roman"/>
          <w:lang w:val="af-ZA"/>
        </w:rPr>
        <w:t>մի խումբ ինքնազբաղված ֆերմերների</w:t>
      </w:r>
      <w:r w:rsidR="00FB3853" w:rsidRPr="00EF7399">
        <w:rPr>
          <w:rFonts w:ascii="Times New Roman" w:hAnsi="Times New Roman" w:cs="Times New Roman"/>
          <w:lang w:val="hy-AM"/>
        </w:rPr>
        <w:t>՝</w:t>
      </w:r>
      <w:r w:rsidR="00FB3853" w:rsidRPr="00EF7399">
        <w:rPr>
          <w:rFonts w:ascii="Times New Roman" w:hAnsi="Times New Roman" w:cs="Times New Roman"/>
          <w:lang w:val="af-ZA"/>
        </w:rPr>
        <w:t xml:space="preserve"> </w:t>
      </w:r>
      <w:r w:rsidR="00146C36" w:rsidRPr="00EF7399">
        <w:rPr>
          <w:rFonts w:ascii="Times New Roman" w:hAnsi="Times New Roman" w:cs="Times New Roman"/>
          <w:lang w:val="af-ZA"/>
        </w:rPr>
        <w:t xml:space="preserve">որպես արհեստակցական միություն գրանցվելու </w:t>
      </w:r>
      <w:r w:rsidR="006E28AB" w:rsidRPr="00EF7399">
        <w:rPr>
          <w:rFonts w:ascii="Times New Roman" w:hAnsi="Times New Roman" w:cs="Times New Roman"/>
          <w:lang w:val="af-ZA"/>
        </w:rPr>
        <w:t>դիմումը</w:t>
      </w:r>
      <w:r w:rsidR="00146C36" w:rsidRPr="00EF7399">
        <w:rPr>
          <w:rFonts w:ascii="Times New Roman" w:hAnsi="Times New Roman" w:cs="Times New Roman"/>
          <w:lang w:val="af-ZA"/>
        </w:rPr>
        <w:t xml:space="preserve">, քանի որ գյուղատնտեսության ոլորտում իրավակազմակերպչական այդ ձևը վերապահված էր բացառապես կոոպերատիվների աշխատողներին և անդամներին: Դատարանը, հաշվի առնելով վերաբերելի միջազգային գործիքները, գտավ, որ ինքնազբաղ ֆերմերներին արհեստակցական միություն ստեղծելու իրավունքից զրկելը չի խախտել Կոնվենցիայի 11-րդ հոդվածը: Ներպետական օրենսդրությամբ գանգատաբերներն իրավունք ունեին ստեղծել կենսական </w:t>
      </w:r>
      <w:r w:rsidR="00065DE1" w:rsidRPr="00EF7399">
        <w:rPr>
          <w:rFonts w:ascii="Times New Roman" w:hAnsi="Times New Roman" w:cs="Times New Roman"/>
          <w:lang w:val="af-ZA"/>
        </w:rPr>
        <w:t xml:space="preserve">այնպիսի </w:t>
      </w:r>
      <w:r w:rsidR="00146C36" w:rsidRPr="00EF7399">
        <w:rPr>
          <w:rFonts w:ascii="Times New Roman" w:hAnsi="Times New Roman" w:cs="Times New Roman"/>
          <w:lang w:val="af-ZA"/>
        </w:rPr>
        <w:t>իրավունքներ</w:t>
      </w:r>
      <w:r w:rsidR="00065DE1" w:rsidRPr="00EF7399">
        <w:rPr>
          <w:rFonts w:ascii="Times New Roman" w:hAnsi="Times New Roman" w:cs="Times New Roman"/>
          <w:lang w:val="af-ZA"/>
        </w:rPr>
        <w:t>ով</w:t>
      </w:r>
      <w:r w:rsidR="00146C36" w:rsidRPr="00EF7399">
        <w:rPr>
          <w:rFonts w:ascii="Times New Roman" w:hAnsi="Times New Roman" w:cs="Times New Roman"/>
          <w:lang w:val="af-ZA"/>
        </w:rPr>
        <w:t xml:space="preserve"> </w:t>
      </w:r>
      <w:r w:rsidR="00065DE1" w:rsidRPr="00EF7399">
        <w:rPr>
          <w:rFonts w:ascii="Times New Roman" w:hAnsi="Times New Roman" w:cs="Times New Roman"/>
          <w:lang w:val="af-ZA"/>
        </w:rPr>
        <w:t>օժտված</w:t>
      </w:r>
      <w:r w:rsidR="00146C36" w:rsidRPr="00EF7399">
        <w:rPr>
          <w:rFonts w:ascii="Times New Roman" w:hAnsi="Times New Roman" w:cs="Times New Roman"/>
          <w:lang w:val="af-ZA"/>
        </w:rPr>
        <w:t xml:space="preserve"> մասնագիտական միավորումներ, որոնք հնարավորություն էին տալիս պաշտպանել իրենց անդամների շահեր</w:t>
      </w:r>
      <w:r w:rsidR="00065DE1" w:rsidRPr="00EF7399">
        <w:rPr>
          <w:rFonts w:ascii="Times New Roman" w:hAnsi="Times New Roman" w:cs="Times New Roman"/>
          <w:lang w:val="af-ZA"/>
        </w:rPr>
        <w:t>ն</w:t>
      </w:r>
      <w:r w:rsidR="00146C36" w:rsidRPr="00EF7399">
        <w:rPr>
          <w:rFonts w:ascii="Times New Roman" w:hAnsi="Times New Roman" w:cs="Times New Roman"/>
          <w:lang w:val="af-ZA"/>
        </w:rPr>
        <w:t xml:space="preserve"> իշխանությունների հետ հարաբերություններում առանց արհեստակցական միություն ստեղծելու անհրաժեշտության:   </w:t>
      </w:r>
    </w:p>
    <w:p w14:paraId="77A77F19" w14:textId="64F93A86" w:rsidR="00B85C53" w:rsidRPr="00EF7399" w:rsidRDefault="00A83DAB" w:rsidP="00A83DAB">
      <w:pPr>
        <w:pStyle w:val="ECHRHeading2"/>
        <w:numPr>
          <w:ilvl w:val="0"/>
          <w:numId w:val="0"/>
        </w:numPr>
        <w:rPr>
          <w:rFonts w:ascii="Times New Roman" w:hAnsi="Times New Roman" w:cs="Times New Roman"/>
          <w:lang w:val="af-ZA"/>
        </w:rPr>
      </w:pPr>
      <w:bookmarkStart w:id="100" w:name="_Toc159945257"/>
      <w:r>
        <w:rPr>
          <w:rFonts w:ascii="Times New Roman" w:hAnsi="Times New Roman" w:cs="Times New Roman"/>
          <w:iCs/>
          <w:lang w:val="hy-AM"/>
        </w:rPr>
        <w:t xml:space="preserve">Դ․ </w:t>
      </w:r>
      <w:r w:rsidR="00065DE1" w:rsidRPr="00EF7399">
        <w:rPr>
          <w:rFonts w:ascii="Times New Roman" w:hAnsi="Times New Roman" w:cs="Times New Roman"/>
          <w:iCs/>
          <w:lang w:val="af-ZA"/>
        </w:rPr>
        <w:t>Պատժամիջոցներ և զսպող միջոցներ</w:t>
      </w:r>
      <w:bookmarkEnd w:id="100"/>
    </w:p>
    <w:p w14:paraId="6FC3D851" w14:textId="28282790" w:rsidR="00A617AC" w:rsidRPr="00EF7399" w:rsidRDefault="0036651F" w:rsidP="00A617AC">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250</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6C379B" w:rsidRPr="00EF7399">
        <w:rPr>
          <w:rFonts w:ascii="Times New Roman" w:hAnsi="Times New Roman" w:cs="Times New Roman"/>
          <w:iCs/>
          <w:lang w:val="af-ZA"/>
        </w:rPr>
        <w:t>Յուրաքանչյուր աշխատող կամ ծառայող պետք է ունենա արհեստակցական միությանը միանալու կամ չմիանալու ազատություն</w:t>
      </w:r>
      <w:r w:rsidR="00FB3853" w:rsidRPr="00EF7399">
        <w:rPr>
          <w:rFonts w:ascii="Times New Roman" w:hAnsi="Times New Roman" w:cs="Times New Roman"/>
          <w:iCs/>
          <w:lang w:val="hy-AM"/>
        </w:rPr>
        <w:t>՝</w:t>
      </w:r>
      <w:r w:rsidR="006C379B" w:rsidRPr="00EF7399">
        <w:rPr>
          <w:rFonts w:ascii="Times New Roman" w:hAnsi="Times New Roman" w:cs="Times New Roman"/>
          <w:iCs/>
          <w:lang w:val="af-ZA"/>
        </w:rPr>
        <w:t xml:space="preserve"> չենթարկվելով պատժի կամ զսպող միջոցների </w:t>
      </w:r>
      <w:r w:rsidR="00A617AC" w:rsidRPr="00EF7399">
        <w:rPr>
          <w:rFonts w:ascii="Times New Roman" w:hAnsi="Times New Roman" w:cs="Times New Roman"/>
          <w:iCs/>
          <w:lang w:val="af-ZA"/>
        </w:rPr>
        <w:t>(</w:t>
      </w:r>
      <w:hyperlink r:id="rId536" w:history="1">
        <w:r w:rsidR="00A617AC" w:rsidRPr="00EF7399">
          <w:rPr>
            <w:rStyle w:val="Hyperlink"/>
            <w:rFonts w:ascii="Times New Roman" w:hAnsi="Times New Roman" w:cs="Times New Roman"/>
            <w:iCs/>
            <w:lang w:val="af-ZA"/>
          </w:rPr>
          <w:t>Associated Society of Locomotive Engineers and Firemen (ASLEF)</w:t>
        </w:r>
        <w:r w:rsidR="00873234" w:rsidRPr="00EF7399">
          <w:rPr>
            <w:rStyle w:val="Hyperlink"/>
            <w:rFonts w:ascii="Times New Roman" w:hAnsi="Times New Roman" w:cs="Times New Roman"/>
            <w:iCs/>
            <w:lang w:val="af-ZA"/>
          </w:rPr>
          <w:t xml:space="preserve"> v. </w:t>
        </w:r>
        <w:r w:rsidR="00A617AC" w:rsidRPr="00EF7399">
          <w:rPr>
            <w:rStyle w:val="Hyperlink"/>
            <w:rFonts w:ascii="Times New Roman" w:hAnsi="Times New Roman" w:cs="Times New Roman"/>
            <w:iCs/>
            <w:lang w:val="af-ZA"/>
          </w:rPr>
          <w:t>the United Kingdom</w:t>
        </w:r>
      </w:hyperlink>
      <w:r w:rsidR="00A617AC" w:rsidRPr="00EF7399">
        <w:rPr>
          <w:rFonts w:ascii="Times New Roman" w:hAnsi="Times New Roman" w:cs="Times New Roman"/>
          <w:iCs/>
          <w:lang w:val="af-ZA"/>
        </w:rPr>
        <w:t xml:space="preserve">, </w:t>
      </w:r>
      <w:r w:rsidR="001821E6" w:rsidRPr="00EF7399">
        <w:rPr>
          <w:rFonts w:ascii="Times New Roman" w:hAnsi="Times New Roman" w:cs="Times New Roman"/>
          <w:lang w:val="af-ZA"/>
        </w:rPr>
        <w:t xml:space="preserve">2007, </w:t>
      </w:r>
      <w:r w:rsidR="00873234" w:rsidRPr="00EF7399">
        <w:rPr>
          <w:rFonts w:ascii="Times New Roman" w:hAnsi="Times New Roman" w:cs="Times New Roman"/>
          <w:iCs/>
          <w:lang w:val="af-ZA"/>
        </w:rPr>
        <w:t>§ </w:t>
      </w:r>
      <w:r w:rsidR="00A617AC" w:rsidRPr="00EF7399">
        <w:rPr>
          <w:rFonts w:ascii="Times New Roman" w:hAnsi="Times New Roman" w:cs="Times New Roman"/>
          <w:iCs/>
          <w:lang w:val="af-ZA"/>
        </w:rPr>
        <w:t>39)</w:t>
      </w:r>
      <w:r w:rsidR="006C379B" w:rsidRPr="00EF7399">
        <w:rPr>
          <w:rFonts w:ascii="Times New Roman" w:hAnsi="Times New Roman" w:cs="Times New Roman"/>
          <w:iCs/>
          <w:lang w:val="af-ZA"/>
        </w:rPr>
        <w:t>:</w:t>
      </w:r>
    </w:p>
    <w:p w14:paraId="474E8D8B" w14:textId="59028D3F" w:rsidR="00A617AC" w:rsidRPr="00EF7399" w:rsidRDefault="00A617AC" w:rsidP="00A617AC">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251</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6C379B" w:rsidRPr="00EF7399">
        <w:rPr>
          <w:rFonts w:ascii="Times New Roman" w:hAnsi="Times New Roman" w:cs="Times New Roman"/>
          <w:iCs/>
          <w:lang w:val="af-ZA"/>
        </w:rPr>
        <w:t>Արհեստակցական միության միանալու իրավունքի էությունն այն է, որ աշխատողներ</w:t>
      </w:r>
      <w:r w:rsidR="00FC501D" w:rsidRPr="00EF7399">
        <w:rPr>
          <w:rFonts w:ascii="Times New Roman" w:hAnsi="Times New Roman" w:cs="Times New Roman"/>
          <w:iCs/>
          <w:lang w:val="af-ZA"/>
        </w:rPr>
        <w:t>ը</w:t>
      </w:r>
      <w:r w:rsidR="006C379B" w:rsidRPr="00EF7399">
        <w:rPr>
          <w:rFonts w:ascii="Times New Roman" w:hAnsi="Times New Roman" w:cs="Times New Roman"/>
          <w:iCs/>
          <w:lang w:val="af-ZA"/>
        </w:rPr>
        <w:t xml:space="preserve"> պետք է ազա</w:t>
      </w:r>
      <w:r w:rsidR="00FC501D" w:rsidRPr="00EF7399">
        <w:rPr>
          <w:rFonts w:ascii="Times New Roman" w:hAnsi="Times New Roman" w:cs="Times New Roman"/>
          <w:iCs/>
          <w:lang w:val="af-ZA"/>
        </w:rPr>
        <w:t>տորեն</w:t>
      </w:r>
      <w:r w:rsidR="006C379B" w:rsidRPr="00EF7399">
        <w:rPr>
          <w:rFonts w:ascii="Times New Roman" w:hAnsi="Times New Roman" w:cs="Times New Roman"/>
          <w:iCs/>
          <w:lang w:val="af-ZA"/>
        </w:rPr>
        <w:t xml:space="preserve"> հանձնարարեն միությանը </w:t>
      </w:r>
      <w:r w:rsidR="008B2103" w:rsidRPr="00EF7399">
        <w:rPr>
          <w:rFonts w:ascii="Times New Roman" w:hAnsi="Times New Roman" w:cs="Times New Roman"/>
          <w:iCs/>
          <w:lang w:val="af-ZA"/>
        </w:rPr>
        <w:t>հանդես գալ իրենց գործատուին ուղղված հայտարարություններով</w:t>
      </w:r>
      <w:r w:rsidR="006C379B" w:rsidRPr="00EF7399">
        <w:rPr>
          <w:rFonts w:ascii="Times New Roman" w:hAnsi="Times New Roman" w:cs="Times New Roman"/>
          <w:iCs/>
          <w:lang w:val="af-ZA"/>
        </w:rPr>
        <w:t xml:space="preserve"> </w:t>
      </w:r>
      <w:r w:rsidR="008B2103" w:rsidRPr="00EF7399">
        <w:rPr>
          <w:rFonts w:ascii="Times New Roman" w:hAnsi="Times New Roman" w:cs="Times New Roman"/>
          <w:iCs/>
          <w:lang w:val="af-ZA"/>
        </w:rPr>
        <w:t xml:space="preserve">կամ ձեռնարկել իրենց շահերի պաշտպանությանն ուղղված գործողություններ: Պետության դերն է երաշխավորել, որ արհեստակցական միության անդամներին չխոչընդոտեն կամ չարգելեն օգտվել միությունից որպես իրենց ներկայացուցիչ  </w:t>
      </w:r>
      <w:r w:rsidRPr="00EF7399">
        <w:rPr>
          <w:rFonts w:ascii="Times New Roman" w:hAnsi="Times New Roman" w:cs="Times New Roman"/>
          <w:iCs/>
          <w:lang w:val="af-ZA"/>
        </w:rPr>
        <w:t>(</w:t>
      </w:r>
      <w:hyperlink r:id="rId537" w:history="1">
        <w:r w:rsidR="00C36743" w:rsidRPr="00EF7399">
          <w:rPr>
            <w:rStyle w:val="Hyperlink"/>
            <w:rFonts w:ascii="Times New Roman" w:hAnsi="Times New Roman" w:cs="Times New Roman"/>
            <w:iCs/>
            <w:lang w:val="af-ZA"/>
          </w:rPr>
          <w:t>Wilson, National Union of Journalists and Others</w:t>
        </w:r>
        <w:r w:rsidR="00873234" w:rsidRPr="00EF7399">
          <w:rPr>
            <w:rStyle w:val="Hyperlink"/>
            <w:rFonts w:ascii="Times New Roman" w:hAnsi="Times New Roman" w:cs="Times New Roman"/>
            <w:iCs/>
            <w:lang w:val="af-ZA"/>
          </w:rPr>
          <w:t xml:space="preserve"> v. </w:t>
        </w:r>
        <w:r w:rsidR="00C36743" w:rsidRPr="00EF7399">
          <w:rPr>
            <w:rStyle w:val="Hyperlink"/>
            <w:rFonts w:ascii="Times New Roman" w:hAnsi="Times New Roman" w:cs="Times New Roman"/>
            <w:iCs/>
            <w:lang w:val="af-ZA"/>
          </w:rPr>
          <w:t>the United Kingdom</w:t>
        </w:r>
      </w:hyperlink>
      <w:r w:rsidRPr="00EF7399">
        <w:rPr>
          <w:rFonts w:ascii="Times New Roman" w:hAnsi="Times New Roman" w:cs="Times New Roman"/>
          <w:iCs/>
          <w:lang w:val="af-ZA"/>
        </w:rPr>
        <w:t xml:space="preserve">, </w:t>
      </w:r>
      <w:r w:rsidR="002A3689" w:rsidRPr="00EF7399">
        <w:rPr>
          <w:rFonts w:ascii="Times New Roman" w:hAnsi="Times New Roman" w:cs="Times New Roman"/>
          <w:lang w:val="af-ZA"/>
        </w:rPr>
        <w:t xml:space="preserve">2002, </w:t>
      </w:r>
      <w:r w:rsidR="00873234" w:rsidRPr="00EF7399">
        <w:rPr>
          <w:rFonts w:ascii="Times New Roman" w:hAnsi="Times New Roman" w:cs="Times New Roman"/>
          <w:iCs/>
          <w:lang w:val="af-ZA"/>
        </w:rPr>
        <w:t>§ </w:t>
      </w:r>
      <w:r w:rsidRPr="00EF7399">
        <w:rPr>
          <w:rFonts w:ascii="Times New Roman" w:hAnsi="Times New Roman" w:cs="Times New Roman"/>
          <w:iCs/>
          <w:lang w:val="af-ZA"/>
        </w:rPr>
        <w:t xml:space="preserve">46, </w:t>
      </w:r>
      <w:r w:rsidR="008B2103" w:rsidRPr="00EF7399">
        <w:rPr>
          <w:rFonts w:ascii="Times New Roman" w:hAnsi="Times New Roman" w:cs="Times New Roman"/>
          <w:iCs/>
          <w:lang w:val="af-ZA"/>
        </w:rPr>
        <w:t>որտեղ գործատուներն օգտագործել են ֆինանսական խթաններ, որ համոզեն աշխատողներին հրաժարվել արհմիութենական կարևոր իրավունքներից</w:t>
      </w:r>
      <w:r w:rsidR="00FB3853" w:rsidRPr="00EF7399">
        <w:rPr>
          <w:rFonts w:ascii="Times New Roman" w:hAnsi="Times New Roman" w:cs="Times New Roman"/>
          <w:iCs/>
          <w:lang w:val="hy-AM"/>
        </w:rPr>
        <w:t>՝</w:t>
      </w:r>
      <w:r w:rsidR="008B2103" w:rsidRPr="00EF7399">
        <w:rPr>
          <w:rFonts w:ascii="Times New Roman" w:hAnsi="Times New Roman" w:cs="Times New Roman"/>
          <w:iCs/>
          <w:lang w:val="af-ZA"/>
        </w:rPr>
        <w:t xml:space="preserve"> այդպիսով խարխլելով իր անդամների շահերի պաշտպանության համար արհեստակցական միության պայքարելու կարողությունը</w:t>
      </w:r>
      <w:r w:rsidRPr="00EF7399">
        <w:rPr>
          <w:rFonts w:ascii="Times New Roman" w:hAnsi="Times New Roman" w:cs="Times New Roman"/>
          <w:iCs/>
          <w:lang w:val="af-ZA"/>
        </w:rPr>
        <w:t>)</w:t>
      </w:r>
      <w:r w:rsidR="008B2103" w:rsidRPr="00EF7399">
        <w:rPr>
          <w:rFonts w:ascii="Times New Roman" w:hAnsi="Times New Roman" w:cs="Times New Roman"/>
          <w:iCs/>
          <w:lang w:val="af-ZA"/>
        </w:rPr>
        <w:t>:</w:t>
      </w:r>
    </w:p>
    <w:p w14:paraId="2B98D98D" w14:textId="49929927" w:rsidR="00A617AC" w:rsidRPr="00EF7399" w:rsidRDefault="00A617AC" w:rsidP="00A617AC">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252</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2D42B6" w:rsidRPr="00EF7399">
        <w:rPr>
          <w:rFonts w:ascii="Times New Roman" w:hAnsi="Times New Roman" w:cs="Times New Roman"/>
          <w:iCs/>
          <w:lang w:val="af-ZA"/>
        </w:rPr>
        <w:t>Արդյունավետ և իմաստալից արհմիութենական իրավունք</w:t>
      </w:r>
      <w:r w:rsidR="00FB3853" w:rsidRPr="00EF7399">
        <w:rPr>
          <w:rFonts w:ascii="Times New Roman" w:hAnsi="Times New Roman" w:cs="Times New Roman"/>
          <w:iCs/>
          <w:lang w:val="hy-AM"/>
        </w:rPr>
        <w:t>ն</w:t>
      </w:r>
      <w:r w:rsidR="002D42B6" w:rsidRPr="00EF7399">
        <w:rPr>
          <w:rFonts w:ascii="Times New Roman" w:hAnsi="Times New Roman" w:cs="Times New Roman"/>
          <w:iCs/>
          <w:lang w:val="af-ZA"/>
        </w:rPr>
        <w:t xml:space="preserve">եր ապահովելու նպատակով ազգային իշխանությունները պետք է երաշխավորեն, որ ոչ համաչափ պատիժները </w:t>
      </w:r>
      <w:r w:rsidR="00726EA6" w:rsidRPr="00EF7399">
        <w:rPr>
          <w:rFonts w:ascii="Times New Roman" w:hAnsi="Times New Roman" w:cs="Times New Roman"/>
          <w:iCs/>
          <w:lang w:val="af-ZA"/>
        </w:rPr>
        <w:t>հետ չպահեն</w:t>
      </w:r>
      <w:r w:rsidR="002D42B6" w:rsidRPr="00EF7399">
        <w:rPr>
          <w:rFonts w:ascii="Times New Roman" w:hAnsi="Times New Roman" w:cs="Times New Roman"/>
          <w:iCs/>
          <w:lang w:val="af-ZA"/>
        </w:rPr>
        <w:t xml:space="preserve"> արհեստակցական միության ներկայացուցիչների</w:t>
      </w:r>
      <w:r w:rsidR="00726EA6" w:rsidRPr="00EF7399">
        <w:rPr>
          <w:rFonts w:ascii="Times New Roman" w:hAnsi="Times New Roman" w:cs="Times New Roman"/>
          <w:iCs/>
          <w:lang w:val="af-ZA"/>
        </w:rPr>
        <w:t>ն</w:t>
      </w:r>
      <w:r w:rsidR="002D42B6" w:rsidRPr="00EF7399">
        <w:rPr>
          <w:rFonts w:ascii="Times New Roman" w:hAnsi="Times New Roman" w:cs="Times New Roman"/>
          <w:iCs/>
          <w:lang w:val="af-ZA"/>
        </w:rPr>
        <w:t xml:space="preserve"> իրենց անդամների շահերը բարձրաձայնելուց և</w:t>
      </w:r>
      <w:r w:rsidR="00726EA6" w:rsidRPr="00EF7399">
        <w:rPr>
          <w:rFonts w:ascii="Times New Roman" w:hAnsi="Times New Roman" w:cs="Times New Roman"/>
          <w:iCs/>
          <w:lang w:val="af-ZA"/>
        </w:rPr>
        <w:t xml:space="preserve"> պաշտպանելուց </w:t>
      </w:r>
      <w:r w:rsidRPr="00EF7399">
        <w:rPr>
          <w:rFonts w:ascii="Times New Roman" w:hAnsi="Times New Roman" w:cs="Times New Roman"/>
          <w:iCs/>
          <w:lang w:val="af-ZA"/>
        </w:rPr>
        <w:t>(</w:t>
      </w:r>
      <w:hyperlink r:id="rId538" w:history="1">
        <w:r w:rsidR="00594F9D" w:rsidRPr="00EF7399">
          <w:rPr>
            <w:rStyle w:val="Hyperlink"/>
            <w:rFonts w:ascii="Times New Roman" w:hAnsi="Times New Roman" w:cs="Times New Roman"/>
            <w:iCs/>
            <w:lang w:val="af-ZA"/>
          </w:rPr>
          <w:t>Trade Union of the Police in the Slovak Republic and Others</w:t>
        </w:r>
        <w:r w:rsidR="00873234" w:rsidRPr="00EF7399">
          <w:rPr>
            <w:rStyle w:val="Hyperlink"/>
            <w:rFonts w:ascii="Times New Roman" w:hAnsi="Times New Roman" w:cs="Times New Roman"/>
            <w:iCs/>
            <w:lang w:val="af-ZA"/>
          </w:rPr>
          <w:t xml:space="preserve"> v. </w:t>
        </w:r>
        <w:r w:rsidR="00594F9D" w:rsidRPr="00EF7399">
          <w:rPr>
            <w:rStyle w:val="Hyperlink"/>
            <w:rFonts w:ascii="Times New Roman" w:hAnsi="Times New Roman" w:cs="Times New Roman"/>
            <w:iCs/>
            <w:lang w:val="af-ZA"/>
          </w:rPr>
          <w:t>Slovakia</w:t>
        </w:r>
      </w:hyperlink>
      <w:r w:rsidRPr="00EF7399">
        <w:rPr>
          <w:rFonts w:ascii="Times New Roman" w:hAnsi="Times New Roman" w:cs="Times New Roman"/>
          <w:iCs/>
          <w:lang w:val="af-ZA"/>
        </w:rPr>
        <w:t xml:space="preserve">, </w:t>
      </w:r>
      <w:r w:rsidR="002A3689" w:rsidRPr="00EF7399">
        <w:rPr>
          <w:rFonts w:ascii="Times New Roman" w:hAnsi="Times New Roman" w:cs="Times New Roman"/>
          <w:lang w:val="af-ZA"/>
        </w:rPr>
        <w:t xml:space="preserve">2012, </w:t>
      </w:r>
      <w:r w:rsidR="00873234" w:rsidRPr="00EF7399">
        <w:rPr>
          <w:rFonts w:ascii="Times New Roman" w:hAnsi="Times New Roman" w:cs="Times New Roman"/>
          <w:iCs/>
          <w:lang w:val="af-ZA"/>
        </w:rPr>
        <w:t>§ </w:t>
      </w:r>
      <w:r w:rsidRPr="00EF7399">
        <w:rPr>
          <w:rFonts w:ascii="Times New Roman" w:hAnsi="Times New Roman" w:cs="Times New Roman"/>
          <w:iCs/>
          <w:lang w:val="af-ZA"/>
        </w:rPr>
        <w:t>55)</w:t>
      </w:r>
      <w:r w:rsidR="00726EA6" w:rsidRPr="00EF7399">
        <w:rPr>
          <w:rFonts w:ascii="Times New Roman" w:hAnsi="Times New Roman" w:cs="Times New Roman"/>
          <w:iCs/>
          <w:lang w:val="af-ZA"/>
        </w:rPr>
        <w:t xml:space="preserve">: Երբ հայտարարություններն ակնհայտորեն կապված են արհեստակցական միության գործունեության հետ, դրանց համար պատժի կիրառումը դժվար   </w:t>
      </w:r>
      <w:r w:rsidR="00A5070E" w:rsidRPr="00EF7399">
        <w:rPr>
          <w:rFonts w:ascii="Times New Roman" w:hAnsi="Times New Roman" w:cs="Times New Roman"/>
          <w:iCs/>
          <w:lang w:val="af-ZA"/>
        </w:rPr>
        <w:t xml:space="preserve"> </w:t>
      </w:r>
      <w:r w:rsidR="00726EA6" w:rsidRPr="00EF7399">
        <w:rPr>
          <w:rFonts w:ascii="Times New Roman" w:hAnsi="Times New Roman" w:cs="Times New Roman"/>
          <w:iCs/>
          <w:lang w:val="af-ZA"/>
        </w:rPr>
        <w:t>է համադրել արհեստակցական միության ղեկավարի իրավունքների հետ:</w:t>
      </w:r>
    </w:p>
    <w:p w14:paraId="21DEB7B6" w14:textId="6FD4C0B0" w:rsidR="00B85C53" w:rsidRPr="00EF7399" w:rsidRDefault="00A617AC" w:rsidP="00A617AC">
      <w:pPr>
        <w:pStyle w:val="ECHRParaSpaced"/>
        <w:rPr>
          <w:rFonts w:ascii="Times New Roman" w:hAnsi="Times New Roman" w:cs="Times New Roman"/>
          <w:iCs/>
          <w:lang w:val="hy-AM"/>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253</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3C2E48" w:rsidRPr="00EF7399">
        <w:rPr>
          <w:rFonts w:ascii="Times New Roman" w:hAnsi="Times New Roman" w:cs="Times New Roman"/>
          <w:iCs/>
          <w:lang w:val="af-ZA"/>
        </w:rPr>
        <w:t>Իրենց գործունեության համար ա</w:t>
      </w:r>
      <w:r w:rsidR="00726EA6" w:rsidRPr="00EF7399">
        <w:rPr>
          <w:rFonts w:ascii="Times New Roman" w:hAnsi="Times New Roman" w:cs="Times New Roman"/>
          <w:iCs/>
          <w:lang w:val="af-ZA"/>
        </w:rPr>
        <w:t xml:space="preserve">րհեստակցական միության անդամների նկատմամբ </w:t>
      </w:r>
      <w:r w:rsidR="003C2E48" w:rsidRPr="00EF7399">
        <w:rPr>
          <w:rFonts w:ascii="Times New Roman" w:hAnsi="Times New Roman" w:cs="Times New Roman"/>
          <w:iCs/>
          <w:lang w:val="af-ZA"/>
        </w:rPr>
        <w:t xml:space="preserve">կիրառված </w:t>
      </w:r>
      <w:r w:rsidR="00726EA6" w:rsidRPr="00EF7399">
        <w:rPr>
          <w:rFonts w:ascii="Times New Roman" w:hAnsi="Times New Roman" w:cs="Times New Roman"/>
          <w:iCs/>
          <w:lang w:val="af-ZA"/>
        </w:rPr>
        <w:t>քրեական կամ կարգապահական պատիժներ</w:t>
      </w:r>
      <w:r w:rsidR="003C2E48" w:rsidRPr="00EF7399">
        <w:rPr>
          <w:rFonts w:ascii="Times New Roman" w:hAnsi="Times New Roman" w:cs="Times New Roman"/>
          <w:iCs/>
          <w:lang w:val="af-ZA"/>
        </w:rPr>
        <w:t>ը</w:t>
      </w:r>
      <w:r w:rsidR="00726EA6" w:rsidRPr="00EF7399">
        <w:rPr>
          <w:rFonts w:ascii="Times New Roman" w:hAnsi="Times New Roman" w:cs="Times New Roman"/>
          <w:iCs/>
          <w:lang w:val="af-ZA"/>
        </w:rPr>
        <w:t xml:space="preserve"> </w:t>
      </w:r>
      <w:r w:rsidR="003C2E48" w:rsidRPr="00EF7399">
        <w:rPr>
          <w:rFonts w:ascii="Times New Roman" w:hAnsi="Times New Roman" w:cs="Times New Roman"/>
          <w:iCs/>
          <w:lang w:val="af-ZA"/>
        </w:rPr>
        <w:t>կարող են խոչընդոտել նրանց իրավաչափ մասնակցությունը գործադուլներին կամ այլ գործողություններին</w:t>
      </w:r>
      <w:r w:rsidR="00AF4798" w:rsidRPr="00EF7399">
        <w:rPr>
          <w:rFonts w:ascii="Times New Roman" w:hAnsi="Times New Roman" w:cs="Times New Roman"/>
          <w:iCs/>
          <w:lang w:val="af-ZA"/>
        </w:rPr>
        <w:t>,</w:t>
      </w:r>
      <w:r w:rsidR="003C2E48" w:rsidRPr="00EF7399">
        <w:rPr>
          <w:rFonts w:ascii="Times New Roman" w:hAnsi="Times New Roman" w:cs="Times New Roman"/>
          <w:iCs/>
          <w:lang w:val="af-ZA"/>
        </w:rPr>
        <w:t xml:space="preserve"> որոնք ուղղված են մասնագիտական շահերի պաշտպանությանը, և դրանք համարվել են չհիմնավորված </w:t>
      </w:r>
      <w:r w:rsidRPr="00EF7399">
        <w:rPr>
          <w:rFonts w:ascii="Times New Roman" w:hAnsi="Times New Roman" w:cs="Times New Roman"/>
          <w:iCs/>
          <w:lang w:val="af-ZA"/>
        </w:rPr>
        <w:t>(</w:t>
      </w:r>
      <w:hyperlink r:id="rId539" w:history="1">
        <w:r w:rsidRPr="00E7226F">
          <w:rPr>
            <w:rStyle w:val="Hyperlink"/>
            <w:rFonts w:ascii="Times New Roman" w:hAnsi="Times New Roman" w:cs="Times New Roman"/>
            <w:iCs/>
            <w:lang w:val="af-ZA"/>
          </w:rPr>
          <w:t>Ognevenko</w:t>
        </w:r>
        <w:r w:rsidR="00873234" w:rsidRPr="00E7226F">
          <w:rPr>
            <w:rStyle w:val="Hyperlink"/>
            <w:rFonts w:ascii="Times New Roman" w:hAnsi="Times New Roman" w:cs="Times New Roman"/>
            <w:iCs/>
            <w:lang w:val="af-ZA"/>
          </w:rPr>
          <w:t xml:space="preserve"> v. </w:t>
        </w:r>
        <w:r w:rsidRPr="00E7226F">
          <w:rPr>
            <w:rStyle w:val="Hyperlink"/>
            <w:rFonts w:ascii="Times New Roman" w:hAnsi="Times New Roman" w:cs="Times New Roman"/>
            <w:iCs/>
            <w:lang w:val="af-ZA"/>
          </w:rPr>
          <w:t>Russia</w:t>
        </w:r>
      </w:hyperlink>
      <w:r w:rsidRPr="00E7226F">
        <w:rPr>
          <w:rFonts w:ascii="Times New Roman" w:hAnsi="Times New Roman" w:cs="Times New Roman"/>
          <w:iCs/>
          <w:lang w:val="af-ZA"/>
        </w:rPr>
        <w:t xml:space="preserve">, </w:t>
      </w:r>
      <w:r w:rsidR="002A3689" w:rsidRPr="00E7226F">
        <w:rPr>
          <w:rFonts w:ascii="Times New Roman" w:hAnsi="Times New Roman" w:cs="Times New Roman"/>
          <w:iCs/>
          <w:lang w:val="af-ZA"/>
        </w:rPr>
        <w:t xml:space="preserve">2018, </w:t>
      </w:r>
      <w:r w:rsidR="00873234" w:rsidRPr="00E7226F">
        <w:rPr>
          <w:rFonts w:ascii="Times New Roman" w:hAnsi="Times New Roman" w:cs="Times New Roman"/>
          <w:iCs/>
          <w:lang w:val="af-ZA"/>
        </w:rPr>
        <w:t>§ </w:t>
      </w:r>
      <w:r w:rsidRPr="00E7226F">
        <w:rPr>
          <w:rFonts w:ascii="Times New Roman" w:hAnsi="Times New Roman" w:cs="Times New Roman"/>
          <w:iCs/>
          <w:lang w:val="af-ZA"/>
        </w:rPr>
        <w:t xml:space="preserve">84; </w:t>
      </w:r>
      <w:hyperlink r:id="rId540" w:history="1">
        <w:r w:rsidRPr="00E7226F">
          <w:rPr>
            <w:rStyle w:val="Hyperlink"/>
            <w:rFonts w:ascii="Times New Roman" w:hAnsi="Times New Roman" w:cs="Times New Roman"/>
            <w:iCs/>
            <w:lang w:val="af-ZA"/>
          </w:rPr>
          <w:t>Karaçay</w:t>
        </w:r>
        <w:r w:rsidR="00873234" w:rsidRPr="00E7226F">
          <w:rPr>
            <w:rStyle w:val="Hyperlink"/>
            <w:rFonts w:ascii="Times New Roman" w:hAnsi="Times New Roman" w:cs="Times New Roman"/>
            <w:iCs/>
            <w:lang w:val="af-ZA"/>
          </w:rPr>
          <w:t xml:space="preserve"> v. </w:t>
        </w:r>
        <w:r w:rsidRPr="00E7226F">
          <w:rPr>
            <w:rStyle w:val="Hyperlink"/>
            <w:rFonts w:ascii="Times New Roman" w:hAnsi="Times New Roman" w:cs="Times New Roman"/>
            <w:iCs/>
            <w:lang w:val="af-ZA"/>
          </w:rPr>
          <w:t>Turkey</w:t>
        </w:r>
      </w:hyperlink>
      <w:r w:rsidRPr="00E7226F">
        <w:rPr>
          <w:rFonts w:ascii="Times New Roman" w:hAnsi="Times New Roman" w:cs="Times New Roman"/>
          <w:iCs/>
          <w:lang w:val="af-ZA"/>
        </w:rPr>
        <w:t xml:space="preserve">, </w:t>
      </w:r>
      <w:r w:rsidR="002A3689" w:rsidRPr="00E7226F">
        <w:rPr>
          <w:rFonts w:ascii="Times New Roman" w:hAnsi="Times New Roman" w:cs="Times New Roman"/>
          <w:iCs/>
          <w:lang w:val="af-ZA"/>
        </w:rPr>
        <w:t xml:space="preserve">2007, </w:t>
      </w:r>
      <w:r w:rsidR="00873234" w:rsidRPr="00E7226F">
        <w:rPr>
          <w:rFonts w:ascii="Times New Roman" w:hAnsi="Times New Roman" w:cs="Times New Roman"/>
          <w:iCs/>
          <w:lang w:val="af-ZA"/>
        </w:rPr>
        <w:t>§ </w:t>
      </w:r>
      <w:r w:rsidRPr="00E7226F">
        <w:rPr>
          <w:rFonts w:ascii="Times New Roman" w:hAnsi="Times New Roman" w:cs="Times New Roman"/>
          <w:iCs/>
          <w:lang w:val="af-ZA"/>
        </w:rPr>
        <w:t xml:space="preserve">37; </w:t>
      </w:r>
      <w:hyperlink r:id="rId541" w:history="1">
        <w:r w:rsidR="00594F9D" w:rsidRPr="00E7226F">
          <w:rPr>
            <w:rStyle w:val="Hyperlink"/>
            <w:rFonts w:ascii="Times New Roman" w:hAnsi="Times New Roman" w:cs="Times New Roman"/>
            <w:iCs/>
            <w:lang w:val="af-ZA"/>
          </w:rPr>
          <w:t>Urcan and Others</w:t>
        </w:r>
        <w:r w:rsidR="00873234" w:rsidRPr="00E7226F">
          <w:rPr>
            <w:rStyle w:val="Hyperlink"/>
            <w:rFonts w:ascii="Times New Roman" w:hAnsi="Times New Roman" w:cs="Times New Roman"/>
            <w:iCs/>
            <w:lang w:val="af-ZA"/>
          </w:rPr>
          <w:t xml:space="preserve"> v. </w:t>
        </w:r>
        <w:r w:rsidR="00594F9D" w:rsidRPr="00E7226F">
          <w:rPr>
            <w:rStyle w:val="Hyperlink"/>
            <w:rFonts w:ascii="Times New Roman" w:hAnsi="Times New Roman" w:cs="Times New Roman"/>
            <w:iCs/>
            <w:lang w:val="af-ZA"/>
          </w:rPr>
          <w:t>Turkey</w:t>
        </w:r>
      </w:hyperlink>
      <w:r w:rsidRPr="00E7226F">
        <w:rPr>
          <w:rFonts w:ascii="Times New Roman" w:hAnsi="Times New Roman" w:cs="Times New Roman"/>
          <w:iCs/>
          <w:lang w:val="af-ZA"/>
        </w:rPr>
        <w:t xml:space="preserve">, </w:t>
      </w:r>
      <w:r w:rsidR="002A3689" w:rsidRPr="00E7226F">
        <w:rPr>
          <w:rFonts w:ascii="Times New Roman" w:hAnsi="Times New Roman" w:cs="Times New Roman"/>
          <w:iCs/>
          <w:lang w:val="af-ZA"/>
        </w:rPr>
        <w:t xml:space="preserve">2008, </w:t>
      </w:r>
      <w:r w:rsidR="00873234" w:rsidRPr="00E7226F">
        <w:rPr>
          <w:rFonts w:ascii="Times New Roman" w:hAnsi="Times New Roman" w:cs="Times New Roman"/>
          <w:iCs/>
          <w:lang w:val="af-ZA"/>
        </w:rPr>
        <w:t>§ </w:t>
      </w:r>
      <w:r w:rsidRPr="00E7226F">
        <w:rPr>
          <w:rFonts w:ascii="Times New Roman" w:hAnsi="Times New Roman" w:cs="Times New Roman"/>
          <w:iCs/>
          <w:lang w:val="af-ZA"/>
        </w:rPr>
        <w:t xml:space="preserve">34; </w:t>
      </w:r>
      <w:hyperlink r:id="rId542" w:history="1">
        <w:r w:rsidRPr="00E7226F">
          <w:rPr>
            <w:rStyle w:val="Hyperlink"/>
            <w:rFonts w:ascii="Times New Roman" w:hAnsi="Times New Roman" w:cs="Times New Roman"/>
            <w:iCs/>
            <w:lang w:val="af-ZA"/>
          </w:rPr>
          <w:t>Doğan Altun</w:t>
        </w:r>
        <w:r w:rsidR="00873234" w:rsidRPr="00E7226F">
          <w:rPr>
            <w:rStyle w:val="Hyperlink"/>
            <w:rFonts w:ascii="Times New Roman" w:hAnsi="Times New Roman" w:cs="Times New Roman"/>
            <w:iCs/>
            <w:lang w:val="af-ZA"/>
          </w:rPr>
          <w:t xml:space="preserve"> v. </w:t>
        </w:r>
        <w:r w:rsidRPr="00E7226F">
          <w:rPr>
            <w:rStyle w:val="Hyperlink"/>
            <w:rFonts w:ascii="Times New Roman" w:hAnsi="Times New Roman" w:cs="Times New Roman"/>
            <w:iCs/>
            <w:lang w:val="af-ZA"/>
          </w:rPr>
          <w:t>Turkey</w:t>
        </w:r>
      </w:hyperlink>
      <w:r w:rsidRPr="00E7226F">
        <w:rPr>
          <w:rFonts w:ascii="Times New Roman" w:hAnsi="Times New Roman" w:cs="Times New Roman"/>
          <w:iCs/>
          <w:lang w:val="af-ZA"/>
        </w:rPr>
        <w:t xml:space="preserve">, </w:t>
      </w:r>
      <w:r w:rsidR="002A3689" w:rsidRPr="00E7226F">
        <w:rPr>
          <w:rFonts w:ascii="Times New Roman" w:hAnsi="Times New Roman" w:cs="Times New Roman"/>
          <w:iCs/>
          <w:lang w:val="af-ZA"/>
        </w:rPr>
        <w:t xml:space="preserve">2015, </w:t>
      </w:r>
      <w:r w:rsidR="00873234" w:rsidRPr="00E7226F">
        <w:rPr>
          <w:rFonts w:ascii="Times New Roman" w:hAnsi="Times New Roman" w:cs="Times New Roman"/>
          <w:iCs/>
          <w:lang w:val="af-ZA"/>
        </w:rPr>
        <w:t>§ </w:t>
      </w:r>
      <w:r w:rsidRPr="00E7226F">
        <w:rPr>
          <w:rFonts w:ascii="Times New Roman" w:hAnsi="Times New Roman" w:cs="Times New Roman"/>
          <w:iCs/>
          <w:lang w:val="af-ZA"/>
        </w:rPr>
        <w:t>50</w:t>
      </w:r>
      <w:r w:rsidR="00873234" w:rsidRPr="00E7226F">
        <w:rPr>
          <w:rFonts w:ascii="Times New Roman" w:hAnsi="Times New Roman" w:cs="Times New Roman"/>
          <w:iCs/>
          <w:lang w:val="af-ZA"/>
        </w:rPr>
        <w:t xml:space="preserve">; </w:t>
      </w:r>
      <w:hyperlink r:id="rId543" w:history="1">
        <w:r w:rsidR="00873234" w:rsidRPr="00E7226F">
          <w:rPr>
            <w:rStyle w:val="Hyperlink"/>
            <w:rFonts w:ascii="Times New Roman" w:hAnsi="Times New Roman" w:cs="Times New Roman"/>
            <w:iCs/>
            <w:lang w:val="af-ZA"/>
          </w:rPr>
          <w:t>Straume v. Latvia</w:t>
        </w:r>
      </w:hyperlink>
      <w:r w:rsidR="00021516" w:rsidRPr="00E7226F">
        <w:rPr>
          <w:rFonts w:ascii="Times New Roman" w:hAnsi="Times New Roman" w:cs="Times New Roman"/>
          <w:iCs/>
          <w:lang w:val="af-ZA"/>
        </w:rPr>
        <w:t xml:space="preserve">, 2022, </w:t>
      </w:r>
      <w:r w:rsidR="00873234" w:rsidRPr="00E7226F">
        <w:rPr>
          <w:rFonts w:ascii="Times New Roman" w:hAnsi="Times New Roman" w:cs="Times New Roman"/>
          <w:iCs/>
          <w:lang w:val="af-ZA"/>
        </w:rPr>
        <w:t>§ </w:t>
      </w:r>
      <w:r w:rsidR="00021516" w:rsidRPr="00E7226F">
        <w:rPr>
          <w:rFonts w:ascii="Times New Roman" w:hAnsi="Times New Roman" w:cs="Times New Roman"/>
          <w:iCs/>
          <w:lang w:val="af-ZA"/>
        </w:rPr>
        <w:t>112</w:t>
      </w:r>
      <w:r w:rsidRPr="00E7226F">
        <w:rPr>
          <w:rFonts w:ascii="Times New Roman" w:hAnsi="Times New Roman" w:cs="Times New Roman"/>
          <w:iCs/>
          <w:lang w:val="af-ZA"/>
        </w:rPr>
        <w:t>)</w:t>
      </w:r>
      <w:r w:rsidR="003C2E48" w:rsidRPr="00E7226F">
        <w:rPr>
          <w:rFonts w:ascii="Times New Roman" w:hAnsi="Times New Roman" w:cs="Times New Roman"/>
          <w:iCs/>
          <w:lang w:val="af-ZA"/>
        </w:rPr>
        <w:t>:</w:t>
      </w:r>
      <w:r w:rsidR="00EB149C" w:rsidRPr="00E7226F">
        <w:rPr>
          <w:rFonts w:ascii="Times New Roman" w:hAnsi="Times New Roman" w:cs="Times New Roman"/>
          <w:iCs/>
          <w:lang w:val="hy-AM"/>
        </w:rPr>
        <w:t xml:space="preserve"> </w:t>
      </w:r>
      <w:r w:rsidR="00E7226F" w:rsidRPr="00E7226F">
        <w:rPr>
          <w:rFonts w:ascii="Times New Roman" w:hAnsi="Times New Roman" w:cs="Times New Roman"/>
          <w:iCs/>
          <w:lang w:val="af-ZA"/>
        </w:rPr>
        <w:t xml:space="preserve">Նույնիսկ նվազագույն պատժամիջոցները խոչընդոտում են արհեստակցական միության անդամներին ազատորեն զբաղվել իրենց գործունեությամբ </w:t>
      </w:r>
      <w:r w:rsidR="00E7226F" w:rsidRPr="00E7226F">
        <w:rPr>
          <w:rFonts w:ascii="Times New Roman" w:hAnsi="Times New Roman" w:cs="Times New Roman"/>
          <w:iCs/>
          <w:lang w:val="hy-AM"/>
        </w:rPr>
        <w:t>(</w:t>
      </w:r>
      <w:hyperlink r:id="rId544" w:history="1">
        <w:r w:rsidR="00E7226F" w:rsidRPr="00E7226F">
          <w:rPr>
            <w:rStyle w:val="Hyperlink"/>
            <w:rFonts w:ascii="Times New Roman" w:hAnsi="Times New Roman" w:cs="Times New Roman"/>
            <w:iCs/>
            <w:lang w:val="hy-AM"/>
          </w:rPr>
          <w:t>Kaymak and Others v. Türkiye</w:t>
        </w:r>
      </w:hyperlink>
      <w:r w:rsidR="00E7226F" w:rsidRPr="00E7226F">
        <w:rPr>
          <w:rFonts w:ascii="Times New Roman" w:hAnsi="Times New Roman" w:cs="Times New Roman"/>
          <w:iCs/>
          <w:lang w:val="hy-AM"/>
        </w:rPr>
        <w:t>, 2023, § 56</w:t>
      </w:r>
      <w:r w:rsidR="00E7226F" w:rsidRPr="00E7226F">
        <w:rPr>
          <w:lang w:val="af-ZA"/>
        </w:rPr>
        <w:t xml:space="preserve"> </w:t>
      </w:r>
      <w:r w:rsidR="00E7226F" w:rsidRPr="00E7226F">
        <w:rPr>
          <w:rFonts w:ascii="Times New Roman" w:hAnsi="Times New Roman" w:cs="Times New Roman"/>
          <w:iCs/>
          <w:lang w:val="hy-AM"/>
        </w:rPr>
        <w:t>«ոչ պատժիչ նախազգուշացման» վերաբերյալ):</w:t>
      </w:r>
    </w:p>
    <w:p w14:paraId="39FD6B3B" w14:textId="5F331DD8" w:rsidR="00957B6F" w:rsidRPr="001B2612" w:rsidRDefault="00957B6F" w:rsidP="00A617AC">
      <w:pPr>
        <w:pStyle w:val="ECHRParaSpaced"/>
        <w:rPr>
          <w:rFonts w:ascii="Times New Roman" w:hAnsi="Times New Roman" w:cs="Times New Roman"/>
          <w:lang w:val="hy-AM"/>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 MERGEFORMAT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254</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3C2E48" w:rsidRPr="00EF7399">
        <w:rPr>
          <w:rFonts w:ascii="Times New Roman" w:hAnsi="Times New Roman" w:cs="Times New Roman"/>
          <w:iCs/>
          <w:lang w:val="af-ZA"/>
        </w:rPr>
        <w:t>Կոնվենցի</w:t>
      </w:r>
      <w:r w:rsidR="00D26542" w:rsidRPr="00EF7399">
        <w:rPr>
          <w:rFonts w:ascii="Times New Roman" w:hAnsi="Times New Roman" w:cs="Times New Roman"/>
          <w:iCs/>
          <w:lang w:val="af-ZA"/>
        </w:rPr>
        <w:t>ա</w:t>
      </w:r>
      <w:r w:rsidR="003C2E48" w:rsidRPr="00EF7399">
        <w:rPr>
          <w:rFonts w:ascii="Times New Roman" w:hAnsi="Times New Roman" w:cs="Times New Roman"/>
          <w:iCs/>
          <w:lang w:val="af-ZA"/>
        </w:rPr>
        <w:t>յի 11-րդ հոդվածը չի կարող մեկնաբանվել որպես Պայմանավորվող պետությունների</w:t>
      </w:r>
      <w:r w:rsidR="00AA05B8" w:rsidRPr="00EF7399">
        <w:rPr>
          <w:rFonts w:ascii="Times New Roman" w:hAnsi="Times New Roman" w:cs="Times New Roman"/>
          <w:iCs/>
          <w:lang w:val="af-ZA"/>
        </w:rPr>
        <w:t>ն ներկայացված պահանջ, որի համաձայն վերջիններս պարտավոր են իրենց</w:t>
      </w:r>
      <w:r w:rsidR="003C2E48" w:rsidRPr="00EF7399">
        <w:rPr>
          <w:rFonts w:ascii="Times New Roman" w:hAnsi="Times New Roman" w:cs="Times New Roman"/>
          <w:iCs/>
          <w:lang w:val="af-ZA"/>
        </w:rPr>
        <w:t xml:space="preserve"> ներպետական օրենսդրությա</w:t>
      </w:r>
      <w:r w:rsidR="00AA05B8" w:rsidRPr="00EF7399">
        <w:rPr>
          <w:rFonts w:ascii="Times New Roman" w:hAnsi="Times New Roman" w:cs="Times New Roman"/>
          <w:iCs/>
          <w:lang w:val="af-ZA"/>
        </w:rPr>
        <w:t xml:space="preserve">մբ երաշխավորել, որ արհեստակցական միության որևէ անդամի կամ ղեկավարի հնարավոր չէ ազատել աշխատանքից, եթե չկա արհեստակցական միության համաձայնությունը </w:t>
      </w:r>
      <w:r w:rsidR="00AA05B8" w:rsidRPr="00EF7399">
        <w:rPr>
          <w:rFonts w:ascii="Times New Roman" w:hAnsi="Times New Roman" w:cs="Times New Roman"/>
          <w:lang w:val="af-ZA"/>
        </w:rPr>
        <w:t>(</w:t>
      </w:r>
      <w:hyperlink r:id="rId545" w:history="1">
        <w:r w:rsidRPr="00EF7399">
          <w:rPr>
            <w:rStyle w:val="Hyperlink"/>
            <w:rFonts w:ascii="Times New Roman" w:hAnsi="Times New Roman" w:cs="Times New Roman"/>
            <w:iCs/>
            <w:lang w:val="af-ZA"/>
          </w:rPr>
          <w:t>Hoppen and trade union of AB Amber Grid employees v. Lithuania</w:t>
        </w:r>
      </w:hyperlink>
      <w:r w:rsidRPr="00EF7399">
        <w:rPr>
          <w:rFonts w:ascii="Times New Roman" w:hAnsi="Times New Roman" w:cs="Times New Roman"/>
          <w:lang w:val="af-ZA"/>
        </w:rPr>
        <w:t>, 2023, §</w:t>
      </w:r>
      <w:r w:rsidR="0014026F" w:rsidRPr="00EF7399">
        <w:rPr>
          <w:rFonts w:ascii="Times New Roman" w:hAnsi="Times New Roman" w:cs="Times New Roman"/>
          <w:lang w:val="af-ZA"/>
        </w:rPr>
        <w:t> </w:t>
      </w:r>
      <w:r w:rsidRPr="00EF7399">
        <w:rPr>
          <w:rFonts w:ascii="Times New Roman" w:hAnsi="Times New Roman" w:cs="Times New Roman"/>
          <w:lang w:val="af-ZA"/>
        </w:rPr>
        <w:t>215)</w:t>
      </w:r>
      <w:r w:rsidR="00AA05B8" w:rsidRPr="00EF7399">
        <w:rPr>
          <w:rFonts w:ascii="Times New Roman" w:hAnsi="Times New Roman" w:cs="Times New Roman"/>
          <w:lang w:val="af-ZA"/>
        </w:rPr>
        <w:t>:</w:t>
      </w:r>
      <w:r w:rsidR="007A605B" w:rsidRPr="00EF7399">
        <w:rPr>
          <w:rFonts w:ascii="Times New Roman" w:hAnsi="Times New Roman" w:cs="Times New Roman"/>
          <w:lang w:val="af-ZA"/>
        </w:rPr>
        <w:t xml:space="preserve"> </w:t>
      </w:r>
    </w:p>
    <w:p w14:paraId="783A9183" w14:textId="52F147ED" w:rsidR="00B85C53" w:rsidRPr="00EF7399" w:rsidRDefault="00A83DAB" w:rsidP="00A83DAB">
      <w:pPr>
        <w:pStyle w:val="ECHRHeading2"/>
        <w:numPr>
          <w:ilvl w:val="0"/>
          <w:numId w:val="0"/>
        </w:numPr>
        <w:rPr>
          <w:rFonts w:ascii="Times New Roman" w:hAnsi="Times New Roman" w:cs="Times New Roman"/>
          <w:lang w:val="af-ZA"/>
        </w:rPr>
      </w:pPr>
      <w:bookmarkStart w:id="101" w:name="_Toc159945258"/>
      <w:r>
        <w:rPr>
          <w:rFonts w:ascii="Times New Roman" w:hAnsi="Times New Roman" w:cs="Times New Roman"/>
          <w:iCs/>
          <w:lang w:val="hy-AM"/>
        </w:rPr>
        <w:lastRenderedPageBreak/>
        <w:t xml:space="preserve">Ե․ </w:t>
      </w:r>
      <w:r w:rsidR="00AA05B8" w:rsidRPr="00EF7399">
        <w:rPr>
          <w:rFonts w:ascii="Times New Roman" w:hAnsi="Times New Roman" w:cs="Times New Roman"/>
          <w:iCs/>
          <w:lang w:val="af-ZA"/>
        </w:rPr>
        <w:t>Արհեստակցական միությանը չմիանալու իրավունքը</w:t>
      </w:r>
      <w:bookmarkEnd w:id="101"/>
      <w:r w:rsidR="00AA05B8" w:rsidRPr="00EF7399">
        <w:rPr>
          <w:rFonts w:ascii="Times New Roman" w:hAnsi="Times New Roman" w:cs="Times New Roman"/>
          <w:iCs/>
          <w:lang w:val="af-ZA"/>
        </w:rPr>
        <w:t xml:space="preserve"> </w:t>
      </w:r>
    </w:p>
    <w:p w14:paraId="79ED4AF8" w14:textId="04D498FF" w:rsidR="00A617AC" w:rsidRPr="00EF7399" w:rsidRDefault="00A617AC" w:rsidP="00A617AC">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255</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0933FB" w:rsidRPr="00EF7399">
        <w:rPr>
          <w:rFonts w:ascii="Times New Roman" w:hAnsi="Times New Roman" w:cs="Times New Roman"/>
          <w:iCs/>
          <w:lang w:val="af-ZA"/>
        </w:rPr>
        <w:t>Թեև որոշակի արհեստակցական միության միանալու</w:t>
      </w:r>
      <w:r w:rsidR="00B94639" w:rsidRPr="00EF7399">
        <w:rPr>
          <w:rFonts w:ascii="Times New Roman" w:hAnsi="Times New Roman" w:cs="Times New Roman"/>
          <w:iCs/>
          <w:lang w:val="hy-AM"/>
        </w:rPr>
        <w:t>՝</w:t>
      </w:r>
      <w:r w:rsidR="000933FB" w:rsidRPr="00EF7399">
        <w:rPr>
          <w:rFonts w:ascii="Times New Roman" w:hAnsi="Times New Roman" w:cs="Times New Roman"/>
          <w:iCs/>
          <w:lang w:val="af-ZA"/>
        </w:rPr>
        <w:t xml:space="preserve"> օրենքով կամ համաձայնագրով հարկադրված պարտավորությունը միշտ չէ, որ հակասում է Կոնվենցիային, նման պարտավորության ձևը, որը գործի հանգամանքներից ելնելով, հարվածում է 11-րդ հոդվածով երաշխավորված միավորման ազատության բուն էությանը</w:t>
      </w:r>
      <w:r w:rsidR="00B94639" w:rsidRPr="00EF7399">
        <w:rPr>
          <w:rFonts w:ascii="Times New Roman" w:hAnsi="Times New Roman" w:cs="Times New Roman"/>
          <w:iCs/>
          <w:lang w:val="hy-AM"/>
        </w:rPr>
        <w:t>,</w:t>
      </w:r>
      <w:r w:rsidR="000933FB" w:rsidRPr="00EF7399">
        <w:rPr>
          <w:rFonts w:ascii="Times New Roman" w:hAnsi="Times New Roman" w:cs="Times New Roman"/>
          <w:iCs/>
          <w:lang w:val="af-ZA"/>
        </w:rPr>
        <w:t xml:space="preserve"> հանդիսանում է միջամտություն այդ ազատությանը </w:t>
      </w:r>
      <w:r w:rsidRPr="00EF7399">
        <w:rPr>
          <w:rFonts w:ascii="Times New Roman" w:hAnsi="Times New Roman" w:cs="Times New Roman"/>
          <w:iCs/>
          <w:lang w:val="af-ZA"/>
        </w:rPr>
        <w:t>(</w:t>
      </w:r>
      <w:r w:rsidR="000933FB" w:rsidRPr="00EF7399">
        <w:rPr>
          <w:rFonts w:ascii="Times New Roman" w:hAnsi="Times New Roman" w:cs="Times New Roman"/>
          <w:iCs/>
          <w:lang w:val="af-ZA"/>
        </w:rPr>
        <w:t>տե՛ս</w:t>
      </w:r>
      <w:r w:rsidRPr="00EF7399">
        <w:rPr>
          <w:rFonts w:ascii="Times New Roman" w:hAnsi="Times New Roman" w:cs="Times New Roman"/>
          <w:iCs/>
          <w:lang w:val="af-ZA"/>
        </w:rPr>
        <w:t xml:space="preserve"> </w:t>
      </w:r>
      <w:hyperlink r:id="rId546" w:history="1">
        <w:r w:rsidRPr="00EF7399">
          <w:rPr>
            <w:rStyle w:val="Hyperlink"/>
            <w:rFonts w:ascii="Times New Roman" w:hAnsi="Times New Roman" w:cs="Times New Roman"/>
            <w:iCs/>
            <w:lang w:val="af-ZA"/>
          </w:rPr>
          <w:t>Young, James and Webster</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the United Kingdom</w:t>
        </w:r>
      </w:hyperlink>
      <w:r w:rsidR="002762F8" w:rsidRPr="00EF7399">
        <w:rPr>
          <w:rFonts w:ascii="Times New Roman" w:hAnsi="Times New Roman" w:cs="Times New Roman"/>
          <w:lang w:val="af-ZA"/>
        </w:rPr>
        <w:t>,</w:t>
      </w:r>
      <w:r w:rsidR="00B42939" w:rsidRPr="00EF7399">
        <w:rPr>
          <w:rFonts w:ascii="Times New Roman" w:hAnsi="Times New Roman" w:cs="Times New Roman"/>
          <w:lang w:val="af-ZA"/>
        </w:rPr>
        <w:t xml:space="preserve"> 1981,</w:t>
      </w:r>
      <w:r w:rsidR="002762F8" w:rsidRPr="00EF7399">
        <w:rPr>
          <w:rFonts w:ascii="Times New Roman" w:hAnsi="Times New Roman" w:cs="Times New Roman"/>
          <w:lang w:val="af-ZA"/>
        </w:rPr>
        <w:t xml:space="preserve"> </w:t>
      </w:r>
      <w:r w:rsidR="00873234" w:rsidRPr="00EF7399">
        <w:rPr>
          <w:rFonts w:ascii="Times New Roman" w:hAnsi="Times New Roman" w:cs="Times New Roman"/>
          <w:iCs/>
          <w:lang w:val="af-ZA"/>
        </w:rPr>
        <w:t>§ </w:t>
      </w:r>
      <w:r w:rsidRPr="00EF7399">
        <w:rPr>
          <w:rFonts w:ascii="Times New Roman" w:hAnsi="Times New Roman" w:cs="Times New Roman"/>
          <w:iCs/>
          <w:lang w:val="af-ZA"/>
        </w:rPr>
        <w:t xml:space="preserve">55, </w:t>
      </w:r>
      <w:r w:rsidR="000933FB" w:rsidRPr="00EF7399">
        <w:rPr>
          <w:rFonts w:ascii="Times New Roman" w:hAnsi="Times New Roman" w:cs="Times New Roman"/>
          <w:iCs/>
          <w:lang w:val="af-ZA"/>
        </w:rPr>
        <w:t>հարկադրանք աշխատանքից ազատելու սպառնալիքի ձևով, որ</w:t>
      </w:r>
      <w:r w:rsidR="00D5021E" w:rsidRPr="00EF7399">
        <w:rPr>
          <w:rFonts w:ascii="Times New Roman" w:hAnsi="Times New Roman" w:cs="Times New Roman"/>
          <w:iCs/>
          <w:lang w:val="af-ZA"/>
        </w:rPr>
        <w:t>ի հետևանքով կզրկվեին ապրուստի միջոցներից</w:t>
      </w:r>
      <w:r w:rsidRPr="00EF7399">
        <w:rPr>
          <w:rFonts w:ascii="Times New Roman" w:hAnsi="Times New Roman" w:cs="Times New Roman"/>
          <w:iCs/>
          <w:lang w:val="af-ZA"/>
        </w:rPr>
        <w:t xml:space="preserve">; </w:t>
      </w:r>
      <w:hyperlink r:id="rId547" w:history="1">
        <w:r w:rsidRPr="00EF7399">
          <w:rPr>
            <w:rStyle w:val="Hyperlink"/>
            <w:rFonts w:ascii="Times New Roman" w:hAnsi="Times New Roman" w:cs="Times New Roman"/>
            <w:iCs/>
            <w:lang w:val="af-ZA"/>
          </w:rPr>
          <w:t>Sigurður A. Sigurjónsson</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Iceland</w:t>
        </w:r>
      </w:hyperlink>
      <w:r w:rsidRPr="00EF7399">
        <w:rPr>
          <w:rFonts w:ascii="Times New Roman" w:hAnsi="Times New Roman" w:cs="Times New Roman"/>
          <w:iCs/>
          <w:lang w:val="af-ZA"/>
        </w:rPr>
        <w:t xml:space="preserve">, </w:t>
      </w:r>
      <w:r w:rsidR="001821E6" w:rsidRPr="00EF7399">
        <w:rPr>
          <w:rFonts w:ascii="Times New Roman" w:hAnsi="Times New Roman" w:cs="Times New Roman"/>
          <w:iCs/>
          <w:lang w:val="af-ZA"/>
        </w:rPr>
        <w:t xml:space="preserve">1993, </w:t>
      </w:r>
      <w:r w:rsidR="00873234" w:rsidRPr="00EF7399">
        <w:rPr>
          <w:rFonts w:ascii="Times New Roman" w:hAnsi="Times New Roman" w:cs="Times New Roman"/>
          <w:iCs/>
          <w:lang w:val="af-ZA"/>
        </w:rPr>
        <w:t>§ </w:t>
      </w:r>
      <w:r w:rsidRPr="00EF7399">
        <w:rPr>
          <w:rFonts w:ascii="Times New Roman" w:hAnsi="Times New Roman" w:cs="Times New Roman"/>
          <w:iCs/>
          <w:lang w:val="af-ZA"/>
        </w:rPr>
        <w:t xml:space="preserve">36, </w:t>
      </w:r>
      <w:r w:rsidR="00D5021E" w:rsidRPr="00EF7399">
        <w:rPr>
          <w:rFonts w:ascii="Times New Roman" w:hAnsi="Times New Roman" w:cs="Times New Roman"/>
          <w:iCs/>
          <w:lang w:val="af-ZA"/>
        </w:rPr>
        <w:t>ներառում էր մասնագիտական լիցենզիան կորցնելու վտանգը</w:t>
      </w:r>
      <w:r w:rsidRPr="00EF7399">
        <w:rPr>
          <w:rFonts w:ascii="Times New Roman" w:hAnsi="Times New Roman" w:cs="Times New Roman"/>
          <w:iCs/>
          <w:lang w:val="af-ZA"/>
        </w:rPr>
        <w:t>)</w:t>
      </w:r>
      <w:r w:rsidR="00D5021E" w:rsidRPr="00EF7399">
        <w:rPr>
          <w:rFonts w:ascii="Times New Roman" w:hAnsi="Times New Roman" w:cs="Times New Roman"/>
          <w:iCs/>
          <w:lang w:val="af-ZA"/>
        </w:rPr>
        <w:t>:</w:t>
      </w:r>
    </w:p>
    <w:p w14:paraId="1F61FA04" w14:textId="5A3EFAAA" w:rsidR="00A617AC" w:rsidRPr="00EF7399" w:rsidRDefault="00A617AC" w:rsidP="00A617AC">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256</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D5021E" w:rsidRPr="00EF7399">
        <w:rPr>
          <w:rFonts w:ascii="Times New Roman" w:hAnsi="Times New Roman" w:cs="Times New Roman"/>
          <w:iCs/>
          <w:lang w:val="af-ZA"/>
        </w:rPr>
        <w:t xml:space="preserve">11-րդ հոդվածով տրված պաշտպանությունը տարածվում է ոչ միայն այն իրավիճակների </w:t>
      </w:r>
      <w:r w:rsidR="00B94639" w:rsidRPr="00EF7399">
        <w:rPr>
          <w:rFonts w:ascii="Times New Roman" w:hAnsi="Times New Roman" w:cs="Times New Roman"/>
          <w:iCs/>
          <w:lang w:val="hy-AM"/>
        </w:rPr>
        <w:t>նկատմամբ</w:t>
      </w:r>
      <w:r w:rsidR="00D5021E" w:rsidRPr="00EF7399">
        <w:rPr>
          <w:rFonts w:ascii="Times New Roman" w:hAnsi="Times New Roman" w:cs="Times New Roman"/>
          <w:iCs/>
          <w:lang w:val="af-ZA"/>
        </w:rPr>
        <w:t xml:space="preserve">, երբ արհեստակցական միությանը միանալու պահանջը ներկայացվում է անհատին աշխատանքի ընդունելուց կամ մասնագիտական լիցենզիա տրամադրելուց հետո: Չի կարելի համարել, որ անհատը հրաժարվել է միավորման ազատության նեգատիվ իրավունքից այն դեպքերում, երբ իմանալով, որ </w:t>
      </w:r>
      <w:r w:rsidR="006E18F0" w:rsidRPr="00EF7399">
        <w:rPr>
          <w:rFonts w:ascii="Times New Roman" w:hAnsi="Times New Roman" w:cs="Times New Roman"/>
          <w:iCs/>
          <w:lang w:val="af-ZA"/>
        </w:rPr>
        <w:t>արհեստակցական միության անդամությունն աշխատատեղն ապահովելու նախապայման է, նա ընդունում է աշխատանքի առաջարկը</w:t>
      </w:r>
      <w:r w:rsidR="00B94639" w:rsidRPr="00EF7399">
        <w:rPr>
          <w:rFonts w:ascii="Times New Roman" w:hAnsi="Times New Roman" w:cs="Times New Roman"/>
          <w:iCs/>
          <w:lang w:val="hy-AM"/>
        </w:rPr>
        <w:t>՝</w:t>
      </w:r>
      <w:r w:rsidR="006E18F0" w:rsidRPr="00EF7399">
        <w:rPr>
          <w:rFonts w:ascii="Times New Roman" w:hAnsi="Times New Roman" w:cs="Times New Roman"/>
          <w:iCs/>
          <w:lang w:val="af-ZA"/>
        </w:rPr>
        <w:t xml:space="preserve"> չնայած առաջադրված պայմանի հետ իր անհամաձայնությանը </w:t>
      </w:r>
      <w:r w:rsidRPr="00EF7399">
        <w:rPr>
          <w:rFonts w:ascii="Times New Roman" w:hAnsi="Times New Roman" w:cs="Times New Roman"/>
          <w:iCs/>
          <w:lang w:val="af-ZA"/>
        </w:rPr>
        <w:t>(</w:t>
      </w:r>
      <w:hyperlink r:id="rId548" w:history="1">
        <w:r w:rsidR="008E4A15" w:rsidRPr="00EF7399">
          <w:rPr>
            <w:rStyle w:val="Hyperlink"/>
            <w:rFonts w:ascii="Times New Roman" w:hAnsi="Times New Roman" w:cs="Times New Roman"/>
            <w:lang w:val="af-ZA"/>
          </w:rPr>
          <w:t>Sørensen and Rasmussen</w:t>
        </w:r>
        <w:r w:rsidR="00873234" w:rsidRPr="00EF7399">
          <w:rPr>
            <w:rStyle w:val="Hyperlink"/>
            <w:rFonts w:ascii="Times New Roman" w:hAnsi="Times New Roman" w:cs="Times New Roman"/>
            <w:lang w:val="af-ZA"/>
          </w:rPr>
          <w:t xml:space="preserve"> v. </w:t>
        </w:r>
        <w:r w:rsidR="008E4A15" w:rsidRPr="00EF7399">
          <w:rPr>
            <w:rStyle w:val="Hyperlink"/>
            <w:rFonts w:ascii="Times New Roman" w:hAnsi="Times New Roman" w:cs="Times New Roman"/>
            <w:lang w:val="af-ZA"/>
          </w:rPr>
          <w:t>Denmark</w:t>
        </w:r>
      </w:hyperlink>
      <w:r w:rsidRPr="00EF7399">
        <w:rPr>
          <w:rFonts w:ascii="Times New Roman" w:hAnsi="Times New Roman" w:cs="Times New Roman"/>
          <w:iCs/>
          <w:lang w:val="af-ZA"/>
        </w:rPr>
        <w:t xml:space="preserve">, </w:t>
      </w:r>
      <w:r w:rsidR="002762F8" w:rsidRPr="00EF7399">
        <w:rPr>
          <w:rFonts w:ascii="Times New Roman" w:hAnsi="Times New Roman" w:cs="Times New Roman"/>
          <w:lang w:val="af-ZA"/>
        </w:rPr>
        <w:t xml:space="preserve">2006, </w:t>
      </w:r>
      <w:r w:rsidR="00873234" w:rsidRPr="00EF7399">
        <w:rPr>
          <w:rFonts w:ascii="Times New Roman" w:hAnsi="Times New Roman" w:cs="Times New Roman"/>
          <w:iCs/>
          <w:lang w:val="af-ZA"/>
        </w:rPr>
        <w:t>§ </w:t>
      </w:r>
      <w:r w:rsidRPr="00EF7399">
        <w:rPr>
          <w:rFonts w:ascii="Times New Roman" w:hAnsi="Times New Roman" w:cs="Times New Roman"/>
          <w:iCs/>
          <w:lang w:val="af-ZA"/>
        </w:rPr>
        <w:t>56)</w:t>
      </w:r>
      <w:r w:rsidR="006E18F0" w:rsidRPr="00EF7399">
        <w:rPr>
          <w:rFonts w:ascii="Times New Roman" w:hAnsi="Times New Roman" w:cs="Times New Roman"/>
          <w:iCs/>
          <w:lang w:val="af-ZA"/>
        </w:rPr>
        <w:t>:</w:t>
      </w:r>
      <w:r w:rsidRPr="00EF7399">
        <w:rPr>
          <w:rFonts w:ascii="Times New Roman" w:hAnsi="Times New Roman" w:cs="Times New Roman"/>
          <w:iCs/>
          <w:lang w:val="af-ZA"/>
        </w:rPr>
        <w:t xml:space="preserve"> </w:t>
      </w:r>
      <w:r w:rsidR="006E18F0" w:rsidRPr="00EF7399">
        <w:rPr>
          <w:rFonts w:ascii="Times New Roman" w:hAnsi="Times New Roman" w:cs="Times New Roman"/>
          <w:iCs/>
          <w:lang w:val="af-ZA"/>
        </w:rPr>
        <w:t>Որպես աշխատանքային պայմանագրի պայման</w:t>
      </w:r>
      <w:r w:rsidR="00EC07F2" w:rsidRPr="00EF7399">
        <w:rPr>
          <w:rFonts w:ascii="Times New Roman" w:hAnsi="Times New Roman" w:cs="Times New Roman"/>
          <w:iCs/>
          <w:lang w:val="af-ZA"/>
        </w:rPr>
        <w:t>՝</w:t>
      </w:r>
      <w:r w:rsidR="006E18F0" w:rsidRPr="00EF7399">
        <w:rPr>
          <w:rFonts w:ascii="Times New Roman" w:hAnsi="Times New Roman" w:cs="Times New Roman"/>
          <w:iCs/>
          <w:lang w:val="af-ZA"/>
        </w:rPr>
        <w:t xml:space="preserve"> արհեստակցական միության անդամությունն ընդունելն էապես չի փոխում հարկադրանքի տարրը, որը ներհատուկ է սեփական կամքին հակառակ արհեստակցական միությանը միանալուն </w:t>
      </w:r>
      <w:r w:rsidRPr="00EF7399">
        <w:rPr>
          <w:rFonts w:ascii="Times New Roman" w:hAnsi="Times New Roman" w:cs="Times New Roman"/>
          <w:iCs/>
          <w:lang w:val="af-ZA"/>
        </w:rPr>
        <w:t>(</w:t>
      </w:r>
      <w:hyperlink r:id="rId549" w:history="1">
        <w:r w:rsidR="00E907D9" w:rsidRPr="00EF7399">
          <w:rPr>
            <w:rStyle w:val="Hyperlink"/>
            <w:rFonts w:ascii="Times New Roman" w:hAnsi="Times New Roman" w:cs="Times New Roman"/>
            <w:iCs/>
            <w:lang w:val="af-ZA"/>
          </w:rPr>
          <w:t>ibid.</w:t>
        </w:r>
      </w:hyperlink>
      <w:r w:rsidR="00E907D9" w:rsidRPr="00EF7399">
        <w:rPr>
          <w:rFonts w:ascii="Times New Roman" w:hAnsi="Times New Roman" w:cs="Times New Roman"/>
          <w:iCs/>
          <w:lang w:val="af-ZA"/>
        </w:rPr>
        <w:t xml:space="preserve">, </w:t>
      </w:r>
      <w:r w:rsidR="00873234" w:rsidRPr="00EF7399">
        <w:rPr>
          <w:rFonts w:ascii="Times New Roman" w:hAnsi="Times New Roman" w:cs="Times New Roman"/>
          <w:iCs/>
          <w:lang w:val="af-ZA"/>
        </w:rPr>
        <w:t>§ </w:t>
      </w:r>
      <w:r w:rsidRPr="00EF7399">
        <w:rPr>
          <w:rFonts w:ascii="Times New Roman" w:hAnsi="Times New Roman" w:cs="Times New Roman"/>
          <w:iCs/>
          <w:lang w:val="af-ZA"/>
        </w:rPr>
        <w:t>59)</w:t>
      </w:r>
      <w:r w:rsidR="006E18F0" w:rsidRPr="00EF7399">
        <w:rPr>
          <w:rFonts w:ascii="Times New Roman" w:hAnsi="Times New Roman" w:cs="Times New Roman"/>
          <w:iCs/>
          <w:lang w:val="af-ZA"/>
        </w:rPr>
        <w:t>:</w:t>
      </w:r>
    </w:p>
    <w:p w14:paraId="0CC130EA" w14:textId="0CF25BE1" w:rsidR="00A617AC" w:rsidRPr="00EF7399" w:rsidRDefault="00A617AC" w:rsidP="00A617AC">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257</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6E18F0" w:rsidRPr="00EF7399">
        <w:rPr>
          <w:rFonts w:ascii="Times New Roman" w:hAnsi="Times New Roman" w:cs="Times New Roman"/>
          <w:iCs/>
          <w:lang w:val="af-ZA"/>
        </w:rPr>
        <w:t>Որոշակի արհեստակցական մ</w:t>
      </w:r>
      <w:r w:rsidR="00EC07F2" w:rsidRPr="00EF7399">
        <w:rPr>
          <w:rFonts w:ascii="Times New Roman" w:hAnsi="Times New Roman" w:cs="Times New Roman"/>
          <w:iCs/>
          <w:lang w:val="af-ZA"/>
        </w:rPr>
        <w:t>ի</w:t>
      </w:r>
      <w:r w:rsidR="006E18F0" w:rsidRPr="00EF7399">
        <w:rPr>
          <w:rFonts w:ascii="Times New Roman" w:hAnsi="Times New Roman" w:cs="Times New Roman"/>
          <w:iCs/>
          <w:lang w:val="af-ZA"/>
        </w:rPr>
        <w:t xml:space="preserve">ության անդամ դառնալու պահանջը </w:t>
      </w:r>
      <w:r w:rsidR="00FF4961" w:rsidRPr="00EF7399">
        <w:rPr>
          <w:rFonts w:ascii="Times New Roman" w:hAnsi="Times New Roman" w:cs="Times New Roman"/>
          <w:iCs/>
          <w:lang w:val="af-ZA"/>
        </w:rPr>
        <w:t xml:space="preserve">մերժելու արդյունքում անձին աշխատանքից ազատելը հարկադրանքի խիստ ձև է, որը խարխլում է ընտրության ազատության բուն էությունը, </w:t>
      </w:r>
      <w:r w:rsidR="00B94639" w:rsidRPr="00EF7399">
        <w:rPr>
          <w:rFonts w:ascii="Times New Roman" w:hAnsi="Times New Roman" w:cs="Times New Roman"/>
          <w:iCs/>
          <w:lang w:val="hy-AM"/>
        </w:rPr>
        <w:t>ինչը</w:t>
      </w:r>
      <w:r w:rsidR="00B94639" w:rsidRPr="00EF7399">
        <w:rPr>
          <w:rFonts w:ascii="Times New Roman" w:hAnsi="Times New Roman" w:cs="Times New Roman"/>
          <w:iCs/>
          <w:lang w:val="af-ZA"/>
        </w:rPr>
        <w:t xml:space="preserve"> </w:t>
      </w:r>
      <w:r w:rsidR="00FF4961" w:rsidRPr="00EF7399">
        <w:rPr>
          <w:rFonts w:ascii="Times New Roman" w:hAnsi="Times New Roman" w:cs="Times New Roman"/>
          <w:iCs/>
          <w:lang w:val="af-ZA"/>
        </w:rPr>
        <w:t xml:space="preserve">ներհատուկ է Կոնվենցիայի 11-րդ հոդվածով պաշտպանված միավորման ազատության նեգատիվ իրավունքին </w:t>
      </w:r>
      <w:r w:rsidRPr="00EF7399">
        <w:rPr>
          <w:rFonts w:ascii="Times New Roman" w:hAnsi="Times New Roman" w:cs="Times New Roman"/>
          <w:iCs/>
          <w:lang w:val="af-ZA"/>
        </w:rPr>
        <w:t>(</w:t>
      </w:r>
      <w:hyperlink r:id="rId550" w:history="1">
        <w:r w:rsidR="008E4A15" w:rsidRPr="00EF7399">
          <w:rPr>
            <w:rStyle w:val="Hyperlink"/>
            <w:rFonts w:ascii="Times New Roman" w:hAnsi="Times New Roman" w:cs="Times New Roman"/>
            <w:lang w:val="af-ZA"/>
          </w:rPr>
          <w:t>Sørensen and Rasmussen</w:t>
        </w:r>
        <w:r w:rsidR="00873234" w:rsidRPr="00EF7399">
          <w:rPr>
            <w:rStyle w:val="Hyperlink"/>
            <w:rFonts w:ascii="Times New Roman" w:hAnsi="Times New Roman" w:cs="Times New Roman"/>
            <w:lang w:val="af-ZA"/>
          </w:rPr>
          <w:t xml:space="preserve"> v. </w:t>
        </w:r>
        <w:r w:rsidR="008E4A15" w:rsidRPr="00EF7399">
          <w:rPr>
            <w:rStyle w:val="Hyperlink"/>
            <w:rFonts w:ascii="Times New Roman" w:hAnsi="Times New Roman" w:cs="Times New Roman"/>
            <w:lang w:val="af-ZA"/>
          </w:rPr>
          <w:t>Denmark</w:t>
        </w:r>
      </w:hyperlink>
      <w:r w:rsidRPr="00EF7399">
        <w:rPr>
          <w:rFonts w:ascii="Times New Roman" w:hAnsi="Times New Roman" w:cs="Times New Roman"/>
          <w:iCs/>
          <w:lang w:val="af-ZA"/>
        </w:rPr>
        <w:t xml:space="preserve">, </w:t>
      </w:r>
      <w:r w:rsidR="002762F8" w:rsidRPr="00EF7399">
        <w:rPr>
          <w:rFonts w:ascii="Times New Roman" w:hAnsi="Times New Roman" w:cs="Times New Roman"/>
          <w:lang w:val="af-ZA"/>
        </w:rPr>
        <w:t xml:space="preserve">2006, </w:t>
      </w:r>
      <w:r w:rsidR="00873234" w:rsidRPr="00EF7399">
        <w:rPr>
          <w:rFonts w:ascii="Times New Roman" w:hAnsi="Times New Roman" w:cs="Times New Roman"/>
          <w:iCs/>
          <w:lang w:val="af-ZA"/>
        </w:rPr>
        <w:t>§ </w:t>
      </w:r>
      <w:r w:rsidRPr="00EF7399">
        <w:rPr>
          <w:rFonts w:ascii="Times New Roman" w:hAnsi="Times New Roman" w:cs="Times New Roman"/>
          <w:iCs/>
          <w:lang w:val="af-ZA"/>
        </w:rPr>
        <w:t>61)</w:t>
      </w:r>
      <w:r w:rsidR="00FF4961" w:rsidRPr="00EF7399">
        <w:rPr>
          <w:rFonts w:ascii="Times New Roman" w:hAnsi="Times New Roman" w:cs="Times New Roman"/>
          <w:iCs/>
          <w:lang w:val="af-ZA"/>
        </w:rPr>
        <w:t>:</w:t>
      </w:r>
    </w:p>
    <w:p w14:paraId="6A7E4318" w14:textId="3747F8C2" w:rsidR="00B85C53" w:rsidRPr="00EF7399" w:rsidRDefault="00A617AC" w:rsidP="00A617AC">
      <w:pPr>
        <w:pStyle w:val="ECHRParaSpaced"/>
        <w:rPr>
          <w:rFonts w:ascii="Times New Roman" w:hAnsi="Times New Roman" w:cs="Times New Roman"/>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258</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FF4961" w:rsidRPr="00EF7399">
        <w:rPr>
          <w:rFonts w:ascii="Times New Roman" w:hAnsi="Times New Roman" w:cs="Times New Roman"/>
          <w:iCs/>
          <w:lang w:val="af-ZA"/>
        </w:rPr>
        <w:t>Աշխատաշուկայում «փակ ձեռնարկության» համաձայնությունների կիրառումը արհմիութենական ազատություններից արդյունավետ օգտվելու անբաժանելի գործիք</w:t>
      </w:r>
      <w:r w:rsidR="00B94639" w:rsidRPr="00EF7399">
        <w:rPr>
          <w:rFonts w:ascii="Times New Roman" w:hAnsi="Times New Roman" w:cs="Times New Roman"/>
          <w:iCs/>
          <w:lang w:val="hy-AM"/>
        </w:rPr>
        <w:t xml:space="preserve"> չէ</w:t>
      </w:r>
      <w:r w:rsidR="00FF4961" w:rsidRPr="00EF7399">
        <w:rPr>
          <w:rFonts w:ascii="Times New Roman" w:hAnsi="Times New Roman" w:cs="Times New Roman"/>
          <w:iCs/>
          <w:lang w:val="af-ZA"/>
        </w:rPr>
        <w:t xml:space="preserve"> </w:t>
      </w:r>
      <w:r w:rsidRPr="00EF7399">
        <w:rPr>
          <w:rFonts w:ascii="Times New Roman" w:hAnsi="Times New Roman" w:cs="Times New Roman"/>
          <w:iCs/>
          <w:lang w:val="af-ZA"/>
        </w:rPr>
        <w:t>(</w:t>
      </w:r>
      <w:hyperlink r:id="rId551" w:history="1">
        <w:r w:rsidR="008E4A15" w:rsidRPr="00EF7399">
          <w:rPr>
            <w:rStyle w:val="Hyperlink"/>
            <w:rFonts w:ascii="Times New Roman" w:hAnsi="Times New Roman" w:cs="Times New Roman"/>
            <w:lang w:val="af-ZA"/>
          </w:rPr>
          <w:t>Sørensen and Rasmussen</w:t>
        </w:r>
        <w:r w:rsidR="00873234" w:rsidRPr="00EF7399">
          <w:rPr>
            <w:rStyle w:val="Hyperlink"/>
            <w:rFonts w:ascii="Times New Roman" w:hAnsi="Times New Roman" w:cs="Times New Roman"/>
            <w:lang w:val="af-ZA"/>
          </w:rPr>
          <w:t xml:space="preserve"> v. </w:t>
        </w:r>
        <w:r w:rsidR="008E4A15" w:rsidRPr="00EF7399">
          <w:rPr>
            <w:rStyle w:val="Hyperlink"/>
            <w:rFonts w:ascii="Times New Roman" w:hAnsi="Times New Roman" w:cs="Times New Roman"/>
            <w:lang w:val="af-ZA"/>
          </w:rPr>
          <w:t>Denmark</w:t>
        </w:r>
      </w:hyperlink>
      <w:r w:rsidRPr="00EF7399">
        <w:rPr>
          <w:rFonts w:ascii="Times New Roman" w:hAnsi="Times New Roman" w:cs="Times New Roman"/>
          <w:iCs/>
          <w:lang w:val="af-ZA"/>
        </w:rPr>
        <w:t xml:space="preserve">, </w:t>
      </w:r>
      <w:r w:rsidR="002762F8" w:rsidRPr="00EF7399">
        <w:rPr>
          <w:rFonts w:ascii="Times New Roman" w:hAnsi="Times New Roman" w:cs="Times New Roman"/>
          <w:lang w:val="af-ZA"/>
        </w:rPr>
        <w:t xml:space="preserve">2006, </w:t>
      </w:r>
      <w:r w:rsidR="00873234" w:rsidRPr="00EF7399">
        <w:rPr>
          <w:rFonts w:ascii="Times New Roman" w:hAnsi="Times New Roman" w:cs="Times New Roman"/>
          <w:iCs/>
          <w:lang w:val="af-ZA"/>
        </w:rPr>
        <w:t>§ </w:t>
      </w:r>
      <w:r w:rsidRPr="00EF7399">
        <w:rPr>
          <w:rFonts w:ascii="Times New Roman" w:hAnsi="Times New Roman" w:cs="Times New Roman"/>
          <w:iCs/>
          <w:lang w:val="af-ZA"/>
        </w:rPr>
        <w:t>75)</w:t>
      </w:r>
      <w:r w:rsidR="00FF4961" w:rsidRPr="00EF7399">
        <w:rPr>
          <w:rFonts w:ascii="Times New Roman" w:hAnsi="Times New Roman" w:cs="Times New Roman"/>
          <w:iCs/>
          <w:lang w:val="af-ZA"/>
        </w:rPr>
        <w:t>:</w:t>
      </w:r>
    </w:p>
    <w:p w14:paraId="08E0D181" w14:textId="02364C53" w:rsidR="00B85C53" w:rsidRPr="00EF7399" w:rsidRDefault="00A83DAB" w:rsidP="00A83DAB">
      <w:pPr>
        <w:pStyle w:val="ECHRHeading2"/>
        <w:numPr>
          <w:ilvl w:val="0"/>
          <w:numId w:val="0"/>
        </w:numPr>
        <w:rPr>
          <w:rFonts w:ascii="Times New Roman" w:hAnsi="Times New Roman" w:cs="Times New Roman"/>
          <w:lang w:val="af-ZA"/>
        </w:rPr>
      </w:pPr>
      <w:bookmarkStart w:id="102" w:name="_Toc159945259"/>
      <w:r>
        <w:rPr>
          <w:rFonts w:ascii="Times New Roman" w:hAnsi="Times New Roman" w:cs="Times New Roman"/>
          <w:iCs/>
          <w:lang w:val="hy-AM"/>
        </w:rPr>
        <w:t xml:space="preserve">Զ․ </w:t>
      </w:r>
      <w:r w:rsidR="00FF4961" w:rsidRPr="00EF7399">
        <w:rPr>
          <w:rFonts w:ascii="Times New Roman" w:hAnsi="Times New Roman" w:cs="Times New Roman"/>
          <w:iCs/>
          <w:lang w:val="af-ZA"/>
        </w:rPr>
        <w:t>Ներքին հարաբերությունները կարգավորելու և անդամներին ընտրելու արհեստակցական միությունների իրավունքը</w:t>
      </w:r>
      <w:bookmarkEnd w:id="102"/>
    </w:p>
    <w:p w14:paraId="33D1F6EA" w14:textId="081F8C85" w:rsidR="00381928" w:rsidRPr="00EF7399" w:rsidRDefault="00381928" w:rsidP="006303C3">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259</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B54ABC" w:rsidRPr="00EF7399">
        <w:rPr>
          <w:rFonts w:ascii="Times New Roman" w:hAnsi="Times New Roman" w:cs="Times New Roman"/>
          <w:iCs/>
          <w:lang w:val="af-ZA"/>
        </w:rPr>
        <w:t>Արհեստակցական միություն ստեղծելու իրավունքն ընդգրկում է</w:t>
      </w:r>
      <w:r w:rsidR="001B2975" w:rsidRPr="00EF7399">
        <w:rPr>
          <w:rFonts w:ascii="Times New Roman" w:hAnsi="Times New Roman" w:cs="Times New Roman"/>
          <w:iCs/>
          <w:lang w:val="af-ZA"/>
        </w:rPr>
        <w:t xml:space="preserve"> սեփական կանոններ սահմանելու, գործերը վարելու և արհեստակցական միությունների դաշինքներ ստեղծելու և դրանց միանալու արհեստակցական միությունների իրավունքը </w:t>
      </w:r>
      <w:r w:rsidRPr="00EF7399">
        <w:rPr>
          <w:rFonts w:ascii="Times New Roman" w:hAnsi="Times New Roman" w:cs="Times New Roman"/>
          <w:iCs/>
          <w:lang w:val="af-ZA"/>
        </w:rPr>
        <w:t>(</w:t>
      </w:r>
      <w:hyperlink r:id="rId552" w:history="1">
        <w:r w:rsidRPr="00EF7399">
          <w:rPr>
            <w:rStyle w:val="Hyperlink"/>
            <w:rFonts w:ascii="Times New Roman" w:hAnsi="Times New Roman" w:cs="Times New Roman"/>
            <w:iCs/>
            <w:lang w:val="af-ZA"/>
          </w:rPr>
          <w:t>Cheall</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the United Kingdom</w:t>
        </w:r>
      </w:hyperlink>
      <w:r w:rsidRPr="00EF7399">
        <w:rPr>
          <w:rFonts w:ascii="Times New Roman" w:hAnsi="Times New Roman" w:cs="Times New Roman"/>
          <w:iCs/>
          <w:lang w:val="af-ZA"/>
        </w:rPr>
        <w:t xml:space="preserve"> (</w:t>
      </w:r>
      <w:r w:rsidR="001B2975" w:rsidRPr="00EF7399">
        <w:rPr>
          <w:rFonts w:ascii="Times New Roman" w:hAnsi="Times New Roman" w:cs="Times New Roman"/>
          <w:iCs/>
          <w:lang w:val="af-ZA"/>
        </w:rPr>
        <w:t>Հանձնաժողովի որոշում</w:t>
      </w:r>
      <w:r w:rsidRPr="00EF7399">
        <w:rPr>
          <w:rFonts w:ascii="Times New Roman" w:hAnsi="Times New Roman" w:cs="Times New Roman"/>
          <w:iCs/>
          <w:lang w:val="af-ZA"/>
        </w:rPr>
        <w:t>)</w:t>
      </w:r>
      <w:r w:rsidR="001821E6" w:rsidRPr="00EF7399">
        <w:rPr>
          <w:rFonts w:ascii="Times New Roman" w:hAnsi="Times New Roman" w:cs="Times New Roman"/>
          <w:iCs/>
          <w:lang w:val="af-ZA"/>
        </w:rPr>
        <w:t>, 1985</w:t>
      </w:r>
      <w:r w:rsidRPr="00EF7399">
        <w:rPr>
          <w:rFonts w:ascii="Times New Roman" w:hAnsi="Times New Roman" w:cs="Times New Roman"/>
          <w:iCs/>
          <w:lang w:val="af-ZA"/>
        </w:rPr>
        <w:t>)</w:t>
      </w:r>
      <w:r w:rsidR="001B2975" w:rsidRPr="00EF7399">
        <w:rPr>
          <w:rFonts w:ascii="Times New Roman" w:hAnsi="Times New Roman" w:cs="Times New Roman"/>
          <w:iCs/>
          <w:lang w:val="af-ZA"/>
        </w:rPr>
        <w:t>:</w:t>
      </w:r>
      <w:r w:rsidR="007B44C8" w:rsidRPr="00EF7399">
        <w:rPr>
          <w:rFonts w:ascii="Times New Roman" w:hAnsi="Times New Roman" w:cs="Times New Roman"/>
          <w:iCs/>
          <w:lang w:val="af-ZA"/>
        </w:rPr>
        <w:t xml:space="preserve"> </w:t>
      </w:r>
      <w:r w:rsidR="001B2975" w:rsidRPr="00EF7399">
        <w:rPr>
          <w:rFonts w:ascii="Times New Roman" w:hAnsi="Times New Roman" w:cs="Times New Roman"/>
          <w:iCs/>
          <w:lang w:val="af-ZA"/>
        </w:rPr>
        <w:t>Ինչպես ցանկացած միություն կարող է ազատորեն միանալ դաշինքի, այնպես էլ դաշինքն ազատ է իր կազմ</w:t>
      </w:r>
      <w:r w:rsidR="00B94639" w:rsidRPr="00EF7399">
        <w:rPr>
          <w:rFonts w:ascii="Times New Roman" w:hAnsi="Times New Roman" w:cs="Times New Roman"/>
          <w:iCs/>
          <w:lang w:val="hy-AM"/>
        </w:rPr>
        <w:t>ում</w:t>
      </w:r>
      <w:r w:rsidR="001B2975" w:rsidRPr="00EF7399">
        <w:rPr>
          <w:rFonts w:ascii="Times New Roman" w:hAnsi="Times New Roman" w:cs="Times New Roman"/>
          <w:iCs/>
          <w:lang w:val="af-ZA"/>
        </w:rPr>
        <w:t xml:space="preserve"> ընդունելու միությանը </w:t>
      </w:r>
      <w:r w:rsidR="006303C3" w:rsidRPr="00EF7399">
        <w:rPr>
          <w:rFonts w:ascii="Times New Roman" w:hAnsi="Times New Roman" w:cs="Times New Roman"/>
          <w:iCs/>
          <w:lang w:val="af-ZA"/>
        </w:rPr>
        <w:t>(</w:t>
      </w:r>
      <w:hyperlink r:id="rId553" w:history="1">
        <w:r w:rsidR="006303C3" w:rsidRPr="00EF7399">
          <w:rPr>
            <w:rStyle w:val="Hyperlink"/>
            <w:rFonts w:ascii="Times New Roman" w:hAnsi="Times New Roman" w:cs="Times New Roman"/>
            <w:iCs/>
            <w:lang w:val="af-ZA"/>
          </w:rPr>
          <w:t>Yakut Republican Trade-Union Federation</w:t>
        </w:r>
        <w:r w:rsidR="00873234" w:rsidRPr="00EF7399">
          <w:rPr>
            <w:rStyle w:val="Hyperlink"/>
            <w:rFonts w:ascii="Times New Roman" w:hAnsi="Times New Roman" w:cs="Times New Roman"/>
            <w:iCs/>
            <w:lang w:val="af-ZA"/>
          </w:rPr>
          <w:t xml:space="preserve"> v. </w:t>
        </w:r>
        <w:r w:rsidR="006303C3" w:rsidRPr="00EF7399">
          <w:rPr>
            <w:rStyle w:val="Hyperlink"/>
            <w:rFonts w:ascii="Times New Roman" w:hAnsi="Times New Roman" w:cs="Times New Roman"/>
            <w:iCs/>
            <w:lang w:val="af-ZA"/>
          </w:rPr>
          <w:t>Russia</w:t>
        </w:r>
      </w:hyperlink>
      <w:r w:rsidR="006303C3" w:rsidRPr="00EF7399">
        <w:rPr>
          <w:rFonts w:ascii="Times New Roman" w:hAnsi="Times New Roman" w:cs="Times New Roman"/>
          <w:iCs/>
          <w:lang w:val="af-ZA"/>
        </w:rPr>
        <w:t>,</w:t>
      </w:r>
      <w:r w:rsidR="00F247E0" w:rsidRPr="00EF7399">
        <w:rPr>
          <w:rFonts w:ascii="Times New Roman" w:hAnsi="Times New Roman" w:cs="Times New Roman"/>
          <w:iCs/>
          <w:lang w:val="af-ZA"/>
        </w:rPr>
        <w:t xml:space="preserve"> </w:t>
      </w:r>
      <w:r w:rsidR="00262E0D" w:rsidRPr="00EF7399">
        <w:rPr>
          <w:rFonts w:ascii="Times New Roman" w:hAnsi="Times New Roman" w:cs="Times New Roman"/>
          <w:iCs/>
          <w:lang w:val="af-ZA"/>
        </w:rPr>
        <w:t xml:space="preserve">2021, </w:t>
      </w:r>
      <w:r w:rsidR="00873234" w:rsidRPr="00EF7399">
        <w:rPr>
          <w:rFonts w:ascii="Times New Roman" w:hAnsi="Times New Roman" w:cs="Times New Roman"/>
          <w:iCs/>
          <w:lang w:val="af-ZA"/>
        </w:rPr>
        <w:t>§ </w:t>
      </w:r>
      <w:r w:rsidR="006303C3" w:rsidRPr="00EF7399">
        <w:rPr>
          <w:rFonts w:ascii="Times New Roman" w:hAnsi="Times New Roman" w:cs="Times New Roman"/>
          <w:iCs/>
          <w:lang w:val="af-ZA"/>
        </w:rPr>
        <w:t>30)</w:t>
      </w:r>
      <w:r w:rsidR="001B2975" w:rsidRPr="00EF7399">
        <w:rPr>
          <w:rFonts w:ascii="Times New Roman" w:hAnsi="Times New Roman" w:cs="Times New Roman"/>
          <w:iCs/>
          <w:lang w:val="af-ZA"/>
        </w:rPr>
        <w:t xml:space="preserve">: Արհեստակցական միություններն ազատ են սահմանել անդամության պայմանների սեփական կանոններ, այդ թվում` վարչարարական պահանջներ և վճարներ, ինչպես նաև ավելի բովանդակային չափորոշիչներ, օրինակ` հնարավոր անդամի մասնագիտական կամ արհեստակցական զբաղմունքը </w:t>
      </w:r>
      <w:r w:rsidRPr="00EF7399">
        <w:rPr>
          <w:rFonts w:ascii="Times New Roman" w:hAnsi="Times New Roman" w:cs="Times New Roman"/>
          <w:iCs/>
          <w:lang w:val="af-ZA"/>
        </w:rPr>
        <w:t>(</w:t>
      </w:r>
      <w:hyperlink r:id="rId554" w:history="1">
        <w:r w:rsidRPr="00EF7399">
          <w:rPr>
            <w:rStyle w:val="Hyperlink"/>
            <w:rFonts w:ascii="Times New Roman" w:hAnsi="Times New Roman" w:cs="Times New Roman"/>
            <w:iCs/>
            <w:lang w:val="af-ZA"/>
          </w:rPr>
          <w:t>Associated Society of Locomotive Engineers &amp; Firemen (ASLEF)</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the United Kingdom</w:t>
        </w:r>
      </w:hyperlink>
      <w:r w:rsidRPr="00EF7399">
        <w:rPr>
          <w:rFonts w:ascii="Times New Roman" w:hAnsi="Times New Roman" w:cs="Times New Roman"/>
          <w:i/>
          <w:iCs/>
          <w:lang w:val="af-ZA"/>
        </w:rPr>
        <w:t xml:space="preserve">, </w:t>
      </w:r>
      <w:r w:rsidR="002A3689" w:rsidRPr="00EF7399">
        <w:rPr>
          <w:rFonts w:ascii="Times New Roman" w:hAnsi="Times New Roman" w:cs="Times New Roman"/>
          <w:iCs/>
          <w:lang w:val="af-ZA"/>
        </w:rPr>
        <w:t xml:space="preserve">2007, </w:t>
      </w:r>
      <w:r w:rsidR="00873234" w:rsidRPr="00EF7399">
        <w:rPr>
          <w:rFonts w:ascii="Times New Roman" w:hAnsi="Times New Roman" w:cs="Times New Roman"/>
          <w:iCs/>
          <w:lang w:val="af-ZA"/>
        </w:rPr>
        <w:t>§ </w:t>
      </w:r>
      <w:r w:rsidRPr="00EF7399">
        <w:rPr>
          <w:rFonts w:ascii="Times New Roman" w:hAnsi="Times New Roman" w:cs="Times New Roman"/>
          <w:iCs/>
          <w:lang w:val="af-ZA"/>
        </w:rPr>
        <w:t>38)</w:t>
      </w:r>
      <w:r w:rsidR="001B2975" w:rsidRPr="00EF7399">
        <w:rPr>
          <w:rFonts w:ascii="Times New Roman" w:hAnsi="Times New Roman" w:cs="Times New Roman"/>
          <w:iCs/>
          <w:lang w:val="af-ZA"/>
        </w:rPr>
        <w:t>:</w:t>
      </w:r>
    </w:p>
    <w:p w14:paraId="18FA3990" w14:textId="43B922D1" w:rsidR="00381928" w:rsidRPr="00EF7399" w:rsidRDefault="00381928" w:rsidP="00381928">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260</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1B2975" w:rsidRPr="00EF7399">
        <w:rPr>
          <w:rFonts w:ascii="Times New Roman" w:hAnsi="Times New Roman" w:cs="Times New Roman"/>
          <w:iCs/>
          <w:lang w:val="af-ZA"/>
        </w:rPr>
        <w:t xml:space="preserve">Արհեստակցական միությունը պետք է ազատ ընտրի իր անդամներին, քանի որ 11-րդ հոդվածը չի պահանջում միավորումներից կամ կազմակերպություններից ընդունել բոլոր ցանկացողներին: </w:t>
      </w:r>
      <w:r w:rsidR="00D974D8" w:rsidRPr="00EF7399">
        <w:rPr>
          <w:rFonts w:ascii="Times New Roman" w:hAnsi="Times New Roman" w:cs="Times New Roman"/>
          <w:iCs/>
          <w:lang w:val="af-ZA"/>
        </w:rPr>
        <w:t xml:space="preserve">Երբ միավորումները ստեղծում են մարդիկ, ովքեր կրում են որոշակի արժեքներ կամ իդեալներ, մտադրված են հետապնդել ընդհանուր նպատակներ, ապա սեփական անդամության նկատմամբ հսկողություն չունենալը կհակասի տվյալ ազատության բուն արդյունավետությանը </w:t>
      </w:r>
      <w:r w:rsidRPr="00EF7399">
        <w:rPr>
          <w:rFonts w:ascii="Times New Roman" w:hAnsi="Times New Roman" w:cs="Times New Roman"/>
          <w:iCs/>
          <w:lang w:val="af-ZA"/>
        </w:rPr>
        <w:t>(</w:t>
      </w:r>
      <w:hyperlink r:id="rId555" w:history="1">
        <w:r w:rsidRPr="00EF7399">
          <w:rPr>
            <w:rStyle w:val="Hyperlink"/>
            <w:rFonts w:ascii="Times New Roman" w:hAnsi="Times New Roman" w:cs="Times New Roman"/>
            <w:iCs/>
            <w:lang w:val="af-ZA"/>
          </w:rPr>
          <w:t>Associated Society of Locomotive Engineers &amp; Firemen (ASLEF)</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the United Kingdom</w:t>
        </w:r>
      </w:hyperlink>
      <w:r w:rsidRPr="00EF7399">
        <w:rPr>
          <w:rFonts w:ascii="Times New Roman" w:hAnsi="Times New Roman" w:cs="Times New Roman"/>
          <w:iCs/>
          <w:lang w:val="af-ZA"/>
        </w:rPr>
        <w:t xml:space="preserve">, </w:t>
      </w:r>
      <w:r w:rsidR="002A3689" w:rsidRPr="00EF7399">
        <w:rPr>
          <w:rFonts w:ascii="Times New Roman" w:hAnsi="Times New Roman" w:cs="Times New Roman"/>
          <w:iCs/>
          <w:lang w:val="af-ZA"/>
        </w:rPr>
        <w:t xml:space="preserve">2007, </w:t>
      </w:r>
      <w:r w:rsidR="00873234" w:rsidRPr="00EF7399">
        <w:rPr>
          <w:rFonts w:ascii="Times New Roman" w:hAnsi="Times New Roman" w:cs="Times New Roman"/>
          <w:iCs/>
          <w:lang w:val="af-ZA"/>
        </w:rPr>
        <w:t>§ </w:t>
      </w:r>
      <w:r w:rsidRPr="00EF7399">
        <w:rPr>
          <w:rFonts w:ascii="Times New Roman" w:hAnsi="Times New Roman" w:cs="Times New Roman"/>
          <w:iCs/>
          <w:lang w:val="af-ZA"/>
        </w:rPr>
        <w:t>39)</w:t>
      </w:r>
      <w:r w:rsidR="00D974D8" w:rsidRPr="00EF7399">
        <w:rPr>
          <w:rFonts w:ascii="Times New Roman" w:hAnsi="Times New Roman" w:cs="Times New Roman"/>
          <w:iCs/>
          <w:lang w:val="af-ZA"/>
        </w:rPr>
        <w:t>: Արհեստակցական միությունները հանձնառու են ոչ միայն իրենց անդամների բարեկեցության քաղա</w:t>
      </w:r>
      <w:r w:rsidR="00CB7B8F" w:rsidRPr="00EF7399">
        <w:rPr>
          <w:rFonts w:ascii="Times New Roman" w:hAnsi="Times New Roman" w:cs="Times New Roman"/>
          <w:iCs/>
          <w:lang w:val="af-ZA"/>
        </w:rPr>
        <w:t>քա</w:t>
      </w:r>
      <w:r w:rsidR="00D974D8" w:rsidRPr="00EF7399">
        <w:rPr>
          <w:rFonts w:ascii="Times New Roman" w:hAnsi="Times New Roman" w:cs="Times New Roman"/>
          <w:iCs/>
          <w:lang w:val="af-ZA"/>
        </w:rPr>
        <w:t>կան</w:t>
      </w:r>
      <w:r w:rsidR="00122CF1" w:rsidRPr="00EF7399">
        <w:rPr>
          <w:rFonts w:ascii="Times New Roman" w:hAnsi="Times New Roman" w:cs="Times New Roman"/>
          <w:iCs/>
          <w:lang w:val="hy-AM"/>
        </w:rPr>
        <w:t>ապես չեզոք</w:t>
      </w:r>
      <w:r w:rsidR="00D974D8" w:rsidRPr="00EF7399">
        <w:rPr>
          <w:rFonts w:ascii="Times New Roman" w:hAnsi="Times New Roman" w:cs="Times New Roman"/>
          <w:iCs/>
          <w:lang w:val="af-ZA"/>
        </w:rPr>
        <w:t xml:space="preserve">, այլև հաճախ գաղափարական հարցերի </w:t>
      </w:r>
      <w:r w:rsidR="00D974D8" w:rsidRPr="00EF7399">
        <w:rPr>
          <w:rFonts w:ascii="Times New Roman" w:hAnsi="Times New Roman" w:cs="Times New Roman"/>
          <w:iCs/>
          <w:lang w:val="af-ZA"/>
        </w:rPr>
        <w:lastRenderedPageBreak/>
        <w:t>համար և ունեն սոցիալական ու քաղաքական խնդիրների վերաբերյալ հստակ տեսակետ</w:t>
      </w:r>
      <w:r w:rsidR="00122CF1" w:rsidRPr="00EF7399">
        <w:rPr>
          <w:rFonts w:ascii="Times New Roman" w:hAnsi="Times New Roman" w:cs="Times New Roman"/>
          <w:iCs/>
          <w:lang w:val="hy-AM"/>
        </w:rPr>
        <w:t>ն</w:t>
      </w:r>
      <w:r w:rsidR="00D974D8" w:rsidRPr="00EF7399">
        <w:rPr>
          <w:rFonts w:ascii="Times New Roman" w:hAnsi="Times New Roman" w:cs="Times New Roman"/>
          <w:iCs/>
          <w:lang w:val="af-ZA"/>
        </w:rPr>
        <w:t xml:space="preserve">եր </w:t>
      </w:r>
      <w:r w:rsidRPr="00EF7399">
        <w:rPr>
          <w:rFonts w:ascii="Times New Roman" w:hAnsi="Times New Roman" w:cs="Times New Roman"/>
          <w:iCs/>
          <w:lang w:val="af-ZA"/>
        </w:rPr>
        <w:t>(</w:t>
      </w:r>
      <w:hyperlink r:id="rId556" w:history="1">
        <w:r w:rsidR="00E907D9" w:rsidRPr="00EF7399">
          <w:rPr>
            <w:rStyle w:val="Hyperlink"/>
            <w:rFonts w:ascii="Times New Roman" w:hAnsi="Times New Roman" w:cs="Times New Roman"/>
            <w:iCs/>
            <w:lang w:val="af-ZA"/>
          </w:rPr>
          <w:t>ibid</w:t>
        </w:r>
      </w:hyperlink>
      <w:r w:rsidR="00E907D9" w:rsidRPr="00EF7399">
        <w:rPr>
          <w:rFonts w:ascii="Times New Roman" w:hAnsi="Times New Roman" w:cs="Times New Roman"/>
          <w:iCs/>
          <w:lang w:val="af-ZA"/>
        </w:rPr>
        <w:t>.,</w:t>
      </w:r>
      <w:r w:rsidRPr="00EF7399">
        <w:rPr>
          <w:rFonts w:ascii="Times New Roman" w:hAnsi="Times New Roman" w:cs="Times New Roman"/>
          <w:iCs/>
          <w:lang w:val="af-ZA"/>
        </w:rPr>
        <w:t xml:space="preserve"> </w:t>
      </w:r>
      <w:r w:rsidR="00873234" w:rsidRPr="00EF7399">
        <w:rPr>
          <w:rFonts w:ascii="Times New Roman" w:hAnsi="Times New Roman" w:cs="Times New Roman"/>
          <w:iCs/>
          <w:lang w:val="af-ZA"/>
        </w:rPr>
        <w:t>§ </w:t>
      </w:r>
      <w:r w:rsidRPr="00EF7399">
        <w:rPr>
          <w:rFonts w:ascii="Times New Roman" w:hAnsi="Times New Roman" w:cs="Times New Roman"/>
          <w:iCs/>
          <w:lang w:val="af-ZA"/>
        </w:rPr>
        <w:t>50)</w:t>
      </w:r>
      <w:r w:rsidR="00D974D8" w:rsidRPr="00EF7399">
        <w:rPr>
          <w:rFonts w:ascii="Times New Roman" w:hAnsi="Times New Roman" w:cs="Times New Roman"/>
          <w:iCs/>
          <w:lang w:val="af-ZA"/>
        </w:rPr>
        <w:t>:</w:t>
      </w:r>
    </w:p>
    <w:p w14:paraId="527F18E3" w14:textId="4119015C" w:rsidR="00381928" w:rsidRPr="00EF7399" w:rsidRDefault="00381928" w:rsidP="00B0281E">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261</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BD2933" w:rsidRPr="00EF7399">
        <w:rPr>
          <w:rFonts w:ascii="Times New Roman" w:hAnsi="Times New Roman" w:cs="Times New Roman"/>
          <w:iCs/>
          <w:lang w:val="af-ZA"/>
        </w:rPr>
        <w:t xml:space="preserve">«Իր շահերի պաշտպանության համար» միությանը միանալու իրավունքը չի կարող մեկնաբանվել որպես սեփական ընտրությամբ միությանը միանալու ընդհանուր իրավունք, որն անտեսում է միության կանոնները, քանի որ 11-րդ հոդվածի 1-ին մասով </w:t>
      </w:r>
      <w:r w:rsidR="00C85305" w:rsidRPr="00EF7399">
        <w:rPr>
          <w:rFonts w:ascii="Times New Roman" w:hAnsi="Times New Roman" w:cs="Times New Roman"/>
          <w:iCs/>
          <w:lang w:val="af-ZA"/>
        </w:rPr>
        <w:t>սահմանված իրենց իրավունքներն իրա</w:t>
      </w:r>
      <w:r w:rsidR="00122CF1" w:rsidRPr="00EF7399">
        <w:rPr>
          <w:rFonts w:ascii="Times New Roman" w:hAnsi="Times New Roman" w:cs="Times New Roman"/>
          <w:iCs/>
          <w:lang w:val="hy-AM"/>
        </w:rPr>
        <w:t>ցն</w:t>
      </w:r>
      <w:r w:rsidR="00C85305" w:rsidRPr="00EF7399">
        <w:rPr>
          <w:rFonts w:ascii="Times New Roman" w:hAnsi="Times New Roman" w:cs="Times New Roman"/>
          <w:iCs/>
          <w:lang w:val="af-ZA"/>
        </w:rPr>
        <w:t>ելիս</w:t>
      </w:r>
      <w:r w:rsidR="006801E5" w:rsidRPr="00EF7399">
        <w:rPr>
          <w:rFonts w:ascii="Times New Roman" w:hAnsi="Times New Roman" w:cs="Times New Roman"/>
          <w:iCs/>
          <w:lang w:val="af-ZA"/>
        </w:rPr>
        <w:t xml:space="preserve"> միությունները պետք է ազատ լինեն որոշելու միություն ընդունելու և միությունից հեռացնելու հարցերը` միության կանոններին համապատասխան </w:t>
      </w:r>
      <w:r w:rsidRPr="00EF7399">
        <w:rPr>
          <w:rFonts w:ascii="Times New Roman" w:hAnsi="Times New Roman" w:cs="Times New Roman"/>
          <w:iCs/>
          <w:lang w:val="af-ZA"/>
        </w:rPr>
        <w:t>(</w:t>
      </w:r>
      <w:hyperlink r:id="rId557" w:history="1">
        <w:r w:rsidRPr="00EF7399">
          <w:rPr>
            <w:rStyle w:val="Hyperlink"/>
            <w:rFonts w:ascii="Times New Roman" w:hAnsi="Times New Roman" w:cs="Times New Roman"/>
            <w:iCs/>
            <w:lang w:val="af-ZA"/>
          </w:rPr>
          <w:t>Cheall</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the United Kingdom</w:t>
        </w:r>
      </w:hyperlink>
      <w:r w:rsidRPr="00EF7399">
        <w:rPr>
          <w:rFonts w:ascii="Times New Roman" w:hAnsi="Times New Roman" w:cs="Times New Roman"/>
          <w:iCs/>
          <w:lang w:val="af-ZA"/>
        </w:rPr>
        <w:t xml:space="preserve">, </w:t>
      </w:r>
      <w:r w:rsidR="006801E5" w:rsidRPr="00EF7399">
        <w:rPr>
          <w:rFonts w:ascii="Times New Roman" w:hAnsi="Times New Roman" w:cs="Times New Roman"/>
          <w:iCs/>
          <w:lang w:val="af-ZA"/>
        </w:rPr>
        <w:t>Հանձնաժողովի որոշում</w:t>
      </w:r>
      <w:r w:rsidR="001821E6" w:rsidRPr="00EF7399">
        <w:rPr>
          <w:rFonts w:ascii="Times New Roman" w:hAnsi="Times New Roman" w:cs="Times New Roman"/>
          <w:iCs/>
          <w:lang w:val="af-ZA"/>
        </w:rPr>
        <w:t>, 1985</w:t>
      </w:r>
      <w:r w:rsidRPr="00EF7399">
        <w:rPr>
          <w:rFonts w:ascii="Times New Roman" w:hAnsi="Times New Roman" w:cs="Times New Roman"/>
          <w:iCs/>
          <w:lang w:val="af-ZA"/>
        </w:rPr>
        <w:t xml:space="preserve">; </w:t>
      </w:r>
      <w:hyperlink r:id="rId558" w:history="1">
        <w:r w:rsidRPr="00EF7399">
          <w:rPr>
            <w:rStyle w:val="Hyperlink"/>
            <w:rFonts w:ascii="Times New Roman" w:hAnsi="Times New Roman" w:cs="Times New Roman"/>
            <w:iCs/>
            <w:lang w:val="af-ZA"/>
          </w:rPr>
          <w:t>Associated Society of Locomotive Engineers &amp; Firemen (ASLEF)</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the United Kingdom</w:t>
        </w:r>
      </w:hyperlink>
      <w:r w:rsidRPr="00EF7399">
        <w:rPr>
          <w:rFonts w:ascii="Times New Roman" w:hAnsi="Times New Roman" w:cs="Times New Roman"/>
          <w:iCs/>
          <w:lang w:val="af-ZA"/>
        </w:rPr>
        <w:t xml:space="preserve">, </w:t>
      </w:r>
      <w:r w:rsidR="002A3689" w:rsidRPr="00EF7399">
        <w:rPr>
          <w:rFonts w:ascii="Times New Roman" w:hAnsi="Times New Roman" w:cs="Times New Roman"/>
          <w:iCs/>
          <w:lang w:val="af-ZA"/>
        </w:rPr>
        <w:t xml:space="preserve">2007, </w:t>
      </w:r>
      <w:r w:rsidR="00873234" w:rsidRPr="00EF7399">
        <w:rPr>
          <w:rFonts w:ascii="Times New Roman" w:hAnsi="Times New Roman" w:cs="Times New Roman"/>
          <w:iCs/>
          <w:lang w:val="af-ZA"/>
        </w:rPr>
        <w:t>§ </w:t>
      </w:r>
      <w:r w:rsidRPr="00EF7399">
        <w:rPr>
          <w:rFonts w:ascii="Times New Roman" w:hAnsi="Times New Roman" w:cs="Times New Roman"/>
          <w:iCs/>
          <w:lang w:val="af-ZA"/>
        </w:rPr>
        <w:t xml:space="preserve">39, </w:t>
      </w:r>
      <w:r w:rsidR="006801E5" w:rsidRPr="00EF7399">
        <w:rPr>
          <w:rFonts w:ascii="Times New Roman" w:hAnsi="Times New Roman" w:cs="Times New Roman"/>
          <w:iCs/>
          <w:lang w:val="af-ZA"/>
        </w:rPr>
        <w:t xml:space="preserve">որտեղ արհեստակցական միությանն արգելվել էր հեռացնել անդամի, </w:t>
      </w:r>
      <w:r w:rsidR="00D14D9A" w:rsidRPr="00EF7399">
        <w:rPr>
          <w:rFonts w:ascii="Times New Roman" w:hAnsi="Times New Roman" w:cs="Times New Roman"/>
          <w:iCs/>
          <w:lang w:val="af-ZA"/>
        </w:rPr>
        <w:t>քանի որ վերջինս</w:t>
      </w:r>
      <w:r w:rsidR="006801E5" w:rsidRPr="00EF7399">
        <w:rPr>
          <w:rFonts w:ascii="Times New Roman" w:hAnsi="Times New Roman" w:cs="Times New Roman"/>
          <w:iCs/>
          <w:lang w:val="af-ZA"/>
        </w:rPr>
        <w:t xml:space="preserve"> քաղաքական կուսակցության անդամ էր, որը քարոզում էր միության տեսակետ</w:t>
      </w:r>
      <w:r w:rsidR="00122CF1" w:rsidRPr="00EF7399">
        <w:rPr>
          <w:rFonts w:ascii="Times New Roman" w:hAnsi="Times New Roman" w:cs="Times New Roman"/>
          <w:iCs/>
          <w:lang w:val="hy-AM"/>
        </w:rPr>
        <w:t>ն</w:t>
      </w:r>
      <w:r w:rsidR="006801E5" w:rsidRPr="00EF7399">
        <w:rPr>
          <w:rFonts w:ascii="Times New Roman" w:hAnsi="Times New Roman" w:cs="Times New Roman"/>
          <w:iCs/>
          <w:lang w:val="af-ZA"/>
        </w:rPr>
        <w:t>երին հակառակ գաղափարներ, ինչը 11-րդ հոդվածի խախտում էր</w:t>
      </w:r>
      <w:r w:rsidR="00B0281E" w:rsidRPr="00EF7399">
        <w:rPr>
          <w:rFonts w:ascii="Times New Roman" w:hAnsi="Times New Roman" w:cs="Times New Roman"/>
          <w:iCs/>
          <w:lang w:val="af-ZA"/>
        </w:rPr>
        <w:t xml:space="preserve">; </w:t>
      </w:r>
      <w:bookmarkStart w:id="103" w:name="_Hlk113265399"/>
      <w:r w:rsidR="001D11C9" w:rsidRPr="00EF7399">
        <w:rPr>
          <w:rFonts w:ascii="Times New Roman" w:hAnsi="Times New Roman" w:cs="Times New Roman"/>
          <w:i/>
          <w:lang w:val="af-ZA"/>
        </w:rPr>
        <w:fldChar w:fldCharType="begin"/>
      </w:r>
      <w:r w:rsidR="001D11C9" w:rsidRPr="00EF7399">
        <w:rPr>
          <w:rFonts w:ascii="Times New Roman" w:hAnsi="Times New Roman" w:cs="Times New Roman"/>
          <w:i/>
          <w:lang w:val="af-ZA"/>
        </w:rPr>
        <w:instrText xml:space="preserve"> HYPERLINK "https://hudoc.echr.coe.int/eng?i=001-217114" </w:instrText>
      </w:r>
      <w:r w:rsidR="001D11C9" w:rsidRPr="00EF7399">
        <w:rPr>
          <w:rFonts w:ascii="Times New Roman" w:hAnsi="Times New Roman" w:cs="Times New Roman"/>
          <w:i/>
          <w:lang w:val="af-ZA"/>
        </w:rPr>
      </w:r>
      <w:r w:rsidR="001D11C9" w:rsidRPr="00EF7399">
        <w:rPr>
          <w:rFonts w:ascii="Times New Roman" w:hAnsi="Times New Roman" w:cs="Times New Roman"/>
          <w:i/>
          <w:lang w:val="af-ZA"/>
        </w:rPr>
        <w:fldChar w:fldCharType="separate"/>
      </w:r>
      <w:r w:rsidR="00B0281E" w:rsidRPr="00EF7399">
        <w:rPr>
          <w:rStyle w:val="Hyperlink"/>
          <w:rFonts w:ascii="Times New Roman" w:hAnsi="Times New Roman" w:cs="Times New Roman"/>
          <w:lang w:val="af-ZA"/>
        </w:rPr>
        <w:t>Vlahov</w:t>
      </w:r>
      <w:r w:rsidR="00873234" w:rsidRPr="00EF7399">
        <w:rPr>
          <w:rStyle w:val="Hyperlink"/>
          <w:rFonts w:ascii="Times New Roman" w:hAnsi="Times New Roman" w:cs="Times New Roman"/>
          <w:lang w:val="af-ZA"/>
        </w:rPr>
        <w:t xml:space="preserve"> v. </w:t>
      </w:r>
      <w:r w:rsidR="00B0281E" w:rsidRPr="00EF7399">
        <w:rPr>
          <w:rStyle w:val="Hyperlink"/>
          <w:rFonts w:ascii="Times New Roman" w:hAnsi="Times New Roman" w:cs="Times New Roman"/>
          <w:lang w:val="af-ZA"/>
        </w:rPr>
        <w:t>Croatia</w:t>
      </w:r>
      <w:r w:rsidR="001D11C9" w:rsidRPr="00EF7399">
        <w:rPr>
          <w:rFonts w:ascii="Times New Roman" w:hAnsi="Times New Roman" w:cs="Times New Roman"/>
          <w:i/>
          <w:lang w:val="af-ZA"/>
        </w:rPr>
        <w:fldChar w:fldCharType="end"/>
      </w:r>
      <w:r w:rsidR="00B0281E" w:rsidRPr="00EF7399">
        <w:rPr>
          <w:rFonts w:ascii="Times New Roman" w:hAnsi="Times New Roman" w:cs="Times New Roman"/>
          <w:iCs/>
          <w:lang w:val="af-ZA"/>
        </w:rPr>
        <w:t xml:space="preserve">, 2022, </w:t>
      </w:r>
      <w:r w:rsidR="00873234" w:rsidRPr="00EF7399">
        <w:rPr>
          <w:rFonts w:ascii="Times New Roman" w:hAnsi="Times New Roman" w:cs="Times New Roman"/>
          <w:iCs/>
          <w:lang w:val="af-ZA"/>
        </w:rPr>
        <w:t>§ </w:t>
      </w:r>
      <w:r w:rsidR="00B0281E" w:rsidRPr="00EF7399">
        <w:rPr>
          <w:rFonts w:ascii="Times New Roman" w:hAnsi="Times New Roman" w:cs="Times New Roman"/>
          <w:iCs/>
          <w:lang w:val="af-ZA"/>
        </w:rPr>
        <w:t>60</w:t>
      </w:r>
      <w:bookmarkEnd w:id="103"/>
      <w:r w:rsidR="00B0281E" w:rsidRPr="00EF7399">
        <w:rPr>
          <w:rFonts w:ascii="Times New Roman" w:hAnsi="Times New Roman" w:cs="Times New Roman"/>
          <w:iCs/>
          <w:lang w:val="af-ZA"/>
        </w:rPr>
        <w:t xml:space="preserve">, </w:t>
      </w:r>
      <w:r w:rsidR="00D14D9A" w:rsidRPr="00EF7399">
        <w:rPr>
          <w:rFonts w:ascii="Times New Roman" w:hAnsi="Times New Roman" w:cs="Times New Roman"/>
          <w:iCs/>
          <w:lang w:val="af-ZA"/>
        </w:rPr>
        <w:t>վերաբերում է անդամության հարցերը վերահսկելու արհեստակցական միությունների իրավունքին` ընդդեմ անդամության թեկնածուների միավորման ազատության իրավունքի</w:t>
      </w:r>
      <w:r w:rsidR="00B0281E" w:rsidRPr="00EF7399">
        <w:rPr>
          <w:rFonts w:ascii="Times New Roman" w:hAnsi="Times New Roman" w:cs="Times New Roman"/>
          <w:iCs/>
          <w:lang w:val="af-ZA"/>
        </w:rPr>
        <w:t>)</w:t>
      </w:r>
      <w:r w:rsidR="00D14D9A" w:rsidRPr="00EF7399">
        <w:rPr>
          <w:rFonts w:ascii="Times New Roman" w:hAnsi="Times New Roman" w:cs="Times New Roman"/>
          <w:iCs/>
          <w:lang w:val="af-ZA"/>
        </w:rPr>
        <w:t>:</w:t>
      </w:r>
    </w:p>
    <w:p w14:paraId="70EA928E" w14:textId="25E55C69" w:rsidR="00381928" w:rsidRPr="00EF7399" w:rsidRDefault="00381928" w:rsidP="00381928">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262</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D14D9A" w:rsidRPr="00EF7399">
        <w:rPr>
          <w:rFonts w:ascii="Times New Roman" w:hAnsi="Times New Roman" w:cs="Times New Roman"/>
          <w:iCs/>
          <w:lang w:val="af-ZA"/>
        </w:rPr>
        <w:t xml:space="preserve"> </w:t>
      </w:r>
      <w:r w:rsidR="00122CF1" w:rsidRPr="00EF7399">
        <w:rPr>
          <w:rFonts w:ascii="Times New Roman" w:hAnsi="Times New Roman" w:cs="Times New Roman"/>
          <w:iCs/>
          <w:lang w:val="af-ZA"/>
        </w:rPr>
        <w:t>Այդուհանդերձ</w:t>
      </w:r>
      <w:r w:rsidR="00122CF1" w:rsidRPr="00EF7399">
        <w:rPr>
          <w:rFonts w:ascii="Times New Roman" w:hAnsi="Times New Roman" w:cs="Times New Roman"/>
          <w:iCs/>
          <w:lang w:val="hy-AM"/>
        </w:rPr>
        <w:t>, ն</w:t>
      </w:r>
      <w:r w:rsidR="00D14D9A" w:rsidRPr="00EF7399">
        <w:rPr>
          <w:rFonts w:ascii="Times New Roman" w:hAnsi="Times New Roman" w:cs="Times New Roman"/>
          <w:iCs/>
          <w:lang w:val="af-ZA"/>
        </w:rPr>
        <w:t>կատառումներ</w:t>
      </w:r>
      <w:r w:rsidR="00122CF1" w:rsidRPr="00EF7399">
        <w:rPr>
          <w:rFonts w:ascii="Times New Roman" w:hAnsi="Times New Roman" w:cs="Times New Roman"/>
          <w:iCs/>
          <w:lang w:val="hy-AM"/>
        </w:rPr>
        <w:t>ը</w:t>
      </w:r>
      <w:r w:rsidR="00D14D9A" w:rsidRPr="00EF7399">
        <w:rPr>
          <w:rFonts w:ascii="Times New Roman" w:hAnsi="Times New Roman" w:cs="Times New Roman"/>
          <w:iCs/>
          <w:lang w:val="af-ZA"/>
        </w:rPr>
        <w:t xml:space="preserve"> կարող են </w:t>
      </w:r>
      <w:r w:rsidR="00122CF1" w:rsidRPr="00EF7399">
        <w:rPr>
          <w:rFonts w:ascii="Times New Roman" w:hAnsi="Times New Roman" w:cs="Times New Roman"/>
          <w:iCs/>
          <w:lang w:val="hy-AM"/>
        </w:rPr>
        <w:t>տարբերվել</w:t>
      </w:r>
      <w:r w:rsidR="00D14D9A" w:rsidRPr="00EF7399">
        <w:rPr>
          <w:rFonts w:ascii="Times New Roman" w:hAnsi="Times New Roman" w:cs="Times New Roman"/>
          <w:iCs/>
          <w:lang w:val="af-ZA"/>
        </w:rPr>
        <w:t>, երբ միավորումը կամ արհեստակցական միությունն ունի իր վրա դրված հանրային պարտականություններ կամ ստանում է պետական ֆինանսավորում, որի հետևանքով</w:t>
      </w:r>
      <w:r w:rsidR="00122CF1" w:rsidRPr="00EF7399">
        <w:rPr>
          <w:rFonts w:ascii="Times New Roman" w:hAnsi="Times New Roman" w:cs="Times New Roman"/>
          <w:iCs/>
          <w:lang w:val="hy-AM"/>
        </w:rPr>
        <w:t xml:space="preserve"> այն</w:t>
      </w:r>
      <w:r w:rsidR="00D14D9A" w:rsidRPr="00EF7399">
        <w:rPr>
          <w:rFonts w:ascii="Times New Roman" w:hAnsi="Times New Roman" w:cs="Times New Roman"/>
          <w:iCs/>
          <w:lang w:val="af-ZA"/>
        </w:rPr>
        <w:t xml:space="preserve"> կարող է ողջամ</w:t>
      </w:r>
      <w:r w:rsidR="00122CF1" w:rsidRPr="00EF7399">
        <w:rPr>
          <w:rFonts w:ascii="Times New Roman" w:hAnsi="Times New Roman" w:cs="Times New Roman"/>
          <w:iCs/>
          <w:lang w:val="hy-AM"/>
        </w:rPr>
        <w:t>տորեն</w:t>
      </w:r>
      <w:r w:rsidR="00D14D9A" w:rsidRPr="00EF7399">
        <w:rPr>
          <w:rFonts w:ascii="Times New Roman" w:hAnsi="Times New Roman" w:cs="Times New Roman"/>
          <w:iCs/>
          <w:lang w:val="af-ZA"/>
        </w:rPr>
        <w:t xml:space="preserve"> </w:t>
      </w:r>
      <w:r w:rsidR="00122CF1" w:rsidRPr="00EF7399">
        <w:rPr>
          <w:rFonts w:ascii="Times New Roman" w:hAnsi="Times New Roman" w:cs="Times New Roman"/>
          <w:iCs/>
          <w:lang w:val="hy-AM"/>
        </w:rPr>
        <w:t>պարտադրվել ընդունելու</w:t>
      </w:r>
      <w:r w:rsidR="008C340E" w:rsidRPr="00EF7399">
        <w:rPr>
          <w:rFonts w:ascii="Times New Roman" w:hAnsi="Times New Roman" w:cs="Times New Roman"/>
          <w:iCs/>
          <w:lang w:val="af-ZA"/>
        </w:rPr>
        <w:t xml:space="preserve"> անդամներ` սեփական խնդիրների իրականացումից բացի ավելի լայն նպատակների հասնելու համար </w:t>
      </w:r>
      <w:r w:rsidRPr="00EF7399">
        <w:rPr>
          <w:rFonts w:ascii="Times New Roman" w:hAnsi="Times New Roman" w:cs="Times New Roman"/>
          <w:iCs/>
          <w:lang w:val="af-ZA"/>
        </w:rPr>
        <w:t>(</w:t>
      </w:r>
      <w:hyperlink r:id="rId559" w:history="1">
        <w:r w:rsidRPr="00EF7399">
          <w:rPr>
            <w:rStyle w:val="Hyperlink"/>
            <w:rFonts w:ascii="Times New Roman" w:hAnsi="Times New Roman" w:cs="Times New Roman"/>
            <w:iCs/>
            <w:lang w:val="af-ZA"/>
          </w:rPr>
          <w:t>Associated Society of Locomotive Engineers &amp; Firemen (ASLEF)</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the United Kingdom</w:t>
        </w:r>
      </w:hyperlink>
      <w:r w:rsidRPr="00EF7399">
        <w:rPr>
          <w:rFonts w:ascii="Times New Roman" w:hAnsi="Times New Roman" w:cs="Times New Roman"/>
          <w:iCs/>
          <w:lang w:val="af-ZA"/>
        </w:rPr>
        <w:t xml:space="preserve">, </w:t>
      </w:r>
      <w:r w:rsidR="002A3689" w:rsidRPr="00EF7399">
        <w:rPr>
          <w:rFonts w:ascii="Times New Roman" w:hAnsi="Times New Roman" w:cs="Times New Roman"/>
          <w:iCs/>
          <w:lang w:val="af-ZA"/>
        </w:rPr>
        <w:t xml:space="preserve">2007, </w:t>
      </w:r>
      <w:r w:rsidR="00873234" w:rsidRPr="00EF7399">
        <w:rPr>
          <w:rFonts w:ascii="Times New Roman" w:hAnsi="Times New Roman" w:cs="Times New Roman"/>
          <w:iCs/>
          <w:lang w:val="af-ZA"/>
        </w:rPr>
        <w:t>§ </w:t>
      </w:r>
      <w:r w:rsidRPr="00EF7399">
        <w:rPr>
          <w:rFonts w:ascii="Times New Roman" w:hAnsi="Times New Roman" w:cs="Times New Roman"/>
          <w:iCs/>
          <w:lang w:val="af-ZA"/>
        </w:rPr>
        <w:t>40)</w:t>
      </w:r>
      <w:r w:rsidR="00D14D9A" w:rsidRPr="00EF7399">
        <w:rPr>
          <w:rFonts w:ascii="Times New Roman" w:hAnsi="Times New Roman" w:cs="Times New Roman"/>
          <w:iCs/>
          <w:lang w:val="af-ZA"/>
        </w:rPr>
        <w:t>:</w:t>
      </w:r>
    </w:p>
    <w:p w14:paraId="72054679" w14:textId="0E468187" w:rsidR="00B85C53" w:rsidRPr="00EF7399" w:rsidRDefault="00381928" w:rsidP="00381928">
      <w:pPr>
        <w:pStyle w:val="ECHRParaSpaced"/>
        <w:rPr>
          <w:rFonts w:ascii="Times New Roman" w:hAnsi="Times New Roman" w:cs="Times New Roman"/>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263</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122CF1" w:rsidRPr="00EF7399">
        <w:rPr>
          <w:rFonts w:ascii="Times New Roman" w:hAnsi="Times New Roman" w:cs="Times New Roman"/>
          <w:iCs/>
          <w:lang w:val="hy-AM"/>
        </w:rPr>
        <w:t>Այնուամենայնիվ</w:t>
      </w:r>
      <w:r w:rsidR="008C340E" w:rsidRPr="00EF7399">
        <w:rPr>
          <w:rFonts w:ascii="Times New Roman" w:hAnsi="Times New Roman" w:cs="Times New Roman"/>
          <w:iCs/>
          <w:lang w:val="af-ZA"/>
        </w:rPr>
        <w:t xml:space="preserve">, որպեսզի միությանը միանալու իրավունքը լինի արդյունավետ, պետությունը պետք է պաշտպանի անհատին արհեստակցական միությունների կողմից գերիշխող դիրքի ցանկացած չարաշահումից: Նման չարաշահում կարող է ի հայտ գալ, օրինակ, երբ բացառումը կամ </w:t>
      </w:r>
      <w:r w:rsidR="002666E2" w:rsidRPr="00EF7399">
        <w:rPr>
          <w:rFonts w:ascii="Times New Roman" w:hAnsi="Times New Roman" w:cs="Times New Roman"/>
          <w:iCs/>
          <w:lang w:val="af-ZA"/>
        </w:rPr>
        <w:t xml:space="preserve">հեռացումը չի համապատասխանել միության կանոններին, կամ կանոնները եղել են ամբողջությամբ անհիմն կամ կամայական, կամ բացառումը կամ հեռացումն առաջացրել են բացառիկ </w:t>
      </w:r>
      <w:r w:rsidR="00122CF1" w:rsidRPr="00EF7399">
        <w:rPr>
          <w:rFonts w:ascii="Times New Roman" w:hAnsi="Times New Roman" w:cs="Times New Roman"/>
          <w:iCs/>
          <w:lang w:val="hy-AM"/>
        </w:rPr>
        <w:t>դժվարություններ</w:t>
      </w:r>
      <w:r w:rsidR="00122CF1" w:rsidRPr="00EF7399">
        <w:rPr>
          <w:rFonts w:ascii="Times New Roman" w:hAnsi="Times New Roman" w:cs="Times New Roman"/>
          <w:iCs/>
          <w:lang w:val="af-ZA"/>
        </w:rPr>
        <w:t xml:space="preserve"> </w:t>
      </w:r>
      <w:r w:rsidRPr="00EF7399">
        <w:rPr>
          <w:rFonts w:ascii="Times New Roman" w:hAnsi="Times New Roman" w:cs="Times New Roman"/>
          <w:iCs/>
          <w:lang w:val="af-ZA"/>
        </w:rPr>
        <w:t>(</w:t>
      </w:r>
      <w:hyperlink r:id="rId560" w:history="1">
        <w:r w:rsidRPr="00EF7399">
          <w:rPr>
            <w:rStyle w:val="Hyperlink"/>
            <w:rFonts w:ascii="Times New Roman" w:hAnsi="Times New Roman" w:cs="Times New Roman"/>
            <w:iCs/>
            <w:lang w:val="af-ZA"/>
          </w:rPr>
          <w:t>Cheall</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the United Kingdom</w:t>
        </w:r>
      </w:hyperlink>
      <w:r w:rsidRPr="00EF7399">
        <w:rPr>
          <w:rFonts w:ascii="Times New Roman" w:hAnsi="Times New Roman" w:cs="Times New Roman"/>
          <w:i/>
          <w:iCs/>
          <w:lang w:val="af-ZA"/>
        </w:rPr>
        <w:t xml:space="preserve"> </w:t>
      </w:r>
      <w:r w:rsidRPr="00EF7399">
        <w:rPr>
          <w:rFonts w:ascii="Times New Roman" w:hAnsi="Times New Roman" w:cs="Times New Roman"/>
          <w:iCs/>
          <w:lang w:val="af-ZA"/>
        </w:rPr>
        <w:t>(Commission decision)</w:t>
      </w:r>
      <w:r w:rsidR="001821E6" w:rsidRPr="00EF7399">
        <w:rPr>
          <w:rFonts w:ascii="Times New Roman" w:hAnsi="Times New Roman" w:cs="Times New Roman"/>
          <w:iCs/>
          <w:lang w:val="af-ZA"/>
        </w:rPr>
        <w:t>, 1985</w:t>
      </w:r>
      <w:r w:rsidRPr="00EF7399">
        <w:rPr>
          <w:rFonts w:ascii="Times New Roman" w:hAnsi="Times New Roman" w:cs="Times New Roman"/>
          <w:iCs/>
          <w:lang w:val="af-ZA"/>
        </w:rPr>
        <w:t>;</w:t>
      </w:r>
      <w:r w:rsidRPr="00EF7399">
        <w:rPr>
          <w:rFonts w:ascii="Times New Roman" w:hAnsi="Times New Roman" w:cs="Times New Roman"/>
          <w:i/>
          <w:iCs/>
          <w:lang w:val="af-ZA"/>
        </w:rPr>
        <w:t xml:space="preserve"> </w:t>
      </w:r>
      <w:hyperlink r:id="rId561" w:history="1">
        <w:r w:rsidRPr="00EF7399">
          <w:rPr>
            <w:rStyle w:val="Hyperlink"/>
            <w:rFonts w:ascii="Times New Roman" w:hAnsi="Times New Roman" w:cs="Times New Roman"/>
            <w:iCs/>
            <w:lang w:val="af-ZA"/>
          </w:rPr>
          <w:t>Johansson</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Sweden</w:t>
        </w:r>
      </w:hyperlink>
      <w:r w:rsidRPr="00EF7399">
        <w:rPr>
          <w:rFonts w:ascii="Times New Roman" w:hAnsi="Times New Roman" w:cs="Times New Roman"/>
          <w:iCs/>
          <w:lang w:val="af-ZA"/>
        </w:rPr>
        <w:t xml:space="preserve">, </w:t>
      </w:r>
      <w:r w:rsidR="002666E2" w:rsidRPr="00EF7399">
        <w:rPr>
          <w:rFonts w:ascii="Times New Roman" w:hAnsi="Times New Roman" w:cs="Times New Roman"/>
          <w:iCs/>
          <w:lang w:val="af-ZA"/>
        </w:rPr>
        <w:t>Հանձնաժողովի որոշում</w:t>
      </w:r>
      <w:r w:rsidR="00723C02" w:rsidRPr="00EF7399">
        <w:rPr>
          <w:rFonts w:ascii="Times New Roman" w:hAnsi="Times New Roman" w:cs="Times New Roman"/>
          <w:iCs/>
          <w:lang w:val="af-ZA"/>
        </w:rPr>
        <w:t>, 1990</w:t>
      </w:r>
      <w:r w:rsidRPr="00EF7399">
        <w:rPr>
          <w:rFonts w:ascii="Times New Roman" w:hAnsi="Times New Roman" w:cs="Times New Roman"/>
          <w:iCs/>
          <w:lang w:val="af-ZA"/>
        </w:rPr>
        <w:t xml:space="preserve">; </w:t>
      </w:r>
      <w:hyperlink r:id="rId562" w:history="1">
        <w:r w:rsidRPr="00EF7399">
          <w:rPr>
            <w:rStyle w:val="Hyperlink"/>
            <w:rFonts w:ascii="Times New Roman" w:hAnsi="Times New Roman" w:cs="Times New Roman"/>
            <w:iCs/>
            <w:lang w:val="af-ZA"/>
          </w:rPr>
          <w:t>Associated Society of Locomotive Engineers &amp; Firemen (ASLEF)</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the United Kingdom</w:t>
        </w:r>
      </w:hyperlink>
      <w:r w:rsidRPr="00EF7399">
        <w:rPr>
          <w:rFonts w:ascii="Times New Roman" w:hAnsi="Times New Roman" w:cs="Times New Roman"/>
          <w:iCs/>
          <w:lang w:val="af-ZA"/>
        </w:rPr>
        <w:t xml:space="preserve">, </w:t>
      </w:r>
      <w:r w:rsidR="002A3689" w:rsidRPr="00EF7399">
        <w:rPr>
          <w:rFonts w:ascii="Times New Roman" w:hAnsi="Times New Roman" w:cs="Times New Roman"/>
          <w:iCs/>
          <w:lang w:val="af-ZA"/>
        </w:rPr>
        <w:t xml:space="preserve">2007, </w:t>
      </w:r>
      <w:r w:rsidR="00873234" w:rsidRPr="00EF7399">
        <w:rPr>
          <w:rFonts w:ascii="Times New Roman" w:hAnsi="Times New Roman" w:cs="Times New Roman"/>
          <w:iCs/>
          <w:lang w:val="af-ZA"/>
        </w:rPr>
        <w:t>§ </w:t>
      </w:r>
      <w:r w:rsidRPr="00EF7399">
        <w:rPr>
          <w:rFonts w:ascii="Times New Roman" w:hAnsi="Times New Roman" w:cs="Times New Roman"/>
          <w:iCs/>
          <w:lang w:val="af-ZA"/>
        </w:rPr>
        <w:t>43)</w:t>
      </w:r>
      <w:r w:rsidR="002666E2" w:rsidRPr="00EF7399">
        <w:rPr>
          <w:rFonts w:ascii="Times New Roman" w:hAnsi="Times New Roman" w:cs="Times New Roman"/>
          <w:iCs/>
          <w:lang w:val="af-ZA"/>
        </w:rPr>
        <w:t>:</w:t>
      </w:r>
      <w:r w:rsidR="00B0281E" w:rsidRPr="00EF7399">
        <w:rPr>
          <w:rFonts w:ascii="Times New Roman" w:hAnsi="Times New Roman" w:cs="Times New Roman"/>
          <w:iCs/>
          <w:lang w:val="af-ZA"/>
        </w:rPr>
        <w:t xml:space="preserve"> </w:t>
      </w:r>
      <w:r w:rsidR="002666E2" w:rsidRPr="00EF7399">
        <w:rPr>
          <w:rFonts w:ascii="Times New Roman" w:hAnsi="Times New Roman" w:cs="Times New Roman"/>
          <w:iCs/>
          <w:lang w:val="af-ZA"/>
        </w:rPr>
        <w:t xml:space="preserve">Չարաշահման ձև կարող է լինել նաև խտրական վերաբերմունքը, որի դեմ պետությունը պարտավոր է ձեռնարկել պաշտպանության իրական և արդյունավետ միջոցներ </w:t>
      </w:r>
      <w:r w:rsidR="00B0281E" w:rsidRPr="00EF7399">
        <w:rPr>
          <w:rFonts w:ascii="Times New Roman" w:hAnsi="Times New Roman" w:cs="Times New Roman"/>
          <w:iCs/>
          <w:lang w:val="af-ZA"/>
        </w:rPr>
        <w:t>(</w:t>
      </w:r>
      <w:hyperlink r:id="rId563" w:history="1">
        <w:r w:rsidR="00B0281E" w:rsidRPr="00EF7399">
          <w:rPr>
            <w:rStyle w:val="Hyperlink"/>
            <w:rFonts w:ascii="Times New Roman" w:hAnsi="Times New Roman" w:cs="Times New Roman"/>
            <w:iCs/>
            <w:lang w:val="af-ZA"/>
          </w:rPr>
          <w:t>Vlahov</w:t>
        </w:r>
        <w:r w:rsidR="00873234" w:rsidRPr="00EF7399">
          <w:rPr>
            <w:rStyle w:val="Hyperlink"/>
            <w:rFonts w:ascii="Times New Roman" w:hAnsi="Times New Roman" w:cs="Times New Roman"/>
            <w:iCs/>
            <w:lang w:val="af-ZA"/>
          </w:rPr>
          <w:t xml:space="preserve"> v. </w:t>
        </w:r>
        <w:r w:rsidR="00B0281E" w:rsidRPr="00EF7399">
          <w:rPr>
            <w:rStyle w:val="Hyperlink"/>
            <w:rFonts w:ascii="Times New Roman" w:hAnsi="Times New Roman" w:cs="Times New Roman"/>
            <w:iCs/>
            <w:lang w:val="af-ZA"/>
          </w:rPr>
          <w:t>Croatia</w:t>
        </w:r>
      </w:hyperlink>
      <w:r w:rsidR="00B0281E" w:rsidRPr="00EF7399">
        <w:rPr>
          <w:rFonts w:ascii="Times New Roman" w:hAnsi="Times New Roman" w:cs="Times New Roman"/>
          <w:iCs/>
          <w:lang w:val="af-ZA"/>
        </w:rPr>
        <w:t xml:space="preserve">, 2022, </w:t>
      </w:r>
      <w:r w:rsidR="00873234" w:rsidRPr="00EF7399">
        <w:rPr>
          <w:rFonts w:ascii="Times New Roman" w:hAnsi="Times New Roman" w:cs="Times New Roman"/>
          <w:iCs/>
          <w:lang w:val="af-ZA"/>
        </w:rPr>
        <w:t>§ </w:t>
      </w:r>
      <w:r w:rsidR="00B0281E" w:rsidRPr="00EF7399">
        <w:rPr>
          <w:rFonts w:ascii="Times New Roman" w:hAnsi="Times New Roman" w:cs="Times New Roman"/>
          <w:iCs/>
          <w:lang w:val="af-ZA"/>
        </w:rPr>
        <w:t>61)</w:t>
      </w:r>
      <w:r w:rsidR="002666E2" w:rsidRPr="00EF7399">
        <w:rPr>
          <w:rFonts w:ascii="Times New Roman" w:hAnsi="Times New Roman" w:cs="Times New Roman"/>
          <w:iCs/>
          <w:lang w:val="af-ZA"/>
        </w:rPr>
        <w:t>:</w:t>
      </w:r>
    </w:p>
    <w:p w14:paraId="4F6D7795" w14:textId="2A31603C" w:rsidR="00B85C53" w:rsidRPr="00EF7399" w:rsidRDefault="00A83DAB" w:rsidP="00A83DAB">
      <w:pPr>
        <w:pStyle w:val="ECHRHeading2"/>
        <w:numPr>
          <w:ilvl w:val="0"/>
          <w:numId w:val="0"/>
        </w:numPr>
        <w:rPr>
          <w:rFonts w:ascii="Times New Roman" w:hAnsi="Times New Roman" w:cs="Times New Roman"/>
          <w:lang w:val="af-ZA"/>
        </w:rPr>
      </w:pPr>
      <w:bookmarkStart w:id="104" w:name="_Toc159945260"/>
      <w:r>
        <w:rPr>
          <w:rFonts w:ascii="Times New Roman" w:hAnsi="Times New Roman" w:cs="Times New Roman"/>
          <w:iCs/>
          <w:lang w:val="hy-AM"/>
        </w:rPr>
        <w:t xml:space="preserve">Է․ </w:t>
      </w:r>
      <w:r w:rsidR="00495E3E" w:rsidRPr="00EF7399">
        <w:rPr>
          <w:rFonts w:ascii="Times New Roman" w:hAnsi="Times New Roman" w:cs="Times New Roman"/>
          <w:iCs/>
          <w:lang w:val="af-ZA"/>
        </w:rPr>
        <w:t>Կոլեկտիվ բանակցության իրավունքը</w:t>
      </w:r>
      <w:bookmarkEnd w:id="104"/>
    </w:p>
    <w:p w14:paraId="35917110" w14:textId="1D27358D" w:rsidR="00381928" w:rsidRPr="00EF7399" w:rsidRDefault="00381928" w:rsidP="00381928">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264</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hyperlink r:id="rId564" w:history="1">
        <w:r w:rsidRPr="00EF7399">
          <w:rPr>
            <w:rStyle w:val="Hyperlink"/>
            <w:rFonts w:ascii="Times New Roman" w:hAnsi="Times New Roman" w:cs="Times New Roman"/>
            <w:iCs/>
            <w:lang w:val="af-ZA"/>
          </w:rPr>
          <w:t>Demir and Baykara</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Turkey</w:t>
        </w:r>
      </w:hyperlink>
      <w:r w:rsidRPr="00EF7399">
        <w:rPr>
          <w:rFonts w:ascii="Times New Roman" w:hAnsi="Times New Roman" w:cs="Times New Roman"/>
          <w:iCs/>
          <w:lang w:val="af-ZA"/>
        </w:rPr>
        <w:t xml:space="preserve"> [GC]</w:t>
      </w:r>
      <w:r w:rsidR="002801F1" w:rsidRPr="00EF7399">
        <w:rPr>
          <w:rFonts w:ascii="Times New Roman" w:hAnsi="Times New Roman" w:cs="Times New Roman"/>
          <w:iCs/>
          <w:lang w:val="af-ZA"/>
        </w:rPr>
        <w:t>,</w:t>
      </w:r>
      <w:r w:rsidRPr="00EF7399">
        <w:rPr>
          <w:rFonts w:ascii="Times New Roman" w:hAnsi="Times New Roman" w:cs="Times New Roman"/>
          <w:iCs/>
          <w:lang w:val="af-ZA"/>
        </w:rPr>
        <w:t xml:space="preserve"> 2008</w:t>
      </w:r>
      <w:r w:rsidR="002801F1" w:rsidRPr="00EF7399">
        <w:rPr>
          <w:rFonts w:ascii="Times New Roman" w:hAnsi="Times New Roman" w:cs="Times New Roman"/>
          <w:iCs/>
          <w:lang w:val="af-ZA"/>
        </w:rPr>
        <w:t>,</w:t>
      </w:r>
      <w:r w:rsidR="00714DAE" w:rsidRPr="00EF7399">
        <w:rPr>
          <w:rFonts w:ascii="Times New Roman" w:hAnsi="Times New Roman" w:cs="Times New Roman"/>
          <w:iCs/>
          <w:lang w:val="af-ZA"/>
        </w:rPr>
        <w:t xml:space="preserve"> գործով Դատարանը վերանայեց իր նախադեպային իրավունքն այն իմաստով</w:t>
      </w:r>
      <w:r w:rsidR="005A0F2F" w:rsidRPr="00EF7399">
        <w:rPr>
          <w:rFonts w:ascii="Times New Roman" w:hAnsi="Times New Roman" w:cs="Times New Roman"/>
          <w:iCs/>
          <w:lang w:val="af-ZA"/>
        </w:rPr>
        <w:t>, որ կոլեկտիվ բանակցությունների վարումը և կոլեկտիվ համաձայնագրերի կնքումը 11-րդ հոդվածի անբաժանելի մաս</w:t>
      </w:r>
      <w:r w:rsidR="007919B0" w:rsidRPr="00EF7399">
        <w:rPr>
          <w:rFonts w:ascii="Times New Roman" w:hAnsi="Times New Roman" w:cs="Times New Roman"/>
          <w:iCs/>
          <w:lang w:val="hy-AM"/>
        </w:rPr>
        <w:t xml:space="preserve"> չէ</w:t>
      </w:r>
      <w:r w:rsidR="005A0F2F" w:rsidRPr="00EF7399">
        <w:rPr>
          <w:rFonts w:ascii="Times New Roman" w:hAnsi="Times New Roman" w:cs="Times New Roman"/>
          <w:iCs/>
          <w:lang w:val="af-ZA"/>
        </w:rPr>
        <w:t xml:space="preserve"> և պարտադիր չէ արհեստակցական միությունների ազատության արդյունավետ իրա</w:t>
      </w:r>
      <w:r w:rsidR="007919B0" w:rsidRPr="00EF7399">
        <w:rPr>
          <w:rFonts w:ascii="Times New Roman" w:hAnsi="Times New Roman" w:cs="Times New Roman"/>
          <w:iCs/>
          <w:lang w:val="hy-AM"/>
        </w:rPr>
        <w:t>ց</w:t>
      </w:r>
      <w:r w:rsidR="005A0F2F" w:rsidRPr="00EF7399">
        <w:rPr>
          <w:rFonts w:ascii="Times New Roman" w:hAnsi="Times New Roman" w:cs="Times New Roman"/>
          <w:iCs/>
          <w:lang w:val="af-ZA"/>
        </w:rPr>
        <w:t>ման համար: Հաշվի առնելով նման հարցերում Պայմանավորվող կողմերի աշխատանքային իրավունքի և պրակտիկայի զարգացումները</w:t>
      </w:r>
      <w:r w:rsidR="007919B0" w:rsidRPr="00EF7399">
        <w:rPr>
          <w:rFonts w:ascii="Times New Roman" w:hAnsi="Times New Roman" w:cs="Times New Roman"/>
          <w:iCs/>
          <w:lang w:val="hy-AM"/>
        </w:rPr>
        <w:t>՝</w:t>
      </w:r>
      <w:r w:rsidR="005A0F2F" w:rsidRPr="00EF7399">
        <w:rPr>
          <w:rFonts w:ascii="Times New Roman" w:hAnsi="Times New Roman" w:cs="Times New Roman"/>
          <w:iCs/>
          <w:lang w:val="af-ZA"/>
        </w:rPr>
        <w:t xml:space="preserve"> Դատարանը գտավ, որ գործատուի հետ կոլեկտիվ բանակցություններ վարելը սկզբունքորեն դարձել էր Կոնվենցիայի 11-րդ հոդվածում սահմանված «</w:t>
      </w:r>
      <w:r w:rsidR="005A0F2F" w:rsidRPr="00EF7399">
        <w:rPr>
          <w:rFonts w:ascii="Times New Roman" w:hAnsi="Times New Roman" w:cs="Times New Roman"/>
          <w:color w:val="000000"/>
          <w:shd w:val="clear" w:color="auto" w:fill="FFFFFF"/>
          <w:lang w:val="af-ZA"/>
        </w:rPr>
        <w:t>իր շահերի պաշտպանության համար արհմիություններ ստեղծելու և դրանց անդամակցելու իրավունքի</w:t>
      </w:r>
      <w:r w:rsidR="005A0F2F" w:rsidRPr="00EF7399">
        <w:rPr>
          <w:rFonts w:ascii="Times New Roman" w:hAnsi="Times New Roman" w:cs="Times New Roman"/>
          <w:iCs/>
          <w:lang w:val="af-ZA"/>
        </w:rPr>
        <w:t xml:space="preserve">» </w:t>
      </w:r>
      <w:r w:rsidR="00DB339E">
        <w:rPr>
          <w:rFonts w:ascii="Times New Roman" w:hAnsi="Times New Roman" w:cs="Times New Roman"/>
          <w:iCs/>
          <w:lang w:val="hy-AM"/>
        </w:rPr>
        <w:t>էական</w:t>
      </w:r>
      <w:r w:rsidR="00DB339E" w:rsidRPr="00EF7399">
        <w:rPr>
          <w:rFonts w:ascii="Times New Roman" w:hAnsi="Times New Roman" w:cs="Times New Roman"/>
          <w:iCs/>
          <w:lang w:val="af-ZA"/>
        </w:rPr>
        <w:t xml:space="preserve"> </w:t>
      </w:r>
      <w:r w:rsidR="005A0F2F" w:rsidRPr="00EF7399">
        <w:rPr>
          <w:rFonts w:ascii="Times New Roman" w:hAnsi="Times New Roman" w:cs="Times New Roman"/>
          <w:iCs/>
          <w:lang w:val="af-ZA"/>
        </w:rPr>
        <w:t>տարրերից մեկ</w:t>
      </w:r>
      <w:r w:rsidR="00426CC9" w:rsidRPr="00EF7399">
        <w:rPr>
          <w:rFonts w:ascii="Times New Roman" w:hAnsi="Times New Roman" w:cs="Times New Roman"/>
          <w:iCs/>
          <w:lang w:val="af-ZA"/>
        </w:rPr>
        <w:t>ը</w:t>
      </w:r>
      <w:r w:rsidR="005A0F2F" w:rsidRPr="00EF7399">
        <w:rPr>
          <w:rFonts w:ascii="Times New Roman" w:hAnsi="Times New Roman" w:cs="Times New Roman"/>
          <w:iCs/>
          <w:lang w:val="af-ZA"/>
        </w:rPr>
        <w:t xml:space="preserve">, </w:t>
      </w:r>
      <w:r w:rsidR="00426CC9" w:rsidRPr="00EF7399">
        <w:rPr>
          <w:rFonts w:ascii="Times New Roman" w:hAnsi="Times New Roman" w:cs="Times New Roman"/>
          <w:iCs/>
          <w:lang w:val="af-ZA"/>
        </w:rPr>
        <w:t>դրա հետ մեկտեղ</w:t>
      </w:r>
      <w:r w:rsidR="005A0F2F" w:rsidRPr="00EF7399">
        <w:rPr>
          <w:rFonts w:ascii="Times New Roman" w:hAnsi="Times New Roman" w:cs="Times New Roman"/>
          <w:iCs/>
          <w:lang w:val="af-ZA"/>
        </w:rPr>
        <w:t xml:space="preserve"> պետություններ</w:t>
      </w:r>
      <w:r w:rsidR="00426CC9" w:rsidRPr="00EF7399">
        <w:rPr>
          <w:rFonts w:ascii="Times New Roman" w:hAnsi="Times New Roman" w:cs="Times New Roman"/>
          <w:iCs/>
          <w:lang w:val="af-ZA"/>
        </w:rPr>
        <w:t xml:space="preserve">ը </w:t>
      </w:r>
      <w:r w:rsidR="005A0F2F" w:rsidRPr="00EF7399">
        <w:rPr>
          <w:rFonts w:ascii="Times New Roman" w:hAnsi="Times New Roman" w:cs="Times New Roman"/>
          <w:iCs/>
          <w:lang w:val="af-ZA"/>
        </w:rPr>
        <w:t>ազատ էին կազմակերպել իրենց համակարգերն այնպես, որ</w:t>
      </w:r>
      <w:r w:rsidR="00426CC9" w:rsidRPr="00EF7399">
        <w:rPr>
          <w:rFonts w:ascii="Times New Roman" w:hAnsi="Times New Roman" w:cs="Times New Roman"/>
          <w:iCs/>
          <w:lang w:val="af-ZA"/>
        </w:rPr>
        <w:t xml:space="preserve"> ըստ անհրաժեշտության,</w:t>
      </w:r>
      <w:r w:rsidR="005A0F2F" w:rsidRPr="00EF7399">
        <w:rPr>
          <w:rFonts w:ascii="Times New Roman" w:hAnsi="Times New Roman" w:cs="Times New Roman"/>
          <w:iCs/>
          <w:lang w:val="af-ZA"/>
        </w:rPr>
        <w:t xml:space="preserve"> </w:t>
      </w:r>
      <w:r w:rsidR="00426CC9" w:rsidRPr="00EF7399">
        <w:rPr>
          <w:rFonts w:ascii="Times New Roman" w:hAnsi="Times New Roman" w:cs="Times New Roman"/>
          <w:iCs/>
          <w:lang w:val="af-ZA"/>
        </w:rPr>
        <w:t>հատուկ կարգավիճակ շնորհեին ներկայացուցչական արհեստակցական միություններին</w:t>
      </w:r>
      <w:r w:rsidR="005A0F2F" w:rsidRPr="00EF7399">
        <w:rPr>
          <w:rFonts w:ascii="Times New Roman" w:hAnsi="Times New Roman" w:cs="Times New Roman"/>
          <w:iCs/>
          <w:lang w:val="af-ZA"/>
        </w:rPr>
        <w:t xml:space="preserve"> </w:t>
      </w:r>
      <w:r w:rsidRPr="00EF7399">
        <w:rPr>
          <w:rFonts w:ascii="Times New Roman" w:hAnsi="Times New Roman" w:cs="Times New Roman"/>
          <w:iCs/>
          <w:lang w:val="af-ZA"/>
        </w:rPr>
        <w:t>(§</w:t>
      </w:r>
      <w:r w:rsidR="00873234" w:rsidRPr="00EF7399">
        <w:rPr>
          <w:rFonts w:ascii="Times New Roman" w:hAnsi="Times New Roman" w:cs="Times New Roman"/>
          <w:iCs/>
          <w:lang w:val="af-ZA"/>
        </w:rPr>
        <w:t>§ </w:t>
      </w:r>
      <w:r w:rsidRPr="00EF7399">
        <w:rPr>
          <w:rFonts w:ascii="Times New Roman" w:hAnsi="Times New Roman" w:cs="Times New Roman"/>
          <w:iCs/>
          <w:lang w:val="af-ZA"/>
        </w:rPr>
        <w:t>153-154)</w:t>
      </w:r>
      <w:r w:rsidR="00426CC9" w:rsidRPr="00EF7399">
        <w:rPr>
          <w:rFonts w:ascii="Times New Roman" w:hAnsi="Times New Roman" w:cs="Times New Roman"/>
          <w:iCs/>
          <w:lang w:val="af-ZA"/>
        </w:rPr>
        <w:t>:</w:t>
      </w:r>
    </w:p>
    <w:p w14:paraId="27AB35CD" w14:textId="01CD9378" w:rsidR="00381928" w:rsidRPr="00EF7399" w:rsidRDefault="00381928" w:rsidP="00381928">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265</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426CC9" w:rsidRPr="00EF7399">
        <w:rPr>
          <w:rFonts w:ascii="Times New Roman" w:hAnsi="Times New Roman" w:cs="Times New Roman"/>
          <w:iCs/>
          <w:lang w:val="af-ZA"/>
        </w:rPr>
        <w:t>Կոլեկտիվ բանակցություններ վարելու իրավունքը չէր մեկնաբանվում որպես կոլեկտիվ համաձայնության «իրավունք» ընդգրկող</w:t>
      </w:r>
      <w:r w:rsidRPr="00EF7399">
        <w:rPr>
          <w:rFonts w:ascii="Times New Roman" w:hAnsi="Times New Roman" w:cs="Times New Roman"/>
          <w:iCs/>
          <w:lang w:val="af-ZA"/>
        </w:rPr>
        <w:t xml:space="preserve"> (</w:t>
      </w:r>
      <w:hyperlink r:id="rId565" w:history="1">
        <w:r w:rsidRPr="00EF7399">
          <w:rPr>
            <w:rStyle w:val="Hyperlink"/>
            <w:rFonts w:ascii="Times New Roman" w:hAnsi="Times New Roman" w:cs="Times New Roman"/>
            <w:iCs/>
            <w:lang w:val="af-ZA"/>
          </w:rPr>
          <w:t>National Union of Rail, Maritime and Transport Workers</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the United Kingdom</w:t>
        </w:r>
      </w:hyperlink>
      <w:r w:rsidR="00F74C24" w:rsidRPr="00EF7399">
        <w:rPr>
          <w:rFonts w:ascii="Times New Roman" w:hAnsi="Times New Roman" w:cs="Times New Roman"/>
          <w:iCs/>
          <w:lang w:val="af-ZA"/>
        </w:rPr>
        <w:t>,</w:t>
      </w:r>
      <w:r w:rsidRPr="00EF7399">
        <w:rPr>
          <w:rFonts w:ascii="Times New Roman" w:hAnsi="Times New Roman" w:cs="Times New Roman"/>
          <w:iCs/>
          <w:lang w:val="af-ZA"/>
        </w:rPr>
        <w:t xml:space="preserve"> </w:t>
      </w:r>
      <w:r w:rsidR="00723C02" w:rsidRPr="00EF7399">
        <w:rPr>
          <w:rFonts w:ascii="Times New Roman" w:hAnsi="Times New Roman" w:cs="Times New Roman"/>
          <w:iCs/>
          <w:lang w:val="af-ZA"/>
        </w:rPr>
        <w:t xml:space="preserve">2014, </w:t>
      </w:r>
      <w:r w:rsidR="00873234" w:rsidRPr="00EF7399">
        <w:rPr>
          <w:rFonts w:ascii="Times New Roman" w:hAnsi="Times New Roman" w:cs="Times New Roman"/>
          <w:iCs/>
          <w:lang w:val="af-ZA"/>
        </w:rPr>
        <w:t>§ </w:t>
      </w:r>
      <w:r w:rsidRPr="00EF7399">
        <w:rPr>
          <w:rFonts w:ascii="Times New Roman" w:hAnsi="Times New Roman" w:cs="Times New Roman"/>
          <w:iCs/>
          <w:lang w:val="af-ZA"/>
        </w:rPr>
        <w:t>85)</w:t>
      </w:r>
      <w:r w:rsidR="00426CC9" w:rsidRPr="00EF7399">
        <w:rPr>
          <w:rFonts w:ascii="Times New Roman" w:hAnsi="Times New Roman" w:cs="Times New Roman"/>
          <w:iCs/>
          <w:lang w:val="af-ZA"/>
        </w:rPr>
        <w:t xml:space="preserve"> կամ անորոշ ժամկետով որոշակի հարցի վերաբերյալ կոլեկտիվ համաձայնագիր պահպանելու արհեստակցական միության իրավունք</w:t>
      </w:r>
      <w:r w:rsidRPr="00EF7399">
        <w:rPr>
          <w:rFonts w:ascii="Times New Roman" w:hAnsi="Times New Roman" w:cs="Times New Roman"/>
          <w:iCs/>
          <w:lang w:val="af-ZA"/>
        </w:rPr>
        <w:t xml:space="preserve"> (</w:t>
      </w:r>
      <w:hyperlink r:id="rId566" w:history="1">
        <w:r w:rsidR="00553D74" w:rsidRPr="00EF7399">
          <w:rPr>
            <w:rStyle w:val="Hyperlink"/>
            <w:rFonts w:ascii="Times New Roman" w:hAnsi="Times New Roman" w:cs="Times New Roman"/>
            <w:iCs/>
            <w:lang w:val="af-ZA"/>
          </w:rPr>
          <w:t>Swedish Transport Workers Union</w:t>
        </w:r>
        <w:r w:rsidR="00873234" w:rsidRPr="00EF7399">
          <w:rPr>
            <w:rStyle w:val="Hyperlink"/>
            <w:rFonts w:ascii="Times New Roman" w:hAnsi="Times New Roman" w:cs="Times New Roman"/>
            <w:iCs/>
            <w:lang w:val="af-ZA"/>
          </w:rPr>
          <w:t xml:space="preserve"> v. </w:t>
        </w:r>
        <w:r w:rsidR="00553D74" w:rsidRPr="00EF7399">
          <w:rPr>
            <w:rStyle w:val="Hyperlink"/>
            <w:rFonts w:ascii="Times New Roman" w:hAnsi="Times New Roman" w:cs="Times New Roman"/>
            <w:iCs/>
            <w:lang w:val="af-ZA"/>
          </w:rPr>
          <w:t>Sweden</w:t>
        </w:r>
      </w:hyperlink>
      <w:r w:rsidRPr="00EF7399">
        <w:rPr>
          <w:rFonts w:ascii="Times New Roman" w:hAnsi="Times New Roman" w:cs="Times New Roman"/>
          <w:i/>
          <w:iCs/>
          <w:lang w:val="af-ZA"/>
        </w:rPr>
        <w:t xml:space="preserve"> </w:t>
      </w:r>
      <w:r w:rsidRPr="00EF7399">
        <w:rPr>
          <w:rFonts w:ascii="Times New Roman" w:hAnsi="Times New Roman" w:cs="Times New Roman"/>
          <w:iCs/>
          <w:lang w:val="af-ZA"/>
        </w:rPr>
        <w:t>(dec.)</w:t>
      </w:r>
      <w:r w:rsidR="00723C02" w:rsidRPr="00EF7399">
        <w:rPr>
          <w:rFonts w:ascii="Times New Roman" w:hAnsi="Times New Roman" w:cs="Times New Roman"/>
          <w:iCs/>
          <w:lang w:val="af-ZA"/>
        </w:rPr>
        <w:t>, 2004</w:t>
      </w:r>
      <w:r w:rsidRPr="00EF7399">
        <w:rPr>
          <w:rFonts w:ascii="Times New Roman" w:hAnsi="Times New Roman" w:cs="Times New Roman"/>
          <w:iCs/>
          <w:lang w:val="af-ZA"/>
        </w:rPr>
        <w:t>)</w:t>
      </w:r>
      <w:r w:rsidR="00426CC9" w:rsidRPr="00EF7399">
        <w:rPr>
          <w:rFonts w:ascii="Times New Roman" w:hAnsi="Times New Roman" w:cs="Times New Roman"/>
          <w:iCs/>
          <w:lang w:val="af-ZA"/>
        </w:rPr>
        <w:t>:</w:t>
      </w:r>
    </w:p>
    <w:p w14:paraId="6E3BBBC8" w14:textId="043E2AC2" w:rsidR="00381928" w:rsidRPr="00EF7399" w:rsidRDefault="00381928" w:rsidP="00381928">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266</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426CC9" w:rsidRPr="00EF7399">
        <w:rPr>
          <w:rFonts w:ascii="Times New Roman" w:hAnsi="Times New Roman" w:cs="Times New Roman"/>
          <w:iCs/>
          <w:lang w:val="af-ZA"/>
        </w:rPr>
        <w:t xml:space="preserve">Կոնվենցիան չի պահանջում, որ գործատուն կնքի կոլեկտիվ համաձայնագիր կամ </w:t>
      </w:r>
      <w:r w:rsidR="00C77ABE" w:rsidRPr="00EF7399">
        <w:rPr>
          <w:rFonts w:ascii="Times New Roman" w:hAnsi="Times New Roman" w:cs="Times New Roman"/>
          <w:iCs/>
          <w:lang w:val="af-ZA"/>
        </w:rPr>
        <w:t xml:space="preserve">մնա այդ համաձայնագրում կամ բավարարի արհեստակցական միության` իր անդամների անունից ներկայացված խնդրանքները </w:t>
      </w:r>
      <w:r w:rsidRPr="00EF7399">
        <w:rPr>
          <w:rFonts w:ascii="Times New Roman" w:hAnsi="Times New Roman" w:cs="Times New Roman"/>
          <w:iCs/>
          <w:lang w:val="af-ZA"/>
        </w:rPr>
        <w:t>(</w:t>
      </w:r>
      <w:hyperlink r:id="rId567" w:history="1">
        <w:r w:rsidR="00594F9D" w:rsidRPr="00EF7399">
          <w:rPr>
            <w:rStyle w:val="Hyperlink"/>
            <w:rFonts w:ascii="Times New Roman" w:hAnsi="Times New Roman" w:cs="Times New Roman"/>
            <w:iCs/>
            <w:lang w:val="af-ZA"/>
          </w:rPr>
          <w:t>UNISON</w:t>
        </w:r>
        <w:r w:rsidR="00873234" w:rsidRPr="00EF7399">
          <w:rPr>
            <w:rStyle w:val="Hyperlink"/>
            <w:rFonts w:ascii="Times New Roman" w:hAnsi="Times New Roman" w:cs="Times New Roman"/>
            <w:iCs/>
            <w:lang w:val="af-ZA"/>
          </w:rPr>
          <w:t xml:space="preserve"> v. </w:t>
        </w:r>
        <w:r w:rsidR="00594F9D" w:rsidRPr="00EF7399">
          <w:rPr>
            <w:rStyle w:val="Hyperlink"/>
            <w:rFonts w:ascii="Times New Roman" w:hAnsi="Times New Roman" w:cs="Times New Roman"/>
            <w:iCs/>
            <w:lang w:val="af-ZA"/>
          </w:rPr>
          <w:t>the United Kingdom</w:t>
        </w:r>
      </w:hyperlink>
      <w:r w:rsidRPr="00EF7399">
        <w:rPr>
          <w:rFonts w:ascii="Times New Roman" w:hAnsi="Times New Roman" w:cs="Times New Roman"/>
          <w:iCs/>
          <w:lang w:val="af-ZA"/>
        </w:rPr>
        <w:t xml:space="preserve"> (dec.)</w:t>
      </w:r>
      <w:r w:rsidR="00723C02" w:rsidRPr="00EF7399">
        <w:rPr>
          <w:rFonts w:ascii="Times New Roman" w:hAnsi="Times New Roman" w:cs="Times New Roman"/>
          <w:iCs/>
          <w:lang w:val="af-ZA"/>
        </w:rPr>
        <w:t>, 2002</w:t>
      </w:r>
      <w:r w:rsidRPr="00EF7399">
        <w:rPr>
          <w:rFonts w:ascii="Times New Roman" w:hAnsi="Times New Roman" w:cs="Times New Roman"/>
          <w:iCs/>
          <w:lang w:val="af-ZA"/>
        </w:rPr>
        <w:t>)</w:t>
      </w:r>
      <w:r w:rsidR="00C77ABE" w:rsidRPr="00EF7399">
        <w:rPr>
          <w:rFonts w:ascii="Times New Roman" w:hAnsi="Times New Roman" w:cs="Times New Roman"/>
          <w:iCs/>
          <w:lang w:val="af-ZA"/>
        </w:rPr>
        <w:t>:</w:t>
      </w:r>
    </w:p>
    <w:p w14:paraId="049FDE59" w14:textId="302B7186" w:rsidR="00381928" w:rsidRPr="00EF7399" w:rsidRDefault="00381928" w:rsidP="00381928">
      <w:pPr>
        <w:pStyle w:val="ECHRParaSpaced"/>
        <w:rPr>
          <w:rFonts w:ascii="Times New Roman" w:hAnsi="Times New Roman" w:cs="Times New Roman"/>
          <w:iCs/>
          <w:lang w:val="af-ZA"/>
        </w:rPr>
      </w:pPr>
      <w:r w:rsidRPr="00EF7399">
        <w:rPr>
          <w:rFonts w:ascii="Times New Roman" w:hAnsi="Times New Roman" w:cs="Times New Roman"/>
          <w:iCs/>
          <w:lang w:val="af-ZA"/>
        </w:rPr>
        <w:lastRenderedPageBreak/>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267</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C77ABE" w:rsidRPr="00EF7399">
        <w:rPr>
          <w:rFonts w:ascii="Times New Roman" w:hAnsi="Times New Roman" w:cs="Times New Roman"/>
          <w:iCs/>
          <w:lang w:val="af-ZA"/>
        </w:rPr>
        <w:t xml:space="preserve">11-րդ հոդվածով սահմանված պետության պոզիտիվ պարտավորությունները չեն </w:t>
      </w:r>
      <w:r w:rsidR="00AB775B" w:rsidRPr="00EF7399">
        <w:rPr>
          <w:rFonts w:ascii="Times New Roman" w:hAnsi="Times New Roman" w:cs="Times New Roman"/>
          <w:iCs/>
          <w:lang w:val="hy-AM"/>
        </w:rPr>
        <w:t xml:space="preserve">ենթադրում </w:t>
      </w:r>
      <w:r w:rsidR="00C77ABE" w:rsidRPr="00EF7399">
        <w:rPr>
          <w:rFonts w:ascii="Times New Roman" w:hAnsi="Times New Roman" w:cs="Times New Roman"/>
          <w:iCs/>
          <w:lang w:val="af-ZA"/>
        </w:rPr>
        <w:t xml:space="preserve">կոլեկտիվ բանակցությունների պարտադիր օրենսդրական </w:t>
      </w:r>
      <w:r w:rsidR="00AB775B" w:rsidRPr="00EF7399">
        <w:rPr>
          <w:rFonts w:ascii="Times New Roman" w:hAnsi="Times New Roman" w:cs="Times New Roman"/>
          <w:iCs/>
          <w:lang w:val="hy-AM"/>
        </w:rPr>
        <w:t xml:space="preserve">կառուցակարգի </w:t>
      </w:r>
      <w:r w:rsidR="00AB775B" w:rsidRPr="00EF7399">
        <w:rPr>
          <w:rFonts w:ascii="Times New Roman" w:hAnsi="Times New Roman" w:cs="Times New Roman"/>
          <w:iCs/>
          <w:lang w:val="af-ZA"/>
        </w:rPr>
        <w:t xml:space="preserve">նախատեսում </w:t>
      </w:r>
      <w:r w:rsidRPr="00EF7399">
        <w:rPr>
          <w:rFonts w:ascii="Times New Roman" w:hAnsi="Times New Roman" w:cs="Times New Roman"/>
          <w:iCs/>
          <w:lang w:val="af-ZA"/>
        </w:rPr>
        <w:t>(</w:t>
      </w:r>
      <w:hyperlink r:id="rId568" w:history="1">
        <w:r w:rsidR="00594F9D" w:rsidRPr="00EF7399">
          <w:rPr>
            <w:rStyle w:val="Hyperlink"/>
            <w:rFonts w:ascii="Times New Roman" w:hAnsi="Times New Roman" w:cs="Times New Roman"/>
            <w:iCs/>
            <w:lang w:val="af-ZA"/>
          </w:rPr>
          <w:t>Unite the Union</w:t>
        </w:r>
        <w:r w:rsidR="00873234" w:rsidRPr="00EF7399">
          <w:rPr>
            <w:rStyle w:val="Hyperlink"/>
            <w:rFonts w:ascii="Times New Roman" w:hAnsi="Times New Roman" w:cs="Times New Roman"/>
            <w:iCs/>
            <w:lang w:val="af-ZA"/>
          </w:rPr>
          <w:t xml:space="preserve"> v. </w:t>
        </w:r>
        <w:r w:rsidR="00594F9D" w:rsidRPr="00EF7399">
          <w:rPr>
            <w:rStyle w:val="Hyperlink"/>
            <w:rFonts w:ascii="Times New Roman" w:hAnsi="Times New Roman" w:cs="Times New Roman"/>
            <w:iCs/>
            <w:lang w:val="af-ZA"/>
          </w:rPr>
          <w:t>the United Kingdom</w:t>
        </w:r>
      </w:hyperlink>
      <w:r w:rsidRPr="00EF7399">
        <w:rPr>
          <w:rFonts w:ascii="Times New Roman" w:hAnsi="Times New Roman" w:cs="Times New Roman"/>
          <w:i/>
          <w:iCs/>
          <w:lang w:val="af-ZA"/>
        </w:rPr>
        <w:t xml:space="preserve"> </w:t>
      </w:r>
      <w:r w:rsidRPr="00EF7399">
        <w:rPr>
          <w:rFonts w:ascii="Times New Roman" w:hAnsi="Times New Roman" w:cs="Times New Roman"/>
          <w:iCs/>
          <w:lang w:val="af-ZA"/>
        </w:rPr>
        <w:t xml:space="preserve">(dec.), </w:t>
      </w:r>
      <w:r w:rsidR="00723C02" w:rsidRPr="00EF7399">
        <w:rPr>
          <w:rFonts w:ascii="Times New Roman" w:hAnsi="Times New Roman" w:cs="Times New Roman"/>
          <w:iCs/>
          <w:lang w:val="af-ZA"/>
        </w:rPr>
        <w:t xml:space="preserve">2016, </w:t>
      </w:r>
      <w:r w:rsidR="00873234" w:rsidRPr="00EF7399">
        <w:rPr>
          <w:rFonts w:ascii="Times New Roman" w:hAnsi="Times New Roman" w:cs="Times New Roman"/>
          <w:iCs/>
          <w:lang w:val="af-ZA"/>
        </w:rPr>
        <w:t>§ </w:t>
      </w:r>
      <w:r w:rsidRPr="00EF7399">
        <w:rPr>
          <w:rFonts w:ascii="Times New Roman" w:hAnsi="Times New Roman" w:cs="Times New Roman"/>
          <w:iCs/>
          <w:lang w:val="af-ZA"/>
        </w:rPr>
        <w:t xml:space="preserve">65 </w:t>
      </w:r>
      <w:r w:rsidRPr="00EF7399">
        <w:rPr>
          <w:rFonts w:ascii="Times New Roman" w:hAnsi="Times New Roman" w:cs="Times New Roman"/>
          <w:i/>
          <w:iCs/>
          <w:lang w:val="af-ZA"/>
        </w:rPr>
        <w:t>in fine</w:t>
      </w:r>
      <w:r w:rsidRPr="00EF7399">
        <w:rPr>
          <w:rFonts w:ascii="Times New Roman" w:hAnsi="Times New Roman" w:cs="Times New Roman"/>
          <w:iCs/>
          <w:lang w:val="af-ZA"/>
        </w:rPr>
        <w:t xml:space="preserve">; </w:t>
      </w:r>
      <w:hyperlink r:id="rId569" w:history="1">
        <w:r w:rsidR="00C36743" w:rsidRPr="00EF7399">
          <w:rPr>
            <w:rStyle w:val="Hyperlink"/>
            <w:rFonts w:ascii="Times New Roman" w:hAnsi="Times New Roman" w:cs="Times New Roman"/>
            <w:iCs/>
            <w:lang w:val="af-ZA"/>
          </w:rPr>
          <w:t>Wilson, National Union of Journalists and Others</w:t>
        </w:r>
        <w:r w:rsidR="00873234" w:rsidRPr="00EF7399">
          <w:rPr>
            <w:rStyle w:val="Hyperlink"/>
            <w:rFonts w:ascii="Times New Roman" w:hAnsi="Times New Roman" w:cs="Times New Roman"/>
            <w:iCs/>
            <w:lang w:val="af-ZA"/>
          </w:rPr>
          <w:t xml:space="preserve"> v. </w:t>
        </w:r>
        <w:r w:rsidR="00C36743" w:rsidRPr="00EF7399">
          <w:rPr>
            <w:rStyle w:val="Hyperlink"/>
            <w:rFonts w:ascii="Times New Roman" w:hAnsi="Times New Roman" w:cs="Times New Roman"/>
            <w:iCs/>
            <w:lang w:val="af-ZA"/>
          </w:rPr>
          <w:t>the United Kingdom</w:t>
        </w:r>
      </w:hyperlink>
      <w:r w:rsidRPr="00EF7399">
        <w:rPr>
          <w:rFonts w:ascii="Times New Roman" w:hAnsi="Times New Roman" w:cs="Times New Roman"/>
          <w:iCs/>
          <w:lang w:val="af-ZA"/>
        </w:rPr>
        <w:t xml:space="preserve">, </w:t>
      </w:r>
      <w:r w:rsidR="002A3689" w:rsidRPr="00EF7399">
        <w:rPr>
          <w:rFonts w:ascii="Times New Roman" w:hAnsi="Times New Roman" w:cs="Times New Roman"/>
          <w:lang w:val="af-ZA"/>
        </w:rPr>
        <w:t xml:space="preserve">2002, </w:t>
      </w:r>
      <w:r w:rsidR="00873234" w:rsidRPr="00EF7399">
        <w:rPr>
          <w:rFonts w:ascii="Times New Roman" w:hAnsi="Times New Roman" w:cs="Times New Roman"/>
          <w:iCs/>
          <w:lang w:val="af-ZA"/>
        </w:rPr>
        <w:t>§ </w:t>
      </w:r>
      <w:r w:rsidRPr="00EF7399">
        <w:rPr>
          <w:rFonts w:ascii="Times New Roman" w:hAnsi="Times New Roman" w:cs="Times New Roman"/>
          <w:iCs/>
          <w:lang w:val="af-ZA"/>
        </w:rPr>
        <w:t>44)</w:t>
      </w:r>
      <w:r w:rsidR="00C77ABE" w:rsidRPr="00EF7399">
        <w:rPr>
          <w:rFonts w:ascii="Times New Roman" w:hAnsi="Times New Roman" w:cs="Times New Roman"/>
          <w:iCs/>
          <w:lang w:val="af-ZA"/>
        </w:rPr>
        <w:t>:</w:t>
      </w:r>
    </w:p>
    <w:p w14:paraId="0421A506" w14:textId="6EE1C6DE" w:rsidR="00B85C53" w:rsidRPr="00EF7399" w:rsidRDefault="00381928" w:rsidP="00381928">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268</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C77ABE" w:rsidRPr="00EF7399">
        <w:rPr>
          <w:rFonts w:ascii="Times New Roman" w:hAnsi="Times New Roman" w:cs="Times New Roman"/>
          <w:iCs/>
          <w:lang w:val="af-ZA"/>
        </w:rPr>
        <w:t>Կոլեկտիվ բանակցությունների կամավոր համակարգի էությունն այն է, որ գործատուի կողմից չճանաչված արհեստակցական միությունը պետք է հնարավորություն ունենա ձեռնարկել քայլեր, այդ թվում, եթե անհրաժեշտ է, կազմակերպել գործադուլ` նպատակ ունենալով համոզել գործատուին կնքել իր հետ կոլեկտիվ համաձայնագիր այն հարցերի շուրջ, որոնք</w:t>
      </w:r>
      <w:r w:rsidR="00AB775B" w:rsidRPr="00EF7399">
        <w:rPr>
          <w:rFonts w:ascii="Times New Roman" w:hAnsi="Times New Roman" w:cs="Times New Roman"/>
          <w:iCs/>
          <w:lang w:val="hy-AM"/>
        </w:rPr>
        <w:t>,</w:t>
      </w:r>
      <w:r w:rsidR="00C77ABE" w:rsidRPr="00EF7399">
        <w:rPr>
          <w:rFonts w:ascii="Times New Roman" w:hAnsi="Times New Roman" w:cs="Times New Roman"/>
          <w:iCs/>
          <w:lang w:val="af-ZA"/>
        </w:rPr>
        <w:t xml:space="preserve"> միության կարծիքով</w:t>
      </w:r>
      <w:r w:rsidR="00AB775B" w:rsidRPr="00EF7399">
        <w:rPr>
          <w:rFonts w:ascii="Times New Roman" w:hAnsi="Times New Roman" w:cs="Times New Roman"/>
          <w:iCs/>
          <w:lang w:val="hy-AM"/>
        </w:rPr>
        <w:t>,</w:t>
      </w:r>
      <w:r w:rsidR="00C77ABE" w:rsidRPr="00EF7399">
        <w:rPr>
          <w:rFonts w:ascii="Times New Roman" w:hAnsi="Times New Roman" w:cs="Times New Roman"/>
          <w:iCs/>
          <w:lang w:val="af-ZA"/>
        </w:rPr>
        <w:t xml:space="preserve"> կարևոր են իր անդամների շահերի համար </w:t>
      </w:r>
      <w:r w:rsidRPr="00EF7399">
        <w:rPr>
          <w:rFonts w:ascii="Times New Roman" w:hAnsi="Times New Roman" w:cs="Times New Roman"/>
          <w:iCs/>
          <w:lang w:val="af-ZA"/>
        </w:rPr>
        <w:t>(</w:t>
      </w:r>
      <w:hyperlink r:id="rId570" w:history="1">
        <w:r w:rsidR="00C36743" w:rsidRPr="00EF7399">
          <w:rPr>
            <w:rStyle w:val="Hyperlink"/>
            <w:rFonts w:ascii="Times New Roman" w:hAnsi="Times New Roman" w:cs="Times New Roman"/>
            <w:iCs/>
            <w:lang w:val="af-ZA"/>
          </w:rPr>
          <w:t>Wilson, National Union of Journalists and Others</w:t>
        </w:r>
        <w:r w:rsidR="00873234" w:rsidRPr="00EF7399">
          <w:rPr>
            <w:rStyle w:val="Hyperlink"/>
            <w:rFonts w:ascii="Times New Roman" w:hAnsi="Times New Roman" w:cs="Times New Roman"/>
            <w:iCs/>
            <w:lang w:val="af-ZA"/>
          </w:rPr>
          <w:t xml:space="preserve"> v. </w:t>
        </w:r>
        <w:r w:rsidR="00C36743" w:rsidRPr="00EF7399">
          <w:rPr>
            <w:rStyle w:val="Hyperlink"/>
            <w:rFonts w:ascii="Times New Roman" w:hAnsi="Times New Roman" w:cs="Times New Roman"/>
            <w:iCs/>
            <w:lang w:val="af-ZA"/>
          </w:rPr>
          <w:t>the United Kingdom</w:t>
        </w:r>
      </w:hyperlink>
      <w:r w:rsidRPr="00EF7399">
        <w:rPr>
          <w:rFonts w:ascii="Times New Roman" w:hAnsi="Times New Roman" w:cs="Times New Roman"/>
          <w:iCs/>
          <w:lang w:val="af-ZA"/>
        </w:rPr>
        <w:t xml:space="preserve">, </w:t>
      </w:r>
      <w:r w:rsidR="002A3689" w:rsidRPr="00EF7399">
        <w:rPr>
          <w:rFonts w:ascii="Times New Roman" w:hAnsi="Times New Roman" w:cs="Times New Roman"/>
          <w:lang w:val="af-ZA"/>
        </w:rPr>
        <w:t xml:space="preserve">2002, </w:t>
      </w:r>
      <w:r w:rsidR="00873234" w:rsidRPr="00EF7399">
        <w:rPr>
          <w:rFonts w:ascii="Times New Roman" w:hAnsi="Times New Roman" w:cs="Times New Roman"/>
          <w:iCs/>
          <w:lang w:val="af-ZA"/>
        </w:rPr>
        <w:t>§ </w:t>
      </w:r>
      <w:r w:rsidRPr="00EF7399">
        <w:rPr>
          <w:rFonts w:ascii="Times New Roman" w:hAnsi="Times New Roman" w:cs="Times New Roman"/>
          <w:iCs/>
          <w:lang w:val="af-ZA"/>
        </w:rPr>
        <w:t>46)</w:t>
      </w:r>
      <w:r w:rsidR="00C77ABE" w:rsidRPr="00EF7399">
        <w:rPr>
          <w:rFonts w:ascii="Times New Roman" w:hAnsi="Times New Roman" w:cs="Times New Roman"/>
          <w:iCs/>
          <w:lang w:val="af-ZA"/>
        </w:rPr>
        <w:t>:</w:t>
      </w:r>
    </w:p>
    <w:p w14:paraId="7BC3B44A" w14:textId="2E62713F" w:rsidR="003931FC" w:rsidRPr="00EF7399" w:rsidRDefault="003931FC" w:rsidP="00381928">
      <w:pPr>
        <w:pStyle w:val="ECHRParaSpaced"/>
        <w:rPr>
          <w:rFonts w:ascii="Times New Roman" w:hAnsi="Times New Roman" w:cs="Times New Roman"/>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 MERGEFORMAT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269</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hyperlink r:id="rId571" w:history="1">
        <w:r w:rsidRPr="00EF7399">
          <w:rPr>
            <w:rStyle w:val="Hyperlink"/>
            <w:rFonts w:ascii="Times New Roman" w:hAnsi="Times New Roman" w:cs="Times New Roman"/>
            <w:iCs/>
            <w:lang w:val="af-ZA"/>
          </w:rPr>
          <w:t>Association of Civil Servants and Union for Collective Bargaining and Others</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Germany</w:t>
        </w:r>
      </w:hyperlink>
      <w:r w:rsidRPr="00EF7399">
        <w:rPr>
          <w:rFonts w:ascii="Times New Roman" w:hAnsi="Times New Roman" w:cs="Times New Roman"/>
          <w:iCs/>
          <w:lang w:val="af-ZA"/>
        </w:rPr>
        <w:t>,</w:t>
      </w:r>
      <w:r w:rsidR="00374957" w:rsidRPr="00EF7399">
        <w:rPr>
          <w:rFonts w:ascii="Times New Roman" w:hAnsi="Times New Roman" w:cs="Times New Roman"/>
          <w:iCs/>
          <w:lang w:val="af-ZA"/>
        </w:rPr>
        <w:t xml:space="preserve"> 2022,</w:t>
      </w:r>
      <w:r w:rsidRPr="00EF7399">
        <w:rPr>
          <w:rFonts w:ascii="Times New Roman" w:hAnsi="Times New Roman" w:cs="Times New Roman"/>
          <w:iCs/>
          <w:lang w:val="af-ZA"/>
        </w:rPr>
        <w:t xml:space="preserve"> </w:t>
      </w:r>
      <w:r w:rsidR="00C77ABE" w:rsidRPr="00EF7399">
        <w:rPr>
          <w:rFonts w:ascii="Times New Roman" w:hAnsi="Times New Roman" w:cs="Times New Roman"/>
          <w:iCs/>
          <w:lang w:val="af-ZA"/>
        </w:rPr>
        <w:t>գործով Դատարանը գտավ, որ ազգային օրենսդրությունը</w:t>
      </w:r>
      <w:r w:rsidR="00FA771A" w:rsidRPr="00EF7399">
        <w:rPr>
          <w:rFonts w:ascii="Times New Roman" w:hAnsi="Times New Roman" w:cs="Times New Roman"/>
          <w:iCs/>
          <w:lang w:val="af-ZA"/>
        </w:rPr>
        <w:t xml:space="preserve">, որն </w:t>
      </w:r>
      <w:r w:rsidR="00AB775B" w:rsidRPr="00EF7399">
        <w:rPr>
          <w:rFonts w:ascii="Times New Roman" w:hAnsi="Times New Roman" w:cs="Times New Roman"/>
          <w:iCs/>
          <w:lang w:val="hy-AM"/>
        </w:rPr>
        <w:t xml:space="preserve">ոչ </w:t>
      </w:r>
      <w:r w:rsidR="00FA771A" w:rsidRPr="00EF7399">
        <w:rPr>
          <w:rFonts w:ascii="Times New Roman" w:hAnsi="Times New Roman" w:cs="Times New Roman"/>
          <w:iCs/>
          <w:lang w:val="af-ZA"/>
        </w:rPr>
        <w:t xml:space="preserve">կիրառելի էր համարում փոքրամասնական արհեստակցական միությունների կնքած իրար հակասող կոլեկտիվ համաձայնագրերը, չէր խախտել 11-րդ հոդվածը` հաշվի առնելով այս ոլորտում պատասխանող պետության հայեցողության </w:t>
      </w:r>
      <w:r w:rsidR="00BD2F1A" w:rsidRPr="00EF7399">
        <w:rPr>
          <w:rFonts w:ascii="Times New Roman" w:hAnsi="Times New Roman" w:cs="Times New Roman"/>
          <w:iCs/>
          <w:lang w:val="hy-AM"/>
        </w:rPr>
        <w:t>շրջանակը</w:t>
      </w:r>
      <w:r w:rsidR="00FA771A" w:rsidRPr="00EF7399">
        <w:rPr>
          <w:rFonts w:ascii="Times New Roman" w:hAnsi="Times New Roman" w:cs="Times New Roman"/>
          <w:iCs/>
          <w:lang w:val="af-ZA"/>
        </w:rPr>
        <w:t xml:space="preserve">, սահմանափակման </w:t>
      </w:r>
      <w:r w:rsidR="00BD2F1A" w:rsidRPr="00EF7399">
        <w:rPr>
          <w:rFonts w:ascii="Times New Roman" w:hAnsi="Times New Roman" w:cs="Times New Roman"/>
          <w:iCs/>
          <w:lang w:val="hy-AM"/>
        </w:rPr>
        <w:t>նեղ</w:t>
      </w:r>
      <w:r w:rsidR="00BD2F1A" w:rsidRPr="00EF7399">
        <w:rPr>
          <w:rFonts w:ascii="Times New Roman" w:hAnsi="Times New Roman" w:cs="Times New Roman"/>
          <w:iCs/>
          <w:lang w:val="af-ZA"/>
        </w:rPr>
        <w:t xml:space="preserve"> </w:t>
      </w:r>
      <w:r w:rsidR="00FA771A" w:rsidRPr="00EF7399">
        <w:rPr>
          <w:rFonts w:ascii="Times New Roman" w:hAnsi="Times New Roman" w:cs="Times New Roman"/>
          <w:iCs/>
          <w:lang w:val="af-ZA"/>
        </w:rPr>
        <w:t>շրջանակը և</w:t>
      </w:r>
      <w:r w:rsidR="0072672C" w:rsidRPr="00EF7399">
        <w:rPr>
          <w:rFonts w:ascii="Times New Roman" w:hAnsi="Times New Roman" w:cs="Times New Roman"/>
          <w:iCs/>
          <w:lang w:val="af-ZA"/>
        </w:rPr>
        <w:t>,</w:t>
      </w:r>
      <w:r w:rsidR="00FA771A" w:rsidRPr="00EF7399">
        <w:rPr>
          <w:rFonts w:ascii="Times New Roman" w:hAnsi="Times New Roman" w:cs="Times New Roman"/>
          <w:iCs/>
          <w:lang w:val="af-ZA"/>
        </w:rPr>
        <w:t xml:space="preserve"> աշխատողների և գործատուների շահերից ելնելով</w:t>
      </w:r>
      <w:r w:rsidR="0072672C" w:rsidRPr="00EF7399">
        <w:rPr>
          <w:rFonts w:ascii="Times New Roman" w:hAnsi="Times New Roman" w:cs="Times New Roman"/>
          <w:iCs/>
          <w:lang w:val="af-ZA"/>
        </w:rPr>
        <w:t>,</w:t>
      </w:r>
      <w:r w:rsidR="00FA771A" w:rsidRPr="00EF7399">
        <w:rPr>
          <w:rFonts w:ascii="Times New Roman" w:hAnsi="Times New Roman" w:cs="Times New Roman"/>
          <w:iCs/>
          <w:lang w:val="af-ZA"/>
        </w:rPr>
        <w:t xml:space="preserve"> կոլեկտիվ բանակցությունների համակարգի պատշաճ </w:t>
      </w:r>
      <w:r w:rsidR="00BD2F1A" w:rsidRPr="00EF7399">
        <w:rPr>
          <w:rFonts w:ascii="Times New Roman" w:hAnsi="Times New Roman" w:cs="Times New Roman"/>
          <w:iCs/>
          <w:lang w:val="hy-AM"/>
        </w:rPr>
        <w:t>գործառութավորումն</w:t>
      </w:r>
      <w:r w:rsidR="00BD2F1A" w:rsidRPr="00EF7399">
        <w:rPr>
          <w:rFonts w:ascii="Times New Roman" w:hAnsi="Times New Roman" w:cs="Times New Roman"/>
          <w:iCs/>
          <w:lang w:val="af-ZA"/>
        </w:rPr>
        <w:t xml:space="preserve"> </w:t>
      </w:r>
      <w:r w:rsidR="00FA771A" w:rsidRPr="00EF7399">
        <w:rPr>
          <w:rFonts w:ascii="Times New Roman" w:hAnsi="Times New Roman" w:cs="Times New Roman"/>
          <w:iCs/>
          <w:lang w:val="af-ZA"/>
        </w:rPr>
        <w:t>ապահովելու ծանրակշիռ նպատակը:</w:t>
      </w:r>
    </w:p>
    <w:p w14:paraId="19C47C7F" w14:textId="58508ACB" w:rsidR="00B85C53" w:rsidRPr="00EF7399" w:rsidRDefault="00A83DAB" w:rsidP="00A83DAB">
      <w:pPr>
        <w:pStyle w:val="ECHRHeading2"/>
        <w:numPr>
          <w:ilvl w:val="0"/>
          <w:numId w:val="0"/>
        </w:numPr>
        <w:rPr>
          <w:rFonts w:ascii="Times New Roman" w:hAnsi="Times New Roman" w:cs="Times New Roman"/>
          <w:lang w:val="af-ZA"/>
        </w:rPr>
      </w:pPr>
      <w:bookmarkStart w:id="105" w:name="_Toc159945261"/>
      <w:r>
        <w:rPr>
          <w:rFonts w:ascii="Times New Roman" w:hAnsi="Times New Roman" w:cs="Times New Roman"/>
          <w:iCs/>
          <w:lang w:val="hy-AM"/>
        </w:rPr>
        <w:t xml:space="preserve">Ը․ </w:t>
      </w:r>
      <w:r w:rsidR="00FA771A" w:rsidRPr="00EF7399">
        <w:rPr>
          <w:rFonts w:ascii="Times New Roman" w:hAnsi="Times New Roman" w:cs="Times New Roman"/>
          <w:iCs/>
          <w:lang w:val="af-ZA"/>
        </w:rPr>
        <w:t>Գործադուլի իրավունքը</w:t>
      </w:r>
      <w:bookmarkEnd w:id="105"/>
    </w:p>
    <w:p w14:paraId="21E8D926" w14:textId="2E69357B" w:rsidR="00381928" w:rsidRPr="00EF7399" w:rsidRDefault="00381928" w:rsidP="00381928">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270</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FA771A" w:rsidRPr="00EF7399">
        <w:rPr>
          <w:rFonts w:ascii="Times New Roman" w:hAnsi="Times New Roman" w:cs="Times New Roman"/>
          <w:iCs/>
          <w:lang w:val="af-ZA"/>
        </w:rPr>
        <w:t>Գործադուլի իրավունք շնորհել</w:t>
      </w:r>
      <w:r w:rsidR="00C605CB" w:rsidRPr="00EF7399">
        <w:rPr>
          <w:rFonts w:ascii="Times New Roman" w:hAnsi="Times New Roman" w:cs="Times New Roman"/>
          <w:iCs/>
          <w:lang w:val="hy-AM"/>
        </w:rPr>
        <w:t>ն</w:t>
      </w:r>
      <w:r w:rsidR="00FA771A" w:rsidRPr="00EF7399">
        <w:rPr>
          <w:rFonts w:ascii="Times New Roman" w:hAnsi="Times New Roman" w:cs="Times New Roman"/>
          <w:iCs/>
          <w:lang w:val="af-ZA"/>
        </w:rPr>
        <w:t xml:space="preserve"> ամենակարևոր միջոցներից մեկ</w:t>
      </w:r>
      <w:r w:rsidR="00C605CB" w:rsidRPr="00EF7399">
        <w:rPr>
          <w:rFonts w:ascii="Times New Roman" w:hAnsi="Times New Roman" w:cs="Times New Roman"/>
          <w:iCs/>
          <w:lang w:val="hy-AM"/>
        </w:rPr>
        <w:t>ն է</w:t>
      </w:r>
      <w:r w:rsidR="00FA771A" w:rsidRPr="00EF7399">
        <w:rPr>
          <w:rFonts w:ascii="Times New Roman" w:hAnsi="Times New Roman" w:cs="Times New Roman"/>
          <w:iCs/>
          <w:lang w:val="af-ZA"/>
        </w:rPr>
        <w:t>, որի օգնությամբ պետությունը կարող է երաշխավորել արհեստակցական միության</w:t>
      </w:r>
      <w:r w:rsidR="00F630C4" w:rsidRPr="00EF7399">
        <w:rPr>
          <w:rFonts w:ascii="Times New Roman" w:hAnsi="Times New Roman" w:cs="Times New Roman"/>
          <w:iCs/>
          <w:lang w:val="af-ZA"/>
        </w:rPr>
        <w:t>`</w:t>
      </w:r>
      <w:r w:rsidR="00FA771A" w:rsidRPr="00EF7399">
        <w:rPr>
          <w:rFonts w:ascii="Times New Roman" w:hAnsi="Times New Roman" w:cs="Times New Roman"/>
          <w:iCs/>
          <w:lang w:val="af-ZA"/>
        </w:rPr>
        <w:t xml:space="preserve"> իր անդամների մասնագիտական շահերը պաշտպանելու ազատությունը</w:t>
      </w:r>
      <w:r w:rsidR="00F630C4" w:rsidRPr="00EF7399">
        <w:rPr>
          <w:rFonts w:ascii="Times New Roman" w:hAnsi="Times New Roman" w:cs="Times New Roman"/>
          <w:iCs/>
          <w:lang w:val="af-ZA"/>
        </w:rPr>
        <w:t xml:space="preserve"> </w:t>
      </w:r>
      <w:r w:rsidRPr="00EF7399">
        <w:rPr>
          <w:rFonts w:ascii="Times New Roman" w:hAnsi="Times New Roman" w:cs="Times New Roman"/>
          <w:iCs/>
          <w:lang w:val="af-ZA"/>
        </w:rPr>
        <w:t>(</w:t>
      </w:r>
      <w:hyperlink r:id="rId572" w:history="1">
        <w:r w:rsidR="0073652D" w:rsidRPr="00EF7399">
          <w:rPr>
            <w:rStyle w:val="Hyperlink"/>
            <w:rFonts w:ascii="Times New Roman" w:hAnsi="Times New Roman" w:cs="Times New Roman"/>
            <w:iCs/>
            <w:lang w:val="af-ZA"/>
          </w:rPr>
          <w:t>Schmidt and Dahlström</w:t>
        </w:r>
        <w:r w:rsidR="00873234" w:rsidRPr="00EF7399">
          <w:rPr>
            <w:rStyle w:val="Hyperlink"/>
            <w:rFonts w:ascii="Times New Roman" w:hAnsi="Times New Roman" w:cs="Times New Roman"/>
            <w:iCs/>
            <w:lang w:val="af-ZA"/>
          </w:rPr>
          <w:t xml:space="preserve"> v. </w:t>
        </w:r>
        <w:r w:rsidR="0073652D" w:rsidRPr="00EF7399">
          <w:rPr>
            <w:rStyle w:val="Hyperlink"/>
            <w:rFonts w:ascii="Times New Roman" w:hAnsi="Times New Roman" w:cs="Times New Roman"/>
            <w:iCs/>
            <w:lang w:val="af-ZA"/>
          </w:rPr>
          <w:t>Sweden</w:t>
        </w:r>
      </w:hyperlink>
      <w:r w:rsidRPr="00EF7399">
        <w:rPr>
          <w:rFonts w:ascii="Times New Roman" w:hAnsi="Times New Roman" w:cs="Times New Roman"/>
          <w:iCs/>
          <w:lang w:val="af-ZA"/>
        </w:rPr>
        <w:t xml:space="preserve">, </w:t>
      </w:r>
      <w:r w:rsidR="00BF5C01" w:rsidRPr="00EF7399">
        <w:rPr>
          <w:rFonts w:ascii="Times New Roman" w:hAnsi="Times New Roman" w:cs="Times New Roman"/>
          <w:iCs/>
          <w:lang w:val="af-ZA"/>
        </w:rPr>
        <w:t xml:space="preserve">1976, </w:t>
      </w:r>
      <w:r w:rsidR="00873234" w:rsidRPr="00EF7399">
        <w:rPr>
          <w:rFonts w:ascii="Times New Roman" w:hAnsi="Times New Roman" w:cs="Times New Roman"/>
          <w:iCs/>
          <w:lang w:val="af-ZA"/>
        </w:rPr>
        <w:t>§ </w:t>
      </w:r>
      <w:r w:rsidRPr="00EF7399">
        <w:rPr>
          <w:rFonts w:ascii="Times New Roman" w:hAnsi="Times New Roman" w:cs="Times New Roman"/>
          <w:iCs/>
          <w:lang w:val="af-ZA"/>
        </w:rPr>
        <w:t xml:space="preserve">36; </w:t>
      </w:r>
      <w:hyperlink r:id="rId573" w:history="1">
        <w:r w:rsidR="00C36743" w:rsidRPr="00EF7399">
          <w:rPr>
            <w:rStyle w:val="Hyperlink"/>
            <w:rFonts w:ascii="Times New Roman" w:hAnsi="Times New Roman" w:cs="Times New Roman"/>
            <w:iCs/>
            <w:lang w:val="af-ZA"/>
          </w:rPr>
          <w:t>Wilson, National Union of Journalists and Others</w:t>
        </w:r>
        <w:r w:rsidR="00873234" w:rsidRPr="00EF7399">
          <w:rPr>
            <w:rStyle w:val="Hyperlink"/>
            <w:rFonts w:ascii="Times New Roman" w:hAnsi="Times New Roman" w:cs="Times New Roman"/>
            <w:iCs/>
            <w:lang w:val="af-ZA"/>
          </w:rPr>
          <w:t xml:space="preserve"> v. </w:t>
        </w:r>
        <w:r w:rsidR="00C36743" w:rsidRPr="00EF7399">
          <w:rPr>
            <w:rStyle w:val="Hyperlink"/>
            <w:rFonts w:ascii="Times New Roman" w:hAnsi="Times New Roman" w:cs="Times New Roman"/>
            <w:iCs/>
            <w:lang w:val="af-ZA"/>
          </w:rPr>
          <w:t>the United Kingdom</w:t>
        </w:r>
      </w:hyperlink>
      <w:r w:rsidRPr="00EF7399">
        <w:rPr>
          <w:rFonts w:ascii="Times New Roman" w:hAnsi="Times New Roman" w:cs="Times New Roman"/>
          <w:iCs/>
          <w:lang w:val="af-ZA"/>
        </w:rPr>
        <w:t xml:space="preserve">, </w:t>
      </w:r>
      <w:r w:rsidR="002A3689" w:rsidRPr="00EF7399">
        <w:rPr>
          <w:rFonts w:ascii="Times New Roman" w:hAnsi="Times New Roman" w:cs="Times New Roman"/>
          <w:lang w:val="af-ZA"/>
        </w:rPr>
        <w:t xml:space="preserve">2002, </w:t>
      </w:r>
      <w:r w:rsidR="00873234" w:rsidRPr="00EF7399">
        <w:rPr>
          <w:rFonts w:ascii="Times New Roman" w:hAnsi="Times New Roman" w:cs="Times New Roman"/>
          <w:iCs/>
          <w:lang w:val="af-ZA"/>
        </w:rPr>
        <w:t>§ </w:t>
      </w:r>
      <w:r w:rsidRPr="00EF7399">
        <w:rPr>
          <w:rFonts w:ascii="Times New Roman" w:hAnsi="Times New Roman" w:cs="Times New Roman"/>
          <w:iCs/>
          <w:lang w:val="af-ZA"/>
        </w:rPr>
        <w:t>45)</w:t>
      </w:r>
      <w:r w:rsidR="00F630C4" w:rsidRPr="00EF7399">
        <w:rPr>
          <w:rFonts w:ascii="Times New Roman" w:hAnsi="Times New Roman" w:cs="Times New Roman"/>
          <w:iCs/>
          <w:lang w:val="af-ZA"/>
        </w:rPr>
        <w:t xml:space="preserve">: Իրավունքը բացարձակ չէ և կարող է կարգավորվել </w:t>
      </w:r>
      <w:r w:rsidR="00C605CB" w:rsidRPr="00EF7399">
        <w:rPr>
          <w:rFonts w:ascii="Times New Roman" w:hAnsi="Times New Roman" w:cs="Times New Roman"/>
          <w:iCs/>
          <w:lang w:val="hy-AM"/>
        </w:rPr>
        <w:t>ներպետական</w:t>
      </w:r>
      <w:r w:rsidR="00C605CB" w:rsidRPr="00EF7399">
        <w:rPr>
          <w:rFonts w:ascii="Times New Roman" w:hAnsi="Times New Roman" w:cs="Times New Roman"/>
          <w:iCs/>
          <w:lang w:val="af-ZA"/>
        </w:rPr>
        <w:t xml:space="preserve"> </w:t>
      </w:r>
      <w:r w:rsidR="00F630C4" w:rsidRPr="00EF7399">
        <w:rPr>
          <w:rFonts w:ascii="Times New Roman" w:hAnsi="Times New Roman" w:cs="Times New Roman"/>
          <w:iCs/>
          <w:lang w:val="af-ZA"/>
        </w:rPr>
        <w:t xml:space="preserve">օրենսդրությամբ </w:t>
      </w:r>
      <w:r w:rsidRPr="00EF7399">
        <w:rPr>
          <w:rFonts w:ascii="Times New Roman" w:hAnsi="Times New Roman" w:cs="Times New Roman"/>
          <w:iCs/>
          <w:lang w:val="af-ZA"/>
        </w:rPr>
        <w:t>(</w:t>
      </w:r>
      <w:hyperlink r:id="rId574" w:history="1">
        <w:r w:rsidR="00E907D9" w:rsidRPr="00EF7399">
          <w:rPr>
            <w:rStyle w:val="Hyperlink"/>
            <w:rFonts w:ascii="Times New Roman" w:hAnsi="Times New Roman" w:cs="Times New Roman"/>
            <w:iCs/>
            <w:lang w:val="af-ZA"/>
          </w:rPr>
          <w:t>ibid.</w:t>
        </w:r>
      </w:hyperlink>
      <w:r w:rsidR="00E907D9" w:rsidRPr="00EF7399">
        <w:rPr>
          <w:rFonts w:ascii="Times New Roman" w:hAnsi="Times New Roman" w:cs="Times New Roman"/>
          <w:iCs/>
          <w:lang w:val="af-ZA"/>
        </w:rPr>
        <w:t xml:space="preserve">; </w:t>
      </w:r>
      <w:hyperlink r:id="rId575" w:history="1">
        <w:r w:rsidRPr="00EF7399">
          <w:rPr>
            <w:rStyle w:val="Hyperlink"/>
            <w:rFonts w:ascii="Times New Roman" w:hAnsi="Times New Roman" w:cs="Times New Roman"/>
            <w:iCs/>
            <w:lang w:val="af-ZA"/>
          </w:rPr>
          <w:t>Enerji Yapı-Yol Sen</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Turkey</w:t>
        </w:r>
      </w:hyperlink>
      <w:r w:rsidRPr="00EF7399">
        <w:rPr>
          <w:rFonts w:ascii="Times New Roman" w:hAnsi="Times New Roman" w:cs="Times New Roman"/>
          <w:iCs/>
          <w:lang w:val="af-ZA"/>
        </w:rPr>
        <w:t xml:space="preserve">, </w:t>
      </w:r>
      <w:r w:rsidR="00723C02" w:rsidRPr="00EF7399">
        <w:rPr>
          <w:rFonts w:ascii="Times New Roman" w:hAnsi="Times New Roman" w:cs="Times New Roman"/>
          <w:iCs/>
          <w:lang w:val="af-ZA"/>
        </w:rPr>
        <w:t xml:space="preserve">2009, </w:t>
      </w:r>
      <w:r w:rsidR="00873234" w:rsidRPr="00EF7399">
        <w:rPr>
          <w:rFonts w:ascii="Times New Roman" w:hAnsi="Times New Roman" w:cs="Times New Roman"/>
          <w:iCs/>
          <w:lang w:val="af-ZA"/>
        </w:rPr>
        <w:t>§ </w:t>
      </w:r>
      <w:r w:rsidRPr="00EF7399">
        <w:rPr>
          <w:rFonts w:ascii="Times New Roman" w:hAnsi="Times New Roman" w:cs="Times New Roman"/>
          <w:iCs/>
          <w:lang w:val="af-ZA"/>
        </w:rPr>
        <w:t>32)</w:t>
      </w:r>
      <w:r w:rsidR="00F630C4" w:rsidRPr="00EF7399">
        <w:rPr>
          <w:rFonts w:ascii="Times New Roman" w:hAnsi="Times New Roman" w:cs="Times New Roman"/>
          <w:iCs/>
          <w:lang w:val="af-ZA"/>
        </w:rPr>
        <w:t xml:space="preserve">: Գործադուլի իրավունքի նկատմամբ Պայմանավորվող պետության </w:t>
      </w:r>
      <w:r w:rsidR="00C605CB" w:rsidRPr="00EF7399">
        <w:rPr>
          <w:rFonts w:ascii="Times New Roman" w:hAnsi="Times New Roman" w:cs="Times New Roman"/>
          <w:iCs/>
          <w:lang w:val="hy-AM"/>
        </w:rPr>
        <w:t>կիրառած</w:t>
      </w:r>
      <w:r w:rsidR="00C605CB" w:rsidRPr="00EF7399">
        <w:rPr>
          <w:rFonts w:ascii="Times New Roman" w:hAnsi="Times New Roman" w:cs="Times New Roman"/>
          <w:iCs/>
          <w:lang w:val="af-ZA"/>
        </w:rPr>
        <w:t xml:space="preserve"> </w:t>
      </w:r>
      <w:r w:rsidR="00F630C4" w:rsidRPr="00EF7399">
        <w:rPr>
          <w:rFonts w:ascii="Times New Roman" w:hAnsi="Times New Roman" w:cs="Times New Roman"/>
          <w:iCs/>
          <w:lang w:val="af-ZA"/>
        </w:rPr>
        <w:t xml:space="preserve">սահմանափակումներն ինքնին չեն առաջացնում Կոնվենցիայի 11-րդ հոդվածի հետ կապված խնդիր </w:t>
      </w:r>
      <w:r w:rsidRPr="00EF7399">
        <w:rPr>
          <w:rFonts w:ascii="Times New Roman" w:hAnsi="Times New Roman" w:cs="Times New Roman"/>
          <w:iCs/>
          <w:lang w:val="af-ZA"/>
        </w:rPr>
        <w:t>(</w:t>
      </w:r>
      <w:hyperlink r:id="rId576" w:history="1">
        <w:r w:rsidRPr="00EF7399">
          <w:rPr>
            <w:rStyle w:val="Hyperlink"/>
            <w:rFonts w:ascii="Times New Roman" w:hAnsi="Times New Roman" w:cs="Times New Roman"/>
            <w:iCs/>
            <w:lang w:val="af-ZA"/>
          </w:rPr>
          <w:t>Federation of Offshore Workers</w:t>
        </w:r>
        <w:r w:rsidR="00DF297D" w:rsidRPr="00EF7399">
          <w:rPr>
            <w:rStyle w:val="Hyperlink"/>
            <w:rFonts w:ascii="Times New Roman" w:hAnsi="Times New Roman" w:cs="Times New Roman"/>
            <w:iCs/>
            <w:lang w:val="af-ZA"/>
          </w:rPr>
          <w:t>’</w:t>
        </w:r>
        <w:r w:rsidRPr="00EF7399">
          <w:rPr>
            <w:rStyle w:val="Hyperlink"/>
            <w:rFonts w:ascii="Times New Roman" w:hAnsi="Times New Roman" w:cs="Times New Roman"/>
            <w:iCs/>
            <w:lang w:val="af-ZA"/>
          </w:rPr>
          <w:t xml:space="preserve"> Trade Unions and Others</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Norway</w:t>
        </w:r>
      </w:hyperlink>
      <w:r w:rsidRPr="00EF7399">
        <w:rPr>
          <w:rFonts w:ascii="Times New Roman" w:hAnsi="Times New Roman" w:cs="Times New Roman"/>
          <w:iCs/>
          <w:lang w:val="af-ZA"/>
        </w:rPr>
        <w:t xml:space="preserve"> (dec.)</w:t>
      </w:r>
      <w:r w:rsidR="008C5F4A" w:rsidRPr="00EF7399">
        <w:rPr>
          <w:rFonts w:ascii="Times New Roman" w:hAnsi="Times New Roman" w:cs="Times New Roman"/>
          <w:iCs/>
          <w:lang w:val="af-ZA"/>
        </w:rPr>
        <w:t>, 2002</w:t>
      </w:r>
      <w:r w:rsidRPr="00EF7399">
        <w:rPr>
          <w:rFonts w:ascii="Times New Roman" w:hAnsi="Times New Roman" w:cs="Times New Roman"/>
          <w:iCs/>
          <w:lang w:val="af-ZA"/>
        </w:rPr>
        <w:t>)</w:t>
      </w:r>
      <w:r w:rsidR="00F630C4" w:rsidRPr="00EF7399">
        <w:rPr>
          <w:rFonts w:ascii="Times New Roman" w:hAnsi="Times New Roman" w:cs="Times New Roman"/>
          <w:iCs/>
          <w:lang w:val="af-ZA"/>
        </w:rPr>
        <w:t>:</w:t>
      </w:r>
    </w:p>
    <w:p w14:paraId="7CDF4571" w14:textId="40A7B9D6" w:rsidR="00381928" w:rsidRPr="00EF7399" w:rsidRDefault="00381928" w:rsidP="00381928">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271</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F630C4" w:rsidRPr="00EF7399">
        <w:rPr>
          <w:rFonts w:ascii="Times New Roman" w:hAnsi="Times New Roman" w:cs="Times New Roman"/>
          <w:iCs/>
          <w:lang w:val="af-ZA"/>
        </w:rPr>
        <w:t xml:space="preserve">Թեև գործադուլ իրականացնելու իրավունքը դեռևս չի համարվել արհեստակցական միության ազատության </w:t>
      </w:r>
      <w:r w:rsidR="00DB339E">
        <w:rPr>
          <w:rFonts w:ascii="Times New Roman" w:hAnsi="Times New Roman" w:cs="Times New Roman"/>
          <w:iCs/>
          <w:lang w:val="hy-AM"/>
        </w:rPr>
        <w:t>էական</w:t>
      </w:r>
      <w:r w:rsidR="00DB339E" w:rsidRPr="00EF7399">
        <w:rPr>
          <w:rFonts w:ascii="Times New Roman" w:hAnsi="Times New Roman" w:cs="Times New Roman"/>
          <w:iCs/>
          <w:lang w:val="af-ZA"/>
        </w:rPr>
        <w:t xml:space="preserve"> </w:t>
      </w:r>
      <w:r w:rsidR="00F630C4" w:rsidRPr="00EF7399">
        <w:rPr>
          <w:rFonts w:ascii="Times New Roman" w:hAnsi="Times New Roman" w:cs="Times New Roman"/>
          <w:iCs/>
          <w:lang w:val="af-ZA"/>
        </w:rPr>
        <w:t xml:space="preserve">տարր, սակայն գործադուլն ակնհայտորեն պաշտպանված է </w:t>
      </w:r>
      <w:r w:rsidRPr="00EF7399">
        <w:rPr>
          <w:rFonts w:ascii="Times New Roman" w:hAnsi="Times New Roman" w:cs="Times New Roman"/>
          <w:iCs/>
          <w:lang w:val="af-ZA"/>
        </w:rPr>
        <w:t>11</w:t>
      </w:r>
      <w:r w:rsidR="00F630C4" w:rsidRPr="00EF7399">
        <w:rPr>
          <w:rFonts w:ascii="Times New Roman" w:hAnsi="Times New Roman" w:cs="Times New Roman"/>
          <w:iCs/>
          <w:lang w:val="af-ZA"/>
        </w:rPr>
        <w:t>-րդ հոդվածով</w:t>
      </w:r>
      <w:r w:rsidRPr="00EF7399">
        <w:rPr>
          <w:rFonts w:ascii="Times New Roman" w:hAnsi="Times New Roman" w:cs="Times New Roman"/>
          <w:iCs/>
          <w:lang w:val="af-ZA"/>
        </w:rPr>
        <w:t xml:space="preserve"> (</w:t>
      </w:r>
      <w:hyperlink r:id="rId577" w:history="1">
        <w:r w:rsidRPr="00EF7399">
          <w:rPr>
            <w:rStyle w:val="Hyperlink"/>
            <w:rFonts w:ascii="Times New Roman" w:hAnsi="Times New Roman" w:cs="Times New Roman"/>
            <w:iCs/>
            <w:lang w:val="af-ZA"/>
          </w:rPr>
          <w:t>Association of Academics</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Iceland</w:t>
        </w:r>
      </w:hyperlink>
      <w:r w:rsidRPr="00EF7399">
        <w:rPr>
          <w:rFonts w:ascii="Times New Roman" w:hAnsi="Times New Roman" w:cs="Times New Roman"/>
          <w:iCs/>
          <w:lang w:val="af-ZA"/>
        </w:rPr>
        <w:t xml:space="preserve"> (dec), </w:t>
      </w:r>
      <w:r w:rsidR="00723C02" w:rsidRPr="00EF7399">
        <w:rPr>
          <w:rFonts w:ascii="Times New Roman" w:hAnsi="Times New Roman" w:cs="Times New Roman"/>
          <w:iCs/>
          <w:lang w:val="af-ZA"/>
        </w:rPr>
        <w:t xml:space="preserve">2018, </w:t>
      </w:r>
      <w:r w:rsidRPr="00EF7399">
        <w:rPr>
          <w:rFonts w:ascii="Times New Roman" w:hAnsi="Times New Roman" w:cs="Times New Roman"/>
          <w:iCs/>
          <w:lang w:val="af-ZA"/>
        </w:rPr>
        <w:t>§</w:t>
      </w:r>
      <w:r w:rsidR="00873234" w:rsidRPr="00EF7399">
        <w:rPr>
          <w:rFonts w:ascii="Times New Roman" w:hAnsi="Times New Roman" w:cs="Times New Roman"/>
          <w:iCs/>
          <w:lang w:val="af-ZA"/>
        </w:rPr>
        <w:t>§ </w:t>
      </w:r>
      <w:r w:rsidRPr="00EF7399">
        <w:rPr>
          <w:rFonts w:ascii="Times New Roman" w:hAnsi="Times New Roman" w:cs="Times New Roman"/>
          <w:iCs/>
          <w:lang w:val="af-ZA"/>
        </w:rPr>
        <w:t xml:space="preserve">24-27, </w:t>
      </w:r>
      <w:r w:rsidR="00F630C4" w:rsidRPr="00EF7399">
        <w:rPr>
          <w:rFonts w:ascii="Times New Roman" w:hAnsi="Times New Roman" w:cs="Times New Roman"/>
          <w:iCs/>
          <w:lang w:val="af-ZA"/>
        </w:rPr>
        <w:t>ներկայացվում է Դատարանի նախադեպային իրավունքի ընդհանուր ակնարկը</w:t>
      </w:r>
      <w:r w:rsidRPr="00EF7399">
        <w:rPr>
          <w:rFonts w:ascii="Times New Roman" w:hAnsi="Times New Roman" w:cs="Times New Roman"/>
          <w:iCs/>
          <w:lang w:val="af-ZA"/>
        </w:rPr>
        <w:t xml:space="preserve">; </w:t>
      </w:r>
      <w:hyperlink r:id="rId578" w:history="1">
        <w:r w:rsidRPr="00EF7399">
          <w:rPr>
            <w:rStyle w:val="Hyperlink"/>
            <w:rFonts w:ascii="Times New Roman" w:hAnsi="Times New Roman" w:cs="Times New Roman"/>
            <w:iCs/>
            <w:lang w:val="af-ZA"/>
          </w:rPr>
          <w:t>National Union of Rail, Maritime and Transport Workers</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the United Kingdom</w:t>
        </w:r>
      </w:hyperlink>
      <w:r w:rsidRPr="00EF7399">
        <w:rPr>
          <w:rFonts w:ascii="Times New Roman" w:hAnsi="Times New Roman" w:cs="Times New Roman"/>
          <w:iCs/>
          <w:lang w:val="af-ZA"/>
        </w:rPr>
        <w:t xml:space="preserve">, </w:t>
      </w:r>
      <w:r w:rsidR="00723C02" w:rsidRPr="00EF7399">
        <w:rPr>
          <w:rFonts w:ascii="Times New Roman" w:hAnsi="Times New Roman" w:cs="Times New Roman"/>
          <w:iCs/>
          <w:lang w:val="af-ZA"/>
        </w:rPr>
        <w:t xml:space="preserve">2014, </w:t>
      </w:r>
      <w:r w:rsidR="00873234" w:rsidRPr="00EF7399">
        <w:rPr>
          <w:rFonts w:ascii="Times New Roman" w:hAnsi="Times New Roman" w:cs="Times New Roman"/>
          <w:iCs/>
          <w:lang w:val="af-ZA"/>
        </w:rPr>
        <w:t>§ </w:t>
      </w:r>
      <w:r w:rsidRPr="00EF7399">
        <w:rPr>
          <w:rFonts w:ascii="Times New Roman" w:hAnsi="Times New Roman" w:cs="Times New Roman"/>
          <w:iCs/>
          <w:lang w:val="af-ZA"/>
        </w:rPr>
        <w:t>84).</w:t>
      </w:r>
      <w:r w:rsidR="00F630C4" w:rsidRPr="00EF7399">
        <w:rPr>
          <w:rFonts w:ascii="Times New Roman" w:hAnsi="Times New Roman" w:cs="Times New Roman"/>
          <w:iCs/>
          <w:lang w:val="af-ZA"/>
        </w:rPr>
        <w:t xml:space="preserve">: Դատարանը նշել է, որ իր անդամների մասնագիտական շահերը պաշտպանելու համար գործադուլն արհեստակցական միությանը հասանելի ամենահզոր գործիքն է </w:t>
      </w:r>
      <w:r w:rsidRPr="00EF7399">
        <w:rPr>
          <w:rFonts w:ascii="Times New Roman" w:hAnsi="Times New Roman" w:cs="Times New Roman"/>
          <w:iCs/>
          <w:lang w:val="af-ZA"/>
        </w:rPr>
        <w:t>(</w:t>
      </w:r>
      <w:hyperlink r:id="rId579" w:history="1">
        <w:r w:rsidRPr="00EF7399">
          <w:rPr>
            <w:rStyle w:val="Hyperlink"/>
            <w:rFonts w:ascii="Times New Roman" w:hAnsi="Times New Roman" w:cs="Times New Roman"/>
            <w:iCs/>
            <w:lang w:val="af-ZA"/>
          </w:rPr>
          <w:t>Hrvatski liječnički sindikat</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Croatia</w:t>
        </w:r>
      </w:hyperlink>
      <w:r w:rsidRPr="00EF7399">
        <w:rPr>
          <w:rFonts w:ascii="Times New Roman" w:hAnsi="Times New Roman" w:cs="Times New Roman"/>
          <w:iCs/>
          <w:lang w:val="af-ZA"/>
        </w:rPr>
        <w:t xml:space="preserve">, </w:t>
      </w:r>
      <w:r w:rsidR="00723C02" w:rsidRPr="00EF7399">
        <w:rPr>
          <w:rFonts w:ascii="Times New Roman" w:hAnsi="Times New Roman" w:cs="Times New Roman"/>
          <w:iCs/>
          <w:lang w:val="af-ZA"/>
        </w:rPr>
        <w:t xml:space="preserve">2014, </w:t>
      </w:r>
      <w:r w:rsidR="00873234" w:rsidRPr="00EF7399">
        <w:rPr>
          <w:rFonts w:ascii="Times New Roman" w:hAnsi="Times New Roman" w:cs="Times New Roman"/>
          <w:iCs/>
          <w:lang w:val="af-ZA"/>
        </w:rPr>
        <w:t>§ </w:t>
      </w:r>
      <w:r w:rsidR="00FA73F0" w:rsidRPr="00EF7399">
        <w:rPr>
          <w:rFonts w:ascii="Times New Roman" w:hAnsi="Times New Roman" w:cs="Times New Roman"/>
          <w:iCs/>
          <w:lang w:val="af-ZA"/>
        </w:rPr>
        <w:t>5</w:t>
      </w:r>
      <w:r w:rsidRPr="00EF7399">
        <w:rPr>
          <w:rFonts w:ascii="Times New Roman" w:hAnsi="Times New Roman" w:cs="Times New Roman"/>
          <w:iCs/>
          <w:lang w:val="af-ZA"/>
        </w:rPr>
        <w:t>9)</w:t>
      </w:r>
      <w:r w:rsidR="00F630C4" w:rsidRPr="00EF7399">
        <w:rPr>
          <w:rFonts w:ascii="Times New Roman" w:hAnsi="Times New Roman" w:cs="Times New Roman"/>
          <w:iCs/>
          <w:lang w:val="af-ZA"/>
        </w:rPr>
        <w:t xml:space="preserve">: </w:t>
      </w:r>
    </w:p>
    <w:p w14:paraId="51752C34" w14:textId="7D912154" w:rsidR="00034489" w:rsidRPr="00EF7399" w:rsidRDefault="00F630C4" w:rsidP="00381928">
      <w:pPr>
        <w:pStyle w:val="ECHRParaSpaced"/>
        <w:rPr>
          <w:rFonts w:ascii="Times New Roman" w:hAnsi="Times New Roman" w:cs="Times New Roman"/>
          <w:iCs/>
          <w:lang w:val="af-ZA"/>
        </w:rPr>
      </w:pPr>
      <w:r w:rsidRPr="00EF7399">
        <w:rPr>
          <w:rFonts w:ascii="Times New Roman" w:hAnsi="Times New Roman" w:cs="Times New Roman"/>
          <w:iCs/>
          <w:lang w:val="af-ZA"/>
        </w:rPr>
        <w:t xml:space="preserve">Գործադուլը, սկզբունքորեն, պաշտպանված է 11-րդ հոդվածով </w:t>
      </w:r>
      <w:r w:rsidR="00EB53A5" w:rsidRPr="00EF7399">
        <w:rPr>
          <w:rFonts w:ascii="Times New Roman" w:hAnsi="Times New Roman" w:cs="Times New Roman"/>
          <w:iCs/>
          <w:lang w:val="af-ZA"/>
        </w:rPr>
        <w:t>միայն այն չափով, որ կազմակերպվ</w:t>
      </w:r>
      <w:r w:rsidR="00C605CB" w:rsidRPr="00EF7399">
        <w:rPr>
          <w:rFonts w:ascii="Times New Roman" w:hAnsi="Times New Roman" w:cs="Times New Roman"/>
          <w:iCs/>
          <w:lang w:val="hy-AM"/>
        </w:rPr>
        <w:t>ում</w:t>
      </w:r>
      <w:r w:rsidR="00EB53A5" w:rsidRPr="00EF7399">
        <w:rPr>
          <w:rFonts w:ascii="Times New Roman" w:hAnsi="Times New Roman" w:cs="Times New Roman"/>
          <w:iCs/>
          <w:lang w:val="af-ZA"/>
        </w:rPr>
        <w:t xml:space="preserve"> է արհեստակցական միությունների կողմից և համարվում է արհեստակցական միության գործունեության ոչ թե ենթադրյալ, այլ արդյունավետ մաս </w:t>
      </w:r>
      <w:r w:rsidR="00034489" w:rsidRPr="00EF7399">
        <w:rPr>
          <w:rFonts w:ascii="Times New Roman" w:hAnsi="Times New Roman" w:cs="Times New Roman"/>
          <w:iCs/>
          <w:lang w:val="af-ZA"/>
        </w:rPr>
        <w:t>(</w:t>
      </w:r>
      <w:hyperlink r:id="rId580" w:history="1">
        <w:r w:rsidR="00034489" w:rsidRPr="00EF7399">
          <w:rPr>
            <w:rStyle w:val="Hyperlink"/>
            <w:rFonts w:ascii="Times New Roman" w:hAnsi="Times New Roman" w:cs="Times New Roman"/>
            <w:iCs/>
            <w:lang w:val="af-ZA"/>
          </w:rPr>
          <w:t>Barış and Others</w:t>
        </w:r>
        <w:r w:rsidR="00873234" w:rsidRPr="00EF7399">
          <w:rPr>
            <w:rStyle w:val="Hyperlink"/>
            <w:rFonts w:ascii="Times New Roman" w:hAnsi="Times New Roman" w:cs="Times New Roman"/>
            <w:iCs/>
            <w:lang w:val="af-ZA"/>
          </w:rPr>
          <w:t xml:space="preserve"> v. </w:t>
        </w:r>
        <w:r w:rsidR="00034489" w:rsidRPr="00EF7399">
          <w:rPr>
            <w:rStyle w:val="Hyperlink"/>
            <w:rFonts w:ascii="Times New Roman" w:hAnsi="Times New Roman" w:cs="Times New Roman"/>
            <w:iCs/>
            <w:lang w:val="af-ZA"/>
          </w:rPr>
          <w:t>Turkey</w:t>
        </w:r>
      </w:hyperlink>
      <w:r w:rsidR="00034489" w:rsidRPr="00EF7399">
        <w:rPr>
          <w:rFonts w:ascii="Times New Roman" w:hAnsi="Times New Roman" w:cs="Times New Roman"/>
          <w:iCs/>
          <w:lang w:val="af-ZA"/>
        </w:rPr>
        <w:t xml:space="preserve"> (dec.), 2021, </w:t>
      </w:r>
      <w:r w:rsidR="00873234" w:rsidRPr="00EF7399">
        <w:rPr>
          <w:rFonts w:ascii="Times New Roman" w:hAnsi="Times New Roman" w:cs="Times New Roman"/>
          <w:iCs/>
          <w:lang w:val="af-ZA"/>
        </w:rPr>
        <w:t>§ </w:t>
      </w:r>
      <w:r w:rsidR="00034489" w:rsidRPr="00EF7399">
        <w:rPr>
          <w:rFonts w:ascii="Times New Roman" w:hAnsi="Times New Roman" w:cs="Times New Roman"/>
          <w:iCs/>
          <w:lang w:val="af-ZA"/>
        </w:rPr>
        <w:t>45)</w:t>
      </w:r>
      <w:r w:rsidR="00EB53A5" w:rsidRPr="00EF7399">
        <w:rPr>
          <w:rFonts w:ascii="Times New Roman" w:hAnsi="Times New Roman" w:cs="Times New Roman"/>
          <w:iCs/>
          <w:lang w:val="af-ZA"/>
        </w:rPr>
        <w:t>:</w:t>
      </w:r>
    </w:p>
    <w:p w14:paraId="1C77FA90" w14:textId="1F544509" w:rsidR="00381928" w:rsidRPr="00EF7399" w:rsidRDefault="00381928" w:rsidP="00381928">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272</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9277BF" w:rsidRPr="00EF7399">
        <w:rPr>
          <w:rFonts w:ascii="Times New Roman" w:hAnsi="Times New Roman" w:cs="Times New Roman"/>
          <w:iCs/>
          <w:lang w:val="af-ZA"/>
        </w:rPr>
        <w:t xml:space="preserve">Գործադուլի արգելքը պետք է համարվի </w:t>
      </w:r>
      <w:r w:rsidR="007558DE" w:rsidRPr="00EF7399">
        <w:rPr>
          <w:rFonts w:ascii="Times New Roman" w:hAnsi="Times New Roman" w:cs="Times New Roman"/>
          <w:iCs/>
          <w:lang w:val="af-ZA"/>
        </w:rPr>
        <w:t xml:space="preserve">արհեստակցական միության` իր անդամների շահերը պաշտպանելու լիազորության սահմանափակում և, հետևաբար, միավորման ազատության սահմանափակում </w:t>
      </w:r>
      <w:r w:rsidRPr="00EF7399">
        <w:rPr>
          <w:rFonts w:ascii="Times New Roman" w:hAnsi="Times New Roman" w:cs="Times New Roman"/>
          <w:iCs/>
          <w:lang w:val="af-ZA"/>
        </w:rPr>
        <w:t>(</w:t>
      </w:r>
      <w:hyperlink r:id="rId581" w:history="1">
        <w:r w:rsidR="00594F9D" w:rsidRPr="00EF7399">
          <w:rPr>
            <w:rStyle w:val="Hyperlink"/>
            <w:rFonts w:ascii="Times New Roman" w:hAnsi="Times New Roman" w:cs="Times New Roman"/>
            <w:iCs/>
            <w:lang w:val="af-ZA"/>
          </w:rPr>
          <w:t>UNISON</w:t>
        </w:r>
        <w:r w:rsidR="00873234" w:rsidRPr="00EF7399">
          <w:rPr>
            <w:rStyle w:val="Hyperlink"/>
            <w:rFonts w:ascii="Times New Roman" w:hAnsi="Times New Roman" w:cs="Times New Roman"/>
            <w:iCs/>
            <w:lang w:val="af-ZA"/>
          </w:rPr>
          <w:t xml:space="preserve"> v. </w:t>
        </w:r>
        <w:r w:rsidR="00594F9D" w:rsidRPr="00EF7399">
          <w:rPr>
            <w:rStyle w:val="Hyperlink"/>
            <w:rFonts w:ascii="Times New Roman" w:hAnsi="Times New Roman" w:cs="Times New Roman"/>
            <w:iCs/>
            <w:lang w:val="af-ZA"/>
          </w:rPr>
          <w:t>the United Kingdom</w:t>
        </w:r>
      </w:hyperlink>
      <w:r w:rsidRPr="00EF7399">
        <w:rPr>
          <w:rFonts w:ascii="Times New Roman" w:hAnsi="Times New Roman" w:cs="Times New Roman"/>
          <w:iCs/>
          <w:lang w:val="af-ZA"/>
        </w:rPr>
        <w:t xml:space="preserve"> (dec.)</w:t>
      </w:r>
      <w:r w:rsidR="00723C02" w:rsidRPr="00EF7399">
        <w:rPr>
          <w:rFonts w:ascii="Times New Roman" w:hAnsi="Times New Roman" w:cs="Times New Roman"/>
          <w:iCs/>
          <w:lang w:val="af-ZA"/>
        </w:rPr>
        <w:t>, 2002</w:t>
      </w:r>
      <w:r w:rsidRPr="00EF7399">
        <w:rPr>
          <w:rFonts w:ascii="Times New Roman" w:hAnsi="Times New Roman" w:cs="Times New Roman"/>
          <w:iCs/>
          <w:lang w:val="af-ZA"/>
        </w:rPr>
        <w:t xml:space="preserve">; </w:t>
      </w:r>
      <w:hyperlink r:id="rId582" w:history="1">
        <w:r w:rsidRPr="00EF7399">
          <w:rPr>
            <w:rStyle w:val="Hyperlink"/>
            <w:rFonts w:ascii="Times New Roman" w:hAnsi="Times New Roman" w:cs="Times New Roman"/>
            <w:iCs/>
            <w:lang w:val="af-ZA"/>
          </w:rPr>
          <w:t>Hrvatski liječnički sindikat</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Croatia</w:t>
        </w:r>
      </w:hyperlink>
      <w:r w:rsidRPr="00EF7399">
        <w:rPr>
          <w:rFonts w:ascii="Times New Roman" w:hAnsi="Times New Roman" w:cs="Times New Roman"/>
          <w:iCs/>
          <w:lang w:val="af-ZA"/>
        </w:rPr>
        <w:t xml:space="preserve">, </w:t>
      </w:r>
      <w:r w:rsidR="00723C02" w:rsidRPr="00EF7399">
        <w:rPr>
          <w:rFonts w:ascii="Times New Roman" w:hAnsi="Times New Roman" w:cs="Times New Roman"/>
          <w:iCs/>
          <w:lang w:val="af-ZA"/>
        </w:rPr>
        <w:t xml:space="preserve">2014, </w:t>
      </w:r>
      <w:r w:rsidR="00873234" w:rsidRPr="00EF7399">
        <w:rPr>
          <w:rFonts w:ascii="Times New Roman" w:hAnsi="Times New Roman" w:cs="Times New Roman"/>
          <w:iCs/>
          <w:lang w:val="af-ZA"/>
        </w:rPr>
        <w:t>§ </w:t>
      </w:r>
      <w:r w:rsidRPr="00EF7399">
        <w:rPr>
          <w:rFonts w:ascii="Times New Roman" w:hAnsi="Times New Roman" w:cs="Times New Roman"/>
          <w:iCs/>
          <w:lang w:val="af-ZA"/>
        </w:rPr>
        <w:t xml:space="preserve">49; </w:t>
      </w:r>
      <w:hyperlink r:id="rId583" w:history="1">
        <w:r w:rsidR="00594F9D" w:rsidRPr="00EF7399">
          <w:rPr>
            <w:rStyle w:val="Hyperlink"/>
            <w:rFonts w:ascii="Times New Roman" w:hAnsi="Times New Roman" w:cs="Times New Roman"/>
            <w:iCs/>
            <w:lang w:val="af-ZA"/>
          </w:rPr>
          <w:t>Veniamin Tymoshenko and Others</w:t>
        </w:r>
        <w:r w:rsidR="00873234" w:rsidRPr="00EF7399">
          <w:rPr>
            <w:rStyle w:val="Hyperlink"/>
            <w:rFonts w:ascii="Times New Roman" w:hAnsi="Times New Roman" w:cs="Times New Roman"/>
            <w:iCs/>
            <w:lang w:val="af-ZA"/>
          </w:rPr>
          <w:t xml:space="preserve"> v. </w:t>
        </w:r>
        <w:r w:rsidR="00594F9D" w:rsidRPr="00EF7399">
          <w:rPr>
            <w:rStyle w:val="Hyperlink"/>
            <w:rFonts w:ascii="Times New Roman" w:hAnsi="Times New Roman" w:cs="Times New Roman"/>
            <w:iCs/>
            <w:lang w:val="af-ZA"/>
          </w:rPr>
          <w:t>Ukraine</w:t>
        </w:r>
      </w:hyperlink>
      <w:r w:rsidRPr="00EF7399">
        <w:rPr>
          <w:rFonts w:ascii="Times New Roman" w:hAnsi="Times New Roman" w:cs="Times New Roman"/>
          <w:i/>
          <w:iCs/>
          <w:lang w:val="af-ZA"/>
        </w:rPr>
        <w:t>,</w:t>
      </w:r>
      <w:r w:rsidRPr="00EF7399">
        <w:rPr>
          <w:rFonts w:ascii="Times New Roman" w:hAnsi="Times New Roman" w:cs="Times New Roman"/>
          <w:iCs/>
          <w:lang w:val="af-ZA"/>
        </w:rPr>
        <w:t xml:space="preserve"> </w:t>
      </w:r>
      <w:r w:rsidR="00723C02" w:rsidRPr="00EF7399">
        <w:rPr>
          <w:rFonts w:ascii="Times New Roman" w:hAnsi="Times New Roman" w:cs="Times New Roman"/>
          <w:iCs/>
          <w:lang w:val="af-ZA"/>
        </w:rPr>
        <w:t xml:space="preserve">2014, </w:t>
      </w:r>
      <w:r w:rsidR="00873234" w:rsidRPr="00EF7399">
        <w:rPr>
          <w:rFonts w:ascii="Times New Roman" w:hAnsi="Times New Roman" w:cs="Times New Roman"/>
          <w:iCs/>
          <w:lang w:val="af-ZA"/>
        </w:rPr>
        <w:t>§ </w:t>
      </w:r>
      <w:r w:rsidRPr="00EF7399">
        <w:rPr>
          <w:rFonts w:ascii="Times New Roman" w:hAnsi="Times New Roman" w:cs="Times New Roman"/>
          <w:iCs/>
          <w:lang w:val="af-ZA"/>
        </w:rPr>
        <w:t>77)</w:t>
      </w:r>
      <w:r w:rsidR="007558DE" w:rsidRPr="00EF7399">
        <w:rPr>
          <w:rFonts w:ascii="Times New Roman" w:hAnsi="Times New Roman" w:cs="Times New Roman"/>
          <w:iCs/>
          <w:lang w:val="af-ZA"/>
        </w:rPr>
        <w:t>:</w:t>
      </w:r>
    </w:p>
    <w:p w14:paraId="41D41930" w14:textId="01571C14" w:rsidR="00381928" w:rsidRPr="00EF7399" w:rsidRDefault="00381928" w:rsidP="00381928">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273</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7558DE" w:rsidRPr="00EF7399">
        <w:rPr>
          <w:rFonts w:ascii="Times New Roman" w:hAnsi="Times New Roman" w:cs="Times New Roman"/>
          <w:iCs/>
          <w:lang w:val="af-ZA"/>
        </w:rPr>
        <w:t>Համերաշխության գործադուլը</w:t>
      </w:r>
      <w:r w:rsidRPr="00EF7399">
        <w:rPr>
          <w:rFonts w:ascii="Times New Roman" w:hAnsi="Times New Roman" w:cs="Times New Roman"/>
          <w:iCs/>
          <w:lang w:val="af-ZA"/>
        </w:rPr>
        <w:t xml:space="preserve"> (</w:t>
      </w:r>
      <w:r w:rsidR="007558DE" w:rsidRPr="00EF7399">
        <w:rPr>
          <w:rFonts w:ascii="Times New Roman" w:hAnsi="Times New Roman" w:cs="Times New Roman"/>
          <w:iCs/>
          <w:lang w:val="af-ZA"/>
        </w:rPr>
        <w:t>այլ գործատուի դեմ ուղղված գործադուլ, որի նպատակն է</w:t>
      </w:r>
      <w:r w:rsidR="00BE340B" w:rsidRPr="00EF7399">
        <w:rPr>
          <w:rFonts w:ascii="Times New Roman" w:hAnsi="Times New Roman" w:cs="Times New Roman"/>
          <w:iCs/>
          <w:lang w:val="hy-AM"/>
        </w:rPr>
        <w:t>՝</w:t>
      </w:r>
      <w:r w:rsidR="007558DE" w:rsidRPr="00EF7399">
        <w:rPr>
          <w:rFonts w:ascii="Times New Roman" w:hAnsi="Times New Roman" w:cs="Times New Roman"/>
          <w:iCs/>
          <w:lang w:val="af-ZA"/>
        </w:rPr>
        <w:t xml:space="preserve"> անուղղակի ճնշում գործադրել աշխատանքային վեճի մեջ ն</w:t>
      </w:r>
      <w:r w:rsidR="00BE340B" w:rsidRPr="00EF7399">
        <w:rPr>
          <w:rFonts w:ascii="Times New Roman" w:hAnsi="Times New Roman" w:cs="Times New Roman"/>
          <w:iCs/>
          <w:lang w:val="hy-AM"/>
        </w:rPr>
        <w:t>ե</w:t>
      </w:r>
      <w:r w:rsidR="007558DE" w:rsidRPr="00EF7399">
        <w:rPr>
          <w:rFonts w:ascii="Times New Roman" w:hAnsi="Times New Roman" w:cs="Times New Roman"/>
          <w:iCs/>
          <w:lang w:val="af-ZA"/>
        </w:rPr>
        <w:t>րգրավված գործատուի վրա</w:t>
      </w:r>
      <w:r w:rsidRPr="00EF7399">
        <w:rPr>
          <w:rFonts w:ascii="Times New Roman" w:hAnsi="Times New Roman" w:cs="Times New Roman"/>
          <w:iCs/>
          <w:lang w:val="af-ZA"/>
        </w:rPr>
        <w:t xml:space="preserve">) </w:t>
      </w:r>
      <w:r w:rsidR="007558DE" w:rsidRPr="00EF7399">
        <w:rPr>
          <w:rFonts w:ascii="Times New Roman" w:hAnsi="Times New Roman" w:cs="Times New Roman"/>
          <w:iCs/>
          <w:lang w:val="af-ZA"/>
        </w:rPr>
        <w:t>նույնպես արհեստակցական միության գործունեության մաս</w:t>
      </w:r>
      <w:r w:rsidR="00BE340B" w:rsidRPr="00EF7399">
        <w:rPr>
          <w:rFonts w:ascii="Times New Roman" w:hAnsi="Times New Roman" w:cs="Times New Roman"/>
          <w:iCs/>
          <w:lang w:val="hy-AM"/>
        </w:rPr>
        <w:t xml:space="preserve"> է,</w:t>
      </w:r>
      <w:r w:rsidR="007558DE" w:rsidRPr="00EF7399">
        <w:rPr>
          <w:rFonts w:ascii="Times New Roman" w:hAnsi="Times New Roman" w:cs="Times New Roman"/>
          <w:iCs/>
          <w:lang w:val="af-ZA"/>
        </w:rPr>
        <w:t xml:space="preserve"> և նման գործողության օրենսդրական արգելքը միջամտում է 11-րդ հոդվածով նախատեսված արհեստակցական միության իրավունքին </w:t>
      </w:r>
      <w:r w:rsidRPr="00EF7399">
        <w:rPr>
          <w:rFonts w:ascii="Times New Roman" w:hAnsi="Times New Roman" w:cs="Times New Roman"/>
          <w:iCs/>
          <w:lang w:val="af-ZA"/>
        </w:rPr>
        <w:t>(</w:t>
      </w:r>
      <w:hyperlink r:id="rId584" w:history="1">
        <w:r w:rsidRPr="00EF7399">
          <w:rPr>
            <w:rStyle w:val="Hyperlink"/>
            <w:rFonts w:ascii="Times New Roman" w:hAnsi="Times New Roman" w:cs="Times New Roman"/>
            <w:iCs/>
            <w:lang w:val="af-ZA"/>
          </w:rPr>
          <w:t>National Union of Rail, Maritime and Transport Workers</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the United Kingdom</w:t>
        </w:r>
      </w:hyperlink>
      <w:r w:rsidRPr="00EF7399">
        <w:rPr>
          <w:rFonts w:ascii="Times New Roman" w:hAnsi="Times New Roman" w:cs="Times New Roman"/>
          <w:iCs/>
          <w:lang w:val="af-ZA"/>
        </w:rPr>
        <w:t xml:space="preserve">, </w:t>
      </w:r>
      <w:r w:rsidR="00723C02" w:rsidRPr="00EF7399">
        <w:rPr>
          <w:rFonts w:ascii="Times New Roman" w:hAnsi="Times New Roman" w:cs="Times New Roman"/>
          <w:iCs/>
          <w:lang w:val="af-ZA"/>
        </w:rPr>
        <w:t xml:space="preserve">2014, </w:t>
      </w:r>
      <w:r w:rsidRPr="00EF7399">
        <w:rPr>
          <w:rFonts w:ascii="Times New Roman" w:hAnsi="Times New Roman" w:cs="Times New Roman"/>
          <w:iCs/>
          <w:lang w:val="af-ZA"/>
        </w:rPr>
        <w:t>§</w:t>
      </w:r>
      <w:r w:rsidR="00873234" w:rsidRPr="00EF7399">
        <w:rPr>
          <w:rFonts w:ascii="Times New Roman" w:hAnsi="Times New Roman" w:cs="Times New Roman"/>
          <w:iCs/>
          <w:lang w:val="af-ZA"/>
        </w:rPr>
        <w:t>§ </w:t>
      </w:r>
      <w:r w:rsidRPr="00EF7399">
        <w:rPr>
          <w:rFonts w:ascii="Times New Roman" w:hAnsi="Times New Roman" w:cs="Times New Roman"/>
          <w:iCs/>
          <w:lang w:val="af-ZA"/>
        </w:rPr>
        <w:t>77-78)</w:t>
      </w:r>
      <w:r w:rsidR="007558DE" w:rsidRPr="00EF7399">
        <w:rPr>
          <w:rFonts w:ascii="Times New Roman" w:hAnsi="Times New Roman" w:cs="Times New Roman"/>
          <w:iCs/>
          <w:lang w:val="af-ZA"/>
        </w:rPr>
        <w:t>:</w:t>
      </w:r>
    </w:p>
    <w:p w14:paraId="00D72D18" w14:textId="05DCE138" w:rsidR="00381928" w:rsidRPr="00EF7399" w:rsidRDefault="00381928" w:rsidP="00381928">
      <w:pPr>
        <w:pStyle w:val="ECHRParaSpaced"/>
        <w:rPr>
          <w:rFonts w:ascii="Times New Roman" w:hAnsi="Times New Roman" w:cs="Times New Roman"/>
          <w:iCs/>
          <w:lang w:val="af-ZA"/>
        </w:rPr>
      </w:pPr>
      <w:r w:rsidRPr="00EF7399">
        <w:rPr>
          <w:rFonts w:ascii="Times New Roman" w:hAnsi="Times New Roman" w:cs="Times New Roman"/>
          <w:iCs/>
          <w:lang w:val="af-ZA"/>
        </w:rPr>
        <w:lastRenderedPageBreak/>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274</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7558DE" w:rsidRPr="00EF7399">
        <w:rPr>
          <w:rFonts w:ascii="Times New Roman" w:hAnsi="Times New Roman" w:cs="Times New Roman"/>
          <w:iCs/>
          <w:lang w:val="af-ZA"/>
        </w:rPr>
        <w:t xml:space="preserve">Թեև սահմանափակումներ կարող են </w:t>
      </w:r>
      <w:r w:rsidR="002B2B36" w:rsidRPr="00EF7399">
        <w:rPr>
          <w:rFonts w:ascii="Times New Roman" w:hAnsi="Times New Roman" w:cs="Times New Roman"/>
          <w:iCs/>
          <w:lang w:val="af-ZA"/>
        </w:rPr>
        <w:t>կիրառվել</w:t>
      </w:r>
      <w:r w:rsidR="007558DE" w:rsidRPr="00EF7399">
        <w:rPr>
          <w:rFonts w:ascii="Times New Roman" w:hAnsi="Times New Roman" w:cs="Times New Roman"/>
          <w:iCs/>
          <w:lang w:val="af-ZA"/>
        </w:rPr>
        <w:t xml:space="preserve"> </w:t>
      </w:r>
      <w:r w:rsidR="00B3194E" w:rsidRPr="00EF7399">
        <w:rPr>
          <w:rFonts w:ascii="Times New Roman" w:hAnsi="Times New Roman" w:cs="Times New Roman"/>
          <w:iCs/>
          <w:lang w:val="af-ZA"/>
        </w:rPr>
        <w:t>բնակչությանը կենսական ծառայություններ մատուցող աշխատողների գործադուլի իրավունքի նկատմամբ, ամբողջական արգելքը պահանջում է պետությունից դրա</w:t>
      </w:r>
      <w:r w:rsidR="002B2B36" w:rsidRPr="00EF7399">
        <w:rPr>
          <w:rFonts w:ascii="Times New Roman" w:hAnsi="Times New Roman" w:cs="Times New Roman"/>
          <w:iCs/>
          <w:lang w:val="af-ZA"/>
        </w:rPr>
        <w:t xml:space="preserve"> անհրաժեշտությունը </w:t>
      </w:r>
      <w:r w:rsidR="00B3194E" w:rsidRPr="00EF7399">
        <w:rPr>
          <w:rFonts w:ascii="Times New Roman" w:hAnsi="Times New Roman" w:cs="Times New Roman"/>
          <w:iCs/>
          <w:lang w:val="af-ZA"/>
        </w:rPr>
        <w:t>հիմնավոր</w:t>
      </w:r>
      <w:r w:rsidR="002B2B36" w:rsidRPr="00EF7399">
        <w:rPr>
          <w:rFonts w:ascii="Times New Roman" w:hAnsi="Times New Roman" w:cs="Times New Roman"/>
          <w:iCs/>
          <w:lang w:val="af-ZA"/>
        </w:rPr>
        <w:t>ող լուրջ</w:t>
      </w:r>
      <w:r w:rsidR="00B3194E" w:rsidRPr="00EF7399">
        <w:rPr>
          <w:rFonts w:ascii="Times New Roman" w:hAnsi="Times New Roman" w:cs="Times New Roman"/>
          <w:iCs/>
          <w:lang w:val="af-ZA"/>
        </w:rPr>
        <w:t xml:space="preserve"> պատճառներ </w:t>
      </w:r>
      <w:r w:rsidRPr="00EF7399">
        <w:rPr>
          <w:rFonts w:ascii="Times New Roman" w:hAnsi="Times New Roman" w:cs="Times New Roman"/>
          <w:iCs/>
          <w:lang w:val="af-ZA"/>
        </w:rPr>
        <w:t>(</w:t>
      </w:r>
      <w:hyperlink r:id="rId585" w:history="1">
        <w:r w:rsidRPr="00EF7399">
          <w:rPr>
            <w:rStyle w:val="Hyperlink"/>
            <w:rFonts w:ascii="Times New Roman" w:hAnsi="Times New Roman" w:cs="Times New Roman"/>
            <w:iCs/>
            <w:lang w:val="af-ZA"/>
          </w:rPr>
          <w:t>Ognevenko</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Russia</w:t>
        </w:r>
      </w:hyperlink>
      <w:r w:rsidRPr="00EF7399">
        <w:rPr>
          <w:rFonts w:ascii="Times New Roman" w:hAnsi="Times New Roman" w:cs="Times New Roman"/>
          <w:iCs/>
          <w:lang w:val="af-ZA"/>
        </w:rPr>
        <w:t xml:space="preserve">, </w:t>
      </w:r>
      <w:r w:rsidR="002A3689" w:rsidRPr="00EF7399">
        <w:rPr>
          <w:rFonts w:ascii="Times New Roman" w:hAnsi="Times New Roman" w:cs="Times New Roman"/>
          <w:iCs/>
          <w:lang w:val="af-ZA"/>
        </w:rPr>
        <w:t xml:space="preserve">2018, </w:t>
      </w:r>
      <w:r w:rsidRPr="00EF7399">
        <w:rPr>
          <w:rFonts w:ascii="Times New Roman" w:hAnsi="Times New Roman" w:cs="Times New Roman"/>
          <w:iCs/>
          <w:lang w:val="af-ZA"/>
        </w:rPr>
        <w:t>§</w:t>
      </w:r>
      <w:r w:rsidR="00873234" w:rsidRPr="00EF7399">
        <w:rPr>
          <w:rFonts w:ascii="Times New Roman" w:hAnsi="Times New Roman" w:cs="Times New Roman"/>
          <w:iCs/>
          <w:lang w:val="af-ZA"/>
        </w:rPr>
        <w:t>§ </w:t>
      </w:r>
      <w:r w:rsidRPr="00EF7399">
        <w:rPr>
          <w:rFonts w:ascii="Times New Roman" w:hAnsi="Times New Roman" w:cs="Times New Roman"/>
          <w:iCs/>
          <w:lang w:val="af-ZA"/>
        </w:rPr>
        <w:t xml:space="preserve">72-73, </w:t>
      </w:r>
      <w:r w:rsidR="002B2B36" w:rsidRPr="00EF7399">
        <w:rPr>
          <w:rFonts w:ascii="Times New Roman" w:hAnsi="Times New Roman" w:cs="Times New Roman"/>
          <w:iCs/>
          <w:lang w:val="af-ZA"/>
        </w:rPr>
        <w:t>առնչվում է երկաթուղու աշխատողների որոշ խմբերի համար օրենքով սահմանված գործադուլի արգելքին</w:t>
      </w:r>
      <w:r w:rsidRPr="00EF7399">
        <w:rPr>
          <w:rFonts w:ascii="Times New Roman" w:hAnsi="Times New Roman" w:cs="Times New Roman"/>
          <w:iCs/>
          <w:lang w:val="af-ZA"/>
        </w:rPr>
        <w:t xml:space="preserve">; </w:t>
      </w:r>
      <w:hyperlink r:id="rId586" w:history="1">
        <w:r w:rsidRPr="00EF7399">
          <w:rPr>
            <w:rStyle w:val="Hyperlink"/>
            <w:rFonts w:ascii="Times New Roman" w:hAnsi="Times New Roman" w:cs="Times New Roman"/>
            <w:iCs/>
            <w:lang w:val="af-ZA"/>
          </w:rPr>
          <w:t>Federation of Offshore Workers</w:t>
        </w:r>
        <w:r w:rsidR="00DF297D" w:rsidRPr="00EF7399">
          <w:rPr>
            <w:rStyle w:val="Hyperlink"/>
            <w:rFonts w:ascii="Times New Roman" w:hAnsi="Times New Roman" w:cs="Times New Roman"/>
            <w:iCs/>
            <w:lang w:val="af-ZA"/>
          </w:rPr>
          <w:t>’</w:t>
        </w:r>
        <w:r w:rsidRPr="00EF7399">
          <w:rPr>
            <w:rStyle w:val="Hyperlink"/>
            <w:rFonts w:ascii="Times New Roman" w:hAnsi="Times New Roman" w:cs="Times New Roman"/>
            <w:iCs/>
            <w:lang w:val="af-ZA"/>
          </w:rPr>
          <w:t xml:space="preserve"> Trade Unions and Others</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Norway</w:t>
        </w:r>
      </w:hyperlink>
      <w:r w:rsidRPr="00EF7399">
        <w:rPr>
          <w:rFonts w:ascii="Times New Roman" w:hAnsi="Times New Roman" w:cs="Times New Roman"/>
          <w:iCs/>
          <w:lang w:val="af-ZA"/>
        </w:rPr>
        <w:t xml:space="preserve"> (dec.), </w:t>
      </w:r>
      <w:r w:rsidR="008C5F4A" w:rsidRPr="00EF7399">
        <w:rPr>
          <w:rFonts w:ascii="Times New Roman" w:hAnsi="Times New Roman" w:cs="Times New Roman"/>
          <w:iCs/>
          <w:lang w:val="af-ZA"/>
        </w:rPr>
        <w:t xml:space="preserve">2002, </w:t>
      </w:r>
      <w:r w:rsidR="002B2B36" w:rsidRPr="00EF7399">
        <w:rPr>
          <w:rFonts w:ascii="Times New Roman" w:hAnsi="Times New Roman" w:cs="Times New Roman"/>
          <w:iCs/>
          <w:lang w:val="af-ZA"/>
        </w:rPr>
        <w:t xml:space="preserve">որտեղ Դատարանն ընդունեց նավթի </w:t>
      </w:r>
      <w:r w:rsidR="00984A86" w:rsidRPr="00EF7399">
        <w:rPr>
          <w:rFonts w:ascii="Times New Roman" w:hAnsi="Times New Roman" w:cs="Times New Roman"/>
          <w:iCs/>
          <w:lang w:val="af-ZA"/>
        </w:rPr>
        <w:t xml:space="preserve">հորատման հենահարթակների աշխատողների գործադուլը դադարեցնելու </w:t>
      </w:r>
      <w:r w:rsidR="002B2B36" w:rsidRPr="00EF7399">
        <w:rPr>
          <w:rFonts w:ascii="Times New Roman" w:hAnsi="Times New Roman" w:cs="Times New Roman"/>
          <w:iCs/>
          <w:lang w:val="af-ZA"/>
        </w:rPr>
        <w:t xml:space="preserve">կառավարության </w:t>
      </w:r>
      <w:r w:rsidR="00984A86" w:rsidRPr="00EF7399">
        <w:rPr>
          <w:rFonts w:ascii="Times New Roman" w:hAnsi="Times New Roman" w:cs="Times New Roman"/>
          <w:iCs/>
          <w:lang w:val="af-ZA"/>
        </w:rPr>
        <w:t>պատճառաբանությունները</w:t>
      </w:r>
      <w:r w:rsidRPr="00EF7399">
        <w:rPr>
          <w:rFonts w:ascii="Times New Roman" w:hAnsi="Times New Roman" w:cs="Times New Roman"/>
          <w:iCs/>
          <w:lang w:val="af-ZA"/>
        </w:rPr>
        <w:t>)</w:t>
      </w:r>
      <w:r w:rsidR="00984A86" w:rsidRPr="00EF7399">
        <w:rPr>
          <w:rFonts w:ascii="Times New Roman" w:hAnsi="Times New Roman" w:cs="Times New Roman"/>
          <w:iCs/>
          <w:lang w:val="af-ZA"/>
        </w:rPr>
        <w:t>:</w:t>
      </w:r>
    </w:p>
    <w:p w14:paraId="59E99F59" w14:textId="3D0B7B06" w:rsidR="00381928" w:rsidRPr="00EF7399" w:rsidRDefault="00381928" w:rsidP="00381928">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275</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984A86" w:rsidRPr="00EF7399">
        <w:rPr>
          <w:rFonts w:ascii="Times New Roman" w:hAnsi="Times New Roman" w:cs="Times New Roman"/>
          <w:iCs/>
          <w:lang w:val="af-ZA"/>
        </w:rPr>
        <w:t xml:space="preserve">Գործադուլի իրավունքը չի ենթադրում գերիշխելու իրավունքը </w:t>
      </w:r>
      <w:r w:rsidRPr="00EF7399">
        <w:rPr>
          <w:rFonts w:ascii="Times New Roman" w:hAnsi="Times New Roman" w:cs="Times New Roman"/>
          <w:iCs/>
          <w:lang w:val="af-ZA"/>
        </w:rPr>
        <w:t>(</w:t>
      </w:r>
      <w:hyperlink r:id="rId587" w:history="1">
        <w:r w:rsidRPr="00EF7399">
          <w:rPr>
            <w:rStyle w:val="Hyperlink"/>
            <w:rFonts w:ascii="Times New Roman" w:hAnsi="Times New Roman" w:cs="Times New Roman"/>
            <w:iCs/>
            <w:lang w:val="af-ZA"/>
          </w:rPr>
          <w:t>National Union of Rail, Maritime and Transport Workers</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the United Kingdom</w:t>
        </w:r>
      </w:hyperlink>
      <w:r w:rsidRPr="00EF7399">
        <w:rPr>
          <w:rFonts w:ascii="Times New Roman" w:hAnsi="Times New Roman" w:cs="Times New Roman"/>
          <w:iCs/>
          <w:lang w:val="af-ZA"/>
        </w:rPr>
        <w:t xml:space="preserve">, </w:t>
      </w:r>
      <w:r w:rsidR="00723C02" w:rsidRPr="00EF7399">
        <w:rPr>
          <w:rFonts w:ascii="Times New Roman" w:hAnsi="Times New Roman" w:cs="Times New Roman"/>
          <w:iCs/>
          <w:lang w:val="af-ZA"/>
        </w:rPr>
        <w:t xml:space="preserve">2014, </w:t>
      </w:r>
      <w:r w:rsidR="00873234" w:rsidRPr="00EF7399">
        <w:rPr>
          <w:rFonts w:ascii="Times New Roman" w:hAnsi="Times New Roman" w:cs="Times New Roman"/>
          <w:iCs/>
          <w:lang w:val="af-ZA"/>
        </w:rPr>
        <w:t>§ </w:t>
      </w:r>
      <w:r w:rsidRPr="00EF7399">
        <w:rPr>
          <w:rFonts w:ascii="Times New Roman" w:hAnsi="Times New Roman" w:cs="Times New Roman"/>
          <w:iCs/>
          <w:lang w:val="af-ZA"/>
        </w:rPr>
        <w:t>85)</w:t>
      </w:r>
      <w:r w:rsidR="00984A86" w:rsidRPr="00EF7399">
        <w:rPr>
          <w:rFonts w:ascii="Times New Roman" w:hAnsi="Times New Roman" w:cs="Times New Roman"/>
          <w:iCs/>
          <w:lang w:val="af-ZA"/>
        </w:rPr>
        <w:t>:</w:t>
      </w:r>
    </w:p>
    <w:p w14:paraId="72930AEC" w14:textId="05B8CC6F" w:rsidR="00B85C53" w:rsidRPr="001B2612" w:rsidRDefault="00381928" w:rsidP="00381928">
      <w:pPr>
        <w:pStyle w:val="ECHRParaSpaced"/>
        <w:rPr>
          <w:rFonts w:ascii="Times New Roman" w:hAnsi="Times New Roman" w:cs="Times New Roman"/>
          <w:lang w:val="hy-AM"/>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276</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984A86" w:rsidRPr="00EF7399">
        <w:rPr>
          <w:rFonts w:ascii="Times New Roman" w:hAnsi="Times New Roman" w:cs="Times New Roman"/>
          <w:iCs/>
          <w:lang w:val="af-ZA"/>
        </w:rPr>
        <w:t>Գործադուլ իրականացնելու միությունների իրավասության որևէ սահմանափակման ազդեցությունը չպետք է ենթարկի դրանց անդամներին վնասներ կրելու կամ աշխատավար</w:t>
      </w:r>
      <w:r w:rsidR="00965040" w:rsidRPr="00EF7399">
        <w:rPr>
          <w:rFonts w:ascii="Times New Roman" w:hAnsi="Times New Roman" w:cs="Times New Roman"/>
          <w:iCs/>
          <w:lang w:val="af-ZA"/>
        </w:rPr>
        <w:t xml:space="preserve">ձի իջեցման կամ աշխատանքային այլ պայմանների վատթարացման </w:t>
      </w:r>
      <w:r w:rsidR="00984A86" w:rsidRPr="00EF7399">
        <w:rPr>
          <w:rFonts w:ascii="Times New Roman" w:hAnsi="Times New Roman" w:cs="Times New Roman"/>
          <w:iCs/>
          <w:lang w:val="af-ZA"/>
        </w:rPr>
        <w:t>ապագա փորձերի</w:t>
      </w:r>
      <w:r w:rsidR="00965040" w:rsidRPr="00EF7399">
        <w:rPr>
          <w:rFonts w:ascii="Times New Roman" w:hAnsi="Times New Roman" w:cs="Times New Roman"/>
          <w:iCs/>
          <w:lang w:val="af-ZA"/>
        </w:rPr>
        <w:t xml:space="preserve"> դեպքում</w:t>
      </w:r>
      <w:r w:rsidR="00984A86" w:rsidRPr="00EF7399">
        <w:rPr>
          <w:rFonts w:ascii="Times New Roman" w:hAnsi="Times New Roman" w:cs="Times New Roman"/>
          <w:iCs/>
          <w:lang w:val="af-ZA"/>
        </w:rPr>
        <w:t xml:space="preserve"> անպաշտպան մնալու իրական կամ անմիջական վտանգի </w:t>
      </w:r>
      <w:r w:rsidRPr="00EF7399">
        <w:rPr>
          <w:rFonts w:ascii="Times New Roman" w:hAnsi="Times New Roman" w:cs="Times New Roman"/>
          <w:iCs/>
          <w:lang w:val="af-ZA"/>
        </w:rPr>
        <w:t>(</w:t>
      </w:r>
      <w:hyperlink r:id="rId588" w:anchor="{%22itemid%22:[%22001-22148%22]}" w:history="1">
        <w:r w:rsidRPr="00EF7399">
          <w:rPr>
            <w:rStyle w:val="Hyperlink"/>
            <w:rFonts w:ascii="Times New Roman" w:hAnsi="Times New Roman" w:cs="Times New Roman"/>
            <w:iCs/>
            <w:lang w:val="af-ZA"/>
          </w:rPr>
          <w:t>UNISON</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the United Kingdom</w:t>
        </w:r>
      </w:hyperlink>
      <w:r w:rsidRPr="00EF7399">
        <w:rPr>
          <w:rFonts w:ascii="Times New Roman" w:hAnsi="Times New Roman" w:cs="Times New Roman"/>
          <w:iCs/>
          <w:lang w:val="af-ZA"/>
        </w:rPr>
        <w:t xml:space="preserve"> (dec.)</w:t>
      </w:r>
      <w:r w:rsidR="00723C02" w:rsidRPr="00EF7399">
        <w:rPr>
          <w:rFonts w:ascii="Times New Roman" w:hAnsi="Times New Roman" w:cs="Times New Roman"/>
          <w:iCs/>
          <w:lang w:val="af-ZA"/>
        </w:rPr>
        <w:t xml:space="preserve">, </w:t>
      </w:r>
      <w:r w:rsidR="00723C02" w:rsidRPr="00EF7399">
        <w:rPr>
          <w:rFonts w:ascii="Times New Roman" w:hAnsi="Times New Roman" w:cs="Times New Roman"/>
          <w:lang w:val="af-ZA"/>
        </w:rPr>
        <w:t>2002</w:t>
      </w:r>
      <w:r w:rsidRPr="00EF7399">
        <w:rPr>
          <w:rFonts w:ascii="Times New Roman" w:hAnsi="Times New Roman" w:cs="Times New Roman"/>
          <w:iCs/>
          <w:lang w:val="af-ZA"/>
        </w:rPr>
        <w:t>)</w:t>
      </w:r>
      <w:r w:rsidR="00965040" w:rsidRPr="00EF7399">
        <w:rPr>
          <w:rFonts w:ascii="Times New Roman" w:hAnsi="Times New Roman" w:cs="Times New Roman"/>
          <w:iCs/>
          <w:lang w:val="af-ZA"/>
        </w:rPr>
        <w:t>:</w:t>
      </w:r>
    </w:p>
    <w:p w14:paraId="0E16F321" w14:textId="68EFFA5F" w:rsidR="00B85C53" w:rsidRPr="00EF7399" w:rsidRDefault="00A83DAB" w:rsidP="00A83DAB">
      <w:pPr>
        <w:pStyle w:val="ECHRHeading2"/>
        <w:numPr>
          <w:ilvl w:val="0"/>
          <w:numId w:val="0"/>
        </w:numPr>
        <w:rPr>
          <w:rFonts w:ascii="Times New Roman" w:hAnsi="Times New Roman" w:cs="Times New Roman"/>
          <w:lang w:val="af-ZA"/>
        </w:rPr>
      </w:pPr>
      <w:bookmarkStart w:id="106" w:name="_Toc159945262"/>
      <w:r>
        <w:rPr>
          <w:rFonts w:ascii="Times New Roman" w:hAnsi="Times New Roman" w:cs="Times New Roman"/>
          <w:iCs/>
          <w:lang w:val="hy-AM"/>
        </w:rPr>
        <w:t xml:space="preserve">Թ․ </w:t>
      </w:r>
      <w:r w:rsidR="00965040" w:rsidRPr="00EF7399">
        <w:rPr>
          <w:rFonts w:ascii="Times New Roman" w:hAnsi="Times New Roman" w:cs="Times New Roman"/>
          <w:iCs/>
          <w:lang w:val="af-ZA"/>
        </w:rPr>
        <w:t xml:space="preserve">Պոզիտիվ պարտավորություններ և հայեցողության </w:t>
      </w:r>
      <w:r w:rsidR="001327F6" w:rsidRPr="00EF7399">
        <w:rPr>
          <w:rFonts w:ascii="Times New Roman" w:hAnsi="Times New Roman" w:cs="Times New Roman"/>
          <w:iCs/>
          <w:lang w:val="hy-AM"/>
        </w:rPr>
        <w:t>շրջանակ</w:t>
      </w:r>
      <w:bookmarkEnd w:id="106"/>
      <w:r w:rsidR="001327F6" w:rsidRPr="00EF7399">
        <w:rPr>
          <w:rFonts w:ascii="Times New Roman" w:hAnsi="Times New Roman" w:cs="Times New Roman"/>
          <w:iCs/>
          <w:lang w:val="af-ZA"/>
        </w:rPr>
        <w:t xml:space="preserve"> </w:t>
      </w:r>
    </w:p>
    <w:p w14:paraId="2179E1FA" w14:textId="120943EC" w:rsidR="00381928" w:rsidRPr="00EF7399" w:rsidRDefault="00381928" w:rsidP="00381928">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277</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965040" w:rsidRPr="00EF7399">
        <w:rPr>
          <w:rFonts w:ascii="Times New Roman" w:hAnsi="Times New Roman" w:cs="Times New Roman"/>
          <w:iCs/>
          <w:lang w:val="af-ZA"/>
        </w:rPr>
        <w:t xml:space="preserve">Արհեստակցական միություններ ստեղծելու և դրանց անդամակցելու իրավունքը նախևառաջ պաշտպանում է պետության գործողություններից </w:t>
      </w:r>
      <w:r w:rsidRPr="00EF7399">
        <w:rPr>
          <w:rFonts w:ascii="Times New Roman" w:hAnsi="Times New Roman" w:cs="Times New Roman"/>
          <w:iCs/>
          <w:lang w:val="af-ZA"/>
        </w:rPr>
        <w:t>(</w:t>
      </w:r>
      <w:hyperlink r:id="rId589" w:history="1">
        <w:r w:rsidRPr="00EF7399">
          <w:rPr>
            <w:rStyle w:val="Hyperlink"/>
            <w:rFonts w:ascii="Times New Roman" w:hAnsi="Times New Roman" w:cs="Times New Roman"/>
            <w:iCs/>
            <w:lang w:val="af-ZA"/>
          </w:rPr>
          <w:t>Associated Society of Locomotive Engineers &amp; Firemen (ASLEF)</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the United Kingdom</w:t>
        </w:r>
      </w:hyperlink>
      <w:r w:rsidRPr="00EF7399">
        <w:rPr>
          <w:rFonts w:ascii="Times New Roman" w:hAnsi="Times New Roman" w:cs="Times New Roman"/>
          <w:iCs/>
          <w:lang w:val="af-ZA"/>
        </w:rPr>
        <w:t xml:space="preserve">, </w:t>
      </w:r>
      <w:r w:rsidR="002A3689" w:rsidRPr="00EF7399">
        <w:rPr>
          <w:rFonts w:ascii="Times New Roman" w:hAnsi="Times New Roman" w:cs="Times New Roman"/>
          <w:iCs/>
          <w:lang w:val="af-ZA"/>
        </w:rPr>
        <w:t xml:space="preserve">2007, </w:t>
      </w:r>
      <w:r w:rsidR="00873234" w:rsidRPr="00EF7399">
        <w:rPr>
          <w:rFonts w:ascii="Times New Roman" w:hAnsi="Times New Roman" w:cs="Times New Roman"/>
          <w:iCs/>
          <w:lang w:val="af-ZA"/>
        </w:rPr>
        <w:t>§ </w:t>
      </w:r>
      <w:r w:rsidRPr="00EF7399">
        <w:rPr>
          <w:rFonts w:ascii="Times New Roman" w:hAnsi="Times New Roman" w:cs="Times New Roman"/>
          <w:iCs/>
          <w:lang w:val="af-ZA"/>
        </w:rPr>
        <w:t>37)</w:t>
      </w:r>
      <w:r w:rsidR="00965040" w:rsidRPr="00EF7399">
        <w:rPr>
          <w:rFonts w:ascii="Times New Roman" w:hAnsi="Times New Roman" w:cs="Times New Roman"/>
          <w:iCs/>
          <w:lang w:val="af-ZA"/>
        </w:rPr>
        <w:t>: Թեև 11-րդ հոդվածի կարևորագույն նպատակն է</w:t>
      </w:r>
      <w:r w:rsidR="0093281A" w:rsidRPr="00EF7399">
        <w:rPr>
          <w:rFonts w:ascii="Times New Roman" w:hAnsi="Times New Roman" w:cs="Times New Roman"/>
          <w:iCs/>
          <w:lang w:val="hy-AM"/>
        </w:rPr>
        <w:t>՝</w:t>
      </w:r>
      <w:r w:rsidR="00965040" w:rsidRPr="00EF7399">
        <w:rPr>
          <w:rFonts w:ascii="Times New Roman" w:hAnsi="Times New Roman" w:cs="Times New Roman"/>
          <w:iCs/>
          <w:lang w:val="af-ZA"/>
        </w:rPr>
        <w:t xml:space="preserve"> պաշտպանել անհատի</w:t>
      </w:r>
      <w:r w:rsidR="0093281A" w:rsidRPr="00EF7399">
        <w:rPr>
          <w:rFonts w:ascii="Times New Roman" w:hAnsi="Times New Roman" w:cs="Times New Roman"/>
          <w:iCs/>
          <w:lang w:val="hy-AM"/>
        </w:rPr>
        <w:t>՝</w:t>
      </w:r>
      <w:r w:rsidR="00965040" w:rsidRPr="00EF7399">
        <w:rPr>
          <w:rFonts w:ascii="Times New Roman" w:hAnsi="Times New Roman" w:cs="Times New Roman"/>
          <w:iCs/>
          <w:lang w:val="af-ZA"/>
        </w:rPr>
        <w:t xml:space="preserve"> </w:t>
      </w:r>
      <w:r w:rsidR="00CA0E60" w:rsidRPr="00EF7399">
        <w:rPr>
          <w:rFonts w:ascii="Times New Roman" w:hAnsi="Times New Roman" w:cs="Times New Roman"/>
          <w:iCs/>
          <w:lang w:val="af-ZA"/>
        </w:rPr>
        <w:t xml:space="preserve">տվյալ հոդվածով պաշտպանված իրավունքներն </w:t>
      </w:r>
      <w:r w:rsidR="00965040" w:rsidRPr="00EF7399">
        <w:rPr>
          <w:rFonts w:ascii="Times New Roman" w:hAnsi="Times New Roman" w:cs="Times New Roman"/>
          <w:iCs/>
          <w:lang w:val="af-ZA"/>
        </w:rPr>
        <w:t>իշխանությունների կամայական միջամտությունից</w:t>
      </w:r>
      <w:r w:rsidR="00CA0E60" w:rsidRPr="00EF7399">
        <w:rPr>
          <w:rFonts w:ascii="Times New Roman" w:hAnsi="Times New Roman" w:cs="Times New Roman"/>
          <w:iCs/>
          <w:lang w:val="af-ZA"/>
        </w:rPr>
        <w:t>, պետությունը կարող է ունենալ նաև այդ իրավունքների</w:t>
      </w:r>
      <w:r w:rsidR="00324658" w:rsidRPr="00EF7399">
        <w:rPr>
          <w:rFonts w:ascii="Times New Roman" w:hAnsi="Times New Roman" w:cs="Times New Roman"/>
          <w:iCs/>
          <w:lang w:val="af-ZA"/>
        </w:rPr>
        <w:t xml:space="preserve"> </w:t>
      </w:r>
      <w:r w:rsidR="00CA0E60" w:rsidRPr="00EF7399">
        <w:rPr>
          <w:rFonts w:ascii="Times New Roman" w:hAnsi="Times New Roman" w:cs="Times New Roman"/>
          <w:iCs/>
          <w:lang w:val="af-ZA"/>
        </w:rPr>
        <w:t xml:space="preserve">արդյունավետ </w:t>
      </w:r>
      <w:r w:rsidR="00324658" w:rsidRPr="00EF7399">
        <w:rPr>
          <w:rFonts w:ascii="Times New Roman" w:hAnsi="Times New Roman" w:cs="Times New Roman"/>
          <w:iCs/>
          <w:lang w:val="af-ZA"/>
        </w:rPr>
        <w:t>իրականացումը երաշխավորելու</w:t>
      </w:r>
      <w:r w:rsidR="00CA0E60" w:rsidRPr="00EF7399">
        <w:rPr>
          <w:rFonts w:ascii="Times New Roman" w:hAnsi="Times New Roman" w:cs="Times New Roman"/>
          <w:iCs/>
          <w:lang w:val="af-ZA"/>
        </w:rPr>
        <w:t xml:space="preserve"> այլ պոզիտիվ պարտավորություններ</w:t>
      </w:r>
      <w:r w:rsidR="00965040" w:rsidRPr="00EF7399">
        <w:rPr>
          <w:rFonts w:ascii="Times New Roman" w:hAnsi="Times New Roman" w:cs="Times New Roman"/>
          <w:iCs/>
          <w:lang w:val="af-ZA"/>
        </w:rPr>
        <w:t xml:space="preserve"> </w:t>
      </w:r>
      <w:r w:rsidRPr="00EF7399">
        <w:rPr>
          <w:rFonts w:ascii="Times New Roman" w:hAnsi="Times New Roman" w:cs="Times New Roman"/>
          <w:iCs/>
          <w:lang w:val="af-ZA"/>
        </w:rPr>
        <w:t xml:space="preserve"> (</w:t>
      </w:r>
      <w:hyperlink r:id="rId590" w:history="1">
        <w:r w:rsidR="00F6406C" w:rsidRPr="00EF7399">
          <w:rPr>
            <w:rStyle w:val="Hyperlink"/>
            <w:rFonts w:ascii="Times New Roman" w:hAnsi="Times New Roman" w:cs="Times New Roman"/>
            <w:iCs/>
            <w:lang w:val="af-ZA"/>
          </w:rPr>
          <w:t>Demir and Baykara</w:t>
        </w:r>
        <w:r w:rsidR="00873234" w:rsidRPr="00EF7399">
          <w:rPr>
            <w:rStyle w:val="Hyperlink"/>
            <w:rFonts w:ascii="Times New Roman" w:hAnsi="Times New Roman" w:cs="Times New Roman"/>
            <w:iCs/>
            <w:lang w:val="af-ZA"/>
          </w:rPr>
          <w:t xml:space="preserve"> v. </w:t>
        </w:r>
        <w:r w:rsidR="00F6406C" w:rsidRPr="00EF7399">
          <w:rPr>
            <w:rStyle w:val="Hyperlink"/>
            <w:rFonts w:ascii="Times New Roman" w:hAnsi="Times New Roman" w:cs="Times New Roman"/>
            <w:iCs/>
            <w:lang w:val="af-ZA"/>
          </w:rPr>
          <w:t>Turkey</w:t>
        </w:r>
      </w:hyperlink>
      <w:r w:rsidRPr="00EF7399">
        <w:rPr>
          <w:rFonts w:ascii="Times New Roman" w:hAnsi="Times New Roman" w:cs="Times New Roman"/>
          <w:iCs/>
          <w:lang w:val="af-ZA"/>
        </w:rPr>
        <w:t xml:space="preserve"> [GC], </w:t>
      </w:r>
      <w:r w:rsidR="002801F1" w:rsidRPr="00EF7399">
        <w:rPr>
          <w:rFonts w:ascii="Times New Roman" w:hAnsi="Times New Roman" w:cs="Times New Roman"/>
          <w:lang w:val="af-ZA"/>
        </w:rPr>
        <w:t xml:space="preserve">2008, </w:t>
      </w:r>
      <w:r w:rsidR="00873234" w:rsidRPr="00EF7399">
        <w:rPr>
          <w:rFonts w:ascii="Times New Roman" w:hAnsi="Times New Roman" w:cs="Times New Roman"/>
          <w:iCs/>
          <w:lang w:val="af-ZA"/>
        </w:rPr>
        <w:t>§ </w:t>
      </w:r>
      <w:r w:rsidRPr="00EF7399">
        <w:rPr>
          <w:rFonts w:ascii="Times New Roman" w:hAnsi="Times New Roman" w:cs="Times New Roman"/>
          <w:iCs/>
          <w:lang w:val="af-ZA"/>
        </w:rPr>
        <w:t>110)</w:t>
      </w:r>
      <w:r w:rsidR="00324658" w:rsidRPr="00EF7399">
        <w:rPr>
          <w:rFonts w:ascii="Times New Roman" w:hAnsi="Times New Roman" w:cs="Times New Roman"/>
          <w:iCs/>
          <w:lang w:val="af-ZA"/>
        </w:rPr>
        <w:t>:</w:t>
      </w:r>
    </w:p>
    <w:p w14:paraId="5BDEF502" w14:textId="5C328AAC" w:rsidR="00381928" w:rsidRPr="00EF7399" w:rsidRDefault="00381928" w:rsidP="00381928">
      <w:pPr>
        <w:pStyle w:val="ECHRParaSpaced"/>
        <w:rPr>
          <w:rFonts w:ascii="Times New Roman" w:hAnsi="Times New Roman" w:cs="Times New Roman"/>
          <w:bCs/>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278</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324658" w:rsidRPr="00EF7399">
        <w:rPr>
          <w:rFonts w:ascii="Times New Roman" w:hAnsi="Times New Roman" w:cs="Times New Roman"/>
          <w:iCs/>
          <w:lang w:val="af-ZA"/>
        </w:rPr>
        <w:t>Կոնվենցիայի 11-րդ հոդվածով սահմանված</w:t>
      </w:r>
      <w:r w:rsidR="0093281A" w:rsidRPr="00EF7399">
        <w:rPr>
          <w:rFonts w:ascii="Times New Roman" w:hAnsi="Times New Roman" w:cs="Times New Roman"/>
          <w:iCs/>
          <w:lang w:val="hy-AM"/>
        </w:rPr>
        <w:t>՝</w:t>
      </w:r>
      <w:r w:rsidR="00324658" w:rsidRPr="00EF7399">
        <w:rPr>
          <w:rFonts w:ascii="Times New Roman" w:hAnsi="Times New Roman" w:cs="Times New Roman"/>
          <w:iCs/>
          <w:lang w:val="af-ZA"/>
        </w:rPr>
        <w:t xml:space="preserve"> պետության պոզիտիվ և նեգատիվ պարտավորությունների միջև սահմանները չեն ենթարկվում հստակ սահմանման, բայց կիրառելի սկզբունքները նույնն են: Երկու համատեքստում էլ կարևորություն պետք է տրվի անհատի և ընդհանուր համայնքի մրցակցող շահերի արդարացի հավասարակշռմանը </w:t>
      </w:r>
      <w:r w:rsidRPr="00EF7399">
        <w:rPr>
          <w:rFonts w:ascii="Times New Roman" w:hAnsi="Times New Roman" w:cs="Times New Roman"/>
          <w:iCs/>
          <w:lang w:val="af-ZA"/>
        </w:rPr>
        <w:t>(</w:t>
      </w:r>
      <w:hyperlink r:id="rId591" w:history="1">
        <w:r w:rsidR="00BA413F" w:rsidRPr="00EF7399">
          <w:rPr>
            <w:rStyle w:val="Hyperlink"/>
            <w:rFonts w:ascii="Times New Roman" w:hAnsi="Times New Roman" w:cs="Times New Roman"/>
            <w:iCs/>
            <w:lang w:val="af-ZA"/>
          </w:rPr>
          <w:t>Sindicatul “Păstorul cel Bun”</w:t>
        </w:r>
        <w:r w:rsidR="00873234" w:rsidRPr="00EF7399">
          <w:rPr>
            <w:rStyle w:val="Hyperlink"/>
            <w:rFonts w:ascii="Times New Roman" w:hAnsi="Times New Roman" w:cs="Times New Roman"/>
            <w:iCs/>
            <w:lang w:val="af-ZA"/>
          </w:rPr>
          <w:t xml:space="preserve"> v. </w:t>
        </w:r>
        <w:r w:rsidR="00BA413F" w:rsidRPr="00EF7399">
          <w:rPr>
            <w:rStyle w:val="Hyperlink"/>
            <w:rFonts w:ascii="Times New Roman" w:hAnsi="Times New Roman" w:cs="Times New Roman"/>
            <w:iCs/>
            <w:lang w:val="af-ZA"/>
          </w:rPr>
          <w:t>Romania</w:t>
        </w:r>
      </w:hyperlink>
      <w:r w:rsidRPr="00EF7399">
        <w:rPr>
          <w:rFonts w:ascii="Times New Roman" w:hAnsi="Times New Roman" w:cs="Times New Roman"/>
          <w:i/>
          <w:iCs/>
          <w:lang w:val="af-ZA"/>
        </w:rPr>
        <w:t xml:space="preserve"> </w:t>
      </w:r>
      <w:r w:rsidRPr="00EF7399">
        <w:rPr>
          <w:rFonts w:ascii="Times New Roman" w:hAnsi="Times New Roman" w:cs="Times New Roman"/>
          <w:iCs/>
          <w:lang w:val="af-ZA"/>
        </w:rPr>
        <w:t>[GC]</w:t>
      </w:r>
      <w:r w:rsidR="00BA413F" w:rsidRPr="00EF7399">
        <w:rPr>
          <w:rFonts w:ascii="Times New Roman" w:hAnsi="Times New Roman" w:cs="Times New Roman"/>
          <w:iCs/>
          <w:lang w:val="af-ZA"/>
        </w:rPr>
        <w:t xml:space="preserve">, </w:t>
      </w:r>
      <w:r w:rsidR="008C5F4A" w:rsidRPr="00EF7399">
        <w:rPr>
          <w:rFonts w:ascii="Times New Roman" w:hAnsi="Times New Roman" w:cs="Times New Roman"/>
          <w:lang w:val="af-ZA"/>
        </w:rPr>
        <w:t xml:space="preserve">2013, </w:t>
      </w:r>
      <w:r w:rsidR="00873234" w:rsidRPr="00EF7399">
        <w:rPr>
          <w:rFonts w:ascii="Times New Roman" w:hAnsi="Times New Roman" w:cs="Times New Roman"/>
          <w:iCs/>
          <w:lang w:val="af-ZA"/>
        </w:rPr>
        <w:t>§ </w:t>
      </w:r>
      <w:r w:rsidRPr="00EF7399">
        <w:rPr>
          <w:rFonts w:ascii="Times New Roman" w:hAnsi="Times New Roman" w:cs="Times New Roman"/>
          <w:iCs/>
          <w:lang w:val="af-ZA"/>
        </w:rPr>
        <w:t xml:space="preserve">132; </w:t>
      </w:r>
      <w:hyperlink r:id="rId592" w:history="1">
        <w:r w:rsidR="003F7A5C" w:rsidRPr="00EF7399">
          <w:rPr>
            <w:rStyle w:val="Hyperlink"/>
            <w:rFonts w:ascii="Times New Roman" w:hAnsi="Times New Roman" w:cs="Times New Roman"/>
            <w:bCs/>
            <w:iCs/>
            <w:lang w:val="af-ZA"/>
          </w:rPr>
          <w:t>Tek Gıda İş Sendikası</w:t>
        </w:r>
        <w:r w:rsidR="00873234" w:rsidRPr="00EF7399">
          <w:rPr>
            <w:rStyle w:val="Hyperlink"/>
            <w:rFonts w:ascii="Times New Roman" w:hAnsi="Times New Roman" w:cs="Times New Roman"/>
            <w:bCs/>
            <w:iCs/>
            <w:lang w:val="af-ZA"/>
          </w:rPr>
          <w:t xml:space="preserve"> v. </w:t>
        </w:r>
        <w:r w:rsidR="003F7A5C" w:rsidRPr="00EF7399">
          <w:rPr>
            <w:rStyle w:val="Hyperlink"/>
            <w:rFonts w:ascii="Times New Roman" w:hAnsi="Times New Roman" w:cs="Times New Roman"/>
            <w:bCs/>
            <w:iCs/>
            <w:lang w:val="af-ZA"/>
          </w:rPr>
          <w:t>Turkey</w:t>
        </w:r>
      </w:hyperlink>
      <w:r w:rsidRPr="00EF7399">
        <w:rPr>
          <w:rFonts w:ascii="Times New Roman" w:hAnsi="Times New Roman" w:cs="Times New Roman"/>
          <w:bCs/>
          <w:iCs/>
          <w:lang w:val="af-ZA"/>
        </w:rPr>
        <w:t xml:space="preserve">, </w:t>
      </w:r>
      <w:r w:rsidR="00F672AA" w:rsidRPr="00EF7399">
        <w:rPr>
          <w:rFonts w:ascii="Times New Roman" w:hAnsi="Times New Roman" w:cs="Times New Roman"/>
          <w:bCs/>
          <w:iCs/>
          <w:lang w:val="af-ZA"/>
        </w:rPr>
        <w:t xml:space="preserve">2017, </w:t>
      </w:r>
      <w:r w:rsidR="00873234" w:rsidRPr="00EF7399">
        <w:rPr>
          <w:rFonts w:ascii="Times New Roman" w:hAnsi="Times New Roman" w:cs="Times New Roman"/>
          <w:bCs/>
          <w:iCs/>
          <w:lang w:val="af-ZA"/>
        </w:rPr>
        <w:t>§ </w:t>
      </w:r>
      <w:r w:rsidRPr="00EF7399">
        <w:rPr>
          <w:rFonts w:ascii="Times New Roman" w:hAnsi="Times New Roman" w:cs="Times New Roman"/>
          <w:bCs/>
          <w:iCs/>
          <w:lang w:val="af-ZA"/>
        </w:rPr>
        <w:t>50</w:t>
      </w:r>
      <w:r w:rsidRPr="00EF7399">
        <w:rPr>
          <w:rFonts w:ascii="Times New Roman" w:hAnsi="Times New Roman" w:cs="Times New Roman"/>
          <w:iCs/>
          <w:lang w:val="af-ZA"/>
        </w:rPr>
        <w:t>)</w:t>
      </w:r>
      <w:r w:rsidR="00324658" w:rsidRPr="00EF7399">
        <w:rPr>
          <w:rFonts w:ascii="Times New Roman" w:hAnsi="Times New Roman" w:cs="Times New Roman"/>
          <w:iCs/>
          <w:lang w:val="af-ZA"/>
        </w:rPr>
        <w:t>:</w:t>
      </w:r>
    </w:p>
    <w:p w14:paraId="136A289E" w14:textId="633F366A" w:rsidR="00381928" w:rsidRPr="00EF7399" w:rsidRDefault="00381928" w:rsidP="00381928">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279</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324658" w:rsidRPr="00EF7399">
        <w:rPr>
          <w:rFonts w:ascii="Times New Roman" w:hAnsi="Times New Roman" w:cs="Times New Roman"/>
          <w:iCs/>
          <w:lang w:val="af-ZA"/>
        </w:rPr>
        <w:t>Արհեստակցական միության ազատության ոլորտում</w:t>
      </w:r>
      <w:r w:rsidR="00294E4C" w:rsidRPr="00EF7399">
        <w:rPr>
          <w:rFonts w:ascii="Times New Roman" w:hAnsi="Times New Roman" w:cs="Times New Roman"/>
          <w:iCs/>
          <w:lang w:val="af-ZA"/>
        </w:rPr>
        <w:t>, հաշվի առնելով</w:t>
      </w:r>
      <w:r w:rsidR="00FD71F9" w:rsidRPr="00EF7399">
        <w:rPr>
          <w:rFonts w:ascii="Times New Roman" w:hAnsi="Times New Roman" w:cs="Times New Roman"/>
          <w:iCs/>
          <w:lang w:val="af-ZA"/>
        </w:rPr>
        <w:t xml:space="preserve"> աշխատավորների և ղեկավարության համապատասխան շահերի միջև պատշաճ հավասարակշռության հասնելու հարցում առկա սոցիալական և քաղաքական խնդիրների զգայուն բնույթը, ինչպես նաև այս բնագավառում ներպետական համակարգերի միջև մեծ տարբերությունները, Պայմանավորվող կողմերն ունեն լայն հայեցողություն առ այն</w:t>
      </w:r>
      <w:r w:rsidR="0093281A" w:rsidRPr="00EF7399">
        <w:rPr>
          <w:rFonts w:ascii="Times New Roman" w:hAnsi="Times New Roman" w:cs="Times New Roman"/>
          <w:iCs/>
          <w:lang w:val="hy-AM"/>
        </w:rPr>
        <w:t>, թե</w:t>
      </w:r>
      <w:r w:rsidR="00FD71F9" w:rsidRPr="00EF7399">
        <w:rPr>
          <w:rFonts w:ascii="Times New Roman" w:hAnsi="Times New Roman" w:cs="Times New Roman"/>
          <w:iCs/>
          <w:lang w:val="af-ZA"/>
        </w:rPr>
        <w:t xml:space="preserve"> ինչպես կարող է երաշխավորվել արհեստակցական միության ազատությունը և միության անդամների մասնագիտական շահերի պաշտպանությունը </w:t>
      </w:r>
      <w:r w:rsidRPr="00EF7399">
        <w:rPr>
          <w:rFonts w:ascii="Times New Roman" w:hAnsi="Times New Roman" w:cs="Times New Roman"/>
          <w:iCs/>
          <w:lang w:val="af-ZA"/>
        </w:rPr>
        <w:t>(</w:t>
      </w:r>
      <w:hyperlink r:id="rId593" w:history="1">
        <w:r w:rsidR="00DC0438" w:rsidRPr="00EF7399">
          <w:rPr>
            <w:rStyle w:val="Hyperlink"/>
            <w:rFonts w:ascii="Times New Roman" w:hAnsi="Times New Roman" w:cs="Times New Roman"/>
            <w:iCs/>
            <w:lang w:val="af-ZA"/>
          </w:rPr>
          <w:t>Norwegian Confederation of Trade Unions (LO) and Norwegian Transport Workers</w:t>
        </w:r>
        <w:r w:rsidR="00DF297D" w:rsidRPr="00EF7399">
          <w:rPr>
            <w:rStyle w:val="Hyperlink"/>
            <w:rFonts w:ascii="Times New Roman" w:hAnsi="Times New Roman" w:cs="Times New Roman"/>
            <w:iCs/>
            <w:lang w:val="af-ZA"/>
          </w:rPr>
          <w:t>’</w:t>
        </w:r>
        <w:r w:rsidR="00DC0438" w:rsidRPr="00EF7399">
          <w:rPr>
            <w:rStyle w:val="Hyperlink"/>
            <w:rFonts w:ascii="Times New Roman" w:hAnsi="Times New Roman" w:cs="Times New Roman"/>
            <w:iCs/>
            <w:lang w:val="af-ZA"/>
          </w:rPr>
          <w:t xml:space="preserve"> Union (NTF)</w:t>
        </w:r>
        <w:r w:rsidR="00873234" w:rsidRPr="00EF7399">
          <w:rPr>
            <w:rStyle w:val="Hyperlink"/>
            <w:rFonts w:ascii="Times New Roman" w:hAnsi="Times New Roman" w:cs="Times New Roman"/>
            <w:iCs/>
            <w:lang w:val="af-ZA"/>
          </w:rPr>
          <w:t xml:space="preserve"> v. </w:t>
        </w:r>
        <w:r w:rsidR="00DC0438" w:rsidRPr="00EF7399">
          <w:rPr>
            <w:rStyle w:val="Hyperlink"/>
            <w:rFonts w:ascii="Times New Roman" w:hAnsi="Times New Roman" w:cs="Times New Roman"/>
            <w:iCs/>
            <w:lang w:val="af-ZA"/>
          </w:rPr>
          <w:t>Norway</w:t>
        </w:r>
      </w:hyperlink>
      <w:r w:rsidR="00DC0438" w:rsidRPr="00EF7399">
        <w:rPr>
          <w:rFonts w:ascii="Times New Roman" w:hAnsi="Times New Roman" w:cs="Times New Roman"/>
          <w:iCs/>
          <w:lang w:val="af-ZA"/>
        </w:rPr>
        <w:t>, 2021, §</w:t>
      </w:r>
      <w:r w:rsidR="00873234" w:rsidRPr="00EF7399">
        <w:rPr>
          <w:rFonts w:ascii="Times New Roman" w:hAnsi="Times New Roman" w:cs="Times New Roman"/>
          <w:iCs/>
          <w:lang w:val="af-ZA"/>
        </w:rPr>
        <w:t>§ </w:t>
      </w:r>
      <w:r w:rsidR="00DC0438" w:rsidRPr="00EF7399">
        <w:rPr>
          <w:rFonts w:ascii="Times New Roman" w:hAnsi="Times New Roman" w:cs="Times New Roman"/>
          <w:iCs/>
          <w:lang w:val="af-ZA"/>
        </w:rPr>
        <w:t xml:space="preserve">97 </w:t>
      </w:r>
      <w:r w:rsidR="00294E4C" w:rsidRPr="00EF7399">
        <w:rPr>
          <w:rFonts w:ascii="Times New Roman" w:hAnsi="Times New Roman" w:cs="Times New Roman"/>
          <w:iCs/>
          <w:lang w:val="af-ZA"/>
        </w:rPr>
        <w:t>և</w:t>
      </w:r>
      <w:r w:rsidR="00DC0438" w:rsidRPr="00EF7399">
        <w:rPr>
          <w:rFonts w:ascii="Times New Roman" w:hAnsi="Times New Roman" w:cs="Times New Roman"/>
          <w:iCs/>
          <w:lang w:val="af-ZA"/>
        </w:rPr>
        <w:t xml:space="preserve"> 114; </w:t>
      </w:r>
      <w:hyperlink r:id="rId594" w:history="1">
        <w:r w:rsidR="002762F8" w:rsidRPr="00EF7399">
          <w:rPr>
            <w:rStyle w:val="Hyperlink"/>
            <w:rFonts w:ascii="Times New Roman" w:hAnsi="Times New Roman" w:cs="Times New Roman"/>
            <w:iCs/>
            <w:lang w:val="af-ZA"/>
          </w:rPr>
          <w:t>Vörður Ólafsson</w:t>
        </w:r>
        <w:r w:rsidR="00873234" w:rsidRPr="00EF7399">
          <w:rPr>
            <w:rStyle w:val="Hyperlink"/>
            <w:rFonts w:ascii="Times New Roman" w:hAnsi="Times New Roman" w:cs="Times New Roman"/>
            <w:iCs/>
            <w:lang w:val="af-ZA"/>
          </w:rPr>
          <w:t xml:space="preserve"> v. </w:t>
        </w:r>
        <w:r w:rsidR="002762F8" w:rsidRPr="00EF7399">
          <w:rPr>
            <w:rStyle w:val="Hyperlink"/>
            <w:rFonts w:ascii="Times New Roman" w:hAnsi="Times New Roman" w:cs="Times New Roman"/>
            <w:iCs/>
            <w:lang w:val="af-ZA"/>
          </w:rPr>
          <w:t>Iceland</w:t>
        </w:r>
      </w:hyperlink>
      <w:r w:rsidR="002762F8" w:rsidRPr="00EF7399">
        <w:rPr>
          <w:rFonts w:ascii="Times New Roman" w:hAnsi="Times New Roman" w:cs="Times New Roman"/>
          <w:lang w:val="af-ZA"/>
        </w:rPr>
        <w:t xml:space="preserve">, 2010, </w:t>
      </w:r>
      <w:r w:rsidR="00873234" w:rsidRPr="00EF7399">
        <w:rPr>
          <w:rFonts w:ascii="Times New Roman" w:hAnsi="Times New Roman" w:cs="Times New Roman"/>
          <w:lang w:val="af-ZA"/>
        </w:rPr>
        <w:t>§ </w:t>
      </w:r>
      <w:r w:rsidR="002762F8" w:rsidRPr="00EF7399">
        <w:rPr>
          <w:rFonts w:ascii="Times New Roman" w:hAnsi="Times New Roman" w:cs="Times New Roman"/>
          <w:lang w:val="af-ZA"/>
        </w:rPr>
        <w:t>75</w:t>
      </w:r>
      <w:r w:rsidRPr="00EF7399">
        <w:rPr>
          <w:rFonts w:ascii="Times New Roman" w:hAnsi="Times New Roman" w:cs="Times New Roman"/>
          <w:iCs/>
          <w:lang w:val="af-ZA"/>
        </w:rPr>
        <w:t>;</w:t>
      </w:r>
      <w:r w:rsidRPr="00EF7399">
        <w:rPr>
          <w:rFonts w:ascii="Times New Roman" w:hAnsi="Times New Roman" w:cs="Times New Roman"/>
          <w:i/>
          <w:lang w:val="af-ZA"/>
        </w:rPr>
        <w:t xml:space="preserve"> </w:t>
      </w:r>
      <w:hyperlink r:id="rId595" w:history="1">
        <w:r w:rsidR="00BA413F" w:rsidRPr="00EF7399">
          <w:rPr>
            <w:rStyle w:val="Hyperlink"/>
            <w:rFonts w:ascii="Times New Roman" w:hAnsi="Times New Roman" w:cs="Times New Roman"/>
            <w:iCs/>
            <w:lang w:val="af-ZA"/>
          </w:rPr>
          <w:t>Sindicatul “Păstorul cel Bun”</w:t>
        </w:r>
        <w:r w:rsidR="00873234" w:rsidRPr="00EF7399">
          <w:rPr>
            <w:rStyle w:val="Hyperlink"/>
            <w:rFonts w:ascii="Times New Roman" w:hAnsi="Times New Roman" w:cs="Times New Roman"/>
            <w:iCs/>
            <w:lang w:val="af-ZA"/>
          </w:rPr>
          <w:t xml:space="preserve"> v. </w:t>
        </w:r>
        <w:r w:rsidR="00BA413F" w:rsidRPr="00EF7399">
          <w:rPr>
            <w:rStyle w:val="Hyperlink"/>
            <w:rFonts w:ascii="Times New Roman" w:hAnsi="Times New Roman" w:cs="Times New Roman"/>
            <w:iCs/>
            <w:lang w:val="af-ZA"/>
          </w:rPr>
          <w:t>Romania</w:t>
        </w:r>
      </w:hyperlink>
      <w:r w:rsidRPr="00EF7399">
        <w:rPr>
          <w:rFonts w:ascii="Times New Roman" w:hAnsi="Times New Roman" w:cs="Times New Roman"/>
          <w:i/>
          <w:iCs/>
          <w:lang w:val="af-ZA"/>
        </w:rPr>
        <w:t xml:space="preserve"> </w:t>
      </w:r>
      <w:r w:rsidRPr="00EF7399">
        <w:rPr>
          <w:rFonts w:ascii="Times New Roman" w:hAnsi="Times New Roman" w:cs="Times New Roman"/>
          <w:iCs/>
          <w:lang w:val="af-ZA"/>
        </w:rPr>
        <w:t xml:space="preserve">[GC], </w:t>
      </w:r>
      <w:r w:rsidR="008C5F4A" w:rsidRPr="00EF7399">
        <w:rPr>
          <w:rFonts w:ascii="Times New Roman" w:hAnsi="Times New Roman" w:cs="Times New Roman"/>
          <w:lang w:val="af-ZA"/>
        </w:rPr>
        <w:t xml:space="preserve">2013, </w:t>
      </w:r>
      <w:r w:rsidR="00873234" w:rsidRPr="00EF7399">
        <w:rPr>
          <w:rFonts w:ascii="Times New Roman" w:hAnsi="Times New Roman" w:cs="Times New Roman"/>
          <w:iCs/>
          <w:lang w:val="af-ZA"/>
        </w:rPr>
        <w:t>§ </w:t>
      </w:r>
      <w:r w:rsidRPr="00EF7399">
        <w:rPr>
          <w:rFonts w:ascii="Times New Roman" w:hAnsi="Times New Roman" w:cs="Times New Roman"/>
          <w:iCs/>
          <w:lang w:val="af-ZA"/>
        </w:rPr>
        <w:t>133)</w:t>
      </w:r>
      <w:r w:rsidR="00294E4C" w:rsidRPr="00EF7399">
        <w:rPr>
          <w:rFonts w:ascii="Times New Roman" w:hAnsi="Times New Roman" w:cs="Times New Roman"/>
          <w:iCs/>
          <w:lang w:val="af-ZA"/>
        </w:rPr>
        <w:t>:</w:t>
      </w:r>
    </w:p>
    <w:p w14:paraId="6AA4F589" w14:textId="42598D25" w:rsidR="00381928" w:rsidRPr="00EF7399" w:rsidRDefault="00381928" w:rsidP="00381928">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280</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FD71F9" w:rsidRPr="00EF7399">
        <w:rPr>
          <w:rFonts w:ascii="Times New Roman" w:hAnsi="Times New Roman" w:cs="Times New Roman"/>
          <w:iCs/>
          <w:lang w:val="af-ZA"/>
        </w:rPr>
        <w:t xml:space="preserve">Հայեցողության </w:t>
      </w:r>
      <w:r w:rsidR="0093281A" w:rsidRPr="00EF7399">
        <w:rPr>
          <w:rFonts w:ascii="Times New Roman" w:hAnsi="Times New Roman" w:cs="Times New Roman"/>
          <w:iCs/>
          <w:lang w:val="hy-AM"/>
        </w:rPr>
        <w:t>շրջանակը</w:t>
      </w:r>
      <w:r w:rsidR="00FD71F9" w:rsidRPr="00EF7399">
        <w:rPr>
          <w:rFonts w:ascii="Times New Roman" w:hAnsi="Times New Roman" w:cs="Times New Roman"/>
          <w:iCs/>
          <w:lang w:val="af-ZA"/>
        </w:rPr>
        <w:t xml:space="preserve">, ի թիվս այլ գործոնների, պայմանավորված է արհեստակցական միության խնդրո առարկա իրավունքի սահմանափակման բնույթով և </w:t>
      </w:r>
      <w:r w:rsidR="009840A5" w:rsidRPr="00EF7399">
        <w:rPr>
          <w:rFonts w:ascii="Times New Roman" w:hAnsi="Times New Roman" w:cs="Times New Roman"/>
          <w:iCs/>
          <w:lang w:val="af-ZA"/>
        </w:rPr>
        <w:t>ծավալով, վիճարկվող սահմանափակման հետապնդած նպատակով, հասարակության այլ ներկայացուցիչների մրցակցող իրավունքներով և շահերով, ովքեր կարող են տուժել այդ իրավունքի անսահմանափակ իրականացման արդյունքում, Եվրոպայի խորհրդի անդամ պետությունների միջև</w:t>
      </w:r>
      <w:r w:rsidR="00FA54B6" w:rsidRPr="00EF7399">
        <w:rPr>
          <w:rFonts w:ascii="Times New Roman" w:hAnsi="Times New Roman" w:cs="Times New Roman"/>
          <w:iCs/>
          <w:lang w:val="af-ZA"/>
        </w:rPr>
        <w:t xml:space="preserve"> համաձայնության աստիճանով</w:t>
      </w:r>
      <w:r w:rsidR="009840A5" w:rsidRPr="00EF7399">
        <w:rPr>
          <w:rFonts w:ascii="Times New Roman" w:hAnsi="Times New Roman" w:cs="Times New Roman"/>
          <w:iCs/>
          <w:lang w:val="af-ZA"/>
        </w:rPr>
        <w:t xml:space="preserve"> </w:t>
      </w:r>
      <w:r w:rsidR="00FA54B6" w:rsidRPr="00EF7399">
        <w:rPr>
          <w:rFonts w:ascii="Times New Roman" w:hAnsi="Times New Roman" w:cs="Times New Roman"/>
          <w:iCs/>
          <w:lang w:val="af-ZA"/>
        </w:rPr>
        <w:t>և</w:t>
      </w:r>
      <w:r w:rsidR="009840A5" w:rsidRPr="00EF7399">
        <w:rPr>
          <w:rFonts w:ascii="Times New Roman" w:hAnsi="Times New Roman" w:cs="Times New Roman"/>
          <w:iCs/>
          <w:lang w:val="af-ZA"/>
        </w:rPr>
        <w:t xml:space="preserve"> միջազգային կոնսենսուսով, որն արտացոլված է վերաբերելի միջազգային գործիքներում </w:t>
      </w:r>
      <w:r w:rsidRPr="00EF7399">
        <w:rPr>
          <w:rFonts w:ascii="Times New Roman" w:hAnsi="Times New Roman" w:cs="Times New Roman"/>
          <w:iCs/>
          <w:lang w:val="af-ZA"/>
        </w:rPr>
        <w:t>(</w:t>
      </w:r>
      <w:hyperlink r:id="rId596" w:history="1">
        <w:r w:rsidRPr="00EF7399">
          <w:rPr>
            <w:rStyle w:val="Hyperlink"/>
            <w:rFonts w:ascii="Times New Roman" w:hAnsi="Times New Roman" w:cs="Times New Roman"/>
            <w:iCs/>
            <w:lang w:val="af-ZA"/>
          </w:rPr>
          <w:t>National Union of Rail, Maritime and Transport Workers</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the United Kingdom</w:t>
        </w:r>
      </w:hyperlink>
      <w:r w:rsidRPr="00EF7399">
        <w:rPr>
          <w:rFonts w:ascii="Times New Roman" w:hAnsi="Times New Roman" w:cs="Times New Roman"/>
          <w:iCs/>
          <w:lang w:val="af-ZA"/>
        </w:rPr>
        <w:t xml:space="preserve">, </w:t>
      </w:r>
      <w:r w:rsidR="00723C02" w:rsidRPr="00EF7399">
        <w:rPr>
          <w:rFonts w:ascii="Times New Roman" w:hAnsi="Times New Roman" w:cs="Times New Roman"/>
          <w:iCs/>
          <w:lang w:val="af-ZA"/>
        </w:rPr>
        <w:t xml:space="preserve">2014, </w:t>
      </w:r>
      <w:r w:rsidR="00873234" w:rsidRPr="00EF7399">
        <w:rPr>
          <w:rFonts w:ascii="Times New Roman" w:hAnsi="Times New Roman" w:cs="Times New Roman"/>
          <w:iCs/>
          <w:lang w:val="af-ZA"/>
        </w:rPr>
        <w:t>§ </w:t>
      </w:r>
      <w:r w:rsidRPr="00EF7399">
        <w:rPr>
          <w:rFonts w:ascii="Times New Roman" w:hAnsi="Times New Roman" w:cs="Times New Roman"/>
          <w:iCs/>
          <w:lang w:val="af-ZA"/>
        </w:rPr>
        <w:t>86)</w:t>
      </w:r>
      <w:r w:rsidR="00FA54B6" w:rsidRPr="00EF7399">
        <w:rPr>
          <w:rFonts w:ascii="Times New Roman" w:hAnsi="Times New Roman" w:cs="Times New Roman"/>
          <w:iCs/>
          <w:lang w:val="af-ZA"/>
        </w:rPr>
        <w:t>:</w:t>
      </w:r>
    </w:p>
    <w:p w14:paraId="556C7531" w14:textId="35436FFE" w:rsidR="00381928" w:rsidRPr="00EF7399" w:rsidRDefault="00381928" w:rsidP="00381928">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281</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FA54B6" w:rsidRPr="00EF7399">
        <w:rPr>
          <w:rFonts w:ascii="Times New Roman" w:hAnsi="Times New Roman" w:cs="Times New Roman"/>
          <w:iCs/>
          <w:lang w:val="af-ZA"/>
        </w:rPr>
        <w:t xml:space="preserve">Եթե օրենսդրական սահմանափակումը խաթարում է արհեստակցական միության գործունեության հիմքերը, ազգային </w:t>
      </w:r>
      <w:r w:rsidR="00125404" w:rsidRPr="00EF7399">
        <w:rPr>
          <w:rFonts w:ascii="Times New Roman" w:hAnsi="Times New Roman" w:cs="Times New Roman"/>
          <w:iCs/>
          <w:lang w:val="af-ZA"/>
        </w:rPr>
        <w:t>օրենսդ</w:t>
      </w:r>
      <w:r w:rsidR="000B3926" w:rsidRPr="00EF7399">
        <w:rPr>
          <w:rFonts w:ascii="Times New Roman" w:hAnsi="Times New Roman" w:cs="Times New Roman"/>
          <w:iCs/>
          <w:lang w:val="af-ZA"/>
        </w:rPr>
        <w:t>րին պետք է տրվի</w:t>
      </w:r>
      <w:r w:rsidR="004056BD" w:rsidRPr="00EF7399">
        <w:rPr>
          <w:rFonts w:ascii="Times New Roman" w:hAnsi="Times New Roman" w:cs="Times New Roman"/>
          <w:iCs/>
          <w:lang w:val="af-ZA"/>
        </w:rPr>
        <w:t xml:space="preserve"> </w:t>
      </w:r>
      <w:r w:rsidR="00FA54B6" w:rsidRPr="00EF7399">
        <w:rPr>
          <w:rFonts w:ascii="Times New Roman" w:hAnsi="Times New Roman" w:cs="Times New Roman"/>
          <w:iCs/>
          <w:lang w:val="af-ZA"/>
        </w:rPr>
        <w:t>հայեցողությ</w:t>
      </w:r>
      <w:r w:rsidR="004056BD" w:rsidRPr="00EF7399">
        <w:rPr>
          <w:rFonts w:ascii="Times New Roman" w:hAnsi="Times New Roman" w:cs="Times New Roman"/>
          <w:iCs/>
          <w:lang w:val="hy-AM"/>
        </w:rPr>
        <w:t>ա</w:t>
      </w:r>
      <w:r w:rsidR="00125404" w:rsidRPr="00EF7399">
        <w:rPr>
          <w:rFonts w:ascii="Times New Roman" w:hAnsi="Times New Roman" w:cs="Times New Roman"/>
          <w:iCs/>
          <w:lang w:val="af-ZA"/>
        </w:rPr>
        <w:t>ն</w:t>
      </w:r>
      <w:r w:rsidR="004056BD" w:rsidRPr="00EF7399">
        <w:rPr>
          <w:rFonts w:ascii="Times New Roman" w:hAnsi="Times New Roman" w:cs="Times New Roman"/>
          <w:iCs/>
          <w:lang w:val="hy-AM"/>
        </w:rPr>
        <w:t xml:space="preserve"> ավելի նեղ </w:t>
      </w:r>
      <w:r w:rsidR="004056BD" w:rsidRPr="00EF7399">
        <w:rPr>
          <w:rFonts w:ascii="Times New Roman" w:hAnsi="Times New Roman" w:cs="Times New Roman"/>
          <w:iCs/>
          <w:lang w:val="hy-AM"/>
        </w:rPr>
        <w:lastRenderedPageBreak/>
        <w:t>շրջանակ</w:t>
      </w:r>
      <w:r w:rsidR="000B3926" w:rsidRPr="00EF7399">
        <w:rPr>
          <w:rFonts w:ascii="Times New Roman" w:hAnsi="Times New Roman" w:cs="Times New Roman"/>
          <w:iCs/>
          <w:lang w:val="af-ZA"/>
        </w:rPr>
        <w:t xml:space="preserve"> և, ընդհանուր շահերից ելնելով, պետք է դրվի արհեստակցական միության ազատության իրա</w:t>
      </w:r>
      <w:r w:rsidR="004056BD" w:rsidRPr="00EF7399">
        <w:rPr>
          <w:rFonts w:ascii="Times New Roman" w:hAnsi="Times New Roman" w:cs="Times New Roman"/>
          <w:iCs/>
          <w:lang w:val="hy-AM"/>
        </w:rPr>
        <w:t>ցմ</w:t>
      </w:r>
      <w:r w:rsidR="000B3926" w:rsidRPr="00EF7399">
        <w:rPr>
          <w:rFonts w:ascii="Times New Roman" w:hAnsi="Times New Roman" w:cs="Times New Roman"/>
          <w:iCs/>
          <w:lang w:val="af-ZA"/>
        </w:rPr>
        <w:t>ան</w:t>
      </w:r>
      <w:r w:rsidR="004056BD" w:rsidRPr="00EF7399">
        <w:rPr>
          <w:rFonts w:ascii="Times New Roman" w:hAnsi="Times New Roman" w:cs="Times New Roman"/>
          <w:iCs/>
          <w:lang w:val="hy-AM"/>
        </w:rPr>
        <w:t>ն</w:t>
      </w:r>
      <w:r w:rsidR="000B3926" w:rsidRPr="00EF7399">
        <w:rPr>
          <w:rFonts w:ascii="Times New Roman" w:hAnsi="Times New Roman" w:cs="Times New Roman"/>
          <w:iCs/>
          <w:lang w:val="af-ZA"/>
        </w:rPr>
        <w:t xml:space="preserve"> </w:t>
      </w:r>
      <w:r w:rsidR="004056BD" w:rsidRPr="00EF7399">
        <w:rPr>
          <w:rFonts w:ascii="Times New Roman" w:hAnsi="Times New Roman" w:cs="Times New Roman"/>
          <w:iCs/>
          <w:lang w:val="hy-AM"/>
        </w:rPr>
        <w:t>այդ</w:t>
      </w:r>
      <w:r w:rsidR="000B3926" w:rsidRPr="00EF7399">
        <w:rPr>
          <w:rFonts w:ascii="Times New Roman" w:hAnsi="Times New Roman" w:cs="Times New Roman"/>
          <w:iCs/>
          <w:lang w:val="af-ZA"/>
        </w:rPr>
        <w:t xml:space="preserve"> </w:t>
      </w:r>
      <w:r w:rsidR="00125404" w:rsidRPr="00EF7399">
        <w:rPr>
          <w:rFonts w:ascii="Times New Roman" w:hAnsi="Times New Roman" w:cs="Times New Roman"/>
          <w:iCs/>
          <w:lang w:val="af-ZA"/>
        </w:rPr>
        <w:t>միջամտ</w:t>
      </w:r>
      <w:r w:rsidR="000B3926" w:rsidRPr="00EF7399">
        <w:rPr>
          <w:rFonts w:ascii="Times New Roman" w:hAnsi="Times New Roman" w:cs="Times New Roman"/>
          <w:iCs/>
          <w:lang w:val="af-ZA"/>
        </w:rPr>
        <w:t>ության</w:t>
      </w:r>
      <w:r w:rsidR="00125404" w:rsidRPr="00EF7399">
        <w:rPr>
          <w:rFonts w:ascii="Times New Roman" w:hAnsi="Times New Roman" w:cs="Times New Roman"/>
          <w:iCs/>
          <w:lang w:val="af-ZA"/>
        </w:rPr>
        <w:t xml:space="preserve"> համաչափությունը հիմնավոր</w:t>
      </w:r>
      <w:r w:rsidR="000B3926" w:rsidRPr="00EF7399">
        <w:rPr>
          <w:rFonts w:ascii="Times New Roman" w:hAnsi="Times New Roman" w:cs="Times New Roman"/>
          <w:iCs/>
          <w:lang w:val="af-ZA"/>
        </w:rPr>
        <w:t xml:space="preserve">ելու ավելի բարձր պահանջ: </w:t>
      </w:r>
      <w:r w:rsidR="00FD36D2" w:rsidRPr="00EF7399">
        <w:rPr>
          <w:rFonts w:ascii="Times New Roman" w:hAnsi="Times New Roman" w:cs="Times New Roman"/>
          <w:iCs/>
          <w:lang w:val="af-ZA"/>
        </w:rPr>
        <w:t>Մյուս կողմից, եթե ազդակիր է արհեստակցական միության գործունեության երկրորդային կամ օժանդակ բաղկացուցիչը, հայեցողությունն ավելի լայն է</w:t>
      </w:r>
      <w:r w:rsidR="004056BD" w:rsidRPr="00EF7399">
        <w:rPr>
          <w:rFonts w:ascii="Times New Roman" w:hAnsi="Times New Roman" w:cs="Times New Roman"/>
          <w:iCs/>
          <w:lang w:val="hy-AM"/>
        </w:rPr>
        <w:t>,</w:t>
      </w:r>
      <w:r w:rsidR="00FD36D2" w:rsidRPr="00EF7399">
        <w:rPr>
          <w:rFonts w:ascii="Times New Roman" w:hAnsi="Times New Roman" w:cs="Times New Roman"/>
          <w:iCs/>
          <w:lang w:val="af-ZA"/>
        </w:rPr>
        <w:t xml:space="preserve"> և ա</w:t>
      </w:r>
      <w:r w:rsidR="004056BD" w:rsidRPr="00EF7399">
        <w:rPr>
          <w:rFonts w:ascii="Times New Roman" w:hAnsi="Times New Roman" w:cs="Times New Roman"/>
          <w:iCs/>
          <w:lang w:val="hy-AM"/>
        </w:rPr>
        <w:t>ռավել</w:t>
      </w:r>
      <w:r w:rsidR="00FD36D2" w:rsidRPr="00EF7399">
        <w:rPr>
          <w:rFonts w:ascii="Times New Roman" w:hAnsi="Times New Roman" w:cs="Times New Roman"/>
          <w:iCs/>
          <w:lang w:val="af-ZA"/>
        </w:rPr>
        <w:t xml:space="preserve"> հավանական է, որ միջամտություն</w:t>
      </w:r>
      <w:r w:rsidR="006F64EF" w:rsidRPr="00EF7399">
        <w:rPr>
          <w:rFonts w:ascii="Times New Roman" w:hAnsi="Times New Roman" w:cs="Times New Roman"/>
          <w:iCs/>
          <w:lang w:val="af-ZA"/>
        </w:rPr>
        <w:t>ն</w:t>
      </w:r>
      <w:r w:rsidR="00FD36D2" w:rsidRPr="00EF7399">
        <w:rPr>
          <w:rFonts w:ascii="Times New Roman" w:hAnsi="Times New Roman" w:cs="Times New Roman"/>
          <w:iCs/>
          <w:lang w:val="af-ZA"/>
        </w:rPr>
        <w:t xml:space="preserve"> իր բնույթով կլինի համաչափ, երբ խնդրո առարկան արհեստակցական միության ազատության իրա</w:t>
      </w:r>
      <w:r w:rsidR="004056BD" w:rsidRPr="00EF7399">
        <w:rPr>
          <w:rFonts w:ascii="Times New Roman" w:hAnsi="Times New Roman" w:cs="Times New Roman"/>
          <w:iCs/>
          <w:lang w:val="hy-AM"/>
        </w:rPr>
        <w:t>ց</w:t>
      </w:r>
      <w:r w:rsidR="00FD36D2" w:rsidRPr="00EF7399">
        <w:rPr>
          <w:rFonts w:ascii="Times New Roman" w:hAnsi="Times New Roman" w:cs="Times New Roman"/>
          <w:iCs/>
          <w:lang w:val="af-ZA"/>
        </w:rPr>
        <w:t xml:space="preserve">ման </w:t>
      </w:r>
      <w:r w:rsidR="004056BD" w:rsidRPr="00EF7399">
        <w:rPr>
          <w:rFonts w:ascii="Times New Roman" w:hAnsi="Times New Roman" w:cs="Times New Roman"/>
          <w:iCs/>
          <w:lang w:val="hy-AM"/>
        </w:rPr>
        <w:t xml:space="preserve">վրա ունեցած </w:t>
      </w:r>
      <w:r w:rsidR="004056BD" w:rsidRPr="00EF7399">
        <w:rPr>
          <w:rFonts w:ascii="Times New Roman" w:hAnsi="Times New Roman" w:cs="Times New Roman"/>
          <w:iCs/>
          <w:lang w:val="af-ZA"/>
        </w:rPr>
        <w:t xml:space="preserve">հետևանքներն են </w:t>
      </w:r>
      <w:r w:rsidR="00FD36D2" w:rsidRPr="00EF7399">
        <w:rPr>
          <w:rFonts w:ascii="Times New Roman" w:hAnsi="Times New Roman" w:cs="Times New Roman"/>
          <w:iCs/>
          <w:lang w:val="af-ZA"/>
        </w:rPr>
        <w:t xml:space="preserve"> </w:t>
      </w:r>
      <w:r w:rsidRPr="00EF7399">
        <w:rPr>
          <w:rFonts w:ascii="Times New Roman" w:hAnsi="Times New Roman" w:cs="Times New Roman"/>
          <w:iCs/>
          <w:lang w:val="af-ZA"/>
        </w:rPr>
        <w:t>(</w:t>
      </w:r>
      <w:hyperlink r:id="rId597" w:history="1">
        <w:r w:rsidRPr="00EF7399">
          <w:rPr>
            <w:rStyle w:val="Hyperlink"/>
            <w:rFonts w:ascii="Times New Roman" w:hAnsi="Times New Roman" w:cs="Times New Roman"/>
            <w:iCs/>
            <w:lang w:val="af-ZA"/>
          </w:rPr>
          <w:t>National Union of Rail, Maritime and Transport Workers</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the United Kingdom</w:t>
        </w:r>
      </w:hyperlink>
      <w:r w:rsidRPr="00EF7399">
        <w:rPr>
          <w:rFonts w:ascii="Times New Roman" w:hAnsi="Times New Roman" w:cs="Times New Roman"/>
          <w:iCs/>
          <w:lang w:val="af-ZA"/>
        </w:rPr>
        <w:t xml:space="preserve">, </w:t>
      </w:r>
      <w:r w:rsidR="00723C02" w:rsidRPr="00EF7399">
        <w:rPr>
          <w:rFonts w:ascii="Times New Roman" w:hAnsi="Times New Roman" w:cs="Times New Roman"/>
          <w:iCs/>
          <w:lang w:val="af-ZA"/>
        </w:rPr>
        <w:t xml:space="preserve">2014, </w:t>
      </w:r>
      <w:r w:rsidR="00873234" w:rsidRPr="00EF7399">
        <w:rPr>
          <w:rFonts w:ascii="Times New Roman" w:hAnsi="Times New Roman" w:cs="Times New Roman"/>
          <w:iCs/>
          <w:lang w:val="af-ZA"/>
        </w:rPr>
        <w:t>§ </w:t>
      </w:r>
      <w:r w:rsidRPr="00EF7399">
        <w:rPr>
          <w:rFonts w:ascii="Times New Roman" w:hAnsi="Times New Roman" w:cs="Times New Roman"/>
          <w:iCs/>
          <w:lang w:val="af-ZA"/>
        </w:rPr>
        <w:t xml:space="preserve">87; </w:t>
      </w:r>
      <w:r w:rsidR="00FD36D2" w:rsidRPr="00EF7399">
        <w:rPr>
          <w:rFonts w:ascii="Times New Roman" w:hAnsi="Times New Roman" w:cs="Times New Roman"/>
          <w:iCs/>
          <w:lang w:val="af-ZA"/>
        </w:rPr>
        <w:t>որտեղ համերաշխության գործադուլի օրենսդրական արգելքը խարխլում էր արհեստակցական միության ազատության բուն էությունը</w:t>
      </w:r>
      <w:r w:rsidRPr="00EF7399">
        <w:rPr>
          <w:rFonts w:ascii="Times New Roman" w:hAnsi="Times New Roman" w:cs="Times New Roman"/>
          <w:iCs/>
          <w:lang w:val="af-ZA"/>
        </w:rPr>
        <w:t xml:space="preserve">; </w:t>
      </w:r>
      <w:r w:rsidR="00FD36D2" w:rsidRPr="00EF7399">
        <w:rPr>
          <w:rFonts w:ascii="Times New Roman" w:hAnsi="Times New Roman" w:cs="Times New Roman"/>
          <w:iCs/>
          <w:lang w:val="af-ZA"/>
        </w:rPr>
        <w:t>տե՛ս նաև</w:t>
      </w:r>
      <w:r w:rsidRPr="00EF7399">
        <w:rPr>
          <w:rFonts w:ascii="Times New Roman" w:hAnsi="Times New Roman" w:cs="Times New Roman"/>
          <w:iCs/>
          <w:lang w:val="af-ZA"/>
        </w:rPr>
        <w:t xml:space="preserve"> </w:t>
      </w:r>
      <w:hyperlink r:id="rId598" w:history="1">
        <w:r w:rsidR="003F7A5C" w:rsidRPr="00EF7399">
          <w:rPr>
            <w:rStyle w:val="Hyperlink"/>
            <w:rFonts w:ascii="Times New Roman" w:hAnsi="Times New Roman" w:cs="Times New Roman"/>
            <w:bCs/>
            <w:iCs/>
            <w:lang w:val="af-ZA"/>
          </w:rPr>
          <w:t>Tek Gıda İş Sendikası</w:t>
        </w:r>
        <w:r w:rsidR="00873234" w:rsidRPr="00EF7399">
          <w:rPr>
            <w:rStyle w:val="Hyperlink"/>
            <w:rFonts w:ascii="Times New Roman" w:hAnsi="Times New Roman" w:cs="Times New Roman"/>
            <w:bCs/>
            <w:iCs/>
            <w:lang w:val="af-ZA"/>
          </w:rPr>
          <w:t xml:space="preserve"> v. </w:t>
        </w:r>
        <w:r w:rsidR="003F7A5C" w:rsidRPr="00EF7399">
          <w:rPr>
            <w:rStyle w:val="Hyperlink"/>
            <w:rFonts w:ascii="Times New Roman" w:hAnsi="Times New Roman" w:cs="Times New Roman"/>
            <w:bCs/>
            <w:iCs/>
            <w:lang w:val="af-ZA"/>
          </w:rPr>
          <w:t>Turkey</w:t>
        </w:r>
      </w:hyperlink>
      <w:r w:rsidRPr="00EF7399">
        <w:rPr>
          <w:rFonts w:ascii="Times New Roman" w:hAnsi="Times New Roman" w:cs="Times New Roman"/>
          <w:bCs/>
          <w:iCs/>
          <w:lang w:val="af-ZA"/>
        </w:rPr>
        <w:t xml:space="preserve">, </w:t>
      </w:r>
      <w:r w:rsidR="00F672AA" w:rsidRPr="00EF7399">
        <w:rPr>
          <w:rFonts w:ascii="Times New Roman" w:hAnsi="Times New Roman" w:cs="Times New Roman"/>
          <w:bCs/>
          <w:iCs/>
          <w:lang w:val="af-ZA"/>
        </w:rPr>
        <w:t xml:space="preserve">2017, </w:t>
      </w:r>
      <w:r w:rsidRPr="00EF7399">
        <w:rPr>
          <w:rFonts w:ascii="Times New Roman" w:hAnsi="Times New Roman" w:cs="Times New Roman"/>
          <w:bCs/>
          <w:iCs/>
          <w:lang w:val="af-ZA"/>
        </w:rPr>
        <w:t>§</w:t>
      </w:r>
      <w:r w:rsidR="00873234" w:rsidRPr="00EF7399">
        <w:rPr>
          <w:rFonts w:ascii="Times New Roman" w:hAnsi="Times New Roman" w:cs="Times New Roman"/>
          <w:bCs/>
          <w:iCs/>
          <w:lang w:val="af-ZA"/>
        </w:rPr>
        <w:t>§ </w:t>
      </w:r>
      <w:r w:rsidRPr="00EF7399">
        <w:rPr>
          <w:rFonts w:ascii="Times New Roman" w:hAnsi="Times New Roman" w:cs="Times New Roman"/>
          <w:bCs/>
          <w:iCs/>
          <w:lang w:val="af-ZA"/>
        </w:rPr>
        <w:t xml:space="preserve">54-55, </w:t>
      </w:r>
      <w:r w:rsidR="00FD36D2" w:rsidRPr="00EF7399">
        <w:rPr>
          <w:rFonts w:ascii="Times New Roman" w:hAnsi="Times New Roman" w:cs="Times New Roman"/>
          <w:bCs/>
          <w:iCs/>
          <w:lang w:val="af-ZA"/>
        </w:rPr>
        <w:t xml:space="preserve">որտեղ </w:t>
      </w:r>
      <w:r w:rsidR="00FD36D2" w:rsidRPr="00EF7399">
        <w:rPr>
          <w:rFonts w:ascii="Times New Roman" w:hAnsi="Times New Roman" w:cs="Times New Roman"/>
          <w:iCs/>
          <w:lang w:val="af-ZA"/>
        </w:rPr>
        <w:t>արհեստակցական միության</w:t>
      </w:r>
      <w:r w:rsidR="00FD36D2" w:rsidRPr="00EF7399">
        <w:rPr>
          <w:rFonts w:ascii="Times New Roman" w:hAnsi="Times New Roman" w:cs="Times New Roman"/>
          <w:bCs/>
          <w:iCs/>
          <w:lang w:val="af-ZA"/>
        </w:rPr>
        <w:t xml:space="preserve"> անդամների</w:t>
      </w:r>
      <w:r w:rsidR="00851660" w:rsidRPr="00EF7399">
        <w:rPr>
          <w:rFonts w:ascii="Times New Roman" w:hAnsi="Times New Roman" w:cs="Times New Roman"/>
          <w:bCs/>
          <w:iCs/>
          <w:lang w:val="af-ZA"/>
        </w:rPr>
        <w:t>`</w:t>
      </w:r>
      <w:r w:rsidR="00FD36D2" w:rsidRPr="00EF7399">
        <w:rPr>
          <w:rFonts w:ascii="Times New Roman" w:hAnsi="Times New Roman" w:cs="Times New Roman"/>
          <w:bCs/>
          <w:iCs/>
          <w:lang w:val="af-ZA"/>
        </w:rPr>
        <w:t xml:space="preserve"> աշխատանքից զանգվածային ազատումները հարվածում էին միության գործունեության բուն հիմքերին</w:t>
      </w:r>
      <w:r w:rsidRPr="00EF7399">
        <w:rPr>
          <w:rFonts w:ascii="Times New Roman" w:hAnsi="Times New Roman" w:cs="Times New Roman"/>
          <w:iCs/>
          <w:lang w:val="af-ZA"/>
        </w:rPr>
        <w:t>)</w:t>
      </w:r>
      <w:r w:rsidR="00FD36D2" w:rsidRPr="00EF7399">
        <w:rPr>
          <w:rFonts w:ascii="Times New Roman" w:hAnsi="Times New Roman" w:cs="Times New Roman"/>
          <w:iCs/>
          <w:lang w:val="af-ZA"/>
        </w:rPr>
        <w:t>:</w:t>
      </w:r>
    </w:p>
    <w:p w14:paraId="3CD8AC45" w14:textId="495EDE54" w:rsidR="00381928" w:rsidRPr="00EF7399" w:rsidRDefault="00381928" w:rsidP="00381928">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282</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7B4D16" w:rsidRPr="00EF7399">
        <w:rPr>
          <w:rFonts w:ascii="Times New Roman" w:hAnsi="Times New Roman" w:cs="Times New Roman"/>
          <w:iCs/>
          <w:lang w:val="af-ZA"/>
        </w:rPr>
        <w:t>Նկատի առնելով Եվրոպայում պետությունների և կրոնական հարանվանությունների միջև հարաբերությունները կարգավորող սահմանադրական մոդելների մեծ զանազանությունը</w:t>
      </w:r>
      <w:r w:rsidR="006F64EF" w:rsidRPr="00EF7399">
        <w:rPr>
          <w:rFonts w:ascii="Times New Roman" w:hAnsi="Times New Roman" w:cs="Times New Roman"/>
          <w:iCs/>
          <w:lang w:val="af-ZA"/>
        </w:rPr>
        <w:t>՝</w:t>
      </w:r>
      <w:r w:rsidR="007B4D16" w:rsidRPr="00EF7399">
        <w:rPr>
          <w:rFonts w:ascii="Times New Roman" w:hAnsi="Times New Roman" w:cs="Times New Roman"/>
          <w:iCs/>
          <w:lang w:val="af-ZA"/>
        </w:rPr>
        <w:t xml:space="preserve"> այս ոլորտում պետությունն օգտվում  է լայն հայեցողությունից, որն ընդգրկում է կրոնական համայնքներում գործող և այդ համայնքների ինքնավարությանը հնարավոր խոչընդոտող նպատակներ հետապնդող արհեստակցական միությունները ճանաչելու կամ չճանաչելու մասին որոշում ընդունելու իրավունքը </w:t>
      </w:r>
      <w:r w:rsidRPr="00EF7399">
        <w:rPr>
          <w:rFonts w:ascii="Times New Roman" w:hAnsi="Times New Roman" w:cs="Times New Roman"/>
          <w:iCs/>
          <w:lang w:val="af-ZA"/>
        </w:rPr>
        <w:t>(</w:t>
      </w:r>
      <w:hyperlink r:id="rId599" w:history="1">
        <w:r w:rsidR="00BA413F" w:rsidRPr="00EF7399">
          <w:rPr>
            <w:rStyle w:val="Hyperlink"/>
            <w:rFonts w:ascii="Times New Roman" w:hAnsi="Times New Roman" w:cs="Times New Roman"/>
            <w:iCs/>
            <w:lang w:val="af-ZA"/>
          </w:rPr>
          <w:t>Sindicatul “Păstorul cel Bun”</w:t>
        </w:r>
        <w:r w:rsidR="00873234" w:rsidRPr="00EF7399">
          <w:rPr>
            <w:rStyle w:val="Hyperlink"/>
            <w:rFonts w:ascii="Times New Roman" w:hAnsi="Times New Roman" w:cs="Times New Roman"/>
            <w:iCs/>
            <w:lang w:val="af-ZA"/>
          </w:rPr>
          <w:t xml:space="preserve"> v. </w:t>
        </w:r>
        <w:r w:rsidR="00BA413F" w:rsidRPr="00EF7399">
          <w:rPr>
            <w:rStyle w:val="Hyperlink"/>
            <w:rFonts w:ascii="Times New Roman" w:hAnsi="Times New Roman" w:cs="Times New Roman"/>
            <w:iCs/>
            <w:lang w:val="af-ZA"/>
          </w:rPr>
          <w:t>Romania</w:t>
        </w:r>
      </w:hyperlink>
      <w:r w:rsidRPr="00EF7399">
        <w:rPr>
          <w:rFonts w:ascii="Times New Roman" w:hAnsi="Times New Roman" w:cs="Times New Roman"/>
          <w:i/>
          <w:iCs/>
          <w:lang w:val="af-ZA"/>
        </w:rPr>
        <w:t xml:space="preserve"> </w:t>
      </w:r>
      <w:r w:rsidRPr="00EF7399">
        <w:rPr>
          <w:rFonts w:ascii="Times New Roman" w:hAnsi="Times New Roman" w:cs="Times New Roman"/>
          <w:iCs/>
          <w:lang w:val="af-ZA"/>
        </w:rPr>
        <w:t xml:space="preserve">[GC], </w:t>
      </w:r>
      <w:r w:rsidR="008C5F4A" w:rsidRPr="00EF7399">
        <w:rPr>
          <w:rFonts w:ascii="Times New Roman" w:hAnsi="Times New Roman" w:cs="Times New Roman"/>
          <w:lang w:val="af-ZA"/>
        </w:rPr>
        <w:t xml:space="preserve">2013, </w:t>
      </w:r>
      <w:r w:rsidR="00873234" w:rsidRPr="00EF7399">
        <w:rPr>
          <w:rFonts w:ascii="Times New Roman" w:hAnsi="Times New Roman" w:cs="Times New Roman"/>
          <w:iCs/>
          <w:lang w:val="af-ZA"/>
        </w:rPr>
        <w:t>§ </w:t>
      </w:r>
      <w:r w:rsidRPr="00EF7399">
        <w:rPr>
          <w:rFonts w:ascii="Times New Roman" w:hAnsi="Times New Roman" w:cs="Times New Roman"/>
          <w:iCs/>
          <w:lang w:val="af-ZA"/>
        </w:rPr>
        <w:t>171)</w:t>
      </w:r>
      <w:r w:rsidR="007B4D16" w:rsidRPr="00EF7399">
        <w:rPr>
          <w:rFonts w:ascii="Times New Roman" w:hAnsi="Times New Roman" w:cs="Times New Roman"/>
          <w:iCs/>
          <w:lang w:val="af-ZA"/>
        </w:rPr>
        <w:t>:</w:t>
      </w:r>
    </w:p>
    <w:p w14:paraId="5F55BA3E" w14:textId="34FA9CD9" w:rsidR="00381928" w:rsidRPr="00EF7399" w:rsidRDefault="00381928" w:rsidP="00381928">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283</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7B4D16" w:rsidRPr="00EF7399">
        <w:rPr>
          <w:rFonts w:ascii="Times New Roman" w:hAnsi="Times New Roman" w:cs="Times New Roman"/>
          <w:iCs/>
          <w:lang w:val="af-ZA"/>
        </w:rPr>
        <w:t xml:space="preserve">Հայեցողության </w:t>
      </w:r>
      <w:r w:rsidR="004056BD" w:rsidRPr="00EF7399">
        <w:rPr>
          <w:rFonts w:ascii="Times New Roman" w:hAnsi="Times New Roman" w:cs="Times New Roman"/>
          <w:iCs/>
          <w:lang w:val="hy-AM"/>
        </w:rPr>
        <w:t>շրջանակը</w:t>
      </w:r>
      <w:r w:rsidR="004056BD" w:rsidRPr="00EF7399">
        <w:rPr>
          <w:rFonts w:ascii="Times New Roman" w:hAnsi="Times New Roman" w:cs="Times New Roman"/>
          <w:iCs/>
          <w:lang w:val="af-ZA"/>
        </w:rPr>
        <w:t xml:space="preserve"> </w:t>
      </w:r>
      <w:r w:rsidR="007B4D16" w:rsidRPr="00EF7399">
        <w:rPr>
          <w:rFonts w:ascii="Times New Roman" w:hAnsi="Times New Roman" w:cs="Times New Roman"/>
          <w:iCs/>
          <w:lang w:val="af-ZA"/>
        </w:rPr>
        <w:t xml:space="preserve">համարվել </w:t>
      </w:r>
      <w:r w:rsidR="004056BD" w:rsidRPr="00EF7399">
        <w:rPr>
          <w:rFonts w:ascii="Times New Roman" w:hAnsi="Times New Roman" w:cs="Times New Roman"/>
          <w:iCs/>
          <w:lang w:val="hy-AM"/>
        </w:rPr>
        <w:t>է</w:t>
      </w:r>
      <w:r w:rsidR="007B4D16" w:rsidRPr="00EF7399">
        <w:rPr>
          <w:rFonts w:ascii="Times New Roman" w:hAnsi="Times New Roman" w:cs="Times New Roman"/>
          <w:iCs/>
          <w:lang w:val="af-ZA"/>
        </w:rPr>
        <w:t xml:space="preserve"> </w:t>
      </w:r>
      <w:r w:rsidR="005D5B4E" w:rsidRPr="00EF7399">
        <w:rPr>
          <w:rFonts w:ascii="Times New Roman" w:hAnsi="Times New Roman" w:cs="Times New Roman"/>
          <w:iCs/>
          <w:lang w:val="af-ZA"/>
        </w:rPr>
        <w:t>նեղացված, երբ Պայմանավորվող կողմի ներպետական օրենսդրությունը թույլ է տալիս 11-րդ հոդվածով սահմանված</w:t>
      </w:r>
      <w:r w:rsidR="004056BD" w:rsidRPr="00EF7399">
        <w:rPr>
          <w:rFonts w:ascii="Times New Roman" w:hAnsi="Times New Roman" w:cs="Times New Roman"/>
          <w:iCs/>
          <w:lang w:val="hy-AM"/>
        </w:rPr>
        <w:t>՝</w:t>
      </w:r>
      <w:r w:rsidR="005D5B4E" w:rsidRPr="00EF7399">
        <w:rPr>
          <w:rFonts w:ascii="Times New Roman" w:hAnsi="Times New Roman" w:cs="Times New Roman"/>
          <w:iCs/>
          <w:lang w:val="af-ZA"/>
        </w:rPr>
        <w:t xml:space="preserve"> անհատի ընտրության ազատությանը հակասող «փակ ձեռնարկության» համաձայնագրերի կնքումը միությունների և գործատուների միջև </w:t>
      </w:r>
      <w:r w:rsidRPr="00EF7399">
        <w:rPr>
          <w:rFonts w:ascii="Times New Roman" w:hAnsi="Times New Roman" w:cs="Times New Roman"/>
          <w:iCs/>
          <w:lang w:val="af-ZA"/>
        </w:rPr>
        <w:t>(</w:t>
      </w:r>
      <w:hyperlink r:id="rId600" w:history="1">
        <w:r w:rsidR="008E4A15" w:rsidRPr="00EF7399">
          <w:rPr>
            <w:rStyle w:val="Hyperlink"/>
            <w:rFonts w:ascii="Times New Roman" w:hAnsi="Times New Roman" w:cs="Times New Roman"/>
            <w:lang w:val="af-ZA"/>
          </w:rPr>
          <w:t>Sørensen and Rasmussen</w:t>
        </w:r>
        <w:r w:rsidR="00873234" w:rsidRPr="00EF7399">
          <w:rPr>
            <w:rStyle w:val="Hyperlink"/>
            <w:rFonts w:ascii="Times New Roman" w:hAnsi="Times New Roman" w:cs="Times New Roman"/>
            <w:lang w:val="af-ZA"/>
          </w:rPr>
          <w:t xml:space="preserve"> v. </w:t>
        </w:r>
        <w:r w:rsidR="008E4A15" w:rsidRPr="00EF7399">
          <w:rPr>
            <w:rStyle w:val="Hyperlink"/>
            <w:rFonts w:ascii="Times New Roman" w:hAnsi="Times New Roman" w:cs="Times New Roman"/>
            <w:lang w:val="af-ZA"/>
          </w:rPr>
          <w:t>Denmark</w:t>
        </w:r>
      </w:hyperlink>
      <w:r w:rsidRPr="00EF7399">
        <w:rPr>
          <w:rFonts w:ascii="Times New Roman" w:hAnsi="Times New Roman" w:cs="Times New Roman"/>
          <w:iCs/>
          <w:lang w:val="af-ZA"/>
        </w:rPr>
        <w:t xml:space="preserve">, </w:t>
      </w:r>
      <w:r w:rsidR="002762F8" w:rsidRPr="00EF7399">
        <w:rPr>
          <w:rFonts w:ascii="Times New Roman" w:hAnsi="Times New Roman" w:cs="Times New Roman"/>
          <w:lang w:val="af-ZA"/>
        </w:rPr>
        <w:t xml:space="preserve">2006, </w:t>
      </w:r>
      <w:r w:rsidR="00873234" w:rsidRPr="00EF7399">
        <w:rPr>
          <w:rFonts w:ascii="Times New Roman" w:hAnsi="Times New Roman" w:cs="Times New Roman"/>
          <w:iCs/>
          <w:lang w:val="af-ZA"/>
        </w:rPr>
        <w:t>§ </w:t>
      </w:r>
      <w:r w:rsidRPr="00EF7399">
        <w:rPr>
          <w:rFonts w:ascii="Times New Roman" w:hAnsi="Times New Roman" w:cs="Times New Roman"/>
          <w:iCs/>
          <w:lang w:val="af-ZA"/>
        </w:rPr>
        <w:t xml:space="preserve">58) </w:t>
      </w:r>
      <w:r w:rsidR="005D5B4E" w:rsidRPr="00EF7399">
        <w:rPr>
          <w:rFonts w:ascii="Times New Roman" w:hAnsi="Times New Roman" w:cs="Times New Roman"/>
          <w:iCs/>
          <w:lang w:val="af-ZA"/>
        </w:rPr>
        <w:t xml:space="preserve">կամ երբ միջամտությունը միավորման ազատությանն առաջացնում է լուրջ հետևանքներ, օրինակ` արհեստակցական միության լուծարումը  </w:t>
      </w:r>
      <w:r w:rsidRPr="00EF7399">
        <w:rPr>
          <w:rFonts w:ascii="Times New Roman" w:hAnsi="Times New Roman" w:cs="Times New Roman"/>
          <w:iCs/>
          <w:lang w:val="af-ZA"/>
        </w:rPr>
        <w:t>(</w:t>
      </w:r>
      <w:hyperlink r:id="rId601" w:history="1">
        <w:r w:rsidRPr="00EF7399">
          <w:rPr>
            <w:rStyle w:val="Hyperlink"/>
            <w:rFonts w:ascii="Times New Roman" w:hAnsi="Times New Roman" w:cs="Times New Roman"/>
            <w:iCs/>
            <w:lang w:val="af-ZA"/>
          </w:rPr>
          <w:t>Demir and Baykara</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Turkey</w:t>
        </w:r>
      </w:hyperlink>
      <w:r w:rsidRPr="00EF7399">
        <w:rPr>
          <w:rFonts w:ascii="Times New Roman" w:hAnsi="Times New Roman" w:cs="Times New Roman"/>
          <w:i/>
          <w:iCs/>
          <w:lang w:val="af-ZA"/>
        </w:rPr>
        <w:t xml:space="preserve"> </w:t>
      </w:r>
      <w:r w:rsidRPr="00EF7399">
        <w:rPr>
          <w:rFonts w:ascii="Times New Roman" w:hAnsi="Times New Roman" w:cs="Times New Roman"/>
          <w:iCs/>
          <w:lang w:val="af-ZA"/>
        </w:rPr>
        <w:t xml:space="preserve">[GC], </w:t>
      </w:r>
      <w:r w:rsidR="002801F1" w:rsidRPr="00EF7399">
        <w:rPr>
          <w:rFonts w:ascii="Times New Roman" w:hAnsi="Times New Roman" w:cs="Times New Roman"/>
          <w:lang w:val="af-ZA"/>
        </w:rPr>
        <w:t xml:space="preserve">2008, </w:t>
      </w:r>
      <w:r w:rsidR="00873234" w:rsidRPr="00EF7399">
        <w:rPr>
          <w:rFonts w:ascii="Times New Roman" w:hAnsi="Times New Roman" w:cs="Times New Roman"/>
          <w:iCs/>
          <w:lang w:val="af-ZA"/>
        </w:rPr>
        <w:t>§ </w:t>
      </w:r>
      <w:r w:rsidRPr="00EF7399">
        <w:rPr>
          <w:rFonts w:ascii="Times New Roman" w:hAnsi="Times New Roman" w:cs="Times New Roman"/>
          <w:iCs/>
          <w:lang w:val="af-ZA"/>
        </w:rPr>
        <w:t xml:space="preserve">119; see also </w:t>
      </w:r>
      <w:hyperlink r:id="rId602" w:history="1">
        <w:r w:rsidRPr="00EF7399">
          <w:rPr>
            <w:rStyle w:val="Hyperlink"/>
            <w:rFonts w:ascii="Times New Roman" w:hAnsi="Times New Roman" w:cs="Times New Roman"/>
            <w:iCs/>
            <w:lang w:val="af-ZA"/>
          </w:rPr>
          <w:t>National Union of Rail, Maritime and Transport Workers</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the United Kingdom</w:t>
        </w:r>
      </w:hyperlink>
      <w:r w:rsidRPr="00EF7399">
        <w:rPr>
          <w:rFonts w:ascii="Times New Roman" w:hAnsi="Times New Roman" w:cs="Times New Roman"/>
          <w:iCs/>
          <w:lang w:val="af-ZA"/>
        </w:rPr>
        <w:t xml:space="preserve">, </w:t>
      </w:r>
      <w:r w:rsidR="00723C02" w:rsidRPr="00EF7399">
        <w:rPr>
          <w:rFonts w:ascii="Times New Roman" w:hAnsi="Times New Roman" w:cs="Times New Roman"/>
          <w:iCs/>
          <w:lang w:val="af-ZA"/>
        </w:rPr>
        <w:t xml:space="preserve">2014, </w:t>
      </w:r>
      <w:r w:rsidR="00873234" w:rsidRPr="00EF7399">
        <w:rPr>
          <w:rFonts w:ascii="Times New Roman" w:hAnsi="Times New Roman" w:cs="Times New Roman"/>
          <w:iCs/>
          <w:lang w:val="af-ZA"/>
        </w:rPr>
        <w:t>§ </w:t>
      </w:r>
      <w:r w:rsidRPr="00EF7399">
        <w:rPr>
          <w:rFonts w:ascii="Times New Roman" w:hAnsi="Times New Roman" w:cs="Times New Roman"/>
          <w:iCs/>
          <w:lang w:val="af-ZA"/>
        </w:rPr>
        <w:t>86)</w:t>
      </w:r>
      <w:r w:rsidR="005D5B4E" w:rsidRPr="00EF7399">
        <w:rPr>
          <w:rFonts w:ascii="Times New Roman" w:hAnsi="Times New Roman" w:cs="Times New Roman"/>
          <w:iCs/>
          <w:lang w:val="af-ZA"/>
        </w:rPr>
        <w:t>:</w:t>
      </w:r>
    </w:p>
    <w:p w14:paraId="76D6BAEE" w14:textId="68B8687A" w:rsidR="00381928" w:rsidRPr="00EF7399" w:rsidRDefault="00381928" w:rsidP="00381928">
      <w:pPr>
        <w:pStyle w:val="ECHRParaSpaced"/>
        <w:rPr>
          <w:rFonts w:ascii="Times New Roman" w:hAnsi="Times New Roman" w:cs="Times New Roman"/>
          <w:iCs/>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284</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5D5B4E" w:rsidRPr="00EF7399">
        <w:rPr>
          <w:rFonts w:ascii="Times New Roman" w:hAnsi="Times New Roman" w:cs="Times New Roman"/>
          <w:iCs/>
          <w:lang w:val="af-ZA"/>
        </w:rPr>
        <w:t xml:space="preserve">Պետությունն ունի արհեստակցական միության կողմից լիազորությունների չարաշահումից անհատին պաշտպանելու պոզիտիվ պարտավորություն </w:t>
      </w:r>
      <w:r w:rsidRPr="00EF7399">
        <w:rPr>
          <w:rFonts w:ascii="Times New Roman" w:hAnsi="Times New Roman" w:cs="Times New Roman"/>
          <w:iCs/>
          <w:lang w:val="af-ZA"/>
        </w:rPr>
        <w:t>(</w:t>
      </w:r>
      <w:hyperlink r:id="rId603" w:history="1">
        <w:r w:rsidRPr="00EF7399">
          <w:rPr>
            <w:rStyle w:val="Hyperlink"/>
            <w:rFonts w:ascii="Times New Roman" w:hAnsi="Times New Roman" w:cs="Times New Roman"/>
            <w:iCs/>
            <w:lang w:val="af-ZA"/>
          </w:rPr>
          <w:t>Cheall</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the United Kingdom</w:t>
        </w:r>
      </w:hyperlink>
      <w:r w:rsidR="001821E6" w:rsidRPr="00EF7399">
        <w:rPr>
          <w:rStyle w:val="Hyperlink"/>
          <w:rFonts w:ascii="Times New Roman" w:hAnsi="Times New Roman" w:cs="Times New Roman"/>
          <w:i w:val="0"/>
          <w:color w:val="auto"/>
          <w:lang w:val="af-ZA"/>
        </w:rPr>
        <w:t xml:space="preserve">, </w:t>
      </w:r>
      <w:r w:rsidR="001821E6" w:rsidRPr="00EF7399">
        <w:rPr>
          <w:rFonts w:ascii="Times New Roman" w:hAnsi="Times New Roman" w:cs="Times New Roman"/>
          <w:lang w:val="af-ZA"/>
        </w:rPr>
        <w:t>1985</w:t>
      </w:r>
      <w:r w:rsidRPr="00EF7399">
        <w:rPr>
          <w:rFonts w:ascii="Times New Roman" w:hAnsi="Times New Roman" w:cs="Times New Roman"/>
          <w:iCs/>
          <w:lang w:val="af-ZA"/>
        </w:rPr>
        <w:t>;</w:t>
      </w:r>
      <w:r w:rsidRPr="00EF7399">
        <w:rPr>
          <w:rFonts w:ascii="Times New Roman" w:hAnsi="Times New Roman" w:cs="Times New Roman"/>
          <w:i/>
          <w:iCs/>
          <w:lang w:val="af-ZA"/>
        </w:rPr>
        <w:t xml:space="preserve"> </w:t>
      </w:r>
      <w:hyperlink r:id="rId604" w:history="1">
        <w:r w:rsidRPr="00EF7399">
          <w:rPr>
            <w:rStyle w:val="Hyperlink"/>
            <w:rFonts w:ascii="Times New Roman" w:hAnsi="Times New Roman" w:cs="Times New Roman"/>
            <w:iCs/>
            <w:lang w:val="af-ZA"/>
          </w:rPr>
          <w:t>Johansson</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Sweden</w:t>
        </w:r>
      </w:hyperlink>
      <w:r w:rsidR="00723C02" w:rsidRPr="00EF7399">
        <w:rPr>
          <w:rStyle w:val="Hyperlink"/>
          <w:rFonts w:ascii="Times New Roman" w:hAnsi="Times New Roman" w:cs="Times New Roman"/>
          <w:i w:val="0"/>
          <w:color w:val="auto"/>
          <w:lang w:val="af-ZA"/>
        </w:rPr>
        <w:t>, 1990</w:t>
      </w:r>
      <w:r w:rsidRPr="00EF7399">
        <w:rPr>
          <w:rFonts w:ascii="Times New Roman" w:hAnsi="Times New Roman" w:cs="Times New Roman"/>
          <w:i/>
          <w:iCs/>
          <w:lang w:val="af-ZA"/>
        </w:rPr>
        <w:t xml:space="preserve"> </w:t>
      </w:r>
      <w:r w:rsidRPr="00EF7399">
        <w:rPr>
          <w:rFonts w:ascii="Times New Roman" w:hAnsi="Times New Roman" w:cs="Times New Roman"/>
          <w:iCs/>
          <w:lang w:val="af-ZA"/>
        </w:rPr>
        <w:t>(</w:t>
      </w:r>
      <w:r w:rsidR="005D5B4E" w:rsidRPr="00EF7399">
        <w:rPr>
          <w:rFonts w:ascii="Times New Roman" w:hAnsi="Times New Roman" w:cs="Times New Roman"/>
          <w:iCs/>
          <w:lang w:val="af-ZA"/>
        </w:rPr>
        <w:t>երկուսն էլ Հանձնաժողովի որոշումներ</w:t>
      </w:r>
      <w:r w:rsidRPr="00EF7399">
        <w:rPr>
          <w:rFonts w:ascii="Times New Roman" w:hAnsi="Times New Roman" w:cs="Times New Roman"/>
          <w:iCs/>
          <w:lang w:val="af-ZA"/>
        </w:rPr>
        <w:t>))</w:t>
      </w:r>
      <w:r w:rsidR="005D5B4E" w:rsidRPr="00EF7399">
        <w:rPr>
          <w:rFonts w:ascii="Times New Roman" w:hAnsi="Times New Roman" w:cs="Times New Roman"/>
          <w:iCs/>
          <w:lang w:val="af-ZA"/>
        </w:rPr>
        <w:t>:</w:t>
      </w:r>
      <w:r w:rsidRPr="00EF7399">
        <w:rPr>
          <w:rFonts w:ascii="Times New Roman" w:hAnsi="Times New Roman" w:cs="Times New Roman"/>
          <w:iCs/>
          <w:lang w:val="af-ZA"/>
        </w:rPr>
        <w:t xml:space="preserve"> </w:t>
      </w:r>
      <w:r w:rsidR="00FD1034" w:rsidRPr="00EF7399">
        <w:rPr>
          <w:rFonts w:ascii="Times New Roman" w:hAnsi="Times New Roman" w:cs="Times New Roman"/>
          <w:iCs/>
          <w:lang w:val="af-ZA"/>
        </w:rPr>
        <w:t>Թեև պետությունը կարող է միջամտել և պաշտպանել արհեստակցական միության անդամին իր դեմ  միության կողմից ձեռնարկած միջոցներից, այն պետք է պահպանի արդարացի հավասարակշռություն մրցակցող շահերի միջև</w:t>
      </w:r>
      <w:r w:rsidR="00471FB4" w:rsidRPr="00EF7399">
        <w:rPr>
          <w:rFonts w:ascii="Times New Roman" w:hAnsi="Times New Roman" w:cs="Times New Roman"/>
          <w:iCs/>
          <w:lang w:val="hy-AM"/>
        </w:rPr>
        <w:t>,</w:t>
      </w:r>
      <w:r w:rsidR="00FD1034" w:rsidRPr="00EF7399">
        <w:rPr>
          <w:rFonts w:ascii="Times New Roman" w:hAnsi="Times New Roman" w:cs="Times New Roman"/>
          <w:iCs/>
          <w:lang w:val="af-ZA"/>
        </w:rPr>
        <w:t xml:space="preserve"> և պետության հայեցողությունն ունի սահմանափակ դեր </w:t>
      </w:r>
      <w:r w:rsidRPr="00EF7399">
        <w:rPr>
          <w:rFonts w:ascii="Times New Roman" w:hAnsi="Times New Roman" w:cs="Times New Roman"/>
          <w:iCs/>
          <w:lang w:val="af-ZA"/>
        </w:rPr>
        <w:t>(</w:t>
      </w:r>
      <w:hyperlink r:id="rId605" w:history="1">
        <w:r w:rsidRPr="00EF7399">
          <w:rPr>
            <w:rStyle w:val="Hyperlink"/>
            <w:rFonts w:ascii="Times New Roman" w:hAnsi="Times New Roman" w:cs="Times New Roman"/>
            <w:iCs/>
            <w:lang w:val="af-ZA"/>
          </w:rPr>
          <w:t>Associated Society of Locomotive Engineers &amp; Firemen (ASLEF)</w:t>
        </w:r>
        <w:r w:rsidR="00873234" w:rsidRPr="00EF7399">
          <w:rPr>
            <w:rStyle w:val="Hyperlink"/>
            <w:rFonts w:ascii="Times New Roman" w:hAnsi="Times New Roman" w:cs="Times New Roman"/>
            <w:iCs/>
            <w:lang w:val="af-ZA"/>
          </w:rPr>
          <w:t xml:space="preserve"> v. </w:t>
        </w:r>
        <w:r w:rsidRPr="00EF7399">
          <w:rPr>
            <w:rStyle w:val="Hyperlink"/>
            <w:rFonts w:ascii="Times New Roman" w:hAnsi="Times New Roman" w:cs="Times New Roman"/>
            <w:iCs/>
            <w:lang w:val="af-ZA"/>
          </w:rPr>
          <w:t>the United Kingdom</w:t>
        </w:r>
      </w:hyperlink>
      <w:r w:rsidRPr="00EF7399">
        <w:rPr>
          <w:rFonts w:ascii="Times New Roman" w:hAnsi="Times New Roman" w:cs="Times New Roman"/>
          <w:iCs/>
          <w:lang w:val="af-ZA"/>
        </w:rPr>
        <w:t xml:space="preserve">, </w:t>
      </w:r>
      <w:r w:rsidR="002A3689" w:rsidRPr="00EF7399">
        <w:rPr>
          <w:rFonts w:ascii="Times New Roman" w:hAnsi="Times New Roman" w:cs="Times New Roman"/>
          <w:iCs/>
          <w:lang w:val="af-ZA"/>
        </w:rPr>
        <w:t xml:space="preserve">2007, </w:t>
      </w:r>
      <w:r w:rsidRPr="00EF7399">
        <w:rPr>
          <w:rFonts w:ascii="Times New Roman" w:hAnsi="Times New Roman" w:cs="Times New Roman"/>
          <w:iCs/>
          <w:lang w:val="af-ZA"/>
        </w:rPr>
        <w:t>§</w:t>
      </w:r>
      <w:r w:rsidR="00873234" w:rsidRPr="00EF7399">
        <w:rPr>
          <w:rFonts w:ascii="Times New Roman" w:hAnsi="Times New Roman" w:cs="Times New Roman"/>
          <w:iCs/>
          <w:lang w:val="af-ZA"/>
        </w:rPr>
        <w:t>§ </w:t>
      </w:r>
      <w:r w:rsidRPr="00EF7399">
        <w:rPr>
          <w:rFonts w:ascii="Times New Roman" w:hAnsi="Times New Roman" w:cs="Times New Roman"/>
          <w:iCs/>
          <w:lang w:val="af-ZA"/>
        </w:rPr>
        <w:t>45-49)</w:t>
      </w:r>
      <w:r w:rsidR="00FD1034" w:rsidRPr="00EF7399">
        <w:rPr>
          <w:rFonts w:ascii="Times New Roman" w:hAnsi="Times New Roman" w:cs="Times New Roman"/>
          <w:iCs/>
          <w:lang w:val="af-ZA"/>
        </w:rPr>
        <w:t>:</w:t>
      </w:r>
    </w:p>
    <w:p w14:paraId="26CE3792" w14:textId="4E3F80CD" w:rsidR="00B85C53" w:rsidRPr="00EF7399" w:rsidRDefault="00381928" w:rsidP="00381928">
      <w:pPr>
        <w:pStyle w:val="ECHRParaSpaced"/>
        <w:rPr>
          <w:rFonts w:ascii="Times New Roman" w:hAnsi="Times New Roman" w:cs="Times New Roman"/>
          <w:lang w:val="af-ZA"/>
        </w:rPr>
      </w:pPr>
      <w:r w:rsidRPr="00EF7399">
        <w:rPr>
          <w:rFonts w:ascii="Times New Roman" w:hAnsi="Times New Roman" w:cs="Times New Roman"/>
          <w:iCs/>
          <w:lang w:val="af-ZA"/>
        </w:rPr>
        <w:fldChar w:fldCharType="begin"/>
      </w:r>
      <w:r w:rsidRPr="00EF7399">
        <w:rPr>
          <w:rFonts w:ascii="Times New Roman" w:hAnsi="Times New Roman" w:cs="Times New Roman"/>
          <w:iCs/>
          <w:lang w:val="af-ZA"/>
        </w:rPr>
        <w:instrText xml:space="preserve"> SEQ level0 \*arabic </w:instrText>
      </w:r>
      <w:r w:rsidRPr="00EF7399">
        <w:rPr>
          <w:rFonts w:ascii="Times New Roman" w:hAnsi="Times New Roman" w:cs="Times New Roman"/>
          <w:iCs/>
          <w:lang w:val="af-ZA"/>
        </w:rPr>
        <w:fldChar w:fldCharType="separate"/>
      </w:r>
      <w:r w:rsidR="005435E6" w:rsidRPr="00EF7399">
        <w:rPr>
          <w:rFonts w:ascii="Times New Roman" w:hAnsi="Times New Roman" w:cs="Times New Roman"/>
          <w:iCs/>
          <w:lang w:val="af-ZA"/>
        </w:rPr>
        <w:t>285</w:t>
      </w:r>
      <w:r w:rsidRPr="00EF7399">
        <w:rPr>
          <w:rFonts w:ascii="Times New Roman" w:hAnsi="Times New Roman" w:cs="Times New Roman"/>
          <w:iCs/>
          <w:lang w:val="af-ZA"/>
        </w:rPr>
        <w:fldChar w:fldCharType="end"/>
      </w:r>
      <w:r w:rsidRPr="00EF7399">
        <w:rPr>
          <w:rFonts w:ascii="Times New Roman" w:hAnsi="Times New Roman" w:cs="Times New Roman"/>
          <w:iCs/>
          <w:lang w:val="af-ZA"/>
        </w:rPr>
        <w:t>.  </w:t>
      </w:r>
      <w:r w:rsidR="000D3A0D" w:rsidRPr="00EF7399">
        <w:rPr>
          <w:rFonts w:ascii="Times New Roman" w:hAnsi="Times New Roman" w:cs="Times New Roman"/>
          <w:iCs/>
          <w:lang w:val="af-ZA"/>
        </w:rPr>
        <w:t xml:space="preserve">Պետություններն ունեն նաև արհեստակցական միության անդամության հիմքով խտրականությունից արդյունավետ դատական պաշտպանություն ապահովելու պոզիտիվ պարտավորություն </w:t>
      </w:r>
      <w:r w:rsidRPr="00EF7399">
        <w:rPr>
          <w:rFonts w:ascii="Times New Roman" w:hAnsi="Times New Roman" w:cs="Times New Roman"/>
          <w:iCs/>
          <w:lang w:val="af-ZA"/>
        </w:rPr>
        <w:t>(</w:t>
      </w:r>
      <w:hyperlink r:id="rId606" w:history="1">
        <w:r w:rsidRPr="00EF7399">
          <w:rPr>
            <w:rStyle w:val="Hyperlink"/>
            <w:rFonts w:ascii="Times New Roman" w:hAnsi="Times New Roman" w:cs="Times New Roman"/>
            <w:lang w:val="af-ZA"/>
          </w:rPr>
          <w:t>Danilenkov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Russia</w:t>
        </w:r>
      </w:hyperlink>
      <w:r w:rsidRPr="00EF7399">
        <w:rPr>
          <w:rFonts w:ascii="Times New Roman" w:hAnsi="Times New Roman" w:cs="Times New Roman"/>
          <w:lang w:val="af-ZA"/>
        </w:rPr>
        <w:t xml:space="preserve">, </w:t>
      </w:r>
      <w:r w:rsidR="00BF5C01" w:rsidRPr="00EF7399">
        <w:rPr>
          <w:rFonts w:ascii="Times New Roman" w:hAnsi="Times New Roman" w:cs="Times New Roman"/>
          <w:lang w:val="af-ZA"/>
        </w:rPr>
        <w:t xml:space="preserve">2009,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124 </w:t>
      </w:r>
      <w:r w:rsidR="000D3A0D" w:rsidRPr="00EF7399">
        <w:rPr>
          <w:rFonts w:ascii="Times New Roman" w:hAnsi="Times New Roman" w:cs="Times New Roman"/>
          <w:lang w:val="af-ZA"/>
        </w:rPr>
        <w:t>և</w:t>
      </w:r>
      <w:r w:rsidRPr="00EF7399">
        <w:rPr>
          <w:rFonts w:ascii="Times New Roman" w:hAnsi="Times New Roman" w:cs="Times New Roman"/>
          <w:lang w:val="af-ZA"/>
        </w:rPr>
        <w:t xml:space="preserve"> 136</w:t>
      </w:r>
      <w:r w:rsidR="00DC096E" w:rsidRPr="00EF7399">
        <w:rPr>
          <w:rFonts w:ascii="Times New Roman" w:hAnsi="Times New Roman" w:cs="Times New Roman"/>
          <w:lang w:val="af-ZA"/>
        </w:rPr>
        <w:t xml:space="preserve">; </w:t>
      </w:r>
      <w:hyperlink r:id="rId607" w:history="1">
        <w:r w:rsidR="00DC096E" w:rsidRPr="00EF7399">
          <w:rPr>
            <w:rStyle w:val="Hyperlink"/>
            <w:rFonts w:ascii="Times New Roman" w:hAnsi="Times New Roman" w:cs="Times New Roman"/>
            <w:iCs/>
            <w:lang w:val="af-ZA"/>
          </w:rPr>
          <w:t>Hoppen and trade union of AB Amber Grid employees v. Lithuania</w:t>
        </w:r>
      </w:hyperlink>
      <w:r w:rsidR="0014026F" w:rsidRPr="00EF7399">
        <w:rPr>
          <w:rFonts w:ascii="Times New Roman" w:hAnsi="Times New Roman" w:cs="Times New Roman"/>
          <w:lang w:val="af-ZA"/>
        </w:rPr>
        <w:t>,</w:t>
      </w:r>
      <w:r w:rsidR="00DC096E" w:rsidRPr="00EF7399">
        <w:rPr>
          <w:rFonts w:ascii="Times New Roman" w:hAnsi="Times New Roman" w:cs="Times New Roman"/>
          <w:lang w:val="af-ZA"/>
        </w:rPr>
        <w:t xml:space="preserve"> 2023, §§ 202-203</w:t>
      </w:r>
      <w:r w:rsidRPr="00EF7399">
        <w:rPr>
          <w:rFonts w:ascii="Times New Roman" w:hAnsi="Times New Roman" w:cs="Times New Roman"/>
          <w:lang w:val="af-ZA"/>
        </w:rPr>
        <w:t>)</w:t>
      </w:r>
      <w:r w:rsidR="000D3A0D" w:rsidRPr="00EF7399">
        <w:rPr>
          <w:rFonts w:ascii="Times New Roman" w:hAnsi="Times New Roman" w:cs="Times New Roman"/>
          <w:lang w:val="af-ZA"/>
        </w:rPr>
        <w:t>:</w:t>
      </w:r>
    </w:p>
    <w:p w14:paraId="5036A04C" w14:textId="5ED41527" w:rsidR="00B85C53" w:rsidRPr="00EF7399" w:rsidRDefault="000D3A0D" w:rsidP="00B85C53">
      <w:pPr>
        <w:pStyle w:val="ECHRHeading1"/>
        <w:rPr>
          <w:rFonts w:ascii="Times New Roman" w:hAnsi="Times New Roman" w:cs="Times New Roman"/>
          <w:lang w:val="af-ZA"/>
        </w:rPr>
      </w:pPr>
      <w:bookmarkStart w:id="107" w:name="_Toc159945263"/>
      <w:r w:rsidRPr="00EF7399">
        <w:rPr>
          <w:rFonts w:ascii="Times New Roman" w:hAnsi="Times New Roman" w:cs="Times New Roman"/>
          <w:lang w:val="af-ZA"/>
        </w:rPr>
        <w:t>Զինված ուժերի, ոստիկանության և պետական</w:t>
      </w:r>
      <w:r w:rsidR="00CE0B64" w:rsidRPr="00CE0B64">
        <w:rPr>
          <w:rFonts w:ascii="Times New Roman" w:hAnsi="Times New Roman" w:cs="Times New Roman"/>
          <w:lang w:val="af-ZA"/>
        </w:rPr>
        <w:t xml:space="preserve"> </w:t>
      </w:r>
      <w:r w:rsidR="00CE0B64" w:rsidRPr="00CE0B64">
        <w:rPr>
          <w:rFonts w:ascii="Times New Roman" w:hAnsi="Times New Roman" w:cs="Times New Roman"/>
          <w:lang w:val="af-ZA"/>
        </w:rPr>
        <w:t xml:space="preserve">վարչակազմի </w:t>
      </w:r>
      <w:r w:rsidRPr="00EF7399">
        <w:rPr>
          <w:rFonts w:ascii="Times New Roman" w:hAnsi="Times New Roman" w:cs="Times New Roman"/>
          <w:lang w:val="af-ZA"/>
        </w:rPr>
        <w:t>անդամների</w:t>
      </w:r>
      <w:r w:rsidR="008275B2" w:rsidRPr="00EF7399">
        <w:rPr>
          <w:rFonts w:ascii="Times New Roman" w:hAnsi="Times New Roman" w:cs="Times New Roman"/>
          <w:lang w:val="hy-AM"/>
        </w:rPr>
        <w:t xml:space="preserve"> </w:t>
      </w:r>
      <w:r w:rsidRPr="00EF7399">
        <w:rPr>
          <w:rFonts w:ascii="Times New Roman" w:hAnsi="Times New Roman" w:cs="Times New Roman"/>
          <w:lang w:val="af-ZA"/>
        </w:rPr>
        <w:t>ն</w:t>
      </w:r>
      <w:r w:rsidR="008275B2" w:rsidRPr="00EF7399">
        <w:rPr>
          <w:rFonts w:ascii="Times New Roman" w:hAnsi="Times New Roman" w:cs="Times New Roman"/>
          <w:lang w:val="hy-AM"/>
        </w:rPr>
        <w:t>կատմամբ</w:t>
      </w:r>
      <w:r w:rsidRPr="00EF7399">
        <w:rPr>
          <w:rFonts w:ascii="Times New Roman" w:hAnsi="Times New Roman" w:cs="Times New Roman"/>
          <w:lang w:val="af-ZA"/>
        </w:rPr>
        <w:t xml:space="preserve"> կիրառվող սահմանափակումներ</w:t>
      </w:r>
      <w:bookmarkEnd w:id="107"/>
      <w:r w:rsidRPr="00EF7399">
        <w:rPr>
          <w:rFonts w:ascii="Times New Roman" w:hAnsi="Times New Roman" w:cs="Times New Roman"/>
          <w:lang w:val="af-ZA"/>
        </w:rPr>
        <w:t xml:space="preserve"> </w:t>
      </w:r>
    </w:p>
    <w:p w14:paraId="5AB06FA8" w14:textId="7C6F0445" w:rsidR="00F62E41" w:rsidRPr="00EF7399" w:rsidRDefault="00F62E41" w:rsidP="00F62E4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286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0D3A0D" w:rsidRPr="00EF7399">
        <w:rPr>
          <w:rFonts w:ascii="Times New Roman" w:hAnsi="Times New Roman" w:cs="Times New Roman"/>
          <w:lang w:val="af-ZA"/>
        </w:rPr>
        <w:t>Թեև պետությունը պարտավոր է հարգել իր ծառայողների հավաքների և միավորման ազատությունը</w:t>
      </w:r>
      <w:r w:rsidRPr="00EF7399">
        <w:rPr>
          <w:rFonts w:ascii="Times New Roman" w:hAnsi="Times New Roman" w:cs="Times New Roman"/>
          <w:lang w:val="af-ZA"/>
        </w:rPr>
        <w:t xml:space="preserve">, </w:t>
      </w:r>
      <w:r w:rsidR="000D3A0D" w:rsidRPr="00EF7399">
        <w:rPr>
          <w:rFonts w:ascii="Times New Roman" w:hAnsi="Times New Roman" w:cs="Times New Roman"/>
          <w:lang w:val="af-ZA"/>
        </w:rPr>
        <w:t>11-րդ հոդվածի 2-րդ մաս</w:t>
      </w:r>
      <w:r w:rsidR="00B702D5" w:rsidRPr="00EF7399">
        <w:rPr>
          <w:rFonts w:ascii="Times New Roman" w:hAnsi="Times New Roman" w:cs="Times New Roman"/>
          <w:lang w:val="hy-AM"/>
        </w:rPr>
        <w:t>ն ի վերջո</w:t>
      </w:r>
      <w:r w:rsidR="000D3A0D" w:rsidRPr="00EF7399">
        <w:rPr>
          <w:rFonts w:ascii="Times New Roman" w:hAnsi="Times New Roman" w:cs="Times New Roman"/>
          <w:lang w:val="af-ZA"/>
        </w:rPr>
        <w:t xml:space="preserve"> </w:t>
      </w:r>
      <w:r w:rsidR="00B702D5" w:rsidRPr="001B2612">
        <w:rPr>
          <w:rFonts w:ascii="Times New Roman" w:hAnsi="Times New Roman" w:cs="Times New Roman"/>
          <w:lang w:val="af-ZA"/>
        </w:rPr>
        <w:t>(</w:t>
      </w:r>
      <w:r w:rsidRPr="00EF7399">
        <w:rPr>
          <w:rFonts w:ascii="Times New Roman" w:hAnsi="Times New Roman" w:cs="Times New Roman"/>
          <w:i/>
          <w:lang w:val="af-ZA"/>
        </w:rPr>
        <w:t>in fine</w:t>
      </w:r>
      <w:r w:rsidR="00B702D5" w:rsidRPr="00EF7399">
        <w:rPr>
          <w:rFonts w:ascii="Times New Roman" w:hAnsi="Times New Roman" w:cs="Times New Roman"/>
          <w:i/>
          <w:lang w:val="af-ZA"/>
        </w:rPr>
        <w:t>)</w:t>
      </w:r>
      <w:r w:rsidRPr="00EF7399">
        <w:rPr>
          <w:rFonts w:ascii="Times New Roman" w:hAnsi="Times New Roman" w:cs="Times New Roman"/>
          <w:lang w:val="af-ZA"/>
        </w:rPr>
        <w:t xml:space="preserve"> </w:t>
      </w:r>
      <w:r w:rsidR="000D3A0D" w:rsidRPr="00EF7399">
        <w:rPr>
          <w:rFonts w:ascii="Times New Roman" w:hAnsi="Times New Roman" w:cs="Times New Roman"/>
          <w:lang w:val="af-ZA"/>
        </w:rPr>
        <w:t xml:space="preserve">թույլատրում է </w:t>
      </w:r>
      <w:r w:rsidR="00085F3D" w:rsidRPr="00EF7399">
        <w:rPr>
          <w:rFonts w:ascii="Times New Roman" w:hAnsi="Times New Roman" w:cs="Times New Roman"/>
          <w:lang w:val="af-ZA"/>
        </w:rPr>
        <w:t>օրինական</w:t>
      </w:r>
      <w:r w:rsidR="000D3A0D" w:rsidRPr="00EF7399">
        <w:rPr>
          <w:rFonts w:ascii="Times New Roman" w:hAnsi="Times New Roman" w:cs="Times New Roman"/>
          <w:lang w:val="af-ZA"/>
        </w:rPr>
        <w:t xml:space="preserve"> սահմանափակումներ կիրառել զինված ուժերի, ոստիկանության կամ </w:t>
      </w:r>
      <w:r w:rsidR="003C5E34" w:rsidRPr="00EF7399">
        <w:rPr>
          <w:rFonts w:ascii="Times New Roman" w:hAnsi="Times New Roman" w:cs="Times New Roman"/>
          <w:lang w:val="af-ZA"/>
        </w:rPr>
        <w:t xml:space="preserve">պետական </w:t>
      </w:r>
      <w:r w:rsidR="00CE0B64" w:rsidRPr="00442543">
        <w:rPr>
          <w:rFonts w:ascii="Times New Roman" w:hAnsi="Times New Roman" w:cs="Times New Roman"/>
          <w:color w:val="262626" w:themeColor="text1" w:themeTint="D9"/>
          <w:szCs w:val="20"/>
          <w:lang w:val="af-ZA"/>
        </w:rPr>
        <w:t xml:space="preserve">վարչակազմի </w:t>
      </w:r>
      <w:r w:rsidR="000D3A0D" w:rsidRPr="00EF7399">
        <w:rPr>
          <w:rFonts w:ascii="Times New Roman" w:hAnsi="Times New Roman" w:cs="Times New Roman"/>
          <w:lang w:val="af-ZA"/>
        </w:rPr>
        <w:t xml:space="preserve">անդամների կողմից այս իրավունքների իրականացման մասով </w:t>
      </w:r>
      <w:r w:rsidRPr="00EF7399">
        <w:rPr>
          <w:rFonts w:ascii="Times New Roman" w:hAnsi="Times New Roman" w:cs="Times New Roman"/>
          <w:lang w:val="af-ZA"/>
        </w:rPr>
        <w:t>(</w:t>
      </w:r>
      <w:r w:rsidR="000D3A0D" w:rsidRPr="00EF7399">
        <w:rPr>
          <w:rFonts w:ascii="Times New Roman" w:hAnsi="Times New Roman" w:cs="Times New Roman"/>
          <w:lang w:val="af-ZA"/>
        </w:rPr>
        <w:t>տե՛ս</w:t>
      </w:r>
      <w:r w:rsidRPr="00EF7399">
        <w:rPr>
          <w:rFonts w:ascii="Times New Roman" w:hAnsi="Times New Roman" w:cs="Times New Roman"/>
          <w:lang w:val="af-ZA"/>
        </w:rPr>
        <w:t xml:space="preserve"> </w:t>
      </w:r>
      <w:hyperlink r:id="rId608" w:history="1">
        <w:r w:rsidRPr="00EF7399">
          <w:rPr>
            <w:rStyle w:val="Hyperlink"/>
            <w:rFonts w:ascii="Times New Roman" w:hAnsi="Times New Roman" w:cs="Times New Roman"/>
            <w:lang w:val="af-ZA"/>
          </w:rPr>
          <w:t>Demir and Baykara</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[GC], </w:t>
      </w:r>
      <w:r w:rsidR="002801F1" w:rsidRPr="00EF7399">
        <w:rPr>
          <w:rFonts w:ascii="Times New Roman" w:hAnsi="Times New Roman" w:cs="Times New Roman"/>
          <w:lang w:val="af-ZA"/>
        </w:rPr>
        <w:t xml:space="preserve">2008,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96; </w:t>
      </w:r>
      <w:hyperlink r:id="rId609" w:history="1">
        <w:r w:rsidR="00594F9D" w:rsidRPr="00EF7399">
          <w:rPr>
            <w:rStyle w:val="Hyperlink"/>
            <w:rFonts w:ascii="Times New Roman" w:hAnsi="Times New Roman" w:cs="Times New Roman"/>
            <w:lang w:val="af-ZA"/>
          </w:rPr>
          <w:t>Tüm Haber Sen and Çınar</w:t>
        </w:r>
        <w:r w:rsidR="00873234" w:rsidRPr="00EF7399">
          <w:rPr>
            <w:rStyle w:val="Hyperlink"/>
            <w:rFonts w:ascii="Times New Roman" w:hAnsi="Times New Roman" w:cs="Times New Roman"/>
            <w:lang w:val="af-ZA"/>
          </w:rPr>
          <w:t xml:space="preserve"> v. </w:t>
        </w:r>
        <w:r w:rsidR="00594F9D"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w:t>
      </w:r>
      <w:r w:rsidR="008C5F4A" w:rsidRPr="00EF7399">
        <w:rPr>
          <w:rFonts w:ascii="Times New Roman" w:hAnsi="Times New Roman" w:cs="Times New Roman"/>
          <w:lang w:val="af-ZA"/>
        </w:rPr>
        <w:t xml:space="preserve">2006, </w:t>
      </w:r>
      <w:r w:rsidR="00873234" w:rsidRPr="00EF7399">
        <w:rPr>
          <w:rFonts w:ascii="Times New Roman" w:hAnsi="Times New Roman" w:cs="Times New Roman"/>
          <w:lang w:val="af-ZA"/>
        </w:rPr>
        <w:t>§ </w:t>
      </w:r>
      <w:r w:rsidRPr="00EF7399">
        <w:rPr>
          <w:rFonts w:ascii="Times New Roman" w:hAnsi="Times New Roman" w:cs="Times New Roman"/>
          <w:lang w:val="af-ZA"/>
        </w:rPr>
        <w:t>29)</w:t>
      </w:r>
      <w:r w:rsidR="000D3A0D" w:rsidRPr="00EF7399">
        <w:rPr>
          <w:rFonts w:ascii="Times New Roman" w:hAnsi="Times New Roman" w:cs="Times New Roman"/>
          <w:lang w:val="af-ZA"/>
        </w:rPr>
        <w:t xml:space="preserve">: </w:t>
      </w:r>
      <w:r w:rsidR="00174B68" w:rsidRPr="00EF7399">
        <w:rPr>
          <w:rFonts w:ascii="Times New Roman" w:hAnsi="Times New Roman" w:cs="Times New Roman"/>
          <w:lang w:val="af-ZA"/>
        </w:rPr>
        <w:t xml:space="preserve">Մինչ այժմ </w:t>
      </w:r>
      <w:r w:rsidR="000D3A0D" w:rsidRPr="00EF7399">
        <w:rPr>
          <w:rFonts w:ascii="Times New Roman" w:hAnsi="Times New Roman" w:cs="Times New Roman"/>
          <w:lang w:val="af-ZA"/>
        </w:rPr>
        <w:t>Դատարանի նախադեպային իրավունք</w:t>
      </w:r>
      <w:r w:rsidR="00174B68" w:rsidRPr="00EF7399">
        <w:rPr>
          <w:rFonts w:ascii="Times New Roman" w:hAnsi="Times New Roman" w:cs="Times New Roman"/>
          <w:lang w:val="af-ZA"/>
        </w:rPr>
        <w:t>ն ըստ էության անդրադարձել է ավելի շատ պետական ծառայողների միավորման ազատության, քան</w:t>
      </w:r>
      <w:r w:rsidRPr="00EF7399">
        <w:rPr>
          <w:rFonts w:ascii="Times New Roman" w:hAnsi="Times New Roman" w:cs="Times New Roman"/>
          <w:lang w:val="af-ZA"/>
        </w:rPr>
        <w:t xml:space="preserve"> </w:t>
      </w:r>
      <w:r w:rsidR="00174B68" w:rsidRPr="00EF7399">
        <w:rPr>
          <w:rFonts w:ascii="Times New Roman" w:hAnsi="Times New Roman" w:cs="Times New Roman"/>
          <w:lang w:val="af-ZA"/>
        </w:rPr>
        <w:t>հավաքների ազատության սահմանափակումներին:</w:t>
      </w:r>
    </w:p>
    <w:p w14:paraId="3DB85706" w14:textId="1768835B" w:rsidR="00F62E41" w:rsidRPr="00EF7399" w:rsidRDefault="00F62E41" w:rsidP="00F62E4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287</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501381" w:rsidRPr="00EF7399">
        <w:rPr>
          <w:rFonts w:ascii="Times New Roman" w:hAnsi="Times New Roman" w:cs="Times New Roman"/>
          <w:lang w:val="af-ZA"/>
        </w:rPr>
        <w:t>11-րդ հոդվածի 2-րդ մասում «</w:t>
      </w:r>
      <w:r w:rsidR="00085F3D" w:rsidRPr="00EF7399">
        <w:rPr>
          <w:rFonts w:ascii="Times New Roman" w:hAnsi="Times New Roman" w:cs="Times New Roman"/>
          <w:lang w:val="af-ZA"/>
        </w:rPr>
        <w:t>օրինական</w:t>
      </w:r>
      <w:r w:rsidR="00501381" w:rsidRPr="00EF7399">
        <w:rPr>
          <w:rFonts w:ascii="Times New Roman" w:hAnsi="Times New Roman" w:cs="Times New Roman"/>
          <w:lang w:val="af-ZA"/>
        </w:rPr>
        <w:t xml:space="preserve">» եզրույթն ակնարկում է </w:t>
      </w:r>
      <w:r w:rsidR="00085F3D" w:rsidRPr="00EF7399">
        <w:rPr>
          <w:rFonts w:ascii="Times New Roman" w:hAnsi="Times New Roman" w:cs="Times New Roman"/>
          <w:lang w:val="af-ZA"/>
        </w:rPr>
        <w:t>օրինականության</w:t>
      </w:r>
      <w:r w:rsidR="00501381" w:rsidRPr="00EF7399">
        <w:rPr>
          <w:rFonts w:ascii="Times New Roman" w:hAnsi="Times New Roman" w:cs="Times New Roman"/>
          <w:lang w:val="af-ZA"/>
        </w:rPr>
        <w:t xml:space="preserve"> նույն հասկացությանը, որին, օգտագործելով նույն կամ նման արտահայտություններ, այլ մասերում </w:t>
      </w:r>
      <w:r w:rsidR="00501381" w:rsidRPr="00EF7399">
        <w:rPr>
          <w:rFonts w:ascii="Times New Roman" w:hAnsi="Times New Roman" w:cs="Times New Roman"/>
          <w:lang w:val="af-ZA"/>
        </w:rPr>
        <w:lastRenderedPageBreak/>
        <w:t>հղում է կատարում Կոնվենցիան</w:t>
      </w:r>
      <w:r w:rsidR="00085F3D" w:rsidRPr="00EF7399">
        <w:rPr>
          <w:rFonts w:ascii="Times New Roman" w:hAnsi="Times New Roman" w:cs="Times New Roman"/>
          <w:lang w:val="af-ZA"/>
        </w:rPr>
        <w:t xml:space="preserve">, մասնավորապես` «նախատեսված </w:t>
      </w:r>
      <w:r w:rsidR="00B702D5" w:rsidRPr="00EF7399">
        <w:rPr>
          <w:rFonts w:ascii="Times New Roman" w:hAnsi="Times New Roman" w:cs="Times New Roman"/>
          <w:lang w:val="hy-AM"/>
        </w:rPr>
        <w:t>է</w:t>
      </w:r>
      <w:r w:rsidR="00085F3D" w:rsidRPr="00EF7399">
        <w:rPr>
          <w:rFonts w:ascii="Times New Roman" w:hAnsi="Times New Roman" w:cs="Times New Roman"/>
          <w:lang w:val="af-ZA"/>
        </w:rPr>
        <w:t xml:space="preserve"> օրենքով» արտահայտությունը 9-րդ և 11-րդ հոդվածների երկրորդ մասերում: Կոնվենցիայում օգտագործված </w:t>
      </w:r>
      <w:r w:rsidR="00B702D5" w:rsidRPr="00EF7399">
        <w:rPr>
          <w:rFonts w:ascii="Times New Roman" w:hAnsi="Times New Roman" w:cs="Times New Roman"/>
          <w:lang w:val="hy-AM"/>
        </w:rPr>
        <w:t>«</w:t>
      </w:r>
      <w:r w:rsidR="00085F3D" w:rsidRPr="00EF7399">
        <w:rPr>
          <w:rFonts w:ascii="Times New Roman" w:hAnsi="Times New Roman" w:cs="Times New Roman"/>
          <w:lang w:val="af-ZA"/>
        </w:rPr>
        <w:t>օրինականության</w:t>
      </w:r>
      <w:r w:rsidR="00B702D5" w:rsidRPr="00EF7399">
        <w:rPr>
          <w:rFonts w:ascii="Times New Roman" w:hAnsi="Times New Roman" w:cs="Times New Roman"/>
          <w:lang w:val="hy-AM"/>
        </w:rPr>
        <w:t>»</w:t>
      </w:r>
      <w:r w:rsidR="00085F3D" w:rsidRPr="00EF7399">
        <w:rPr>
          <w:rFonts w:ascii="Times New Roman" w:hAnsi="Times New Roman" w:cs="Times New Roman"/>
          <w:lang w:val="af-ZA"/>
        </w:rPr>
        <w:t xml:space="preserve"> հասկացությունը ներպետական օրենսդրության</w:t>
      </w:r>
      <w:r w:rsidR="00B702D5" w:rsidRPr="00EF7399">
        <w:rPr>
          <w:rFonts w:ascii="Times New Roman" w:hAnsi="Times New Roman" w:cs="Times New Roman"/>
          <w:lang w:val="hy-AM"/>
        </w:rPr>
        <w:t xml:space="preserve">ը </w:t>
      </w:r>
      <w:r w:rsidR="00B702D5" w:rsidRPr="00EF7399">
        <w:rPr>
          <w:rFonts w:ascii="Times New Roman" w:hAnsi="Times New Roman" w:cs="Times New Roman"/>
          <w:lang w:val="af-ZA"/>
        </w:rPr>
        <w:t>համապատասխանություն</w:t>
      </w:r>
      <w:r w:rsidR="00B702D5" w:rsidRPr="00EF7399">
        <w:rPr>
          <w:rFonts w:ascii="Times New Roman" w:hAnsi="Times New Roman" w:cs="Times New Roman"/>
          <w:lang w:val="hy-AM"/>
        </w:rPr>
        <w:t xml:space="preserve">ից զատ </w:t>
      </w:r>
      <w:r w:rsidR="00085F3D" w:rsidRPr="00EF7399">
        <w:rPr>
          <w:rFonts w:ascii="Times New Roman" w:hAnsi="Times New Roman" w:cs="Times New Roman"/>
          <w:lang w:val="af-ZA"/>
        </w:rPr>
        <w:t xml:space="preserve">նաև ենթադրում է ներպետական օրենսդրության մեջ որակական պահանջներ, օրինակ` կանխատեսելիություն և, ընդհանուր առմամբ, կամայականության բացակայություն </w:t>
      </w:r>
      <w:r w:rsidRPr="00EF7399">
        <w:rPr>
          <w:rFonts w:ascii="Times New Roman" w:hAnsi="Times New Roman" w:cs="Times New Roman"/>
          <w:lang w:val="af-ZA"/>
        </w:rPr>
        <w:t>(</w:t>
      </w:r>
      <w:hyperlink r:id="rId610" w:history="1">
        <w:r w:rsidRPr="00EF7399">
          <w:rPr>
            <w:rStyle w:val="Hyperlink"/>
            <w:rFonts w:ascii="Times New Roman" w:hAnsi="Times New Roman" w:cs="Times New Roman"/>
            <w:lang w:val="af-ZA"/>
          </w:rPr>
          <w:t>Grande Oriente d</w:t>
        </w:r>
        <w:r w:rsidR="00DF297D" w:rsidRPr="00EF7399">
          <w:rPr>
            <w:rStyle w:val="Hyperlink"/>
            <w:rFonts w:ascii="Times New Roman" w:hAnsi="Times New Roman" w:cs="Times New Roman"/>
            <w:lang w:val="af-ZA"/>
          </w:rPr>
          <w:t>’</w:t>
        </w:r>
        <w:r w:rsidRPr="00EF7399">
          <w:rPr>
            <w:rStyle w:val="Hyperlink"/>
            <w:rFonts w:ascii="Times New Roman" w:hAnsi="Times New Roman" w:cs="Times New Roman"/>
            <w:lang w:val="af-ZA"/>
          </w:rPr>
          <w:t>Italia di Palazzo Giustiniani</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Italy</w:t>
        </w:r>
      </w:hyperlink>
      <w:r w:rsidR="00EE0F97" w:rsidRPr="00EF7399">
        <w:rPr>
          <w:rFonts w:ascii="Times New Roman" w:hAnsi="Times New Roman" w:cs="Times New Roman"/>
          <w:lang w:val="af-ZA"/>
        </w:rPr>
        <w:t xml:space="preserve">, </w:t>
      </w:r>
      <w:r w:rsidR="00F672AA" w:rsidRPr="00EF7399">
        <w:rPr>
          <w:rFonts w:ascii="Times New Roman" w:hAnsi="Times New Roman" w:cs="Times New Roman"/>
          <w:lang w:val="af-ZA"/>
        </w:rPr>
        <w:t xml:space="preserve">2001, </w:t>
      </w:r>
      <w:r w:rsidR="00873234" w:rsidRPr="00EF7399">
        <w:rPr>
          <w:rFonts w:ascii="Times New Roman" w:hAnsi="Times New Roman" w:cs="Times New Roman"/>
          <w:lang w:val="af-ZA"/>
        </w:rPr>
        <w:t>§ </w:t>
      </w:r>
      <w:r w:rsidR="00EE0F97" w:rsidRPr="00EF7399">
        <w:rPr>
          <w:rFonts w:ascii="Times New Roman" w:hAnsi="Times New Roman" w:cs="Times New Roman"/>
          <w:lang w:val="af-ZA"/>
        </w:rPr>
        <w:t>30</w:t>
      </w:r>
      <w:r w:rsidRPr="00EF7399">
        <w:rPr>
          <w:rFonts w:ascii="Times New Roman" w:hAnsi="Times New Roman" w:cs="Times New Roman"/>
          <w:lang w:val="af-ZA"/>
        </w:rPr>
        <w:t xml:space="preserve">; </w:t>
      </w:r>
      <w:hyperlink r:id="rId611" w:history="1">
        <w:r w:rsidRPr="00EF7399">
          <w:rPr>
            <w:rStyle w:val="Hyperlink"/>
            <w:rFonts w:ascii="Times New Roman" w:hAnsi="Times New Roman" w:cs="Times New Roman"/>
            <w:lang w:val="af-ZA"/>
          </w:rPr>
          <w:t>Rekvényi</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Hungary</w:t>
        </w:r>
      </w:hyperlink>
      <w:r w:rsidRPr="00EF7399">
        <w:rPr>
          <w:rFonts w:ascii="Times New Roman" w:hAnsi="Times New Roman" w:cs="Times New Roman"/>
          <w:lang w:val="af-ZA"/>
        </w:rPr>
        <w:t xml:space="preserve"> [GC], </w:t>
      </w:r>
      <w:r w:rsidR="00F672AA" w:rsidRPr="00EF7399">
        <w:rPr>
          <w:rFonts w:ascii="Times New Roman" w:hAnsi="Times New Roman" w:cs="Times New Roman"/>
          <w:lang w:val="af-ZA"/>
        </w:rPr>
        <w:t xml:space="preserve">1999, </w:t>
      </w:r>
      <w:r w:rsidR="00873234" w:rsidRPr="00EF7399">
        <w:rPr>
          <w:rFonts w:ascii="Times New Roman" w:hAnsi="Times New Roman" w:cs="Times New Roman"/>
          <w:lang w:val="af-ZA"/>
        </w:rPr>
        <w:t>§ </w:t>
      </w:r>
      <w:r w:rsidRPr="00EF7399">
        <w:rPr>
          <w:rFonts w:ascii="Times New Roman" w:hAnsi="Times New Roman" w:cs="Times New Roman"/>
          <w:lang w:val="af-ZA"/>
        </w:rPr>
        <w:t>59)</w:t>
      </w:r>
      <w:r w:rsidR="00174B68" w:rsidRPr="00EF7399">
        <w:rPr>
          <w:rFonts w:ascii="Times New Roman" w:hAnsi="Times New Roman" w:cs="Times New Roman"/>
          <w:lang w:val="af-ZA"/>
        </w:rPr>
        <w:t>:</w:t>
      </w:r>
    </w:p>
    <w:p w14:paraId="63EF5699" w14:textId="26C8C994" w:rsidR="00F62E41" w:rsidRPr="00EF7399" w:rsidRDefault="00F62E41" w:rsidP="00F62E4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288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085F3D" w:rsidRPr="00EF7399">
        <w:rPr>
          <w:rFonts w:ascii="Times New Roman" w:hAnsi="Times New Roman" w:cs="Times New Roman"/>
          <w:lang w:val="af-ZA"/>
        </w:rPr>
        <w:t xml:space="preserve">11-րդ հոդվածում նշված երեք խմբերի նկատմամբ կիրառվող սահմանափակումները պետք է </w:t>
      </w:r>
      <w:r w:rsidR="006623ED" w:rsidRPr="00EF7399">
        <w:rPr>
          <w:rFonts w:ascii="Times New Roman" w:hAnsi="Times New Roman" w:cs="Times New Roman"/>
          <w:lang w:val="af-ZA"/>
        </w:rPr>
        <w:t xml:space="preserve">ունենան </w:t>
      </w:r>
      <w:r w:rsidR="00B702D5" w:rsidRPr="00EF7399">
        <w:rPr>
          <w:rFonts w:ascii="Times New Roman" w:hAnsi="Times New Roman" w:cs="Times New Roman"/>
          <w:lang w:val="hy-AM"/>
        </w:rPr>
        <w:t>հստակ</w:t>
      </w:r>
      <w:r w:rsidR="00B702D5" w:rsidRPr="00EF7399">
        <w:rPr>
          <w:rFonts w:ascii="Times New Roman" w:hAnsi="Times New Roman" w:cs="Times New Roman"/>
          <w:lang w:val="af-ZA"/>
        </w:rPr>
        <w:t xml:space="preserve"> </w:t>
      </w:r>
      <w:r w:rsidR="00085F3D" w:rsidRPr="00EF7399">
        <w:rPr>
          <w:rFonts w:ascii="Times New Roman" w:hAnsi="Times New Roman" w:cs="Times New Roman"/>
          <w:lang w:val="af-ZA"/>
        </w:rPr>
        <w:t>մեկնաբան</w:t>
      </w:r>
      <w:r w:rsidR="006623ED" w:rsidRPr="00EF7399">
        <w:rPr>
          <w:rFonts w:ascii="Times New Roman" w:hAnsi="Times New Roman" w:cs="Times New Roman"/>
          <w:lang w:val="af-ZA"/>
        </w:rPr>
        <w:t xml:space="preserve">ություն </w:t>
      </w:r>
      <w:r w:rsidR="00085F3D" w:rsidRPr="00EF7399">
        <w:rPr>
          <w:rFonts w:ascii="Times New Roman" w:hAnsi="Times New Roman" w:cs="Times New Roman"/>
          <w:lang w:val="af-ZA"/>
        </w:rPr>
        <w:t xml:space="preserve">և, հետևաբար, սահմանափակվեն խնդրո առարկա իրավունքների «իրականացմամբ»: </w:t>
      </w:r>
      <w:r w:rsidR="006623ED" w:rsidRPr="00EF7399">
        <w:rPr>
          <w:rFonts w:ascii="Times New Roman" w:hAnsi="Times New Roman" w:cs="Times New Roman"/>
          <w:lang w:val="af-ZA"/>
        </w:rPr>
        <w:t>Այս սահմանափակումները չպետք է վնաս հասցնեն կազմակերպվելու իրավունքի բուն էությ</w:t>
      </w:r>
      <w:r w:rsidR="00314DAD" w:rsidRPr="00EF7399">
        <w:rPr>
          <w:rFonts w:ascii="Times New Roman" w:hAnsi="Times New Roman" w:cs="Times New Roman"/>
          <w:lang w:val="af-ZA"/>
        </w:rPr>
        <w:t>ա</w:t>
      </w:r>
      <w:r w:rsidR="006623ED" w:rsidRPr="00EF7399">
        <w:rPr>
          <w:rFonts w:ascii="Times New Roman" w:hAnsi="Times New Roman" w:cs="Times New Roman"/>
          <w:lang w:val="af-ZA"/>
        </w:rPr>
        <w:t xml:space="preserve">նը </w:t>
      </w:r>
      <w:r w:rsidRPr="00EF7399">
        <w:rPr>
          <w:rFonts w:ascii="Times New Roman" w:hAnsi="Times New Roman" w:cs="Times New Roman"/>
          <w:lang w:val="af-ZA"/>
        </w:rPr>
        <w:t>(</w:t>
      </w:r>
      <w:hyperlink r:id="rId612" w:history="1">
        <w:r w:rsidRPr="00EF7399">
          <w:rPr>
            <w:rStyle w:val="Hyperlink"/>
            <w:rFonts w:ascii="Times New Roman" w:hAnsi="Times New Roman" w:cs="Times New Roman"/>
            <w:lang w:val="af-ZA"/>
          </w:rPr>
          <w:t>Demir and Baykara</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i/>
          <w:lang w:val="af-ZA"/>
        </w:rPr>
        <w:t xml:space="preserve"> </w:t>
      </w:r>
      <w:r w:rsidRPr="00EF7399">
        <w:rPr>
          <w:rFonts w:ascii="Times New Roman" w:hAnsi="Times New Roman" w:cs="Times New Roman"/>
          <w:lang w:val="af-ZA"/>
        </w:rPr>
        <w:t xml:space="preserve">[GC], </w:t>
      </w:r>
      <w:r w:rsidR="002801F1" w:rsidRPr="00EF7399">
        <w:rPr>
          <w:rFonts w:ascii="Times New Roman" w:hAnsi="Times New Roman" w:cs="Times New Roman"/>
          <w:lang w:val="af-ZA"/>
        </w:rPr>
        <w:t xml:space="preserve">2008,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97 </w:t>
      </w:r>
      <w:r w:rsidR="00314DAD" w:rsidRPr="00EF7399">
        <w:rPr>
          <w:rFonts w:ascii="Times New Roman" w:hAnsi="Times New Roman" w:cs="Times New Roman"/>
          <w:lang w:val="af-ZA"/>
        </w:rPr>
        <w:t>և</w:t>
      </w:r>
      <w:r w:rsidRPr="00EF7399">
        <w:rPr>
          <w:rFonts w:ascii="Times New Roman" w:hAnsi="Times New Roman" w:cs="Times New Roman"/>
          <w:lang w:val="af-ZA"/>
        </w:rPr>
        <w:t xml:space="preserve"> 119)</w:t>
      </w:r>
      <w:r w:rsidR="00314DAD" w:rsidRPr="00EF7399">
        <w:rPr>
          <w:rFonts w:ascii="Times New Roman" w:hAnsi="Times New Roman" w:cs="Times New Roman"/>
          <w:lang w:val="af-ZA"/>
        </w:rPr>
        <w:t>:</w:t>
      </w:r>
    </w:p>
    <w:p w14:paraId="6FDA081E" w14:textId="0F773DC9" w:rsidR="00F62E41" w:rsidRPr="00EF7399" w:rsidRDefault="00F62E41" w:rsidP="00F62E4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289</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882EC8" w:rsidRPr="00EF7399">
        <w:rPr>
          <w:rFonts w:ascii="Times New Roman" w:hAnsi="Times New Roman" w:cs="Times New Roman"/>
          <w:lang w:val="af-ZA"/>
        </w:rPr>
        <w:t>Թեև 11-րդ հոդվածի 2-րդ մասը բացահայտ չի ակնարկում անհրաժեշտության պահանջին,</w:t>
      </w:r>
      <w:r w:rsidR="004C3581" w:rsidRPr="00EF7399">
        <w:rPr>
          <w:rFonts w:ascii="Times New Roman" w:hAnsi="Times New Roman" w:cs="Times New Roman"/>
          <w:lang w:val="af-ZA"/>
        </w:rPr>
        <w:t xml:space="preserve"> Դատարանը գտել է, որ զինված ուժերի, ոստիկանության կամ </w:t>
      </w:r>
      <w:r w:rsidR="003C5E34" w:rsidRPr="00EF7399">
        <w:rPr>
          <w:rFonts w:ascii="Times New Roman" w:hAnsi="Times New Roman" w:cs="Times New Roman"/>
          <w:lang w:val="af-ZA"/>
        </w:rPr>
        <w:t xml:space="preserve">պետական </w:t>
      </w:r>
      <w:r w:rsidR="00CE0B64" w:rsidRPr="00442543">
        <w:rPr>
          <w:rFonts w:ascii="Times New Roman" w:hAnsi="Times New Roman" w:cs="Times New Roman"/>
          <w:color w:val="262626" w:themeColor="text1" w:themeTint="D9"/>
          <w:szCs w:val="20"/>
          <w:lang w:val="af-ZA"/>
        </w:rPr>
        <w:t>վարչակազմի</w:t>
      </w:r>
      <w:r w:rsidR="003C5E34" w:rsidRPr="00EF7399">
        <w:rPr>
          <w:rFonts w:ascii="Times New Roman" w:hAnsi="Times New Roman" w:cs="Times New Roman"/>
          <w:lang w:val="af-ZA"/>
        </w:rPr>
        <w:t xml:space="preserve"> </w:t>
      </w:r>
      <w:r w:rsidR="004C3581" w:rsidRPr="00EF7399">
        <w:rPr>
          <w:rFonts w:ascii="Times New Roman" w:hAnsi="Times New Roman" w:cs="Times New Roman"/>
          <w:lang w:val="af-ZA"/>
        </w:rPr>
        <w:t xml:space="preserve">անդամների նկատմամբ կիրառվող օրինական սահմանափակումները նույնպես պետք է բավարարեն ծայրահեղ սոցիալական անհրաժեշտության պայմանը և լինեն «անհրաժեշտ ժողովրդավարական հասարակությունում» </w:t>
      </w:r>
      <w:r w:rsidRPr="00EF7399">
        <w:rPr>
          <w:rFonts w:ascii="Times New Roman" w:hAnsi="Times New Roman" w:cs="Times New Roman"/>
          <w:lang w:val="af-ZA"/>
        </w:rPr>
        <w:t>(</w:t>
      </w:r>
      <w:hyperlink r:id="rId613" w:history="1">
        <w:r w:rsidR="00594F9D" w:rsidRPr="00EF7399">
          <w:rPr>
            <w:rStyle w:val="Hyperlink"/>
            <w:rFonts w:ascii="Times New Roman" w:hAnsi="Times New Roman" w:cs="Times New Roman"/>
            <w:lang w:val="af-ZA"/>
          </w:rPr>
          <w:t>Tüm Haber Sen and Çınar</w:t>
        </w:r>
        <w:r w:rsidR="00873234" w:rsidRPr="00EF7399">
          <w:rPr>
            <w:rStyle w:val="Hyperlink"/>
            <w:rFonts w:ascii="Times New Roman" w:hAnsi="Times New Roman" w:cs="Times New Roman"/>
            <w:lang w:val="af-ZA"/>
          </w:rPr>
          <w:t xml:space="preserve"> v. </w:t>
        </w:r>
        <w:r w:rsidR="00594F9D" w:rsidRPr="00EF7399">
          <w:rPr>
            <w:rStyle w:val="Hyperlink"/>
            <w:rFonts w:ascii="Times New Roman" w:hAnsi="Times New Roman" w:cs="Times New Roman"/>
            <w:lang w:val="af-ZA"/>
          </w:rPr>
          <w:t>Turkey</w:t>
        </w:r>
      </w:hyperlink>
      <w:r w:rsidRPr="00EF7399">
        <w:rPr>
          <w:rFonts w:ascii="Times New Roman" w:hAnsi="Times New Roman" w:cs="Times New Roman"/>
          <w:i/>
          <w:lang w:val="af-ZA"/>
        </w:rPr>
        <w:t>,</w:t>
      </w:r>
      <w:r w:rsidRPr="00EF7399">
        <w:rPr>
          <w:rFonts w:ascii="Times New Roman" w:hAnsi="Times New Roman" w:cs="Times New Roman"/>
          <w:lang w:val="af-ZA"/>
        </w:rPr>
        <w:t xml:space="preserve"> </w:t>
      </w:r>
      <w:r w:rsidR="008C5F4A" w:rsidRPr="00EF7399">
        <w:rPr>
          <w:rFonts w:ascii="Times New Roman" w:hAnsi="Times New Roman" w:cs="Times New Roman"/>
          <w:lang w:val="af-ZA"/>
        </w:rPr>
        <w:t xml:space="preserve">2006,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35-35; </w:t>
      </w:r>
      <w:hyperlink r:id="rId614" w:history="1">
        <w:r w:rsidR="00F6406C" w:rsidRPr="00EF7399">
          <w:rPr>
            <w:rStyle w:val="Hyperlink"/>
            <w:rFonts w:ascii="Times New Roman" w:hAnsi="Times New Roman" w:cs="Times New Roman"/>
            <w:lang w:val="af-ZA"/>
          </w:rPr>
          <w:t>Adefdromil</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France</w:t>
        </w:r>
      </w:hyperlink>
      <w:r w:rsidRPr="00EF7399">
        <w:rPr>
          <w:rFonts w:ascii="Times New Roman" w:hAnsi="Times New Roman" w:cs="Times New Roman"/>
          <w:lang w:val="af-ZA"/>
        </w:rPr>
        <w:t xml:space="preserve">, </w:t>
      </w:r>
      <w:r w:rsidR="00F672AA" w:rsidRPr="00EF7399">
        <w:rPr>
          <w:rFonts w:ascii="Times New Roman" w:hAnsi="Times New Roman" w:cs="Times New Roman"/>
          <w:lang w:val="af-ZA"/>
        </w:rPr>
        <w:t xml:space="preserve">2014,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42-45; </w:t>
      </w:r>
      <w:r w:rsidR="004C3581" w:rsidRPr="00EF7399">
        <w:rPr>
          <w:rFonts w:ascii="Times New Roman" w:hAnsi="Times New Roman" w:cs="Times New Roman"/>
          <w:lang w:val="af-ZA"/>
        </w:rPr>
        <w:t>և</w:t>
      </w:r>
      <w:r w:rsidRPr="00EF7399">
        <w:rPr>
          <w:rFonts w:ascii="Times New Roman" w:hAnsi="Times New Roman" w:cs="Times New Roman"/>
          <w:lang w:val="af-ZA"/>
        </w:rPr>
        <w:t xml:space="preserve"> </w:t>
      </w:r>
      <w:hyperlink r:id="rId615" w:history="1">
        <w:r w:rsidR="00594F9D" w:rsidRPr="00EF7399">
          <w:rPr>
            <w:rStyle w:val="Hyperlink"/>
            <w:rFonts w:ascii="Times New Roman" w:hAnsi="Times New Roman" w:cs="Times New Roman"/>
            <w:lang w:val="af-ZA"/>
          </w:rPr>
          <w:t>Trade Union of the Police in the Slovak Republic and Others</w:t>
        </w:r>
        <w:r w:rsidR="00873234" w:rsidRPr="00EF7399">
          <w:rPr>
            <w:rStyle w:val="Hyperlink"/>
            <w:rFonts w:ascii="Times New Roman" w:hAnsi="Times New Roman" w:cs="Times New Roman"/>
            <w:lang w:val="af-ZA"/>
          </w:rPr>
          <w:t xml:space="preserve"> v. </w:t>
        </w:r>
        <w:r w:rsidR="00594F9D" w:rsidRPr="00EF7399">
          <w:rPr>
            <w:rStyle w:val="Hyperlink"/>
            <w:rFonts w:ascii="Times New Roman" w:hAnsi="Times New Roman" w:cs="Times New Roman"/>
            <w:lang w:val="af-ZA"/>
          </w:rPr>
          <w:t>Slovakia</w:t>
        </w:r>
      </w:hyperlink>
      <w:r w:rsidR="00883BD7" w:rsidRPr="00EF7399">
        <w:rPr>
          <w:rFonts w:ascii="Times New Roman" w:hAnsi="Times New Roman" w:cs="Times New Roman"/>
          <w:lang w:val="af-ZA"/>
        </w:rPr>
        <w:t xml:space="preserve">, </w:t>
      </w:r>
      <w:r w:rsidR="002A3689" w:rsidRPr="00EF7399">
        <w:rPr>
          <w:rFonts w:ascii="Times New Roman" w:hAnsi="Times New Roman" w:cs="Times New Roman"/>
          <w:lang w:val="af-ZA"/>
        </w:rPr>
        <w:t xml:space="preserve">2012, </w:t>
      </w:r>
      <w:r w:rsidR="00883BD7"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62 et seq.; </w:t>
      </w:r>
      <w:r w:rsidR="004C3581" w:rsidRPr="00EF7399">
        <w:rPr>
          <w:rFonts w:ascii="Times New Roman" w:hAnsi="Times New Roman" w:cs="Times New Roman"/>
          <w:lang w:val="af-ZA"/>
        </w:rPr>
        <w:t xml:space="preserve">համեմատել և համադրել հետևյալ ավելի վաղ գործերի հետ` </w:t>
      </w:r>
      <w:hyperlink r:id="rId616" w:history="1">
        <w:r w:rsidRPr="00EF7399">
          <w:rPr>
            <w:rStyle w:val="Hyperlink"/>
            <w:rFonts w:ascii="Times New Roman" w:hAnsi="Times New Roman" w:cs="Times New Roman"/>
            <w:lang w:val="af-ZA"/>
          </w:rPr>
          <w:t>Council of Civil Service Unions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the United Kingdom</w:t>
        </w:r>
      </w:hyperlink>
      <w:r w:rsidRPr="00EF7399">
        <w:rPr>
          <w:rFonts w:ascii="Times New Roman" w:hAnsi="Times New Roman" w:cs="Times New Roman"/>
          <w:lang w:val="af-ZA"/>
        </w:rPr>
        <w:t xml:space="preserve">, </w:t>
      </w:r>
      <w:r w:rsidR="004C3581" w:rsidRPr="00EF7399">
        <w:rPr>
          <w:rFonts w:ascii="Times New Roman" w:hAnsi="Times New Roman" w:cs="Times New Roman"/>
          <w:lang w:val="af-ZA"/>
        </w:rPr>
        <w:t>Հանձնաժողովի որոշում</w:t>
      </w:r>
      <w:r w:rsidRPr="00EF7399">
        <w:rPr>
          <w:rFonts w:ascii="Times New Roman" w:hAnsi="Times New Roman" w:cs="Times New Roman"/>
          <w:lang w:val="af-ZA"/>
        </w:rPr>
        <w:t xml:space="preserve">, </w:t>
      </w:r>
      <w:r w:rsidR="00F672AA" w:rsidRPr="00EF7399">
        <w:rPr>
          <w:rFonts w:ascii="Times New Roman" w:hAnsi="Times New Roman" w:cs="Times New Roman"/>
          <w:lang w:val="af-ZA"/>
        </w:rPr>
        <w:t xml:space="preserve">1987, </w:t>
      </w:r>
      <w:r w:rsidR="004C3581" w:rsidRPr="00EF7399">
        <w:rPr>
          <w:rFonts w:ascii="Times New Roman" w:hAnsi="Times New Roman" w:cs="Times New Roman"/>
          <w:lang w:val="af-ZA"/>
        </w:rPr>
        <w:t>որտեղ համարվել է, որ 11-րդ հոդվածի 2-րդ մասում «օրինական» եզրույթը չի ներկայացնում համաչափության որևէ պահանջ</w:t>
      </w:r>
      <w:r w:rsidRPr="00EF7399">
        <w:rPr>
          <w:rFonts w:ascii="Times New Roman" w:hAnsi="Times New Roman" w:cs="Times New Roman"/>
          <w:lang w:val="af-ZA"/>
        </w:rPr>
        <w:t xml:space="preserve">, </w:t>
      </w:r>
      <w:r w:rsidR="004C3581" w:rsidRPr="00EF7399">
        <w:rPr>
          <w:rFonts w:ascii="Times New Roman" w:hAnsi="Times New Roman" w:cs="Times New Roman"/>
          <w:lang w:val="af-ZA"/>
        </w:rPr>
        <w:t>և</w:t>
      </w:r>
      <w:r w:rsidRPr="00EF7399">
        <w:rPr>
          <w:rFonts w:ascii="Times New Roman" w:hAnsi="Times New Roman" w:cs="Times New Roman"/>
          <w:lang w:val="af-ZA"/>
        </w:rPr>
        <w:t xml:space="preserve"> </w:t>
      </w:r>
      <w:hyperlink r:id="rId617" w:history="1">
        <w:r w:rsidRPr="00EF7399">
          <w:rPr>
            <w:rStyle w:val="Hyperlink"/>
            <w:rFonts w:ascii="Times New Roman" w:hAnsi="Times New Roman" w:cs="Times New Roman"/>
            <w:lang w:val="af-ZA"/>
          </w:rPr>
          <w:t>Rekvényi</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Hungary</w:t>
        </w:r>
      </w:hyperlink>
      <w:r w:rsidRPr="00EF7399">
        <w:rPr>
          <w:rFonts w:ascii="Times New Roman" w:hAnsi="Times New Roman" w:cs="Times New Roman"/>
          <w:lang w:val="af-ZA"/>
        </w:rPr>
        <w:t xml:space="preserve"> [GC], </w:t>
      </w:r>
      <w:r w:rsidR="00F672AA" w:rsidRPr="00EF7399">
        <w:rPr>
          <w:rFonts w:ascii="Times New Roman" w:hAnsi="Times New Roman" w:cs="Times New Roman"/>
          <w:lang w:val="af-ZA"/>
        </w:rPr>
        <w:t xml:space="preserve">1999,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61, </w:t>
      </w:r>
      <w:r w:rsidR="004C3581" w:rsidRPr="00EF7399">
        <w:rPr>
          <w:rFonts w:ascii="Times New Roman" w:hAnsi="Times New Roman" w:cs="Times New Roman"/>
          <w:lang w:val="af-ZA"/>
        </w:rPr>
        <w:t>որտեղ հարցը բաց է մնացել</w:t>
      </w:r>
      <w:r w:rsidRPr="00EF7399">
        <w:rPr>
          <w:rFonts w:ascii="Times New Roman" w:hAnsi="Times New Roman" w:cs="Times New Roman"/>
          <w:lang w:val="af-ZA"/>
        </w:rPr>
        <w:t>)</w:t>
      </w:r>
      <w:r w:rsidR="004C3581" w:rsidRPr="00EF7399">
        <w:rPr>
          <w:rFonts w:ascii="Times New Roman" w:hAnsi="Times New Roman" w:cs="Times New Roman"/>
          <w:lang w:val="af-ZA"/>
        </w:rPr>
        <w:t>:</w:t>
      </w:r>
    </w:p>
    <w:p w14:paraId="1A764D41" w14:textId="6F0C0F30" w:rsidR="00886431" w:rsidRPr="00EF7399" w:rsidRDefault="00A83DAB" w:rsidP="00A83DAB">
      <w:pPr>
        <w:pStyle w:val="ECHRHeading2"/>
        <w:numPr>
          <w:ilvl w:val="0"/>
          <w:numId w:val="0"/>
        </w:numPr>
        <w:rPr>
          <w:rFonts w:ascii="Times New Roman" w:hAnsi="Times New Roman" w:cs="Times New Roman"/>
          <w:lang w:val="af-ZA"/>
        </w:rPr>
      </w:pPr>
      <w:bookmarkStart w:id="108" w:name="_Toc159945264"/>
      <w:r>
        <w:rPr>
          <w:rFonts w:ascii="Times New Roman" w:hAnsi="Times New Roman" w:cs="Times New Roman"/>
          <w:lang w:val="hy-AM"/>
        </w:rPr>
        <w:t xml:space="preserve">Ա․ </w:t>
      </w:r>
      <w:r w:rsidR="004C3581" w:rsidRPr="00EF7399">
        <w:rPr>
          <w:rFonts w:ascii="Times New Roman" w:hAnsi="Times New Roman" w:cs="Times New Roman"/>
          <w:lang w:val="af-ZA"/>
        </w:rPr>
        <w:t>Պետ</w:t>
      </w:r>
      <w:r w:rsidR="003C5E34" w:rsidRPr="00EF7399">
        <w:rPr>
          <w:rFonts w:ascii="Times New Roman" w:hAnsi="Times New Roman" w:cs="Times New Roman"/>
          <w:lang w:val="af-ZA"/>
        </w:rPr>
        <w:t xml:space="preserve">ական </w:t>
      </w:r>
      <w:r w:rsidR="00CE0B64" w:rsidRPr="00CE0B64">
        <w:rPr>
          <w:rFonts w:ascii="Times New Roman" w:hAnsi="Times New Roman" w:cs="Times New Roman"/>
          <w:lang w:val="af-ZA"/>
        </w:rPr>
        <w:t>վարչակազմ</w:t>
      </w:r>
      <w:bookmarkEnd w:id="108"/>
    </w:p>
    <w:p w14:paraId="477E6EE2" w14:textId="17D91386" w:rsidR="00886431" w:rsidRPr="00EF7399" w:rsidRDefault="00886431" w:rsidP="0088643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290</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3C5E34" w:rsidRPr="00EF7399">
        <w:rPr>
          <w:rFonts w:ascii="Times New Roman" w:hAnsi="Times New Roman" w:cs="Times New Roman"/>
          <w:lang w:val="af-ZA"/>
        </w:rPr>
        <w:t xml:space="preserve">«Պետական </w:t>
      </w:r>
      <w:r w:rsidR="00CE0B64" w:rsidRPr="00442543">
        <w:rPr>
          <w:rFonts w:ascii="Times New Roman" w:hAnsi="Times New Roman" w:cs="Times New Roman"/>
          <w:color w:val="262626" w:themeColor="text1" w:themeTint="D9"/>
          <w:szCs w:val="20"/>
          <w:lang w:val="af-ZA"/>
        </w:rPr>
        <w:t>վարչակազմ</w:t>
      </w:r>
      <w:r w:rsidR="003C5E34" w:rsidRPr="00EF7399">
        <w:rPr>
          <w:rFonts w:ascii="Times New Roman" w:hAnsi="Times New Roman" w:cs="Times New Roman"/>
          <w:lang w:val="af-ZA"/>
        </w:rPr>
        <w:t xml:space="preserve">» հասկացությունը հարկ է մեկնաբանել նեղ` հաշվի առնելով խնդրո առարկա պաշտոնատար անձի զբաղեցրած պաշտոնը </w:t>
      </w:r>
      <w:r w:rsidRPr="00EF7399">
        <w:rPr>
          <w:rFonts w:ascii="Times New Roman" w:hAnsi="Times New Roman" w:cs="Times New Roman"/>
          <w:lang w:val="af-ZA"/>
        </w:rPr>
        <w:t>(</w:t>
      </w:r>
      <w:hyperlink r:id="rId618" w:history="1">
        <w:r w:rsidRPr="00EF7399">
          <w:rPr>
            <w:rStyle w:val="Hyperlink"/>
            <w:rFonts w:ascii="Times New Roman" w:hAnsi="Times New Roman" w:cs="Times New Roman"/>
            <w:lang w:val="af-ZA"/>
          </w:rPr>
          <w:t>Grande Oriente d</w:t>
        </w:r>
        <w:r w:rsidR="00DF297D" w:rsidRPr="00EF7399">
          <w:rPr>
            <w:rStyle w:val="Hyperlink"/>
            <w:rFonts w:ascii="Times New Roman" w:hAnsi="Times New Roman" w:cs="Times New Roman"/>
            <w:lang w:val="af-ZA"/>
          </w:rPr>
          <w:t>’</w:t>
        </w:r>
        <w:r w:rsidRPr="00EF7399">
          <w:rPr>
            <w:rStyle w:val="Hyperlink"/>
            <w:rFonts w:ascii="Times New Roman" w:hAnsi="Times New Roman" w:cs="Times New Roman"/>
            <w:lang w:val="af-ZA"/>
          </w:rPr>
          <w:t>Italia di Palazzo Giustiniani</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Italy</w:t>
        </w:r>
      </w:hyperlink>
      <w:r w:rsidRPr="00EF7399">
        <w:rPr>
          <w:rFonts w:ascii="Times New Roman" w:hAnsi="Times New Roman" w:cs="Times New Roman"/>
          <w:lang w:val="af-ZA"/>
        </w:rPr>
        <w:t xml:space="preserve">, </w:t>
      </w:r>
      <w:r w:rsidR="00F672AA" w:rsidRPr="00EF7399">
        <w:rPr>
          <w:rFonts w:ascii="Times New Roman" w:hAnsi="Times New Roman" w:cs="Times New Roman"/>
          <w:lang w:val="af-ZA"/>
        </w:rPr>
        <w:t xml:space="preserve">2001,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31, </w:t>
      </w:r>
      <w:r w:rsidR="003C5E34" w:rsidRPr="00EF7399">
        <w:rPr>
          <w:rFonts w:ascii="Times New Roman" w:hAnsi="Times New Roman" w:cs="Times New Roman"/>
          <w:lang w:val="af-ZA"/>
        </w:rPr>
        <w:t>որտեղ խնդրո առարկա պաշտոնները դուրս էին այդ հասկացությունից, քանի որ դրանք չէին հանդիսանում տարածքային իշխանության կազմակեպչական կառուցվածքի մաս</w:t>
      </w:r>
      <w:r w:rsidRPr="00EF7399">
        <w:rPr>
          <w:rFonts w:ascii="Times New Roman" w:hAnsi="Times New Roman" w:cs="Times New Roman"/>
          <w:lang w:val="af-ZA"/>
        </w:rPr>
        <w:t xml:space="preserve">; </w:t>
      </w:r>
      <w:hyperlink r:id="rId619" w:history="1">
        <w:r w:rsidRPr="00EF7399">
          <w:rPr>
            <w:rStyle w:val="Hyperlink"/>
            <w:rFonts w:ascii="Times New Roman" w:hAnsi="Times New Roman" w:cs="Times New Roman"/>
            <w:lang w:val="af-ZA"/>
          </w:rPr>
          <w:t>Vogt</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Germany</w:t>
        </w:r>
      </w:hyperlink>
      <w:r w:rsidRPr="00EF7399">
        <w:rPr>
          <w:rFonts w:ascii="Times New Roman" w:hAnsi="Times New Roman" w:cs="Times New Roman"/>
          <w:lang w:val="af-ZA"/>
        </w:rPr>
        <w:t xml:space="preserve">, </w:t>
      </w:r>
      <w:r w:rsidR="00F672AA" w:rsidRPr="00EF7399">
        <w:rPr>
          <w:rFonts w:ascii="Times New Roman" w:hAnsi="Times New Roman" w:cs="Times New Roman"/>
          <w:lang w:val="af-ZA"/>
        </w:rPr>
        <w:t xml:space="preserve">1995,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67, </w:t>
      </w:r>
      <w:r w:rsidR="003C5E34" w:rsidRPr="00EF7399">
        <w:rPr>
          <w:rFonts w:ascii="Times New Roman" w:hAnsi="Times New Roman" w:cs="Times New Roman"/>
          <w:lang w:val="af-ZA"/>
        </w:rPr>
        <w:t>որտեղ Դատարանը գտավ, որ անհրաժեշտություն չկա քննության առնել այն հարցը, թե արդյոք քաղաքացիական ծառայության մշտական պաշտոնում ուսուցչի նշանակում</w:t>
      </w:r>
      <w:r w:rsidR="002D4812" w:rsidRPr="00EF7399">
        <w:rPr>
          <w:rFonts w:ascii="Times New Roman" w:hAnsi="Times New Roman" w:cs="Times New Roman"/>
          <w:lang w:val="af-ZA"/>
        </w:rPr>
        <w:t>ն այդ հասկացության շրջանակում էր, քանի որ աշխատանքից նրա ազատումն այն հիմքով, որ վերջինս հետևողականորեն հրաժարվել էր սահմանազատվել Գերմանական կոմունիստական կուսակցությունից</w:t>
      </w:r>
      <w:r w:rsidR="008309D1" w:rsidRPr="00EF7399">
        <w:rPr>
          <w:rFonts w:ascii="Times New Roman" w:hAnsi="Times New Roman" w:cs="Times New Roman"/>
          <w:lang w:val="hy-AM"/>
        </w:rPr>
        <w:t>,</w:t>
      </w:r>
      <w:r w:rsidR="002D4812" w:rsidRPr="00EF7399">
        <w:rPr>
          <w:rFonts w:ascii="Times New Roman" w:hAnsi="Times New Roman" w:cs="Times New Roman"/>
          <w:lang w:val="af-ZA"/>
        </w:rPr>
        <w:t xml:space="preserve"> անհամաչափ էր հետապնդած իրավաչափ նպատակին</w:t>
      </w:r>
      <w:r w:rsidRPr="00EF7399">
        <w:rPr>
          <w:rFonts w:ascii="Times New Roman" w:hAnsi="Times New Roman" w:cs="Times New Roman"/>
          <w:lang w:val="af-ZA"/>
        </w:rPr>
        <w:t>)</w:t>
      </w:r>
      <w:r w:rsidR="002D4812" w:rsidRPr="00EF7399">
        <w:rPr>
          <w:rFonts w:ascii="Times New Roman" w:hAnsi="Times New Roman" w:cs="Times New Roman"/>
          <w:lang w:val="af-ZA"/>
        </w:rPr>
        <w:t>:</w:t>
      </w:r>
    </w:p>
    <w:p w14:paraId="5870BDC0" w14:textId="6C6DA64D" w:rsidR="00886431" w:rsidRPr="00EF7399" w:rsidRDefault="00886431" w:rsidP="0088643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291</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33404D" w:rsidRPr="00EF7399">
        <w:rPr>
          <w:rFonts w:ascii="Times New Roman" w:hAnsi="Times New Roman" w:cs="Times New Roman"/>
          <w:lang w:val="af-ZA"/>
        </w:rPr>
        <w:t>Համայնքային քաղաքացիական ծառայողներին, ովքեր չեն մասնակցում պետական կառավարմանը, սկզբունքորեն չի կարելի վերաբերվել</w:t>
      </w:r>
      <w:r w:rsidR="008309D1" w:rsidRPr="00EF7399">
        <w:rPr>
          <w:rFonts w:ascii="Times New Roman" w:hAnsi="Times New Roman" w:cs="Times New Roman"/>
          <w:lang w:val="hy-AM"/>
        </w:rPr>
        <w:t>՝</w:t>
      </w:r>
      <w:r w:rsidR="0033404D" w:rsidRPr="00EF7399">
        <w:rPr>
          <w:rFonts w:ascii="Times New Roman" w:hAnsi="Times New Roman" w:cs="Times New Roman"/>
          <w:lang w:val="af-ZA"/>
        </w:rPr>
        <w:t xml:space="preserve"> որպես «պետական </w:t>
      </w:r>
      <w:r w:rsidR="00CE0B64" w:rsidRPr="00442543">
        <w:rPr>
          <w:rFonts w:ascii="Times New Roman" w:hAnsi="Times New Roman" w:cs="Times New Roman"/>
          <w:color w:val="262626" w:themeColor="text1" w:themeTint="D9"/>
          <w:szCs w:val="20"/>
          <w:lang w:val="af-ZA"/>
        </w:rPr>
        <w:t>վարչակազմի</w:t>
      </w:r>
      <w:r w:rsidR="00CE0B64">
        <w:rPr>
          <w:rFonts w:ascii="Times New Roman" w:hAnsi="Times New Roman" w:cs="Times New Roman"/>
          <w:color w:val="262626" w:themeColor="text1" w:themeTint="D9"/>
          <w:szCs w:val="20"/>
          <w:lang w:val="hy-AM"/>
        </w:rPr>
        <w:t xml:space="preserve"> </w:t>
      </w:r>
      <w:r w:rsidR="0033404D" w:rsidRPr="00EF7399">
        <w:rPr>
          <w:rFonts w:ascii="Times New Roman" w:hAnsi="Times New Roman" w:cs="Times New Roman"/>
          <w:lang w:val="af-ZA"/>
        </w:rPr>
        <w:t xml:space="preserve">անդամներ» և, համապատասխանաբար, չի կարելի այդ հիմքով սահմանափակել արհեստակցական միություններ ստեղծելու և դրանց անդամակցելու նրանց իրավունքը    </w:t>
      </w:r>
      <w:r w:rsidRPr="00EF7399">
        <w:rPr>
          <w:rFonts w:ascii="Times New Roman" w:hAnsi="Times New Roman" w:cs="Times New Roman"/>
          <w:lang w:val="af-ZA"/>
        </w:rPr>
        <w:t>(</w:t>
      </w:r>
      <w:hyperlink r:id="rId620" w:history="1">
        <w:r w:rsidRPr="00EF7399">
          <w:rPr>
            <w:rStyle w:val="Hyperlink"/>
            <w:rFonts w:ascii="Times New Roman" w:hAnsi="Times New Roman" w:cs="Times New Roman"/>
            <w:lang w:val="af-ZA"/>
          </w:rPr>
          <w:t>Demir and Baykara</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00F6406C" w:rsidRPr="00EF7399">
        <w:rPr>
          <w:rFonts w:ascii="Times New Roman" w:hAnsi="Times New Roman" w:cs="Times New Roman"/>
          <w:lang w:val="af-ZA"/>
        </w:rPr>
        <w:t xml:space="preserve"> [GC], </w:t>
      </w:r>
      <w:r w:rsidR="002801F1" w:rsidRPr="00EF7399">
        <w:rPr>
          <w:rFonts w:ascii="Times New Roman" w:hAnsi="Times New Roman" w:cs="Times New Roman"/>
          <w:lang w:val="af-ZA"/>
        </w:rPr>
        <w:t xml:space="preserve">2008, </w:t>
      </w:r>
      <w:r w:rsidR="00873234" w:rsidRPr="00EF7399">
        <w:rPr>
          <w:rFonts w:ascii="Times New Roman" w:hAnsi="Times New Roman" w:cs="Times New Roman"/>
          <w:lang w:val="af-ZA"/>
        </w:rPr>
        <w:t>§ </w:t>
      </w:r>
      <w:r w:rsidR="00F6406C" w:rsidRPr="00EF7399">
        <w:rPr>
          <w:rFonts w:ascii="Times New Roman" w:hAnsi="Times New Roman" w:cs="Times New Roman"/>
          <w:lang w:val="af-ZA"/>
        </w:rPr>
        <w:t>97)</w:t>
      </w:r>
      <w:r w:rsidR="0033404D" w:rsidRPr="00EF7399">
        <w:rPr>
          <w:rFonts w:ascii="Times New Roman" w:hAnsi="Times New Roman" w:cs="Times New Roman"/>
          <w:lang w:val="af-ZA"/>
        </w:rPr>
        <w:t>:</w:t>
      </w:r>
    </w:p>
    <w:p w14:paraId="782C4CEF" w14:textId="7DB34DFF" w:rsidR="00886431" w:rsidRPr="00EF7399" w:rsidRDefault="00886431" w:rsidP="0088643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292</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33404D" w:rsidRPr="00EF7399">
        <w:rPr>
          <w:rFonts w:ascii="Times New Roman" w:hAnsi="Times New Roman" w:cs="Times New Roman"/>
          <w:lang w:val="af-ZA"/>
        </w:rPr>
        <w:t xml:space="preserve">Քանի որ </w:t>
      </w:r>
      <w:r w:rsidR="006B76C9" w:rsidRPr="00EF7399">
        <w:rPr>
          <w:rFonts w:ascii="Times New Roman" w:hAnsi="Times New Roman" w:cs="Times New Roman"/>
          <w:lang w:val="af-ZA"/>
        </w:rPr>
        <w:t xml:space="preserve">ժողովրդավարական հասարակությունում  </w:t>
      </w:r>
      <w:r w:rsidR="0033404D" w:rsidRPr="00EF7399">
        <w:rPr>
          <w:rFonts w:ascii="Times New Roman" w:hAnsi="Times New Roman" w:cs="Times New Roman"/>
          <w:lang w:val="af-ZA"/>
        </w:rPr>
        <w:t>քաղաքացիական ծառայողների դեր</w:t>
      </w:r>
      <w:r w:rsidR="006B76C9" w:rsidRPr="00EF7399">
        <w:rPr>
          <w:rFonts w:ascii="Times New Roman" w:hAnsi="Times New Roman" w:cs="Times New Roman"/>
          <w:lang w:val="af-ZA"/>
        </w:rPr>
        <w:t xml:space="preserve">ն է օգնել կառավարությանն իրականացնել իր գործառույթները, նրանց պարագայում հատուկ կարևորություն է ստանում լոյալության և զսպվածության պարտականությունը: Նման նկատառումները հավասարապես կիրառելի են զինվորական անձնակազմին և ոստիկանության աշխատակիցներին </w:t>
      </w:r>
      <w:r w:rsidRPr="00EF7399">
        <w:rPr>
          <w:rFonts w:ascii="Times New Roman" w:hAnsi="Times New Roman" w:cs="Times New Roman"/>
          <w:lang w:val="af-ZA"/>
        </w:rPr>
        <w:t>(</w:t>
      </w:r>
      <w:hyperlink r:id="rId621" w:history="1">
        <w:r w:rsidR="00594F9D" w:rsidRPr="00EF7399">
          <w:rPr>
            <w:rStyle w:val="Hyperlink"/>
            <w:rFonts w:ascii="Times New Roman" w:hAnsi="Times New Roman" w:cs="Times New Roman"/>
            <w:lang w:val="af-ZA"/>
          </w:rPr>
          <w:t>Trade Union of the Police in the Slovak Republic and Others</w:t>
        </w:r>
        <w:r w:rsidR="00873234" w:rsidRPr="00EF7399">
          <w:rPr>
            <w:rStyle w:val="Hyperlink"/>
            <w:rFonts w:ascii="Times New Roman" w:hAnsi="Times New Roman" w:cs="Times New Roman"/>
            <w:lang w:val="af-ZA"/>
          </w:rPr>
          <w:t xml:space="preserve"> v. </w:t>
        </w:r>
        <w:r w:rsidR="00594F9D" w:rsidRPr="00EF7399">
          <w:rPr>
            <w:rStyle w:val="Hyperlink"/>
            <w:rFonts w:ascii="Times New Roman" w:hAnsi="Times New Roman" w:cs="Times New Roman"/>
            <w:lang w:val="af-ZA"/>
          </w:rPr>
          <w:t>Slovakia</w:t>
        </w:r>
      </w:hyperlink>
      <w:r w:rsidRPr="00EF7399">
        <w:rPr>
          <w:rFonts w:ascii="Times New Roman" w:hAnsi="Times New Roman" w:cs="Times New Roman"/>
          <w:lang w:val="af-ZA"/>
        </w:rPr>
        <w:t xml:space="preserve">, </w:t>
      </w:r>
      <w:r w:rsidR="002A3689" w:rsidRPr="00EF7399">
        <w:rPr>
          <w:rFonts w:ascii="Times New Roman" w:hAnsi="Times New Roman" w:cs="Times New Roman"/>
          <w:lang w:val="af-ZA"/>
        </w:rPr>
        <w:t xml:space="preserve">2012, </w:t>
      </w:r>
      <w:r w:rsidR="00873234" w:rsidRPr="00EF7399">
        <w:rPr>
          <w:rFonts w:ascii="Times New Roman" w:hAnsi="Times New Roman" w:cs="Times New Roman"/>
          <w:lang w:val="af-ZA"/>
        </w:rPr>
        <w:t>§ </w:t>
      </w:r>
      <w:r w:rsidRPr="00EF7399">
        <w:rPr>
          <w:rFonts w:ascii="Times New Roman" w:hAnsi="Times New Roman" w:cs="Times New Roman"/>
          <w:lang w:val="af-ZA"/>
        </w:rPr>
        <w:t>57)</w:t>
      </w:r>
      <w:r w:rsidR="006B76C9" w:rsidRPr="00EF7399">
        <w:rPr>
          <w:rFonts w:ascii="Times New Roman" w:hAnsi="Times New Roman" w:cs="Times New Roman"/>
          <w:lang w:val="af-ZA"/>
        </w:rPr>
        <w:t>:</w:t>
      </w:r>
    </w:p>
    <w:p w14:paraId="56905306" w14:textId="39E71536" w:rsidR="00886431" w:rsidRPr="00EF7399" w:rsidRDefault="006B76C9" w:rsidP="00886431">
      <w:pPr>
        <w:pStyle w:val="ECHRParaSpaced"/>
        <w:rPr>
          <w:rFonts w:ascii="Times New Roman" w:hAnsi="Times New Roman" w:cs="Times New Roman"/>
          <w:lang w:val="af-ZA"/>
        </w:rPr>
      </w:pPr>
      <w:r w:rsidRPr="00EF7399">
        <w:rPr>
          <w:rFonts w:ascii="Times New Roman" w:hAnsi="Times New Roman" w:cs="Times New Roman"/>
          <w:lang w:val="af-ZA"/>
        </w:rPr>
        <w:t xml:space="preserve">Ավելին, քաղաքացիական ծառայողների միավորման ազատությունը կարող է սահմանափակվել, եթե անհրաժեշտ է համարվում պահպանել նրանց քաղաքական չեզոքությունը </w:t>
      </w:r>
      <w:r w:rsidR="00886431" w:rsidRPr="00EF7399">
        <w:rPr>
          <w:rFonts w:ascii="Times New Roman" w:hAnsi="Times New Roman" w:cs="Times New Roman"/>
          <w:lang w:val="af-ZA"/>
        </w:rPr>
        <w:t>(</w:t>
      </w:r>
      <w:r w:rsidRPr="00EF7399">
        <w:rPr>
          <w:rFonts w:ascii="Times New Roman" w:hAnsi="Times New Roman" w:cs="Times New Roman"/>
          <w:lang w:val="af-ZA"/>
        </w:rPr>
        <w:t>տե՛ս</w:t>
      </w:r>
      <w:r w:rsidR="00886431" w:rsidRPr="00EF7399">
        <w:rPr>
          <w:rFonts w:ascii="Times New Roman" w:hAnsi="Times New Roman" w:cs="Times New Roman"/>
          <w:lang w:val="af-ZA"/>
        </w:rPr>
        <w:t xml:space="preserve"> </w:t>
      </w:r>
      <w:hyperlink r:id="rId622" w:history="1">
        <w:r w:rsidR="00886431" w:rsidRPr="00EF7399">
          <w:rPr>
            <w:rStyle w:val="Hyperlink"/>
            <w:rFonts w:ascii="Times New Roman" w:hAnsi="Times New Roman" w:cs="Times New Roman"/>
            <w:lang w:val="af-ZA"/>
          </w:rPr>
          <w:t>Ahmed and Others</w:t>
        </w:r>
        <w:r w:rsidR="00873234" w:rsidRPr="00EF7399">
          <w:rPr>
            <w:rStyle w:val="Hyperlink"/>
            <w:rFonts w:ascii="Times New Roman" w:hAnsi="Times New Roman" w:cs="Times New Roman"/>
            <w:lang w:val="af-ZA"/>
          </w:rPr>
          <w:t xml:space="preserve"> v. </w:t>
        </w:r>
        <w:r w:rsidR="00886431" w:rsidRPr="00EF7399">
          <w:rPr>
            <w:rStyle w:val="Hyperlink"/>
            <w:rFonts w:ascii="Times New Roman" w:hAnsi="Times New Roman" w:cs="Times New Roman"/>
            <w:lang w:val="af-ZA"/>
          </w:rPr>
          <w:t>the United Kingdom</w:t>
        </w:r>
      </w:hyperlink>
      <w:r w:rsidR="00886431" w:rsidRPr="00EF7399">
        <w:rPr>
          <w:rFonts w:ascii="Times New Roman" w:hAnsi="Times New Roman" w:cs="Times New Roman"/>
          <w:lang w:val="af-ZA"/>
        </w:rPr>
        <w:t xml:space="preserve">, </w:t>
      </w:r>
      <w:r w:rsidR="00F672AA" w:rsidRPr="00EF7399">
        <w:rPr>
          <w:rFonts w:ascii="Times New Roman" w:hAnsi="Times New Roman" w:cs="Times New Roman"/>
          <w:lang w:val="af-ZA"/>
        </w:rPr>
        <w:t xml:space="preserve">1998, </w:t>
      </w:r>
      <w:r w:rsidR="00886431" w:rsidRPr="00EF7399">
        <w:rPr>
          <w:rFonts w:ascii="Times New Roman" w:hAnsi="Times New Roman" w:cs="Times New Roman"/>
          <w:lang w:val="af-ZA"/>
        </w:rPr>
        <w:t>§</w:t>
      </w:r>
      <w:r w:rsidR="00873234" w:rsidRPr="00EF7399">
        <w:rPr>
          <w:rFonts w:ascii="Times New Roman" w:hAnsi="Times New Roman" w:cs="Times New Roman"/>
          <w:lang w:val="af-ZA"/>
        </w:rPr>
        <w:t>§ </w:t>
      </w:r>
      <w:r w:rsidR="00886431" w:rsidRPr="00EF7399">
        <w:rPr>
          <w:rFonts w:ascii="Times New Roman" w:hAnsi="Times New Roman" w:cs="Times New Roman"/>
          <w:lang w:val="af-ZA"/>
        </w:rPr>
        <w:t xml:space="preserve">53 </w:t>
      </w:r>
      <w:r w:rsidRPr="00EF7399">
        <w:rPr>
          <w:rFonts w:ascii="Times New Roman" w:hAnsi="Times New Roman" w:cs="Times New Roman"/>
          <w:lang w:val="af-ZA"/>
        </w:rPr>
        <w:t>և</w:t>
      </w:r>
      <w:r w:rsidR="00886431" w:rsidRPr="00EF7399">
        <w:rPr>
          <w:rFonts w:ascii="Times New Roman" w:hAnsi="Times New Roman" w:cs="Times New Roman"/>
          <w:lang w:val="af-ZA"/>
        </w:rPr>
        <w:t xml:space="preserve"> 63, </w:t>
      </w:r>
      <w:r w:rsidRPr="00EF7399">
        <w:rPr>
          <w:rFonts w:ascii="Times New Roman" w:hAnsi="Times New Roman" w:cs="Times New Roman"/>
          <w:lang w:val="af-ZA"/>
        </w:rPr>
        <w:t xml:space="preserve">որտեղ Դատարանը գտավ, որ </w:t>
      </w:r>
      <w:r w:rsidR="0010507C" w:rsidRPr="00EF7399">
        <w:rPr>
          <w:rFonts w:ascii="Times New Roman" w:hAnsi="Times New Roman" w:cs="Times New Roman"/>
          <w:lang w:val="af-ZA"/>
        </w:rPr>
        <w:t xml:space="preserve">իրենց անդամակցած քաղաքական կուսակցությունների կազմում </w:t>
      </w:r>
      <w:r w:rsidRPr="00EF7399">
        <w:rPr>
          <w:rFonts w:ascii="Times New Roman" w:hAnsi="Times New Roman" w:cs="Times New Roman"/>
          <w:lang w:val="af-ZA"/>
        </w:rPr>
        <w:lastRenderedPageBreak/>
        <w:t xml:space="preserve">տեղական իշխանության ավագ պաշտոնատար անձանց քաղաքական գործունեության </w:t>
      </w:r>
      <w:r w:rsidR="0010507C" w:rsidRPr="00EF7399">
        <w:rPr>
          <w:rFonts w:ascii="Times New Roman" w:hAnsi="Times New Roman" w:cs="Times New Roman"/>
          <w:lang w:val="af-ZA"/>
        </w:rPr>
        <w:t>սահմանափակումներ</w:t>
      </w:r>
      <w:r w:rsidR="002214AD" w:rsidRPr="00EF7399">
        <w:rPr>
          <w:rFonts w:ascii="Times New Roman" w:hAnsi="Times New Roman" w:cs="Times New Roman"/>
          <w:lang w:val="af-ZA"/>
        </w:rPr>
        <w:t>ը</w:t>
      </w:r>
      <w:r w:rsidR="0010507C" w:rsidRPr="00EF7399">
        <w:rPr>
          <w:rFonts w:ascii="Times New Roman" w:hAnsi="Times New Roman" w:cs="Times New Roman"/>
          <w:lang w:val="af-ZA"/>
        </w:rPr>
        <w:t xml:space="preserve"> </w:t>
      </w:r>
      <w:r w:rsidRPr="00EF7399">
        <w:rPr>
          <w:rFonts w:ascii="Times New Roman" w:hAnsi="Times New Roman" w:cs="Times New Roman"/>
          <w:lang w:val="af-ZA"/>
        </w:rPr>
        <w:t xml:space="preserve">հիմնավոր </w:t>
      </w:r>
      <w:r w:rsidR="0010507C" w:rsidRPr="00EF7399">
        <w:rPr>
          <w:rFonts w:ascii="Times New Roman" w:hAnsi="Times New Roman" w:cs="Times New Roman"/>
          <w:lang w:val="af-ZA"/>
        </w:rPr>
        <w:t>էին</w:t>
      </w:r>
      <w:r w:rsidR="00886431" w:rsidRPr="00EF7399">
        <w:rPr>
          <w:rFonts w:ascii="Times New Roman" w:hAnsi="Times New Roman" w:cs="Times New Roman"/>
          <w:lang w:val="af-ZA"/>
        </w:rPr>
        <w:t>)</w:t>
      </w:r>
      <w:r w:rsidR="0010507C" w:rsidRPr="00EF7399">
        <w:rPr>
          <w:rFonts w:ascii="Times New Roman" w:hAnsi="Times New Roman" w:cs="Times New Roman"/>
          <w:lang w:val="af-ZA"/>
        </w:rPr>
        <w:t>:</w:t>
      </w:r>
    </w:p>
    <w:p w14:paraId="79CE0416" w14:textId="6D0EE135" w:rsidR="00886431" w:rsidRPr="00EF7399" w:rsidRDefault="00886431" w:rsidP="0088643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293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0507C" w:rsidRPr="00EF7399">
        <w:rPr>
          <w:rFonts w:ascii="Times New Roman" w:hAnsi="Times New Roman" w:cs="Times New Roman"/>
          <w:lang w:val="af-ZA"/>
        </w:rPr>
        <w:t xml:space="preserve">Քաղաքացիական ծառայողներին արհեստակցական միություններ ստեղծելու բացարձակ արգելքն անհամատեղելի է 11-րդ հոդվածի հետ </w:t>
      </w:r>
      <w:r w:rsidRPr="00EF7399">
        <w:rPr>
          <w:rFonts w:ascii="Times New Roman" w:hAnsi="Times New Roman" w:cs="Times New Roman"/>
          <w:lang w:val="af-ZA"/>
        </w:rPr>
        <w:t>(</w:t>
      </w:r>
      <w:hyperlink r:id="rId623" w:history="1">
        <w:r w:rsidR="00594F9D" w:rsidRPr="00EF7399">
          <w:rPr>
            <w:rStyle w:val="Hyperlink"/>
            <w:rFonts w:ascii="Times New Roman" w:hAnsi="Times New Roman" w:cs="Times New Roman"/>
            <w:lang w:val="af-ZA"/>
          </w:rPr>
          <w:t>Tüm Haber Sen and Çınar</w:t>
        </w:r>
        <w:r w:rsidR="00873234" w:rsidRPr="00EF7399">
          <w:rPr>
            <w:rStyle w:val="Hyperlink"/>
            <w:rFonts w:ascii="Times New Roman" w:hAnsi="Times New Roman" w:cs="Times New Roman"/>
            <w:lang w:val="af-ZA"/>
          </w:rPr>
          <w:t xml:space="preserve"> v. </w:t>
        </w:r>
        <w:r w:rsidR="00594F9D"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w:t>
      </w:r>
      <w:r w:rsidR="008C5F4A" w:rsidRPr="00EF7399">
        <w:rPr>
          <w:rFonts w:ascii="Times New Roman" w:hAnsi="Times New Roman" w:cs="Times New Roman"/>
          <w:lang w:val="af-ZA"/>
        </w:rPr>
        <w:t xml:space="preserve">2006,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36 </w:t>
      </w:r>
      <w:r w:rsidR="0010507C" w:rsidRPr="00EF7399">
        <w:rPr>
          <w:rFonts w:ascii="Times New Roman" w:hAnsi="Times New Roman" w:cs="Times New Roman"/>
          <w:lang w:val="af-ZA"/>
        </w:rPr>
        <w:t>և</w:t>
      </w:r>
      <w:r w:rsidRPr="00EF7399">
        <w:rPr>
          <w:rFonts w:ascii="Times New Roman" w:hAnsi="Times New Roman" w:cs="Times New Roman"/>
          <w:lang w:val="af-ZA"/>
        </w:rPr>
        <w:t xml:space="preserve"> 40; </w:t>
      </w:r>
      <w:hyperlink r:id="rId624" w:history="1">
        <w:r w:rsidRPr="00EF7399">
          <w:rPr>
            <w:rStyle w:val="Hyperlink"/>
            <w:rFonts w:ascii="Times New Roman" w:hAnsi="Times New Roman" w:cs="Times New Roman"/>
            <w:lang w:val="af-ZA"/>
          </w:rPr>
          <w:t>Demir and Baykara</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i/>
          <w:lang w:val="af-ZA"/>
        </w:rPr>
        <w:t xml:space="preserve"> </w:t>
      </w:r>
      <w:r w:rsidRPr="00EF7399">
        <w:rPr>
          <w:rFonts w:ascii="Times New Roman" w:hAnsi="Times New Roman" w:cs="Times New Roman"/>
          <w:lang w:val="af-ZA"/>
        </w:rPr>
        <w:t xml:space="preserve">[GC], </w:t>
      </w:r>
      <w:r w:rsidR="002801F1" w:rsidRPr="00EF7399">
        <w:rPr>
          <w:rFonts w:ascii="Times New Roman" w:hAnsi="Times New Roman" w:cs="Times New Roman"/>
          <w:lang w:val="af-ZA"/>
        </w:rPr>
        <w:t xml:space="preserve">2008, </w:t>
      </w:r>
      <w:r w:rsidR="00873234" w:rsidRPr="00EF7399">
        <w:rPr>
          <w:rFonts w:ascii="Times New Roman" w:hAnsi="Times New Roman" w:cs="Times New Roman"/>
          <w:lang w:val="af-ZA"/>
        </w:rPr>
        <w:t>§ </w:t>
      </w:r>
      <w:r w:rsidRPr="00EF7399">
        <w:rPr>
          <w:rFonts w:ascii="Times New Roman" w:hAnsi="Times New Roman" w:cs="Times New Roman"/>
          <w:lang w:val="af-ZA"/>
        </w:rPr>
        <w:t>120)</w:t>
      </w:r>
      <w:r w:rsidR="0010507C" w:rsidRPr="00EF7399">
        <w:rPr>
          <w:rFonts w:ascii="Times New Roman" w:hAnsi="Times New Roman" w:cs="Times New Roman"/>
          <w:lang w:val="af-ZA"/>
        </w:rPr>
        <w:t>:</w:t>
      </w:r>
    </w:p>
    <w:p w14:paraId="6F7FCA4F" w14:textId="4B71E75A" w:rsidR="00886431" w:rsidRPr="00EF7399" w:rsidRDefault="00886431" w:rsidP="0088643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294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0507C" w:rsidRPr="00EF7399">
        <w:rPr>
          <w:rFonts w:ascii="Times New Roman" w:hAnsi="Times New Roman" w:cs="Times New Roman"/>
          <w:lang w:val="af-ZA"/>
        </w:rPr>
        <w:t>Թեև արհմիութենական ազատության սկզբունքը կարող է համ</w:t>
      </w:r>
      <w:r w:rsidR="008309D1" w:rsidRPr="00EF7399">
        <w:rPr>
          <w:rFonts w:ascii="Times New Roman" w:hAnsi="Times New Roman" w:cs="Times New Roman"/>
          <w:lang w:val="hy-AM"/>
        </w:rPr>
        <w:t>ատեղ</w:t>
      </w:r>
      <w:r w:rsidR="0010507C" w:rsidRPr="00EF7399">
        <w:rPr>
          <w:rFonts w:ascii="Times New Roman" w:hAnsi="Times New Roman" w:cs="Times New Roman"/>
          <w:lang w:val="af-ZA"/>
        </w:rPr>
        <w:t>վել պետական ծառայողների որոշ խմբերի գործադուլի իրավունքի արգելքի հետ</w:t>
      </w:r>
      <w:r w:rsidRPr="00EF7399">
        <w:rPr>
          <w:rFonts w:ascii="Times New Roman" w:hAnsi="Times New Roman" w:cs="Times New Roman"/>
          <w:lang w:val="af-ZA"/>
        </w:rPr>
        <w:t xml:space="preserve">, </w:t>
      </w:r>
      <w:r w:rsidR="00422B7C" w:rsidRPr="00EF7399">
        <w:rPr>
          <w:rFonts w:ascii="Times New Roman" w:hAnsi="Times New Roman" w:cs="Times New Roman"/>
          <w:lang w:val="af-ZA"/>
        </w:rPr>
        <w:t xml:space="preserve">այս սահմանափակումը, այդուհանդերձ, չի կարող տարածվել բոլոր պետական ծառայողների կամ պետական առևտրային կամ արդյունաբերական ձեռնարկությունների աշխատողների վրա  </w:t>
      </w:r>
      <w:r w:rsidRPr="00EF7399">
        <w:rPr>
          <w:rFonts w:ascii="Times New Roman" w:hAnsi="Times New Roman" w:cs="Times New Roman"/>
          <w:lang w:val="af-ZA"/>
        </w:rPr>
        <w:t>(</w:t>
      </w:r>
      <w:hyperlink r:id="rId625" w:history="1">
        <w:r w:rsidRPr="00EF7399">
          <w:rPr>
            <w:rStyle w:val="Hyperlink"/>
            <w:rFonts w:ascii="Times New Roman" w:hAnsi="Times New Roman" w:cs="Times New Roman"/>
            <w:lang w:val="af-ZA"/>
          </w:rPr>
          <w:t>Enerji Yapı-Yol Sen</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w:t>
      </w:r>
      <w:r w:rsidR="00723C02" w:rsidRPr="00EF7399">
        <w:rPr>
          <w:rFonts w:ascii="Times New Roman" w:hAnsi="Times New Roman" w:cs="Times New Roman"/>
          <w:lang w:val="af-ZA"/>
        </w:rPr>
        <w:t xml:space="preserve">2009,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32; </w:t>
      </w:r>
      <w:hyperlink r:id="rId626" w:history="1">
        <w:r w:rsidRPr="00EF7399">
          <w:rPr>
            <w:rStyle w:val="Hyperlink"/>
            <w:rFonts w:ascii="Times New Roman" w:hAnsi="Times New Roman" w:cs="Times New Roman"/>
            <w:lang w:val="af-ZA"/>
          </w:rPr>
          <w:t>Junta Rectora Del Ertzainen Nazional Elkartasuna (ER.N.E.)</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Spain</w:t>
        </w:r>
      </w:hyperlink>
      <w:r w:rsidRPr="00EF7399">
        <w:rPr>
          <w:rFonts w:ascii="Times New Roman" w:hAnsi="Times New Roman" w:cs="Times New Roman"/>
          <w:lang w:val="af-ZA"/>
        </w:rPr>
        <w:t xml:space="preserve">, </w:t>
      </w:r>
      <w:r w:rsidR="00F672AA" w:rsidRPr="00EF7399">
        <w:rPr>
          <w:rFonts w:ascii="Times New Roman" w:hAnsi="Times New Roman" w:cs="Times New Roman"/>
          <w:lang w:val="af-ZA"/>
        </w:rPr>
        <w:t xml:space="preserve">2015, </w:t>
      </w:r>
      <w:r w:rsidR="00873234" w:rsidRPr="00EF7399">
        <w:rPr>
          <w:rFonts w:ascii="Times New Roman" w:hAnsi="Times New Roman" w:cs="Times New Roman"/>
          <w:lang w:val="af-ZA"/>
        </w:rPr>
        <w:t>§ </w:t>
      </w:r>
      <w:r w:rsidRPr="00EF7399">
        <w:rPr>
          <w:rFonts w:ascii="Times New Roman" w:hAnsi="Times New Roman" w:cs="Times New Roman"/>
          <w:lang w:val="af-ZA"/>
        </w:rPr>
        <w:t>33)</w:t>
      </w:r>
      <w:r w:rsidR="00422B7C" w:rsidRPr="00EF7399">
        <w:rPr>
          <w:rFonts w:ascii="Times New Roman" w:hAnsi="Times New Roman" w:cs="Times New Roman"/>
          <w:lang w:val="af-ZA"/>
        </w:rPr>
        <w:t>:</w:t>
      </w:r>
    </w:p>
    <w:p w14:paraId="14811E88" w14:textId="14EDC1ED" w:rsidR="00886431" w:rsidRPr="00EF7399" w:rsidRDefault="00886431" w:rsidP="0088643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295</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E7527A" w:rsidRPr="00EF7399">
        <w:rPr>
          <w:rFonts w:ascii="Times New Roman" w:hAnsi="Times New Roman" w:cs="Times New Roman"/>
          <w:lang w:val="af-ZA"/>
        </w:rPr>
        <w:t xml:space="preserve"> Պետության սահմանադրական կառույցների խարխլման մեջ չկասկածվող օրինական միավորման անդամների` պետական պաշտոններ զբաղեցնելու արգելքը չի հիմնավորվում 11-րդ հոդվածի 2-րդ մասով </w:t>
      </w:r>
      <w:r w:rsidRPr="00EF7399">
        <w:rPr>
          <w:rFonts w:ascii="Times New Roman" w:hAnsi="Times New Roman" w:cs="Times New Roman"/>
          <w:lang w:val="af-ZA"/>
        </w:rPr>
        <w:t>(</w:t>
      </w:r>
      <w:hyperlink r:id="rId627" w:history="1">
        <w:r w:rsidRPr="00EF7399">
          <w:rPr>
            <w:rStyle w:val="Hyperlink"/>
            <w:rFonts w:ascii="Times New Roman" w:hAnsi="Times New Roman" w:cs="Times New Roman"/>
            <w:lang w:val="af-ZA"/>
          </w:rPr>
          <w:t>Grande Oriente d</w:t>
        </w:r>
        <w:r w:rsidR="00DF297D" w:rsidRPr="00EF7399">
          <w:rPr>
            <w:rStyle w:val="Hyperlink"/>
            <w:rFonts w:ascii="Times New Roman" w:hAnsi="Times New Roman" w:cs="Times New Roman"/>
            <w:lang w:val="af-ZA"/>
          </w:rPr>
          <w:t>’</w:t>
        </w:r>
        <w:r w:rsidRPr="00EF7399">
          <w:rPr>
            <w:rStyle w:val="Hyperlink"/>
            <w:rFonts w:ascii="Times New Roman" w:hAnsi="Times New Roman" w:cs="Times New Roman"/>
            <w:lang w:val="af-ZA"/>
          </w:rPr>
          <w:t>Italia di Palazzo Giustiniani</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Italy</w:t>
        </w:r>
      </w:hyperlink>
      <w:r w:rsidRPr="00EF7399">
        <w:rPr>
          <w:rFonts w:ascii="Times New Roman" w:hAnsi="Times New Roman" w:cs="Times New Roman"/>
          <w:lang w:val="af-ZA"/>
        </w:rPr>
        <w:t xml:space="preserve">, </w:t>
      </w:r>
      <w:r w:rsidR="00F672AA" w:rsidRPr="00EF7399">
        <w:rPr>
          <w:rFonts w:ascii="Times New Roman" w:hAnsi="Times New Roman" w:cs="Times New Roman"/>
          <w:lang w:val="af-ZA"/>
        </w:rPr>
        <w:t xml:space="preserve">2001, </w:t>
      </w:r>
      <w:r w:rsidR="00E7527A" w:rsidRPr="00EF7399">
        <w:rPr>
          <w:rFonts w:ascii="Times New Roman" w:hAnsi="Times New Roman" w:cs="Times New Roman"/>
          <w:lang w:val="af-ZA"/>
        </w:rPr>
        <w:t>որտեղ ֆրանկմասոններին պարտադրում էին ընտրություն կատարել մասոնական օթյակում իրենց անդամության և պետական պաշտոնի դիմելու միջև</w:t>
      </w:r>
      <w:r w:rsidRPr="00EF7399">
        <w:rPr>
          <w:rFonts w:ascii="Times New Roman" w:hAnsi="Times New Roman" w:cs="Times New Roman"/>
          <w:lang w:val="af-ZA"/>
        </w:rPr>
        <w:t>)</w:t>
      </w:r>
      <w:r w:rsidR="00E7527A" w:rsidRPr="00EF7399">
        <w:rPr>
          <w:rFonts w:ascii="Times New Roman" w:hAnsi="Times New Roman" w:cs="Times New Roman"/>
          <w:lang w:val="af-ZA"/>
        </w:rPr>
        <w:t>:</w:t>
      </w:r>
      <w:r w:rsidRPr="00EF7399">
        <w:rPr>
          <w:rFonts w:ascii="Times New Roman" w:hAnsi="Times New Roman" w:cs="Times New Roman"/>
          <w:lang w:val="af-ZA"/>
        </w:rPr>
        <w:t xml:space="preserve"> </w:t>
      </w:r>
      <w:r w:rsidR="00E873D9" w:rsidRPr="00EF7399">
        <w:rPr>
          <w:rFonts w:ascii="Times New Roman" w:hAnsi="Times New Roman" w:cs="Times New Roman"/>
          <w:lang w:val="af-ZA"/>
        </w:rPr>
        <w:t>Անհատներին պետք չէ</w:t>
      </w:r>
      <w:r w:rsidR="00B407D9" w:rsidRPr="00EF7399">
        <w:rPr>
          <w:rFonts w:ascii="Times New Roman" w:hAnsi="Times New Roman" w:cs="Times New Roman"/>
          <w:lang w:val="af-ZA"/>
        </w:rPr>
        <w:t xml:space="preserve"> հետ պահել նման հանգամանքներում միավորման իրենց իրավունքի իրականացումից՝</w:t>
      </w:r>
      <w:r w:rsidR="00E873D9" w:rsidRPr="00EF7399">
        <w:rPr>
          <w:rFonts w:ascii="Times New Roman" w:hAnsi="Times New Roman" w:cs="Times New Roman"/>
          <w:lang w:val="af-ZA"/>
        </w:rPr>
        <w:t xml:space="preserve"> պաշտոնի իրենց դիմումների մերժման վախով պայմանավորված: Միավորման ազատությունն այնքան կարևոր է, որ այն չի կարող սահմանափակվել նույնիսկ պետական պաշտոնի հավակնորդի դեպքում, քանի դեռ տվյալ անձը չի կատարել դատապարտելի որևէ արարք</w:t>
      </w:r>
      <w:r w:rsidR="00973659" w:rsidRPr="00EF7399">
        <w:rPr>
          <w:rFonts w:ascii="Times New Roman" w:hAnsi="Times New Roman" w:cs="Times New Roman"/>
          <w:lang w:val="hy-AM"/>
        </w:rPr>
        <w:t>՝</w:t>
      </w:r>
      <w:r w:rsidR="00E873D9" w:rsidRPr="00EF7399">
        <w:rPr>
          <w:rFonts w:ascii="Times New Roman" w:hAnsi="Times New Roman" w:cs="Times New Roman"/>
          <w:lang w:val="af-ZA"/>
        </w:rPr>
        <w:t xml:space="preserve"> </w:t>
      </w:r>
      <w:r w:rsidR="00973659" w:rsidRPr="00EF7399">
        <w:rPr>
          <w:rFonts w:ascii="Times New Roman" w:hAnsi="Times New Roman" w:cs="Times New Roman"/>
          <w:lang w:val="af-ZA"/>
        </w:rPr>
        <w:t xml:space="preserve">միավորմանն իր անդամակցությամբ պայմանավորված </w:t>
      </w:r>
      <w:r w:rsidR="00070A20" w:rsidRPr="00EF7399">
        <w:rPr>
          <w:rFonts w:ascii="Times New Roman" w:hAnsi="Times New Roman" w:cs="Times New Roman"/>
          <w:lang w:val="af-ZA"/>
        </w:rPr>
        <w:t>(§</w:t>
      </w:r>
      <w:r w:rsidR="00873234" w:rsidRPr="00EF7399">
        <w:rPr>
          <w:rFonts w:ascii="Times New Roman" w:hAnsi="Times New Roman" w:cs="Times New Roman"/>
          <w:lang w:val="af-ZA"/>
        </w:rPr>
        <w:t>§ </w:t>
      </w:r>
      <w:r w:rsidR="00070A20" w:rsidRPr="00EF7399">
        <w:rPr>
          <w:rFonts w:ascii="Times New Roman" w:hAnsi="Times New Roman" w:cs="Times New Roman"/>
          <w:lang w:val="af-ZA"/>
        </w:rPr>
        <w:t>25-26)</w:t>
      </w:r>
      <w:r w:rsidR="00E873D9" w:rsidRPr="00EF7399">
        <w:rPr>
          <w:rFonts w:ascii="Times New Roman" w:hAnsi="Times New Roman" w:cs="Times New Roman"/>
          <w:lang w:val="af-ZA"/>
        </w:rPr>
        <w:t>:</w:t>
      </w:r>
    </w:p>
    <w:p w14:paraId="387CF530" w14:textId="10CB1D1A" w:rsidR="00886431" w:rsidRPr="00EF7399" w:rsidRDefault="00886431" w:rsidP="0088643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296</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134FBE" w:rsidRPr="00EF7399">
        <w:rPr>
          <w:rFonts w:ascii="Times New Roman" w:hAnsi="Times New Roman" w:cs="Times New Roman"/>
          <w:lang w:val="af-ZA"/>
        </w:rPr>
        <w:t>Պ</w:t>
      </w:r>
      <w:r w:rsidR="00E873D9" w:rsidRPr="00EF7399">
        <w:rPr>
          <w:rFonts w:ascii="Times New Roman" w:hAnsi="Times New Roman" w:cs="Times New Roman"/>
          <w:lang w:val="af-ZA"/>
        </w:rPr>
        <w:t>ետական պաշտոնններ զբաղեցնող անձանց</w:t>
      </w:r>
      <w:r w:rsidR="00134FBE" w:rsidRPr="00EF7399">
        <w:rPr>
          <w:rFonts w:ascii="Times New Roman" w:hAnsi="Times New Roman" w:cs="Times New Roman"/>
          <w:lang w:val="af-ZA"/>
        </w:rPr>
        <w:t xml:space="preserve">, թափանցիկության շահերից ելնելով, միավորման անդամության մասին հայտարարագիր ներկայացնելու պահանջը, երբ նպատակն է տեղեկացնել հանրությանը պետական ծառայողների վրա ազդեցություն ունեցող շահերի հնարավոր բախման մասին, համատեղելի է 11-րդ հոդվածի հետ </w:t>
      </w:r>
      <w:r w:rsidRPr="00EF7399">
        <w:rPr>
          <w:rFonts w:ascii="Times New Roman" w:hAnsi="Times New Roman" w:cs="Times New Roman"/>
          <w:lang w:val="af-ZA"/>
        </w:rPr>
        <w:t>(</w:t>
      </w:r>
      <w:hyperlink r:id="rId628" w:history="1">
        <w:r w:rsidR="00553D74" w:rsidRPr="00EF7399">
          <w:rPr>
            <w:rStyle w:val="Hyperlink"/>
            <w:rFonts w:ascii="Times New Roman" w:hAnsi="Times New Roman" w:cs="Times New Roman"/>
            <w:lang w:val="af-ZA"/>
          </w:rPr>
          <w:t>Siveri and Chiellini</w:t>
        </w:r>
        <w:r w:rsidR="00873234" w:rsidRPr="00EF7399">
          <w:rPr>
            <w:rStyle w:val="Hyperlink"/>
            <w:rFonts w:ascii="Times New Roman" w:hAnsi="Times New Roman" w:cs="Times New Roman"/>
            <w:lang w:val="af-ZA"/>
          </w:rPr>
          <w:t xml:space="preserve"> v. </w:t>
        </w:r>
        <w:r w:rsidR="00553D74" w:rsidRPr="00EF7399">
          <w:rPr>
            <w:rStyle w:val="Hyperlink"/>
            <w:rFonts w:ascii="Times New Roman" w:hAnsi="Times New Roman" w:cs="Times New Roman"/>
            <w:lang w:val="af-ZA"/>
          </w:rPr>
          <w:t>Italy</w:t>
        </w:r>
      </w:hyperlink>
      <w:r w:rsidRPr="00EF7399">
        <w:rPr>
          <w:rFonts w:ascii="Times New Roman" w:hAnsi="Times New Roman" w:cs="Times New Roman"/>
          <w:lang w:val="af-ZA"/>
        </w:rPr>
        <w:t xml:space="preserve"> (dec.), </w:t>
      </w:r>
      <w:r w:rsidR="00F672AA" w:rsidRPr="00EF7399">
        <w:rPr>
          <w:rFonts w:ascii="Times New Roman" w:hAnsi="Times New Roman" w:cs="Times New Roman"/>
          <w:lang w:val="af-ZA"/>
        </w:rPr>
        <w:t xml:space="preserve">2008, </w:t>
      </w:r>
      <w:r w:rsidR="00134FBE" w:rsidRPr="00EF7399">
        <w:rPr>
          <w:rFonts w:ascii="Times New Roman" w:hAnsi="Times New Roman" w:cs="Times New Roman"/>
          <w:lang w:val="af-ZA"/>
        </w:rPr>
        <w:t>որտեղ պահանջվող հայտարարագիրը չներկայացնելու հիմքով գանգատաբերի աշխատանքից ազատումը</w:t>
      </w:r>
      <w:r w:rsidR="00C6351C" w:rsidRPr="00EF7399">
        <w:rPr>
          <w:rFonts w:ascii="Times New Roman" w:hAnsi="Times New Roman" w:cs="Times New Roman"/>
          <w:lang w:val="af-ZA"/>
        </w:rPr>
        <w:t xml:space="preserve"> համարվել էր հիմնավոր</w:t>
      </w:r>
      <w:r w:rsidRPr="00EF7399">
        <w:rPr>
          <w:rFonts w:ascii="Times New Roman" w:hAnsi="Times New Roman" w:cs="Times New Roman"/>
          <w:lang w:val="af-ZA"/>
        </w:rPr>
        <w:t>)</w:t>
      </w:r>
      <w:r w:rsidR="00C6351C" w:rsidRPr="00EF7399">
        <w:rPr>
          <w:rFonts w:ascii="Times New Roman" w:hAnsi="Times New Roman" w:cs="Times New Roman"/>
          <w:lang w:val="af-ZA"/>
        </w:rPr>
        <w:t>:</w:t>
      </w:r>
    </w:p>
    <w:p w14:paraId="2CD70B9B" w14:textId="145027B3" w:rsidR="00886431" w:rsidRPr="00EF7399" w:rsidRDefault="00886431" w:rsidP="0088643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297</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C6351C" w:rsidRPr="00EF7399">
        <w:rPr>
          <w:rFonts w:ascii="Times New Roman" w:hAnsi="Times New Roman" w:cs="Times New Roman"/>
          <w:lang w:val="af-ZA"/>
        </w:rPr>
        <w:t>Արհեստակցական միությանն անդամակցելու հիմքով քաղաքացիական ծառայողի հարկադիր փոխադրումն այլ քաղաք չի ընկնում պետական ծառայության պատշաճ գործունեության և կառավարման շրջանակի մեջ և չհիմնավորված միջամտություն</w:t>
      </w:r>
      <w:r w:rsidR="00973659" w:rsidRPr="00EF7399">
        <w:rPr>
          <w:rFonts w:ascii="Times New Roman" w:hAnsi="Times New Roman" w:cs="Times New Roman"/>
          <w:lang w:val="hy-AM"/>
        </w:rPr>
        <w:t xml:space="preserve"> է</w:t>
      </w:r>
      <w:r w:rsidR="00C6351C" w:rsidRPr="00EF7399">
        <w:rPr>
          <w:rFonts w:ascii="Times New Roman" w:hAnsi="Times New Roman" w:cs="Times New Roman"/>
          <w:lang w:val="af-ZA"/>
        </w:rPr>
        <w:t xml:space="preserve"> արհմիութենական գործունեությանը մասնակցելու</w:t>
      </w:r>
      <w:r w:rsidR="00973659" w:rsidRPr="00EF7399">
        <w:rPr>
          <w:rFonts w:ascii="Times New Roman" w:hAnsi="Times New Roman" w:cs="Times New Roman"/>
          <w:lang w:val="hy-AM"/>
        </w:rPr>
        <w:t>՝</w:t>
      </w:r>
      <w:r w:rsidR="00C6351C" w:rsidRPr="00EF7399">
        <w:rPr>
          <w:rFonts w:ascii="Times New Roman" w:hAnsi="Times New Roman" w:cs="Times New Roman"/>
          <w:lang w:val="af-ZA"/>
        </w:rPr>
        <w:t xml:space="preserve"> քաղաքացիական ծառայողի իրավունքին </w:t>
      </w:r>
      <w:r w:rsidRPr="00EF7399">
        <w:rPr>
          <w:rFonts w:ascii="Times New Roman" w:hAnsi="Times New Roman" w:cs="Times New Roman"/>
          <w:lang w:val="af-ZA"/>
        </w:rPr>
        <w:t>(</w:t>
      </w:r>
      <w:hyperlink r:id="rId629" w:history="1">
        <w:r w:rsidRPr="00EF7399">
          <w:rPr>
            <w:rStyle w:val="Hyperlink"/>
            <w:rFonts w:ascii="Times New Roman" w:hAnsi="Times New Roman" w:cs="Times New Roman"/>
            <w:lang w:val="af-ZA"/>
          </w:rPr>
          <w:t>Metin Turan</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Turkey</w:t>
        </w:r>
      </w:hyperlink>
      <w:r w:rsidRPr="00EF7399">
        <w:rPr>
          <w:rFonts w:ascii="Times New Roman" w:hAnsi="Times New Roman" w:cs="Times New Roman"/>
          <w:lang w:val="af-ZA"/>
        </w:rPr>
        <w:t xml:space="preserve">, </w:t>
      </w:r>
      <w:r w:rsidR="00F672AA" w:rsidRPr="00EF7399">
        <w:rPr>
          <w:rFonts w:ascii="Times New Roman" w:hAnsi="Times New Roman" w:cs="Times New Roman"/>
          <w:lang w:val="af-ZA"/>
        </w:rPr>
        <w:t xml:space="preserve">2006,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30-31)</w:t>
      </w:r>
      <w:r w:rsidR="00C6351C" w:rsidRPr="00EF7399">
        <w:rPr>
          <w:rFonts w:ascii="Times New Roman" w:hAnsi="Times New Roman" w:cs="Times New Roman"/>
          <w:lang w:val="af-ZA"/>
        </w:rPr>
        <w:t xml:space="preserve">: </w:t>
      </w:r>
    </w:p>
    <w:p w14:paraId="50E4F2A1" w14:textId="4AB74DD1" w:rsidR="00886431" w:rsidRPr="00EF7399" w:rsidRDefault="00A83DAB" w:rsidP="00A83DAB">
      <w:pPr>
        <w:pStyle w:val="ECHRHeading2"/>
        <w:numPr>
          <w:ilvl w:val="0"/>
          <w:numId w:val="0"/>
        </w:numPr>
        <w:rPr>
          <w:rFonts w:ascii="Times New Roman" w:hAnsi="Times New Roman" w:cs="Times New Roman"/>
          <w:lang w:val="af-ZA"/>
        </w:rPr>
      </w:pPr>
      <w:bookmarkStart w:id="109" w:name="_Toc159945265"/>
      <w:r>
        <w:rPr>
          <w:rFonts w:ascii="Times New Roman" w:hAnsi="Times New Roman" w:cs="Times New Roman"/>
          <w:lang w:val="hy-AM"/>
        </w:rPr>
        <w:t xml:space="preserve">Բ․ </w:t>
      </w:r>
      <w:r w:rsidR="00C6351C" w:rsidRPr="00EF7399">
        <w:rPr>
          <w:rFonts w:ascii="Times New Roman" w:hAnsi="Times New Roman" w:cs="Times New Roman"/>
          <w:lang w:val="af-ZA"/>
        </w:rPr>
        <w:t>Ոստիկանություն</w:t>
      </w:r>
      <w:bookmarkEnd w:id="109"/>
    </w:p>
    <w:p w14:paraId="7A3CE29A" w14:textId="5BB00A8C" w:rsidR="00886431" w:rsidRPr="00EF7399" w:rsidRDefault="00886431" w:rsidP="0088643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298</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C6351C" w:rsidRPr="00EF7399">
        <w:rPr>
          <w:rFonts w:ascii="Times New Roman" w:hAnsi="Times New Roman" w:cs="Times New Roman"/>
          <w:lang w:val="af-ZA"/>
        </w:rPr>
        <w:t>Հասարակության անդամներն իրավունք ունեն ակնկալել</w:t>
      </w:r>
      <w:r w:rsidR="007A1568" w:rsidRPr="00EF7399">
        <w:rPr>
          <w:rFonts w:ascii="Times New Roman" w:hAnsi="Times New Roman" w:cs="Times New Roman"/>
          <w:lang w:val="af-ZA"/>
        </w:rPr>
        <w:t xml:space="preserve">, որ ոստիկանության հետ </w:t>
      </w:r>
      <w:r w:rsidR="009A08DC" w:rsidRPr="00EF7399">
        <w:rPr>
          <w:rFonts w:ascii="Times New Roman" w:hAnsi="Times New Roman" w:cs="Times New Roman"/>
          <w:lang w:val="af-ZA"/>
        </w:rPr>
        <w:t>շփումներում</w:t>
      </w:r>
      <w:r w:rsidR="007A1568" w:rsidRPr="00EF7399">
        <w:rPr>
          <w:rFonts w:ascii="Times New Roman" w:hAnsi="Times New Roman" w:cs="Times New Roman"/>
          <w:lang w:val="af-ZA"/>
        </w:rPr>
        <w:t xml:space="preserve"> իրենք առերեսվում են քաղաքանապես չեզոք ոստիկանների հետ, ովքեր</w:t>
      </w:r>
      <w:r w:rsidR="009A08DC" w:rsidRPr="00EF7399">
        <w:rPr>
          <w:rFonts w:ascii="Times New Roman" w:hAnsi="Times New Roman" w:cs="Times New Roman"/>
          <w:lang w:val="af-ZA"/>
        </w:rPr>
        <w:t xml:space="preserve"> անկո</w:t>
      </w:r>
      <w:r w:rsidR="00A21E2C" w:rsidRPr="00EF7399">
        <w:rPr>
          <w:rFonts w:ascii="Times New Roman" w:hAnsi="Times New Roman" w:cs="Times New Roman"/>
          <w:lang w:val="af-ZA"/>
        </w:rPr>
        <w:t>ղ</w:t>
      </w:r>
      <w:r w:rsidR="009A08DC" w:rsidRPr="00EF7399">
        <w:rPr>
          <w:rFonts w:ascii="Times New Roman" w:hAnsi="Times New Roman" w:cs="Times New Roman"/>
          <w:lang w:val="af-ZA"/>
        </w:rPr>
        <w:t>մնապա</w:t>
      </w:r>
      <w:r w:rsidR="00980DF1" w:rsidRPr="00EF7399">
        <w:rPr>
          <w:rFonts w:ascii="Times New Roman" w:hAnsi="Times New Roman" w:cs="Times New Roman"/>
          <w:lang w:val="hy-AM"/>
        </w:rPr>
        <w:t>հ</w:t>
      </w:r>
      <w:r w:rsidR="009A08DC" w:rsidRPr="00EF7399">
        <w:rPr>
          <w:rFonts w:ascii="Times New Roman" w:hAnsi="Times New Roman" w:cs="Times New Roman"/>
          <w:lang w:val="af-ZA"/>
        </w:rPr>
        <w:t xml:space="preserve"> են</w:t>
      </w:r>
      <w:r w:rsidR="007A1568" w:rsidRPr="00EF7399">
        <w:rPr>
          <w:rFonts w:ascii="Times New Roman" w:hAnsi="Times New Roman" w:cs="Times New Roman"/>
          <w:lang w:val="af-ZA"/>
        </w:rPr>
        <w:t xml:space="preserve"> </w:t>
      </w:r>
      <w:r w:rsidR="009A08DC" w:rsidRPr="00EF7399">
        <w:rPr>
          <w:rFonts w:ascii="Times New Roman" w:hAnsi="Times New Roman" w:cs="Times New Roman"/>
          <w:lang w:val="af-ZA"/>
        </w:rPr>
        <w:t>քաղաքական պայքարում:</w:t>
      </w:r>
      <w:r w:rsidR="003E36C2" w:rsidRPr="00EF7399">
        <w:rPr>
          <w:rFonts w:ascii="Times New Roman" w:hAnsi="Times New Roman" w:cs="Times New Roman"/>
          <w:lang w:val="af-ZA"/>
        </w:rPr>
        <w:t xml:space="preserve"> Հ</w:t>
      </w:r>
      <w:r w:rsidR="009A08DC" w:rsidRPr="00EF7399">
        <w:rPr>
          <w:rFonts w:ascii="Times New Roman" w:hAnsi="Times New Roman" w:cs="Times New Roman"/>
          <w:lang w:val="af-ZA"/>
        </w:rPr>
        <w:t>ասարակությունում ոստիկանության կարևորագույն դերը</w:t>
      </w:r>
      <w:r w:rsidR="003E36C2" w:rsidRPr="00EF7399">
        <w:rPr>
          <w:rFonts w:ascii="Times New Roman" w:hAnsi="Times New Roman" w:cs="Times New Roman"/>
          <w:lang w:val="af-ZA"/>
        </w:rPr>
        <w:t xml:space="preserve"> </w:t>
      </w:r>
      <w:r w:rsidR="009C76E9" w:rsidRPr="00EF7399">
        <w:rPr>
          <w:rFonts w:ascii="Times New Roman" w:hAnsi="Times New Roman" w:cs="Times New Roman"/>
          <w:lang w:val="af-ZA"/>
        </w:rPr>
        <w:t>ծառայողների քաղաքական չեզոքության խախտման հետևանքով վարկաբեկումից զերծ պահելու ցանկությունը</w:t>
      </w:r>
      <w:r w:rsidR="00455269" w:rsidRPr="00EF7399">
        <w:rPr>
          <w:rFonts w:ascii="Times New Roman" w:hAnsi="Times New Roman" w:cs="Times New Roman"/>
          <w:lang w:val="af-ZA"/>
        </w:rPr>
        <w:t xml:space="preserve"> </w:t>
      </w:r>
      <w:r w:rsidR="003E36C2" w:rsidRPr="00EF7399">
        <w:rPr>
          <w:rFonts w:ascii="Times New Roman" w:hAnsi="Times New Roman" w:cs="Times New Roman"/>
          <w:lang w:val="af-ZA"/>
        </w:rPr>
        <w:t>համադրելի է ժողովրդավարական սկզբունքների</w:t>
      </w:r>
      <w:r w:rsidR="00980DF1" w:rsidRPr="00EF7399">
        <w:rPr>
          <w:rFonts w:ascii="Times New Roman" w:hAnsi="Times New Roman" w:cs="Times New Roman"/>
          <w:lang w:val="hy-AM"/>
        </w:rPr>
        <w:t>ն</w:t>
      </w:r>
      <w:r w:rsidR="003E36C2" w:rsidRPr="00EF7399">
        <w:rPr>
          <w:rFonts w:ascii="Times New Roman" w:hAnsi="Times New Roman" w:cs="Times New Roman"/>
          <w:lang w:val="af-ZA"/>
        </w:rPr>
        <w:t xml:space="preserve"> </w:t>
      </w:r>
      <w:r w:rsidRPr="00EF7399">
        <w:rPr>
          <w:rFonts w:ascii="Times New Roman" w:hAnsi="Times New Roman" w:cs="Times New Roman"/>
          <w:lang w:val="af-ZA"/>
        </w:rPr>
        <w:t>(</w:t>
      </w:r>
      <w:hyperlink r:id="rId630" w:history="1">
        <w:r w:rsidR="00F6406C" w:rsidRPr="00EF7399">
          <w:rPr>
            <w:rStyle w:val="Hyperlink"/>
            <w:rFonts w:ascii="Times New Roman" w:hAnsi="Times New Roman" w:cs="Times New Roman"/>
            <w:lang w:val="af-ZA"/>
          </w:rPr>
          <w:t>Rekvényi</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Hungary</w:t>
        </w:r>
      </w:hyperlink>
      <w:r w:rsidRPr="00EF7399">
        <w:rPr>
          <w:rFonts w:ascii="Times New Roman" w:hAnsi="Times New Roman" w:cs="Times New Roman"/>
          <w:lang w:val="af-ZA"/>
        </w:rPr>
        <w:t xml:space="preserve"> [GC], </w:t>
      </w:r>
      <w:r w:rsidR="00F672AA" w:rsidRPr="00EF7399">
        <w:rPr>
          <w:rFonts w:ascii="Times New Roman" w:hAnsi="Times New Roman" w:cs="Times New Roman"/>
          <w:lang w:val="af-ZA"/>
        </w:rPr>
        <w:t xml:space="preserve">1999, </w:t>
      </w:r>
      <w:r w:rsidR="00873234" w:rsidRPr="00EF7399">
        <w:rPr>
          <w:rFonts w:ascii="Times New Roman" w:hAnsi="Times New Roman" w:cs="Times New Roman"/>
          <w:lang w:val="af-ZA"/>
        </w:rPr>
        <w:t>§ </w:t>
      </w:r>
      <w:r w:rsidRPr="00EF7399">
        <w:rPr>
          <w:rFonts w:ascii="Times New Roman" w:hAnsi="Times New Roman" w:cs="Times New Roman"/>
          <w:lang w:val="af-ZA"/>
        </w:rPr>
        <w:t>41)</w:t>
      </w:r>
      <w:r w:rsidR="00455269" w:rsidRPr="00EF7399">
        <w:rPr>
          <w:rFonts w:ascii="Times New Roman" w:hAnsi="Times New Roman" w:cs="Times New Roman"/>
          <w:lang w:val="af-ZA"/>
        </w:rPr>
        <w:t>: Այսպիսով</w:t>
      </w:r>
      <w:r w:rsidR="00980DF1" w:rsidRPr="00EF7399">
        <w:rPr>
          <w:rFonts w:ascii="Times New Roman" w:hAnsi="Times New Roman" w:cs="Times New Roman"/>
          <w:lang w:val="hy-AM"/>
        </w:rPr>
        <w:t>,</w:t>
      </w:r>
      <w:r w:rsidR="00455269" w:rsidRPr="00EF7399">
        <w:rPr>
          <w:rFonts w:ascii="Times New Roman" w:hAnsi="Times New Roman" w:cs="Times New Roman"/>
          <w:lang w:val="af-ZA"/>
        </w:rPr>
        <w:t xml:space="preserve"> 11-րդ հոդվածի 2-րդ մասով հնարավոր է հիմնավորել ոստիկանության ծառայողների` </w:t>
      </w:r>
      <w:r w:rsidR="00455269" w:rsidRPr="00EF7399">
        <w:rPr>
          <w:rFonts w:ascii="Times New Roman" w:hAnsi="Times New Roman" w:cs="Times New Roman"/>
          <w:i/>
          <w:iCs/>
          <w:lang w:val="af-ZA"/>
        </w:rPr>
        <w:t xml:space="preserve">քաղաքական կուսակցությանն անդամակցելու արգելքը </w:t>
      </w:r>
      <w:r w:rsidRPr="00EF7399">
        <w:rPr>
          <w:rFonts w:ascii="Times New Roman" w:hAnsi="Times New Roman" w:cs="Times New Roman"/>
          <w:lang w:val="af-ZA"/>
        </w:rPr>
        <w:t>(</w:t>
      </w:r>
      <w:hyperlink r:id="rId631" w:history="1">
        <w:r w:rsidR="00E907D9" w:rsidRPr="00EF7399">
          <w:rPr>
            <w:rStyle w:val="Hyperlink"/>
            <w:rFonts w:ascii="Times New Roman" w:hAnsi="Times New Roman" w:cs="Times New Roman"/>
            <w:lang w:val="af-ZA"/>
          </w:rPr>
          <w:t>ibid.</w:t>
        </w:r>
      </w:hyperlink>
      <w:r w:rsidR="00E907D9" w:rsidRPr="00EF7399">
        <w:rPr>
          <w:rFonts w:ascii="Times New Roman" w:hAnsi="Times New Roman" w:cs="Times New Roman"/>
          <w:lang w:val="af-ZA"/>
        </w:rPr>
        <w:t xml:space="preserve">, </w:t>
      </w:r>
      <w:r w:rsidR="00873234" w:rsidRPr="00EF7399">
        <w:rPr>
          <w:rFonts w:ascii="Times New Roman" w:hAnsi="Times New Roman" w:cs="Times New Roman"/>
          <w:lang w:val="af-ZA"/>
        </w:rPr>
        <w:t>§ </w:t>
      </w:r>
      <w:r w:rsidRPr="00EF7399">
        <w:rPr>
          <w:rFonts w:ascii="Times New Roman" w:hAnsi="Times New Roman" w:cs="Times New Roman"/>
          <w:lang w:val="af-ZA"/>
        </w:rPr>
        <w:t>61)</w:t>
      </w:r>
      <w:r w:rsidR="00455269" w:rsidRPr="00EF7399">
        <w:rPr>
          <w:rFonts w:ascii="Times New Roman" w:hAnsi="Times New Roman" w:cs="Times New Roman"/>
          <w:lang w:val="af-ZA"/>
        </w:rPr>
        <w:t xml:space="preserve">: </w:t>
      </w:r>
    </w:p>
    <w:p w14:paraId="0CCE1F2A" w14:textId="0B918636" w:rsidR="00886431" w:rsidRPr="00EF7399" w:rsidRDefault="00886431" w:rsidP="0088643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299</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455269" w:rsidRPr="00EF7399">
        <w:rPr>
          <w:rFonts w:ascii="Times New Roman" w:hAnsi="Times New Roman" w:cs="Times New Roman"/>
          <w:lang w:val="af-ZA"/>
        </w:rPr>
        <w:t xml:space="preserve">Հաշվի առնելով </w:t>
      </w:r>
      <w:r w:rsidR="009C74E0" w:rsidRPr="00EF7399">
        <w:rPr>
          <w:rFonts w:ascii="Times New Roman" w:hAnsi="Times New Roman" w:cs="Times New Roman"/>
          <w:lang w:val="af-ZA"/>
        </w:rPr>
        <w:t xml:space="preserve">նրանց առաջնահերթ դերը </w:t>
      </w:r>
      <w:r w:rsidR="00455269" w:rsidRPr="00EF7399">
        <w:rPr>
          <w:rFonts w:ascii="Times New Roman" w:hAnsi="Times New Roman" w:cs="Times New Roman"/>
          <w:lang w:val="af-ZA"/>
        </w:rPr>
        <w:t>ներքին կարգ</w:t>
      </w:r>
      <w:r w:rsidR="009C74E0" w:rsidRPr="00EF7399">
        <w:rPr>
          <w:rFonts w:ascii="Times New Roman" w:hAnsi="Times New Roman" w:cs="Times New Roman"/>
          <w:lang w:val="af-ZA"/>
        </w:rPr>
        <w:t>ուկանոն</w:t>
      </w:r>
      <w:r w:rsidR="002554C5" w:rsidRPr="00EF7399">
        <w:rPr>
          <w:rFonts w:ascii="Times New Roman" w:hAnsi="Times New Roman" w:cs="Times New Roman"/>
          <w:lang w:val="af-ZA"/>
        </w:rPr>
        <w:t>ը</w:t>
      </w:r>
      <w:r w:rsidR="009C74E0" w:rsidRPr="00EF7399">
        <w:rPr>
          <w:rFonts w:ascii="Times New Roman" w:hAnsi="Times New Roman" w:cs="Times New Roman"/>
          <w:lang w:val="af-ZA"/>
        </w:rPr>
        <w:t xml:space="preserve"> և անվտանգությ</w:t>
      </w:r>
      <w:r w:rsidR="002554C5" w:rsidRPr="00EF7399">
        <w:rPr>
          <w:rFonts w:ascii="Times New Roman" w:hAnsi="Times New Roman" w:cs="Times New Roman"/>
          <w:lang w:val="af-ZA"/>
        </w:rPr>
        <w:t>ունն</w:t>
      </w:r>
      <w:r w:rsidR="009C74E0" w:rsidRPr="00EF7399">
        <w:rPr>
          <w:rFonts w:ascii="Times New Roman" w:hAnsi="Times New Roman" w:cs="Times New Roman"/>
          <w:lang w:val="af-ZA"/>
        </w:rPr>
        <w:t xml:space="preserve"> ապահով</w:t>
      </w:r>
      <w:r w:rsidR="002554C5" w:rsidRPr="00EF7399">
        <w:rPr>
          <w:rFonts w:ascii="Times New Roman" w:hAnsi="Times New Roman" w:cs="Times New Roman"/>
          <w:lang w:val="af-ZA"/>
        </w:rPr>
        <w:t>ելու</w:t>
      </w:r>
      <w:r w:rsidR="009C74E0" w:rsidRPr="00EF7399">
        <w:rPr>
          <w:rFonts w:ascii="Times New Roman" w:hAnsi="Times New Roman" w:cs="Times New Roman"/>
          <w:lang w:val="af-ZA"/>
        </w:rPr>
        <w:t>, հանցավորության դեմ պայքար</w:t>
      </w:r>
      <w:r w:rsidR="002554C5" w:rsidRPr="00EF7399">
        <w:rPr>
          <w:rFonts w:ascii="Times New Roman" w:hAnsi="Times New Roman" w:cs="Times New Roman"/>
          <w:lang w:val="af-ZA"/>
        </w:rPr>
        <w:t>ելու</w:t>
      </w:r>
      <w:r w:rsidR="009C74E0" w:rsidRPr="00EF7399">
        <w:rPr>
          <w:rFonts w:ascii="Times New Roman" w:hAnsi="Times New Roman" w:cs="Times New Roman"/>
          <w:lang w:val="af-ZA"/>
        </w:rPr>
        <w:t xml:space="preserve"> գործում` ոստիկանության ծառայողների</w:t>
      </w:r>
      <w:r w:rsidR="002554C5" w:rsidRPr="00EF7399">
        <w:rPr>
          <w:rFonts w:ascii="Times New Roman" w:hAnsi="Times New Roman" w:cs="Times New Roman"/>
          <w:lang w:val="af-ZA"/>
        </w:rPr>
        <w:t xml:space="preserve"> պաշտոնին և դերին ներհատուկ պարտականությունները և գործառույթներն արդարացնում են հատուկ պայմանները, որոնք կիրառելի են նրանց </w:t>
      </w:r>
      <w:r w:rsidR="002554C5" w:rsidRPr="00EF7399">
        <w:rPr>
          <w:rFonts w:ascii="Times New Roman" w:hAnsi="Times New Roman" w:cs="Times New Roman"/>
          <w:i/>
          <w:iCs/>
          <w:lang w:val="af-ZA"/>
        </w:rPr>
        <w:t xml:space="preserve">արհմիութենական իրավունքների </w:t>
      </w:r>
      <w:r w:rsidR="002554C5" w:rsidRPr="00EF7399">
        <w:rPr>
          <w:rFonts w:ascii="Times New Roman" w:hAnsi="Times New Roman" w:cs="Times New Roman"/>
          <w:lang w:val="af-ZA"/>
        </w:rPr>
        <w:t>իրա</w:t>
      </w:r>
      <w:r w:rsidR="00980DF1" w:rsidRPr="00EF7399">
        <w:rPr>
          <w:rFonts w:ascii="Times New Roman" w:hAnsi="Times New Roman" w:cs="Times New Roman"/>
          <w:lang w:val="hy-AM"/>
        </w:rPr>
        <w:t>ցմ</w:t>
      </w:r>
      <w:r w:rsidR="002554C5" w:rsidRPr="00EF7399">
        <w:rPr>
          <w:rFonts w:ascii="Times New Roman" w:hAnsi="Times New Roman" w:cs="Times New Roman"/>
          <w:lang w:val="af-ZA"/>
        </w:rPr>
        <w:t>անը: Իրավաչափ է պահանջը, որ ոստիկանության ծառայողները գործեն անկողմնակալ, երբ արտահայտում են իրենց տեսակետ</w:t>
      </w:r>
      <w:r w:rsidR="00980DF1" w:rsidRPr="00EF7399">
        <w:rPr>
          <w:rFonts w:ascii="Times New Roman" w:hAnsi="Times New Roman" w:cs="Times New Roman"/>
          <w:lang w:val="hy-AM"/>
        </w:rPr>
        <w:t>ն</w:t>
      </w:r>
      <w:r w:rsidR="002554C5" w:rsidRPr="00EF7399">
        <w:rPr>
          <w:rFonts w:ascii="Times New Roman" w:hAnsi="Times New Roman" w:cs="Times New Roman"/>
          <w:lang w:val="af-ZA"/>
        </w:rPr>
        <w:t xml:space="preserve">երը, որպեսզի </w:t>
      </w:r>
      <w:r w:rsidR="00941B53" w:rsidRPr="00EF7399">
        <w:rPr>
          <w:rFonts w:ascii="Times New Roman" w:hAnsi="Times New Roman" w:cs="Times New Roman"/>
          <w:lang w:val="af-ZA"/>
        </w:rPr>
        <w:t xml:space="preserve">նրանք պահպանեն հասարակության աչքերում իրենց վստահությունը և հուսալիությունը: Այս նպատակին հասնելու համար արհեստակցական միության անդամներին պատժի ենթարկելը համապատասխանում է </w:t>
      </w:r>
      <w:r w:rsidR="00941B53" w:rsidRPr="00EF7399">
        <w:rPr>
          <w:rFonts w:ascii="Times New Roman" w:hAnsi="Times New Roman" w:cs="Times New Roman"/>
          <w:lang w:val="af-ZA"/>
        </w:rPr>
        <w:lastRenderedPageBreak/>
        <w:t xml:space="preserve">«ծայրահեղ սոցիալական անհրաժեշտությանը» </w:t>
      </w:r>
      <w:r w:rsidRPr="00EF7399">
        <w:rPr>
          <w:rFonts w:ascii="Times New Roman" w:hAnsi="Times New Roman" w:cs="Times New Roman"/>
          <w:lang w:val="af-ZA"/>
        </w:rPr>
        <w:t>(</w:t>
      </w:r>
      <w:hyperlink r:id="rId632" w:history="1">
        <w:r w:rsidR="00594F9D" w:rsidRPr="00EF7399">
          <w:rPr>
            <w:rStyle w:val="Hyperlink"/>
            <w:rFonts w:ascii="Times New Roman" w:hAnsi="Times New Roman" w:cs="Times New Roman"/>
            <w:lang w:val="af-ZA"/>
          </w:rPr>
          <w:t>Trade Union of the Police in the Slovak Republic and Others</w:t>
        </w:r>
        <w:r w:rsidR="00873234" w:rsidRPr="00EF7399">
          <w:rPr>
            <w:rStyle w:val="Hyperlink"/>
            <w:rFonts w:ascii="Times New Roman" w:hAnsi="Times New Roman" w:cs="Times New Roman"/>
            <w:lang w:val="af-ZA"/>
          </w:rPr>
          <w:t xml:space="preserve"> v. </w:t>
        </w:r>
        <w:r w:rsidR="00594F9D" w:rsidRPr="00EF7399">
          <w:rPr>
            <w:rStyle w:val="Hyperlink"/>
            <w:rFonts w:ascii="Times New Roman" w:hAnsi="Times New Roman" w:cs="Times New Roman"/>
            <w:lang w:val="af-ZA"/>
          </w:rPr>
          <w:t>Slovakia</w:t>
        </w:r>
      </w:hyperlink>
      <w:r w:rsidRPr="00EF7399">
        <w:rPr>
          <w:rFonts w:ascii="Times New Roman" w:hAnsi="Times New Roman" w:cs="Times New Roman"/>
          <w:lang w:val="af-ZA"/>
        </w:rPr>
        <w:t xml:space="preserve">, </w:t>
      </w:r>
      <w:r w:rsidR="002A3689" w:rsidRPr="00EF7399">
        <w:rPr>
          <w:rFonts w:ascii="Times New Roman" w:hAnsi="Times New Roman" w:cs="Times New Roman"/>
          <w:lang w:val="af-ZA"/>
        </w:rPr>
        <w:t xml:space="preserve">2012,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67-70)</w:t>
      </w:r>
      <w:r w:rsidR="00941B53" w:rsidRPr="00EF7399">
        <w:rPr>
          <w:rFonts w:ascii="Times New Roman" w:hAnsi="Times New Roman" w:cs="Times New Roman"/>
          <w:lang w:val="af-ZA"/>
        </w:rPr>
        <w:t>:</w:t>
      </w:r>
    </w:p>
    <w:p w14:paraId="5A8E536A" w14:textId="4ACF173B" w:rsidR="00886431" w:rsidRPr="00EF7399" w:rsidRDefault="00886431" w:rsidP="0088643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300</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980DF1" w:rsidRPr="00EF7399">
        <w:rPr>
          <w:rFonts w:ascii="Times New Roman" w:hAnsi="Times New Roman" w:cs="Times New Roman"/>
          <w:lang w:val="hy-AM"/>
        </w:rPr>
        <w:t>Ո</w:t>
      </w:r>
      <w:r w:rsidR="00980DF1" w:rsidRPr="00EF7399">
        <w:rPr>
          <w:rFonts w:ascii="Times New Roman" w:hAnsi="Times New Roman" w:cs="Times New Roman"/>
          <w:lang w:val="af-ZA"/>
        </w:rPr>
        <w:t xml:space="preserve">ստիկանության արհեստակցական միության նկատմամբ կիրառվող </w:t>
      </w:r>
      <w:r w:rsidR="00980DF1" w:rsidRPr="00EF7399">
        <w:rPr>
          <w:rFonts w:ascii="Times New Roman" w:hAnsi="Times New Roman" w:cs="Times New Roman"/>
          <w:i/>
          <w:iCs/>
          <w:lang w:val="af-ZA"/>
        </w:rPr>
        <w:t xml:space="preserve">գործադուլի արգելքը </w:t>
      </w:r>
      <w:r w:rsidR="00980DF1" w:rsidRPr="00EF7399">
        <w:rPr>
          <w:rFonts w:ascii="Times New Roman" w:hAnsi="Times New Roman" w:cs="Times New Roman"/>
          <w:lang w:val="af-ZA"/>
        </w:rPr>
        <w:t>հետապնդում է անկարգությունը կանխելու իրավաչափ նպատակ</w:t>
      </w:r>
      <w:r w:rsidR="00980DF1" w:rsidRPr="00EF7399">
        <w:rPr>
          <w:rFonts w:ascii="Times New Roman" w:hAnsi="Times New Roman" w:cs="Times New Roman"/>
          <w:lang w:val="hy-AM"/>
        </w:rPr>
        <w:t>՝</w:t>
      </w:r>
      <w:r w:rsidR="00980DF1" w:rsidRPr="00EF7399">
        <w:rPr>
          <w:rFonts w:ascii="Times New Roman" w:hAnsi="Times New Roman" w:cs="Times New Roman"/>
          <w:lang w:val="af-ZA"/>
        </w:rPr>
        <w:t xml:space="preserve"> </w:t>
      </w:r>
      <w:r w:rsidR="00980DF1" w:rsidRPr="00EF7399">
        <w:rPr>
          <w:rFonts w:ascii="Times New Roman" w:hAnsi="Times New Roman" w:cs="Times New Roman"/>
          <w:lang w:val="hy-AM"/>
        </w:rPr>
        <w:t>հաշվի</w:t>
      </w:r>
      <w:r w:rsidR="00980DF1" w:rsidRPr="00EF7399">
        <w:rPr>
          <w:rFonts w:ascii="Times New Roman" w:hAnsi="Times New Roman" w:cs="Times New Roman"/>
          <w:lang w:val="af-ZA"/>
        </w:rPr>
        <w:t xml:space="preserve"> </w:t>
      </w:r>
      <w:r w:rsidR="00941B53" w:rsidRPr="00EF7399">
        <w:rPr>
          <w:rFonts w:ascii="Times New Roman" w:hAnsi="Times New Roman" w:cs="Times New Roman"/>
          <w:lang w:val="af-ZA"/>
        </w:rPr>
        <w:t>առնելով ոստիկանությանը վերապահված առանձնահատուկ պարտականությունները և վերջինիս գործունեության խափանման հնարավոր հետևանքները: Ոստիկանության անխափան ծառայություն</w:t>
      </w:r>
      <w:r w:rsidR="00980DF1" w:rsidRPr="00EF7399">
        <w:rPr>
          <w:rFonts w:ascii="Times New Roman" w:hAnsi="Times New Roman" w:cs="Times New Roman"/>
          <w:lang w:val="hy-AM"/>
        </w:rPr>
        <w:t>ն</w:t>
      </w:r>
      <w:r w:rsidR="00941B53" w:rsidRPr="00EF7399">
        <w:rPr>
          <w:rFonts w:ascii="Times New Roman" w:hAnsi="Times New Roman" w:cs="Times New Roman"/>
          <w:lang w:val="af-ZA"/>
        </w:rPr>
        <w:t xml:space="preserve"> ապահովելու անհրաժեշտությունը և այն հանգամանքը, որ նրանք կրում են զենք, տարբերում է նրանց </w:t>
      </w:r>
      <w:r w:rsidR="00787BC6" w:rsidRPr="00EF7399">
        <w:rPr>
          <w:rFonts w:ascii="Times New Roman" w:hAnsi="Times New Roman" w:cs="Times New Roman"/>
          <w:lang w:val="af-ZA"/>
        </w:rPr>
        <w:t xml:space="preserve">այլ քաղաքացիական ծառայողներից` հիմնավորելով միավորման </w:t>
      </w:r>
      <w:r w:rsidR="00941B53" w:rsidRPr="00EF7399">
        <w:rPr>
          <w:rFonts w:ascii="Times New Roman" w:hAnsi="Times New Roman" w:cs="Times New Roman"/>
          <w:lang w:val="af-ZA"/>
        </w:rPr>
        <w:t xml:space="preserve"> </w:t>
      </w:r>
      <w:r w:rsidR="00787BC6" w:rsidRPr="00EF7399">
        <w:rPr>
          <w:rFonts w:ascii="Times New Roman" w:hAnsi="Times New Roman" w:cs="Times New Roman"/>
          <w:lang w:val="af-ZA"/>
        </w:rPr>
        <w:t xml:space="preserve">նրանց իրավունքի սահմանափակումը: Պետությանը տրված է հանրային շահերից ելնելով ոստիկանության արհեստակցական միության գործունեության որոշակի հարցեր կանոնագելու </w:t>
      </w:r>
      <w:r w:rsidR="00980DF1" w:rsidRPr="00EF7399">
        <w:rPr>
          <w:rFonts w:ascii="Times New Roman" w:hAnsi="Times New Roman" w:cs="Times New Roman"/>
          <w:lang w:val="af-ZA"/>
        </w:rPr>
        <w:t>հայեցողությ</w:t>
      </w:r>
      <w:r w:rsidR="00980DF1" w:rsidRPr="00EF7399">
        <w:rPr>
          <w:rFonts w:ascii="Times New Roman" w:hAnsi="Times New Roman" w:cs="Times New Roman"/>
          <w:lang w:val="hy-AM"/>
        </w:rPr>
        <w:t>ա</w:t>
      </w:r>
      <w:r w:rsidR="00980DF1" w:rsidRPr="00EF7399">
        <w:rPr>
          <w:rFonts w:ascii="Times New Roman" w:hAnsi="Times New Roman" w:cs="Times New Roman"/>
          <w:lang w:val="af-ZA"/>
        </w:rPr>
        <w:t xml:space="preserve">ն </w:t>
      </w:r>
      <w:r w:rsidR="00787BC6" w:rsidRPr="00EF7399">
        <w:rPr>
          <w:rFonts w:ascii="Times New Roman" w:hAnsi="Times New Roman" w:cs="Times New Roman"/>
          <w:lang w:val="af-ZA"/>
        </w:rPr>
        <w:t>բավականաչափ լայն</w:t>
      </w:r>
      <w:r w:rsidR="00980DF1" w:rsidRPr="00EF7399">
        <w:rPr>
          <w:rFonts w:ascii="Times New Roman" w:hAnsi="Times New Roman" w:cs="Times New Roman"/>
          <w:lang w:val="hy-AM"/>
        </w:rPr>
        <w:t xml:space="preserve"> շրջանակ</w:t>
      </w:r>
      <w:r w:rsidR="00787BC6" w:rsidRPr="00EF7399">
        <w:rPr>
          <w:rFonts w:ascii="Times New Roman" w:hAnsi="Times New Roman" w:cs="Times New Roman"/>
          <w:lang w:val="af-ZA"/>
        </w:rPr>
        <w:t>, որը, սակայն, չի զրկում միութ</w:t>
      </w:r>
      <w:r w:rsidR="00980DF1" w:rsidRPr="00EF7399">
        <w:rPr>
          <w:rFonts w:ascii="Times New Roman" w:hAnsi="Times New Roman" w:cs="Times New Roman"/>
          <w:lang w:val="hy-AM"/>
        </w:rPr>
        <w:t>յա</w:t>
      </w:r>
      <w:r w:rsidR="00787BC6" w:rsidRPr="00EF7399">
        <w:rPr>
          <w:rFonts w:ascii="Times New Roman" w:hAnsi="Times New Roman" w:cs="Times New Roman"/>
          <w:lang w:val="af-ZA"/>
        </w:rPr>
        <w:t xml:space="preserve">նը 11-րդ հոդվածով պաշտպանված իր իրավունքների բուն բովանդակությունից </w:t>
      </w:r>
      <w:r w:rsidRPr="00EF7399">
        <w:rPr>
          <w:rFonts w:ascii="Times New Roman" w:hAnsi="Times New Roman" w:cs="Times New Roman"/>
          <w:lang w:val="af-ZA"/>
        </w:rPr>
        <w:t>(</w:t>
      </w:r>
      <w:hyperlink r:id="rId633" w:history="1">
        <w:r w:rsidRPr="00EF7399">
          <w:rPr>
            <w:rStyle w:val="Hyperlink"/>
            <w:rFonts w:ascii="Times New Roman" w:hAnsi="Times New Roman" w:cs="Times New Roman"/>
            <w:lang w:val="af-ZA"/>
          </w:rPr>
          <w:t>Junta Rectora Del Ertzainen Nazional Elkartasuna (ER.N.E.)</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Spain</w:t>
        </w:r>
      </w:hyperlink>
      <w:r w:rsidRPr="00EF7399">
        <w:rPr>
          <w:rFonts w:ascii="Times New Roman" w:hAnsi="Times New Roman" w:cs="Times New Roman"/>
          <w:lang w:val="af-ZA"/>
        </w:rPr>
        <w:t xml:space="preserve">, </w:t>
      </w:r>
      <w:r w:rsidR="00F672AA" w:rsidRPr="00EF7399">
        <w:rPr>
          <w:rFonts w:ascii="Times New Roman" w:hAnsi="Times New Roman" w:cs="Times New Roman"/>
          <w:lang w:val="af-ZA"/>
        </w:rPr>
        <w:t xml:space="preserve">2015,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37-39)</w:t>
      </w:r>
      <w:r w:rsidR="00787BC6" w:rsidRPr="00EF7399">
        <w:rPr>
          <w:rFonts w:ascii="Times New Roman" w:hAnsi="Times New Roman" w:cs="Times New Roman"/>
          <w:lang w:val="af-ZA"/>
        </w:rPr>
        <w:t>:</w:t>
      </w:r>
    </w:p>
    <w:p w14:paraId="2122FC73" w14:textId="2C793E3C" w:rsidR="00886431" w:rsidRPr="00EF7399" w:rsidRDefault="00A83DAB" w:rsidP="00A83DAB">
      <w:pPr>
        <w:pStyle w:val="ECHRHeading2"/>
        <w:numPr>
          <w:ilvl w:val="0"/>
          <w:numId w:val="0"/>
        </w:numPr>
        <w:rPr>
          <w:rFonts w:ascii="Times New Roman" w:hAnsi="Times New Roman" w:cs="Times New Roman"/>
          <w:lang w:val="af-ZA"/>
        </w:rPr>
      </w:pPr>
      <w:bookmarkStart w:id="110" w:name="_Toc159945266"/>
      <w:r>
        <w:rPr>
          <w:rFonts w:ascii="Times New Roman" w:hAnsi="Times New Roman" w:cs="Times New Roman"/>
          <w:lang w:val="hy-AM"/>
        </w:rPr>
        <w:t xml:space="preserve">Գ․ </w:t>
      </w:r>
      <w:r w:rsidR="00787BC6" w:rsidRPr="00EF7399">
        <w:rPr>
          <w:rFonts w:ascii="Times New Roman" w:hAnsi="Times New Roman" w:cs="Times New Roman"/>
          <w:lang w:val="af-ZA"/>
        </w:rPr>
        <w:t>Զինված ուժեր</w:t>
      </w:r>
      <w:bookmarkEnd w:id="110"/>
    </w:p>
    <w:p w14:paraId="563B93AE" w14:textId="05BB20A8" w:rsidR="00886431" w:rsidRPr="00EF7399" w:rsidRDefault="00886431" w:rsidP="0088643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301</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787BC6" w:rsidRPr="00EF7399">
        <w:rPr>
          <w:rFonts w:ascii="Times New Roman" w:hAnsi="Times New Roman" w:cs="Times New Roman"/>
          <w:lang w:val="af-ZA"/>
        </w:rPr>
        <w:t>Հաշվի առնելով բանակի դերը հասարակությունում</w:t>
      </w:r>
      <w:r w:rsidR="00226AD8" w:rsidRPr="00EF7399">
        <w:rPr>
          <w:rFonts w:ascii="Times New Roman" w:hAnsi="Times New Roman" w:cs="Times New Roman"/>
          <w:lang w:val="hy-AM"/>
        </w:rPr>
        <w:t>՝</w:t>
      </w:r>
      <w:r w:rsidR="00787BC6" w:rsidRPr="00EF7399">
        <w:rPr>
          <w:rFonts w:ascii="Times New Roman" w:hAnsi="Times New Roman" w:cs="Times New Roman"/>
          <w:lang w:val="af-ZA"/>
        </w:rPr>
        <w:t xml:space="preserve"> Դատարանը գտել է, որ ժողովրդավարական որևէ հասարակությունում քաղաքականապես չեզոք բանակ ունենալն իրավաչափ նպատակ է </w:t>
      </w:r>
      <w:r w:rsidRPr="00EF7399">
        <w:rPr>
          <w:rFonts w:ascii="Times New Roman" w:hAnsi="Times New Roman" w:cs="Times New Roman"/>
          <w:lang w:val="af-ZA"/>
        </w:rPr>
        <w:t>(</w:t>
      </w:r>
      <w:hyperlink r:id="rId634" w:history="1">
        <w:r w:rsidRPr="00EF7399">
          <w:rPr>
            <w:rStyle w:val="Hyperlink"/>
            <w:rFonts w:ascii="Times New Roman" w:hAnsi="Times New Roman" w:cs="Times New Roman"/>
            <w:lang w:val="af-ZA"/>
          </w:rPr>
          <w:t>Erdel</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Germany</w:t>
        </w:r>
      </w:hyperlink>
      <w:r w:rsidRPr="00EF7399">
        <w:rPr>
          <w:rFonts w:ascii="Times New Roman" w:hAnsi="Times New Roman" w:cs="Times New Roman"/>
          <w:i/>
          <w:lang w:val="af-ZA"/>
        </w:rPr>
        <w:t xml:space="preserve"> </w:t>
      </w:r>
      <w:r w:rsidRPr="00EF7399">
        <w:rPr>
          <w:rFonts w:ascii="Times New Roman" w:hAnsi="Times New Roman" w:cs="Times New Roman"/>
          <w:lang w:val="af-ZA"/>
        </w:rPr>
        <w:t>(dec.)</w:t>
      </w:r>
      <w:r w:rsidR="00F672AA" w:rsidRPr="00EF7399">
        <w:rPr>
          <w:rFonts w:ascii="Times New Roman" w:hAnsi="Times New Roman" w:cs="Times New Roman"/>
          <w:lang w:val="af-ZA"/>
        </w:rPr>
        <w:t>, 2007</w:t>
      </w:r>
      <w:r w:rsidRPr="00EF7399">
        <w:rPr>
          <w:rFonts w:ascii="Times New Roman" w:hAnsi="Times New Roman" w:cs="Times New Roman"/>
          <w:lang w:val="af-ZA"/>
        </w:rPr>
        <w:t>)</w:t>
      </w:r>
      <w:r w:rsidR="00787BC6" w:rsidRPr="00EF7399">
        <w:rPr>
          <w:rFonts w:ascii="Times New Roman" w:hAnsi="Times New Roman" w:cs="Times New Roman"/>
          <w:lang w:val="af-ZA"/>
        </w:rPr>
        <w:t>:</w:t>
      </w:r>
    </w:p>
    <w:p w14:paraId="469D5420" w14:textId="7B326031" w:rsidR="00886431" w:rsidRPr="00EF7399" w:rsidRDefault="00886431" w:rsidP="0088643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302</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787BC6" w:rsidRPr="00EF7399">
        <w:rPr>
          <w:rFonts w:ascii="Times New Roman" w:hAnsi="Times New Roman" w:cs="Times New Roman"/>
          <w:lang w:val="af-ZA"/>
        </w:rPr>
        <w:t xml:space="preserve">Զինված ուժերում անհրաժեշտ կարգուկանոնը և կարգապահությունը պահպանելուն ուղղված միջոցները նույնպես հետապնդում են իրավաչափ նպատակ: </w:t>
      </w:r>
      <w:r w:rsidR="00B868FF" w:rsidRPr="00EF7399">
        <w:rPr>
          <w:rFonts w:ascii="Times New Roman" w:hAnsi="Times New Roman" w:cs="Times New Roman"/>
          <w:lang w:val="af-ZA"/>
        </w:rPr>
        <w:t xml:space="preserve">11-րդ հոդվածի 2-րդ մասում նախատեսված «կարգ» հասկացությունը ոչ միայն ակնարկում է հասարակական կարգին, այլև կարգուկանոնին, որը պետք է գերիշխի որոշակի սոցիալական խմբի, օրինակ` զինված ուժերի կազմում, քանի որ նման խմբում անկարգությունները կարող են ազդել ամբողջ հասարակության կարգուկանոնի վրա </w:t>
      </w:r>
      <w:r w:rsidRPr="00EF7399">
        <w:rPr>
          <w:rFonts w:ascii="Times New Roman" w:hAnsi="Times New Roman" w:cs="Times New Roman"/>
          <w:lang w:val="af-ZA"/>
        </w:rPr>
        <w:t>(</w:t>
      </w:r>
      <w:hyperlink r:id="rId635" w:history="1">
        <w:r w:rsidRPr="00EF7399">
          <w:rPr>
            <w:rStyle w:val="Hyperlink"/>
            <w:rFonts w:ascii="Times New Roman" w:hAnsi="Times New Roman" w:cs="Times New Roman"/>
            <w:lang w:val="af-ZA"/>
          </w:rPr>
          <w:t>Matelly</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France</w:t>
        </w:r>
      </w:hyperlink>
      <w:r w:rsidRPr="00EF7399">
        <w:rPr>
          <w:rFonts w:ascii="Times New Roman" w:hAnsi="Times New Roman" w:cs="Times New Roman"/>
          <w:lang w:val="af-ZA"/>
        </w:rPr>
        <w:t xml:space="preserve">, </w:t>
      </w:r>
      <w:r w:rsidR="00F672AA" w:rsidRPr="00EF7399">
        <w:rPr>
          <w:rFonts w:ascii="Times New Roman" w:hAnsi="Times New Roman" w:cs="Times New Roman"/>
          <w:lang w:val="af-ZA"/>
        </w:rPr>
        <w:t xml:space="preserve">2014, </w:t>
      </w:r>
      <w:r w:rsidRPr="00EF7399">
        <w:rPr>
          <w:rFonts w:ascii="Times New Roman" w:hAnsi="Times New Roman" w:cs="Times New Roman"/>
          <w:lang w:val="af-ZA"/>
        </w:rPr>
        <w:t>§</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62 and 67; </w:t>
      </w:r>
      <w:hyperlink r:id="rId636" w:history="1">
        <w:r w:rsidRPr="00EF7399">
          <w:rPr>
            <w:rStyle w:val="Hyperlink"/>
            <w:rFonts w:ascii="Times New Roman" w:hAnsi="Times New Roman" w:cs="Times New Roman"/>
            <w:lang w:val="af-ZA"/>
          </w:rPr>
          <w:t>Engel and Others</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the Netherlands</w:t>
        </w:r>
      </w:hyperlink>
      <w:r w:rsidRPr="00EF7399">
        <w:rPr>
          <w:rFonts w:ascii="Times New Roman" w:hAnsi="Times New Roman" w:cs="Times New Roman"/>
          <w:lang w:val="af-ZA"/>
        </w:rPr>
        <w:t xml:space="preserve">, </w:t>
      </w:r>
      <w:r w:rsidR="00F672AA" w:rsidRPr="00EF7399">
        <w:rPr>
          <w:rFonts w:ascii="Times New Roman" w:hAnsi="Times New Roman" w:cs="Times New Roman"/>
          <w:lang w:val="af-ZA"/>
        </w:rPr>
        <w:t xml:space="preserve">1976, </w:t>
      </w:r>
      <w:r w:rsidR="00873234" w:rsidRPr="00EF7399">
        <w:rPr>
          <w:rFonts w:ascii="Times New Roman" w:hAnsi="Times New Roman" w:cs="Times New Roman"/>
          <w:lang w:val="af-ZA"/>
        </w:rPr>
        <w:t>§ </w:t>
      </w:r>
      <w:r w:rsidRPr="00EF7399">
        <w:rPr>
          <w:rFonts w:ascii="Times New Roman" w:hAnsi="Times New Roman" w:cs="Times New Roman"/>
          <w:lang w:val="af-ZA"/>
        </w:rPr>
        <w:t>98)</w:t>
      </w:r>
      <w:r w:rsidR="00B868FF" w:rsidRPr="00EF7399">
        <w:rPr>
          <w:rFonts w:ascii="Times New Roman" w:hAnsi="Times New Roman" w:cs="Times New Roman"/>
          <w:lang w:val="af-ZA"/>
        </w:rPr>
        <w:t>:</w:t>
      </w:r>
    </w:p>
    <w:p w14:paraId="1CB12845" w14:textId="6F5F3E9F" w:rsidR="00886431" w:rsidRPr="00EF7399" w:rsidRDefault="00886431" w:rsidP="00886431">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303</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B868FF" w:rsidRPr="00EF7399">
        <w:rPr>
          <w:rFonts w:ascii="Times New Roman" w:hAnsi="Times New Roman" w:cs="Times New Roman"/>
          <w:lang w:val="af-ZA"/>
        </w:rPr>
        <w:t xml:space="preserve">Դատարանն ընդունել է, որ արհմիութենական գործունեությունը պետք է </w:t>
      </w:r>
      <w:r w:rsidR="00C67DA2" w:rsidRPr="00EF7399">
        <w:rPr>
          <w:rFonts w:ascii="Times New Roman" w:hAnsi="Times New Roman" w:cs="Times New Roman"/>
          <w:lang w:val="af-ZA"/>
        </w:rPr>
        <w:t xml:space="preserve">հարմարեցվի` հաշվի առնելով զինված ուժերի առաքելության առանձնահատուկ բնույթը, և որ մասնագիտական միավորման և դրա անդամների </w:t>
      </w:r>
      <w:r w:rsidR="00DD7905" w:rsidRPr="00EF7399">
        <w:rPr>
          <w:rFonts w:ascii="Times New Roman" w:hAnsi="Times New Roman" w:cs="Times New Roman"/>
          <w:lang w:val="af-ZA"/>
        </w:rPr>
        <w:t xml:space="preserve"> գործունեության և արտահայտման ձևերի վրա կարող են դրվել</w:t>
      </w:r>
      <w:r w:rsidR="00C67DA2" w:rsidRPr="00EF7399">
        <w:rPr>
          <w:rFonts w:ascii="Times New Roman" w:hAnsi="Times New Roman" w:cs="Times New Roman"/>
          <w:lang w:val="af-ZA"/>
        </w:rPr>
        <w:t xml:space="preserve"> էական սահմանափակումներ</w:t>
      </w:r>
      <w:r w:rsidR="00DD7905" w:rsidRPr="00EF7399">
        <w:rPr>
          <w:rFonts w:ascii="Times New Roman" w:hAnsi="Times New Roman" w:cs="Times New Roman"/>
          <w:lang w:val="af-ZA"/>
        </w:rPr>
        <w:t>: Սակայն, նման սահմանափակումները չպետք է զրկեն նրանց միավորման հիմնական իրավունքից</w:t>
      </w:r>
      <w:r w:rsidR="00226AD8" w:rsidRPr="00EF7399">
        <w:rPr>
          <w:rFonts w:ascii="Times New Roman" w:hAnsi="Times New Roman" w:cs="Times New Roman"/>
          <w:lang w:val="hy-AM"/>
        </w:rPr>
        <w:t xml:space="preserve">՝ </w:t>
      </w:r>
      <w:r w:rsidR="00DD7905" w:rsidRPr="00EF7399">
        <w:rPr>
          <w:rFonts w:ascii="Times New Roman" w:hAnsi="Times New Roman" w:cs="Times New Roman"/>
          <w:lang w:val="af-ZA"/>
        </w:rPr>
        <w:t xml:space="preserve"> մասնագիտական և ոչ նյութական շահերի պաշտպանությ</w:t>
      </w:r>
      <w:r w:rsidR="00226AD8" w:rsidRPr="00EF7399">
        <w:rPr>
          <w:rFonts w:ascii="Times New Roman" w:hAnsi="Times New Roman" w:cs="Times New Roman"/>
          <w:lang w:val="hy-AM"/>
        </w:rPr>
        <w:t xml:space="preserve">ան նպատակով </w:t>
      </w:r>
      <w:r w:rsidRPr="00EF7399">
        <w:rPr>
          <w:rFonts w:ascii="Times New Roman" w:hAnsi="Times New Roman" w:cs="Times New Roman"/>
          <w:lang w:val="af-ZA"/>
        </w:rPr>
        <w:t>(</w:t>
      </w:r>
      <w:hyperlink r:id="rId637" w:history="1">
        <w:r w:rsidRPr="00EF7399">
          <w:rPr>
            <w:rStyle w:val="Hyperlink"/>
            <w:rFonts w:ascii="Times New Roman" w:hAnsi="Times New Roman" w:cs="Times New Roman"/>
            <w:lang w:val="af-ZA"/>
          </w:rPr>
          <w:t>Adefdromil</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France</w:t>
        </w:r>
      </w:hyperlink>
      <w:r w:rsidRPr="00EF7399">
        <w:rPr>
          <w:rFonts w:ascii="Times New Roman" w:hAnsi="Times New Roman" w:cs="Times New Roman"/>
          <w:lang w:val="af-ZA"/>
        </w:rPr>
        <w:t xml:space="preserve">, </w:t>
      </w:r>
      <w:r w:rsidR="00F672AA"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55; </w:t>
      </w:r>
      <w:hyperlink r:id="rId638" w:history="1">
        <w:r w:rsidRPr="00EF7399">
          <w:rPr>
            <w:rStyle w:val="Hyperlink"/>
            <w:rFonts w:ascii="Times New Roman" w:hAnsi="Times New Roman" w:cs="Times New Roman"/>
            <w:lang w:val="af-ZA"/>
          </w:rPr>
          <w:t>Matelly</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France</w:t>
        </w:r>
      </w:hyperlink>
      <w:r w:rsidRPr="00EF7399">
        <w:rPr>
          <w:rFonts w:ascii="Times New Roman" w:hAnsi="Times New Roman" w:cs="Times New Roman"/>
          <w:lang w:val="af-ZA"/>
        </w:rPr>
        <w:t xml:space="preserve">, </w:t>
      </w:r>
      <w:r w:rsidR="00F672AA"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Pr="00EF7399">
        <w:rPr>
          <w:rFonts w:ascii="Times New Roman" w:hAnsi="Times New Roman" w:cs="Times New Roman"/>
          <w:lang w:val="af-ZA"/>
        </w:rPr>
        <w:t>71)</w:t>
      </w:r>
      <w:r w:rsidR="00DD7905" w:rsidRPr="00EF7399">
        <w:rPr>
          <w:rFonts w:ascii="Times New Roman" w:hAnsi="Times New Roman" w:cs="Times New Roman"/>
          <w:lang w:val="af-ZA"/>
        </w:rPr>
        <w:t>:</w:t>
      </w:r>
    </w:p>
    <w:p w14:paraId="53628DF8" w14:textId="31222522" w:rsidR="00B04B2E" w:rsidRPr="001B2612" w:rsidRDefault="00886431" w:rsidP="009F45A0">
      <w:pPr>
        <w:pStyle w:val="ECHRParaSpaced"/>
        <w:rPr>
          <w:rFonts w:ascii="Times New Roman" w:hAnsi="Times New Roman" w:cs="Times New Roman"/>
          <w:lang w:val="af-ZA"/>
        </w:rPr>
      </w:pPr>
      <w:r w:rsidRPr="00EF7399">
        <w:rPr>
          <w:rFonts w:ascii="Times New Roman" w:hAnsi="Times New Roman" w:cs="Times New Roman"/>
          <w:lang w:val="af-ZA"/>
        </w:rPr>
        <w:fldChar w:fldCharType="begin"/>
      </w:r>
      <w:r w:rsidRPr="00EF7399">
        <w:rPr>
          <w:rFonts w:ascii="Times New Roman" w:hAnsi="Times New Roman" w:cs="Times New Roman"/>
          <w:lang w:val="af-ZA"/>
        </w:rPr>
        <w:instrText xml:space="preserve"> SEQ level0 \*arabic </w:instrText>
      </w:r>
      <w:r w:rsidRPr="00EF7399">
        <w:rPr>
          <w:rFonts w:ascii="Times New Roman" w:hAnsi="Times New Roman" w:cs="Times New Roman"/>
          <w:lang w:val="af-ZA"/>
        </w:rPr>
        <w:fldChar w:fldCharType="separate"/>
      </w:r>
      <w:r w:rsidR="005435E6" w:rsidRPr="00EF7399">
        <w:rPr>
          <w:rFonts w:ascii="Times New Roman" w:hAnsi="Times New Roman" w:cs="Times New Roman"/>
          <w:lang w:val="af-ZA"/>
        </w:rPr>
        <w:t>304</w:t>
      </w:r>
      <w:r w:rsidRPr="00EF7399">
        <w:rPr>
          <w:rFonts w:ascii="Times New Roman" w:hAnsi="Times New Roman" w:cs="Times New Roman"/>
          <w:lang w:val="af-ZA"/>
        </w:rPr>
        <w:fldChar w:fldCharType="end"/>
      </w:r>
      <w:r w:rsidRPr="00EF7399">
        <w:rPr>
          <w:rFonts w:ascii="Times New Roman" w:hAnsi="Times New Roman" w:cs="Times New Roman"/>
          <w:lang w:val="af-ZA"/>
        </w:rPr>
        <w:t>.  </w:t>
      </w:r>
      <w:r w:rsidR="00DD7905" w:rsidRPr="00EF7399">
        <w:rPr>
          <w:rFonts w:ascii="Times New Roman" w:hAnsi="Times New Roman" w:cs="Times New Roman"/>
          <w:lang w:val="af-ZA"/>
        </w:rPr>
        <w:t>Զինված ուժերի անձնակազմի կողմից արհեստակցական միություն ստեղծելու կամ դրան անդամակցելու բացարձակ արգելքը խախտում է նրանց միավորման ազատության բուն</w:t>
      </w:r>
      <w:r w:rsidR="009F45A0">
        <w:rPr>
          <w:rFonts w:ascii="Times New Roman" w:hAnsi="Times New Roman" w:cs="Times New Roman"/>
          <w:lang w:val="af-ZA"/>
        </w:rPr>
        <w:t xml:space="preserve"> </w:t>
      </w:r>
      <w:r w:rsidR="00DD7905" w:rsidRPr="00EF7399">
        <w:rPr>
          <w:rFonts w:ascii="Times New Roman" w:hAnsi="Times New Roman" w:cs="Times New Roman"/>
          <w:lang w:val="af-ZA"/>
        </w:rPr>
        <w:t xml:space="preserve">էությունը և, որպես այդպիսին, արգելված է Կոնվենցիայով </w:t>
      </w:r>
      <w:r w:rsidRPr="00EF7399">
        <w:rPr>
          <w:rFonts w:ascii="Times New Roman" w:hAnsi="Times New Roman" w:cs="Times New Roman"/>
          <w:lang w:val="af-ZA"/>
        </w:rPr>
        <w:t>(</w:t>
      </w:r>
      <w:hyperlink r:id="rId639" w:history="1">
        <w:r w:rsidR="00F6406C" w:rsidRPr="00EF7399">
          <w:rPr>
            <w:rStyle w:val="Hyperlink"/>
            <w:rFonts w:ascii="Times New Roman" w:hAnsi="Times New Roman" w:cs="Times New Roman"/>
            <w:lang w:val="af-ZA"/>
          </w:rPr>
          <w:t>Adefdromil</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France</w:t>
        </w:r>
      </w:hyperlink>
      <w:r w:rsidRPr="00EF7399">
        <w:rPr>
          <w:rFonts w:ascii="Times New Roman" w:hAnsi="Times New Roman" w:cs="Times New Roman"/>
          <w:lang w:val="af-ZA"/>
        </w:rPr>
        <w:t xml:space="preserve">, </w:t>
      </w:r>
      <w:r w:rsidR="00F672AA"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Pr="00EF7399">
        <w:rPr>
          <w:rFonts w:ascii="Times New Roman" w:hAnsi="Times New Roman" w:cs="Times New Roman"/>
          <w:lang w:val="af-ZA"/>
        </w:rPr>
        <w:t xml:space="preserve">60; </w:t>
      </w:r>
      <w:hyperlink r:id="rId640" w:history="1">
        <w:r w:rsidRPr="00EF7399">
          <w:rPr>
            <w:rStyle w:val="Hyperlink"/>
            <w:rFonts w:ascii="Times New Roman" w:hAnsi="Times New Roman" w:cs="Times New Roman"/>
            <w:lang w:val="af-ZA"/>
          </w:rPr>
          <w:t>Matelly</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France</w:t>
        </w:r>
      </w:hyperlink>
      <w:r w:rsidR="00F478A4" w:rsidRPr="00EF7399">
        <w:rPr>
          <w:rFonts w:ascii="Times New Roman" w:hAnsi="Times New Roman" w:cs="Times New Roman"/>
          <w:lang w:val="af-ZA"/>
        </w:rPr>
        <w:t xml:space="preserve">, </w:t>
      </w:r>
      <w:r w:rsidR="00F672AA" w:rsidRPr="00EF7399">
        <w:rPr>
          <w:rFonts w:ascii="Times New Roman" w:hAnsi="Times New Roman" w:cs="Times New Roman"/>
          <w:lang w:val="af-ZA"/>
        </w:rPr>
        <w:t xml:space="preserve">2014, </w:t>
      </w:r>
      <w:r w:rsidR="00873234" w:rsidRPr="00EF7399">
        <w:rPr>
          <w:rFonts w:ascii="Times New Roman" w:hAnsi="Times New Roman" w:cs="Times New Roman"/>
          <w:lang w:val="af-ZA"/>
        </w:rPr>
        <w:t>§ </w:t>
      </w:r>
      <w:r w:rsidRPr="00EF7399">
        <w:rPr>
          <w:rFonts w:ascii="Times New Roman" w:hAnsi="Times New Roman" w:cs="Times New Roman"/>
          <w:lang w:val="af-ZA"/>
        </w:rPr>
        <w:t>75)</w:t>
      </w:r>
      <w:r w:rsidR="00DD7905" w:rsidRPr="00EF7399">
        <w:rPr>
          <w:rFonts w:ascii="Times New Roman" w:hAnsi="Times New Roman" w:cs="Times New Roman"/>
          <w:lang w:val="af-ZA"/>
        </w:rPr>
        <w:t>:</w:t>
      </w:r>
      <w:r w:rsidR="00B04B2E" w:rsidRPr="00EF7399">
        <w:rPr>
          <w:rFonts w:ascii="Times New Roman" w:hAnsi="Times New Roman" w:cs="Times New Roman"/>
          <w:lang w:val="af-ZA"/>
        </w:rPr>
        <w:br w:type="page"/>
      </w:r>
    </w:p>
    <w:p w14:paraId="06ED5810" w14:textId="0A1DD37F" w:rsidR="00184B1D" w:rsidRPr="00EF7399" w:rsidRDefault="0072795F" w:rsidP="00BD3781">
      <w:pPr>
        <w:pStyle w:val="ECHRTitleCentreTOC1"/>
        <w:rPr>
          <w:rFonts w:ascii="Times New Roman" w:hAnsi="Times New Roman" w:cs="Times New Roman"/>
          <w:lang w:val="af-ZA"/>
        </w:rPr>
      </w:pPr>
      <w:bookmarkStart w:id="111" w:name="_Toc159945267"/>
      <w:r w:rsidRPr="00EF7399">
        <w:rPr>
          <w:rFonts w:ascii="Times New Roman" w:hAnsi="Times New Roman" w:cs="Times New Roman"/>
          <w:lang w:val="af-ZA"/>
        </w:rPr>
        <w:lastRenderedPageBreak/>
        <w:t>Մեջբերված գործերի ցանկը</w:t>
      </w:r>
      <w:bookmarkEnd w:id="111"/>
    </w:p>
    <w:p w14:paraId="5A57FFAE" w14:textId="77777777" w:rsidR="00725341" w:rsidRPr="00EF7399" w:rsidRDefault="00725341" w:rsidP="00F74C24">
      <w:pPr>
        <w:pStyle w:val="ECHRParaHanging"/>
        <w:rPr>
          <w:rFonts w:ascii="Times New Roman" w:hAnsi="Times New Roman" w:cs="Times New Roman"/>
          <w:lang w:val="af-ZA"/>
        </w:rPr>
      </w:pPr>
    </w:p>
    <w:p w14:paraId="7CF893F1" w14:textId="5E8048C5" w:rsidR="007628EE" w:rsidRPr="00EF7399" w:rsidRDefault="0072795F" w:rsidP="0072795F">
      <w:pPr>
        <w:pStyle w:val="NormalWeb"/>
        <w:jc w:val="both"/>
      </w:pPr>
      <w:r w:rsidRPr="00EF7399">
        <w:rPr>
          <w:sz w:val="22"/>
          <w:szCs w:val="22"/>
        </w:rPr>
        <w:t xml:space="preserve">Սույն ուղեցույցում մեջբերված նախադեպային իրավունքը վերաբերում է Դատարանի կայացրած վճիռներին կամ որոշումերին </w:t>
      </w:r>
      <w:r w:rsidR="0029363B" w:rsidRPr="00EF7399">
        <w:rPr>
          <w:sz w:val="22"/>
          <w:szCs w:val="22"/>
        </w:rPr>
        <w:t>և</w:t>
      </w:r>
      <w:r w:rsidRPr="00EF7399">
        <w:rPr>
          <w:sz w:val="22"/>
          <w:szCs w:val="22"/>
        </w:rPr>
        <w:t xml:space="preserve"> Մարդու իրավունքների եվրոպական հանձնաժողովի («Հանձնաժողով», անգլ.` «Commission») որոշումերին կամ զեկույցներին </w:t>
      </w:r>
    </w:p>
    <w:p w14:paraId="016927F8" w14:textId="3D820F38" w:rsidR="0072795F" w:rsidRPr="00EF7399" w:rsidRDefault="0072795F" w:rsidP="0029363B">
      <w:pPr>
        <w:pStyle w:val="NormalWeb"/>
        <w:jc w:val="both"/>
        <w:rPr>
          <w:sz w:val="22"/>
          <w:szCs w:val="22"/>
        </w:rPr>
      </w:pPr>
      <w:r w:rsidRPr="00EF7399">
        <w:rPr>
          <w:sz w:val="22"/>
          <w:szCs w:val="22"/>
        </w:rPr>
        <w:t xml:space="preserve">Եթե այլ բան նշված չէ, ապա բոլոր հղումերը վերաբերում են Դատարանի պալատի կողմից ըստ էության կայացված վճռին։ Հայերեն թարգմանության մեջ «(որոշում)» կամ հղման անգլերեն տարբերակում (dec.) բառը նշանակում է, որ հղում է արվում Դատարանի որոշմանը, իսկ «[ՄՊ]» հապավումը (հղման անգլերեն տարբերակում` [GC]) նշանակում է, որ գործը քննվել է Մեծ պալատի կողմից: </w:t>
      </w:r>
    </w:p>
    <w:p w14:paraId="2289DCA3" w14:textId="6A7B2AEA" w:rsidR="0029363B" w:rsidRPr="00EF7399" w:rsidRDefault="0029363B" w:rsidP="0029363B">
      <w:pPr>
        <w:pStyle w:val="NormalWeb"/>
        <w:jc w:val="both"/>
        <w:rPr>
          <w:sz w:val="22"/>
          <w:szCs w:val="22"/>
        </w:rPr>
      </w:pPr>
      <w:r w:rsidRPr="00EF7399">
        <w:rPr>
          <w:sz w:val="22"/>
          <w:szCs w:val="22"/>
        </w:rPr>
        <w:t>Պալատի այն վճիռները, որոնք դեռևս օրինական ուժի մեջ չեն մտել Կոնվենցիայի 44-րդ հոդվածի իմաստով, ստորև բերված ցանկում նշագրված են աստղանիշով (*)։ Կոնվենցիայի 44-րդ հոդվածի 2-րդ մասով նախատեսվում է. «Պալատի վճիռը դառնում է վերջնական, եթե՝ (ա) կողմերը հայտարարում են, որ չեն պահանջի գործի հանձնում Մեծ պալատին, կամ (բ) վճռի կայացումից հետո երեք ամսվա ընթացքում չի պահանջվում գործի հանձնում Մեծ պալատին, կամ (գ) Մեծ պալատի հանձնախումբը, 43-րդ հոդվածին համապատասխան, մերժում է գործը հանձնելու պահանջը»։ Եթե հանձնման պահանջն ընդունվում է Մեծ պալատի հանձնախմբի կողմից, ապա պալատի վճիռը վերջնական չի դառնում, ուստի՝ չի ունենում օրինական ուժ։ Վերջնական դառնում է հետագայում Մեծ պալատի կողմից կայացվելիք վճիռը։</w:t>
      </w:r>
    </w:p>
    <w:p w14:paraId="6956490D" w14:textId="79C40B48" w:rsidR="0029363B" w:rsidRPr="00EF7399" w:rsidRDefault="0029363B" w:rsidP="0029363B">
      <w:pPr>
        <w:pStyle w:val="NormalWeb"/>
        <w:jc w:val="both"/>
        <w:rPr>
          <w:sz w:val="22"/>
          <w:szCs w:val="22"/>
        </w:rPr>
      </w:pPr>
      <w:r w:rsidRPr="00EF7399">
        <w:rPr>
          <w:sz w:val="22"/>
          <w:szCs w:val="22"/>
        </w:rPr>
        <w:t>Ուղեցույցի էլեկտրոնային տարբերակում մեջբերված գործերի վրա տրված գերկապային հղումերն ուղղորդվում են դեպի «HUDOC» շտեմարան (</w:t>
      </w:r>
      <w:hyperlink r:id="rId641" w:history="1">
        <w:r w:rsidRPr="00EF7399">
          <w:rPr>
            <w:rStyle w:val="Hyperlink"/>
            <w:sz w:val="22"/>
            <w:szCs w:val="22"/>
            <w:lang w:val="af-ZA"/>
          </w:rPr>
          <w:t>http://hudoc.echr.coe.int</w:t>
        </w:r>
      </w:hyperlink>
      <w:r w:rsidRPr="00EF7399">
        <w:rPr>
          <w:sz w:val="22"/>
          <w:szCs w:val="22"/>
        </w:rPr>
        <w:t xml:space="preserve">), որտեղ հասանելի է Դատարանի (Մեծ պալատի, պալատի </w:t>
      </w:r>
      <w:r w:rsidR="0059127C" w:rsidRPr="00EF7399">
        <w:rPr>
          <w:sz w:val="22"/>
          <w:szCs w:val="22"/>
        </w:rPr>
        <w:t>և</w:t>
      </w:r>
      <w:r w:rsidRPr="00EF7399">
        <w:rPr>
          <w:sz w:val="22"/>
          <w:szCs w:val="22"/>
        </w:rPr>
        <w:t xml:space="preserve"> հանձնաժողովի վճիռները </w:t>
      </w:r>
      <w:r w:rsidR="0059127C" w:rsidRPr="00EF7399">
        <w:rPr>
          <w:sz w:val="22"/>
          <w:szCs w:val="22"/>
        </w:rPr>
        <w:t>և</w:t>
      </w:r>
      <w:r w:rsidRPr="00EF7399">
        <w:rPr>
          <w:sz w:val="22"/>
          <w:szCs w:val="22"/>
        </w:rPr>
        <w:t xml:space="preserve"> որոշումերը, ծանուցված գործերը, խորհրդատվական կարծիքները </w:t>
      </w:r>
      <w:r w:rsidR="0059127C" w:rsidRPr="00EF7399">
        <w:rPr>
          <w:sz w:val="22"/>
          <w:szCs w:val="22"/>
        </w:rPr>
        <w:t>և</w:t>
      </w:r>
      <w:r w:rsidRPr="00EF7399">
        <w:rPr>
          <w:sz w:val="22"/>
          <w:szCs w:val="22"/>
        </w:rPr>
        <w:t xml:space="preserve"> իրավական ամփոփագրերը Նախադեպային իրավունքի վերաբերյալ տեղեկատվական ծանոթագրությունից) </w:t>
      </w:r>
      <w:r w:rsidR="0059127C" w:rsidRPr="00EF7399">
        <w:rPr>
          <w:sz w:val="22"/>
          <w:szCs w:val="22"/>
        </w:rPr>
        <w:t>և</w:t>
      </w:r>
      <w:r w:rsidRPr="00EF7399">
        <w:rPr>
          <w:sz w:val="22"/>
          <w:szCs w:val="22"/>
        </w:rPr>
        <w:t xml:space="preserve"> Հանձնաժողովի (որոշումերը </w:t>
      </w:r>
      <w:r w:rsidR="0059127C" w:rsidRPr="00EF7399">
        <w:rPr>
          <w:sz w:val="22"/>
          <w:szCs w:val="22"/>
        </w:rPr>
        <w:t>և</w:t>
      </w:r>
      <w:r w:rsidRPr="00EF7399">
        <w:rPr>
          <w:sz w:val="22"/>
          <w:szCs w:val="22"/>
        </w:rPr>
        <w:t xml:space="preserve"> զեկույցները) նախադեպային իրավունքը, ինչպես նա</w:t>
      </w:r>
      <w:r w:rsidR="0059127C" w:rsidRPr="00EF7399">
        <w:rPr>
          <w:sz w:val="22"/>
          <w:szCs w:val="22"/>
        </w:rPr>
        <w:t>և</w:t>
      </w:r>
      <w:r w:rsidRPr="00EF7399">
        <w:rPr>
          <w:sz w:val="22"/>
          <w:szCs w:val="22"/>
        </w:rPr>
        <w:t xml:space="preserve"> Նախարարների կոմիտեի ընդունած բանաձ</w:t>
      </w:r>
      <w:r w:rsidR="0059127C" w:rsidRPr="00EF7399">
        <w:rPr>
          <w:sz w:val="22"/>
          <w:szCs w:val="22"/>
        </w:rPr>
        <w:t>և</w:t>
      </w:r>
      <w:r w:rsidRPr="00EF7399">
        <w:rPr>
          <w:sz w:val="22"/>
          <w:szCs w:val="22"/>
        </w:rPr>
        <w:t>երը։</w:t>
      </w:r>
    </w:p>
    <w:p w14:paraId="30D8583F" w14:textId="0EA935CB" w:rsidR="0029363B" w:rsidRPr="001B2612" w:rsidRDefault="0029363B" w:rsidP="0029363B">
      <w:pPr>
        <w:pStyle w:val="NormalWeb"/>
        <w:jc w:val="both"/>
        <w:rPr>
          <w:sz w:val="22"/>
          <w:szCs w:val="22"/>
          <w:lang w:val="hy-AM"/>
        </w:rPr>
      </w:pPr>
      <w:r w:rsidRPr="00EF7399">
        <w:rPr>
          <w:sz w:val="22"/>
          <w:szCs w:val="22"/>
        </w:rPr>
        <w:t xml:space="preserve">Դատարանն իր վճիռները </w:t>
      </w:r>
      <w:r w:rsidR="0059127C" w:rsidRPr="00EF7399">
        <w:rPr>
          <w:sz w:val="22"/>
          <w:szCs w:val="22"/>
        </w:rPr>
        <w:t>և</w:t>
      </w:r>
      <w:r w:rsidRPr="00EF7399">
        <w:rPr>
          <w:sz w:val="22"/>
          <w:szCs w:val="22"/>
        </w:rPr>
        <w:t xml:space="preserve"> որոշումերը կայացնում է անգլերեն </w:t>
      </w:r>
      <w:r w:rsidR="0059127C" w:rsidRPr="00EF7399">
        <w:rPr>
          <w:sz w:val="22"/>
          <w:szCs w:val="22"/>
        </w:rPr>
        <w:t>և</w:t>
      </w:r>
      <w:r w:rsidR="00E54BB7">
        <w:rPr>
          <w:sz w:val="22"/>
          <w:szCs w:val="22"/>
        </w:rPr>
        <w:t xml:space="preserve"> (</w:t>
      </w:r>
      <w:r w:rsidRPr="00EF7399">
        <w:rPr>
          <w:sz w:val="22"/>
          <w:szCs w:val="22"/>
        </w:rPr>
        <w:t>կամ</w:t>
      </w:r>
      <w:r w:rsidR="00E54BB7">
        <w:rPr>
          <w:sz w:val="22"/>
          <w:szCs w:val="22"/>
        </w:rPr>
        <w:t>)</w:t>
      </w:r>
      <w:r w:rsidRPr="00EF7399">
        <w:rPr>
          <w:sz w:val="22"/>
          <w:szCs w:val="22"/>
        </w:rPr>
        <w:t xml:space="preserve"> ֆրանսերեն, որոնք Դատարանի երկու պաշտոնական լեզուներն են։ «HUDOC»-ը պարունակում է նա</w:t>
      </w:r>
      <w:r w:rsidR="0059127C" w:rsidRPr="00EF7399">
        <w:rPr>
          <w:sz w:val="22"/>
          <w:szCs w:val="22"/>
        </w:rPr>
        <w:t>և</w:t>
      </w:r>
      <w:r w:rsidRPr="00EF7399">
        <w:rPr>
          <w:sz w:val="22"/>
          <w:szCs w:val="22"/>
        </w:rPr>
        <w:t xml:space="preserve"> բազմաթիվ կար</w:t>
      </w:r>
      <w:r w:rsidR="0059127C" w:rsidRPr="00EF7399">
        <w:rPr>
          <w:sz w:val="22"/>
          <w:szCs w:val="22"/>
        </w:rPr>
        <w:t>և</w:t>
      </w:r>
      <w:r w:rsidRPr="00EF7399">
        <w:rPr>
          <w:sz w:val="22"/>
          <w:szCs w:val="22"/>
        </w:rPr>
        <w:t>որ գործերի թարգմանություններն ավելի քան 30 ոչ պաշտոնական լեզուներով, ինչպես նա</w:t>
      </w:r>
      <w:r w:rsidR="0059127C" w:rsidRPr="00EF7399">
        <w:rPr>
          <w:sz w:val="22"/>
          <w:szCs w:val="22"/>
        </w:rPr>
        <w:t>և</w:t>
      </w:r>
      <w:r w:rsidRPr="00EF7399">
        <w:rPr>
          <w:sz w:val="22"/>
          <w:szCs w:val="22"/>
        </w:rPr>
        <w:t xml:space="preserve">՝ հղումեր այլ կազմակերպությունների պատրաստած </w:t>
      </w:r>
      <w:r w:rsidR="0059127C" w:rsidRPr="00EF7399">
        <w:rPr>
          <w:sz w:val="22"/>
          <w:szCs w:val="22"/>
        </w:rPr>
        <w:t>և</w:t>
      </w:r>
      <w:r w:rsidRPr="00EF7399">
        <w:rPr>
          <w:sz w:val="22"/>
          <w:szCs w:val="22"/>
        </w:rPr>
        <w:t xml:space="preserve"> նախադեպային պրակտիկային վերաբերող մոտ 100 առցանց հավաքածուներին։ Մեջբերված գործերի առկա բոլոր լեզվական տարբերակները հասանելի են </w:t>
      </w:r>
      <w:r w:rsidRPr="00EF7399">
        <w:rPr>
          <w:i/>
          <w:iCs/>
          <w:sz w:val="22"/>
          <w:szCs w:val="22"/>
        </w:rPr>
        <w:t>«</w:t>
      </w:r>
      <w:hyperlink r:id="rId642" w:history="1">
        <w:r w:rsidR="0059127C" w:rsidRPr="00EF7399">
          <w:rPr>
            <w:rStyle w:val="Hyperlink"/>
            <w:sz w:val="22"/>
            <w:szCs w:val="22"/>
            <w:lang w:val="af-ZA"/>
          </w:rPr>
          <w:t>HUDOC</w:t>
        </w:r>
      </w:hyperlink>
      <w:r w:rsidRPr="00EF7399">
        <w:rPr>
          <w:i/>
          <w:iCs/>
          <w:sz w:val="22"/>
          <w:szCs w:val="22"/>
        </w:rPr>
        <w:t xml:space="preserve">» </w:t>
      </w:r>
      <w:r w:rsidRPr="00EF7399">
        <w:rPr>
          <w:sz w:val="22"/>
          <w:szCs w:val="22"/>
        </w:rPr>
        <w:t xml:space="preserve">շտեմարանի «Language versions» բաժնում, որը բացվում է՝ սեղմելով գործի գերկապային հղման վրա։ </w:t>
      </w:r>
    </w:p>
    <w:p w14:paraId="0A7714A9" w14:textId="77777777" w:rsidR="00725341" w:rsidRPr="00EF7399" w:rsidRDefault="00725341" w:rsidP="00F74C24">
      <w:pPr>
        <w:pStyle w:val="ECHRParaHanging"/>
        <w:rPr>
          <w:rFonts w:ascii="Times New Roman" w:hAnsi="Times New Roman" w:cs="Times New Roman"/>
          <w:lang w:val="af-ZA"/>
        </w:rPr>
      </w:pPr>
    </w:p>
    <w:p w14:paraId="15604029" w14:textId="77777777" w:rsidR="00BB682C" w:rsidRPr="00EF7399" w:rsidRDefault="00BB682C" w:rsidP="00C547C1">
      <w:pPr>
        <w:pStyle w:val="ECHRTitleCentre1"/>
        <w:rPr>
          <w:rFonts w:ascii="Times New Roman" w:hAnsi="Times New Roman" w:cs="Times New Roman"/>
          <w:lang w:val="af-ZA"/>
        </w:rPr>
      </w:pPr>
      <w:r w:rsidRPr="00EF7399">
        <w:rPr>
          <w:rFonts w:ascii="Times New Roman" w:hAnsi="Times New Roman" w:cs="Times New Roman"/>
          <w:lang w:val="af-ZA"/>
        </w:rPr>
        <w:t>—A—</w:t>
      </w:r>
    </w:p>
    <w:p w14:paraId="288A112E" w14:textId="1D9542A7" w:rsidR="00FE6087" w:rsidRPr="00EF7399" w:rsidRDefault="00000000" w:rsidP="004C3976">
      <w:pPr>
        <w:pStyle w:val="ECHRParaHanging"/>
        <w:rPr>
          <w:rFonts w:ascii="Times New Roman" w:hAnsi="Times New Roman" w:cs="Times New Roman"/>
          <w:lang w:val="af-ZA"/>
        </w:rPr>
      </w:pPr>
      <w:hyperlink r:id="rId643" w:history="1">
        <w:r w:rsidR="00FE6087" w:rsidRPr="00EF7399">
          <w:rPr>
            <w:rStyle w:val="Hyperlink"/>
            <w:rFonts w:ascii="Times New Roman" w:hAnsi="Times New Roman" w:cs="Times New Roman"/>
            <w:lang w:val="af-ZA"/>
          </w:rPr>
          <w:t>A. and Others</w:t>
        </w:r>
        <w:r w:rsidR="00873234" w:rsidRPr="00EF7399">
          <w:rPr>
            <w:rStyle w:val="Hyperlink"/>
            <w:rFonts w:ascii="Times New Roman" w:hAnsi="Times New Roman" w:cs="Times New Roman"/>
            <w:lang w:val="af-ZA"/>
          </w:rPr>
          <w:t xml:space="preserve"> v. </w:t>
        </w:r>
        <w:r w:rsidR="00FE6087" w:rsidRPr="00EF7399">
          <w:rPr>
            <w:rStyle w:val="Hyperlink"/>
            <w:rFonts w:ascii="Times New Roman" w:hAnsi="Times New Roman" w:cs="Times New Roman"/>
            <w:lang w:val="af-ZA"/>
          </w:rPr>
          <w:t>Spain</w:t>
        </w:r>
      </w:hyperlink>
      <w:r w:rsidR="00FE6087" w:rsidRPr="00EF7399">
        <w:rPr>
          <w:rFonts w:ascii="Times New Roman" w:hAnsi="Times New Roman" w:cs="Times New Roman"/>
          <w:lang w:val="af-ZA"/>
        </w:rPr>
        <w:t>, no. 13750/88, Commission decision of 2 July 1990, Decisions and Reports 66, p. 188</w:t>
      </w:r>
    </w:p>
    <w:p w14:paraId="53C1D299" w14:textId="022ABA11" w:rsidR="000D5601" w:rsidRPr="00EF7399" w:rsidRDefault="00000000" w:rsidP="004C3976">
      <w:pPr>
        <w:pStyle w:val="ECHRParaHanging"/>
        <w:rPr>
          <w:rFonts w:ascii="Times New Roman" w:hAnsi="Times New Roman" w:cs="Times New Roman"/>
          <w:lang w:val="af-ZA"/>
        </w:rPr>
      </w:pPr>
      <w:hyperlink r:id="rId644" w:history="1">
        <w:r w:rsidR="000D5601" w:rsidRPr="00EF7399">
          <w:rPr>
            <w:rStyle w:val="Hyperlink"/>
            <w:rFonts w:ascii="Times New Roman" w:hAnsi="Times New Roman" w:cs="Times New Roman"/>
            <w:lang w:val="af-ZA"/>
          </w:rPr>
          <w:t>Adana TAYAD</w:t>
        </w:r>
        <w:r w:rsidR="00873234" w:rsidRPr="00EF7399">
          <w:rPr>
            <w:rStyle w:val="Hyperlink"/>
            <w:rFonts w:ascii="Times New Roman" w:hAnsi="Times New Roman" w:cs="Times New Roman"/>
            <w:lang w:val="af-ZA"/>
          </w:rPr>
          <w:t xml:space="preserve"> v. </w:t>
        </w:r>
        <w:r w:rsidR="000D5601" w:rsidRPr="00EF7399">
          <w:rPr>
            <w:rStyle w:val="Hyperlink"/>
            <w:rFonts w:ascii="Times New Roman" w:hAnsi="Times New Roman" w:cs="Times New Roman"/>
            <w:lang w:val="af-ZA"/>
          </w:rPr>
          <w:t>Turkey</w:t>
        </w:r>
      </w:hyperlink>
      <w:r w:rsidR="000D5601" w:rsidRPr="00EF7399">
        <w:rPr>
          <w:rFonts w:ascii="Times New Roman" w:hAnsi="Times New Roman" w:cs="Times New Roman"/>
          <w:lang w:val="af-ZA"/>
        </w:rPr>
        <w:t>, no. 59835/10, 21 July 2020</w:t>
      </w:r>
    </w:p>
    <w:p w14:paraId="4DB91CF6" w14:textId="3C30D6E6" w:rsidR="00E710F9" w:rsidRPr="00EF7399" w:rsidRDefault="00000000" w:rsidP="004C3976">
      <w:pPr>
        <w:pStyle w:val="ECHRParaHanging"/>
        <w:rPr>
          <w:rFonts w:ascii="Times New Roman" w:hAnsi="Times New Roman" w:cs="Times New Roman"/>
          <w:lang w:val="af-ZA"/>
        </w:rPr>
      </w:pPr>
      <w:hyperlink r:id="rId645" w:history="1">
        <w:r w:rsidR="00E710F9" w:rsidRPr="00EF7399">
          <w:rPr>
            <w:rStyle w:val="Hyperlink"/>
            <w:rFonts w:ascii="Times New Roman" w:hAnsi="Times New Roman" w:cs="Times New Roman"/>
            <w:lang w:val="af-ZA"/>
          </w:rPr>
          <w:t>Adefdromil</w:t>
        </w:r>
        <w:r w:rsidR="00873234" w:rsidRPr="00EF7399">
          <w:rPr>
            <w:rStyle w:val="Hyperlink"/>
            <w:rFonts w:ascii="Times New Roman" w:hAnsi="Times New Roman" w:cs="Times New Roman"/>
            <w:lang w:val="af-ZA"/>
          </w:rPr>
          <w:t xml:space="preserve"> v. </w:t>
        </w:r>
        <w:r w:rsidR="00E710F9" w:rsidRPr="00EF7399">
          <w:rPr>
            <w:rStyle w:val="Hyperlink"/>
            <w:rFonts w:ascii="Times New Roman" w:hAnsi="Times New Roman" w:cs="Times New Roman"/>
            <w:lang w:val="af-ZA"/>
          </w:rPr>
          <w:t>France</w:t>
        </w:r>
      </w:hyperlink>
      <w:r w:rsidR="00E710F9" w:rsidRPr="00EF7399">
        <w:rPr>
          <w:rFonts w:ascii="Times New Roman" w:hAnsi="Times New Roman" w:cs="Times New Roman"/>
          <w:lang w:val="af-ZA"/>
        </w:rPr>
        <w:t>, no. 32191/09, 2 October 2014</w:t>
      </w:r>
    </w:p>
    <w:p w14:paraId="5198D9FD" w14:textId="38B0FC4A" w:rsidR="006B6FEB" w:rsidRPr="00EF7399" w:rsidRDefault="00000000" w:rsidP="00395611">
      <w:pPr>
        <w:pStyle w:val="ECHRParaHanging"/>
        <w:rPr>
          <w:rFonts w:ascii="Times New Roman" w:hAnsi="Times New Roman" w:cs="Times New Roman"/>
          <w:iCs/>
          <w:lang w:val="af-ZA"/>
        </w:rPr>
      </w:pPr>
      <w:hyperlink r:id="rId646" w:history="1">
        <w:r w:rsidR="006B6FEB" w:rsidRPr="00EF7399">
          <w:rPr>
            <w:rStyle w:val="Hyperlink"/>
            <w:rFonts w:ascii="Times New Roman" w:hAnsi="Times New Roman" w:cs="Times New Roman"/>
            <w:iCs/>
            <w:lang w:val="af-ZA"/>
          </w:rPr>
          <w:t>Agit Demir</w:t>
        </w:r>
        <w:r w:rsidR="00873234" w:rsidRPr="00EF7399">
          <w:rPr>
            <w:rStyle w:val="Hyperlink"/>
            <w:rFonts w:ascii="Times New Roman" w:hAnsi="Times New Roman" w:cs="Times New Roman"/>
            <w:iCs/>
            <w:lang w:val="af-ZA"/>
          </w:rPr>
          <w:t xml:space="preserve"> v. </w:t>
        </w:r>
        <w:r w:rsidR="006B6FEB" w:rsidRPr="00EF7399">
          <w:rPr>
            <w:rStyle w:val="Hyperlink"/>
            <w:rFonts w:ascii="Times New Roman" w:hAnsi="Times New Roman" w:cs="Times New Roman"/>
            <w:iCs/>
            <w:lang w:val="af-ZA"/>
          </w:rPr>
          <w:t>Turkey</w:t>
        </w:r>
      </w:hyperlink>
      <w:r w:rsidR="006B6FEB" w:rsidRPr="00EF7399">
        <w:rPr>
          <w:rFonts w:ascii="Times New Roman" w:hAnsi="Times New Roman" w:cs="Times New Roman"/>
          <w:iCs/>
          <w:lang w:val="af-ZA"/>
        </w:rPr>
        <w:t>, no. 36475/10, 27 February 2018</w:t>
      </w:r>
    </w:p>
    <w:p w14:paraId="6FEFA9D5" w14:textId="78CB7F57" w:rsidR="00395611" w:rsidRPr="00EF7399" w:rsidRDefault="00000000" w:rsidP="00395611">
      <w:pPr>
        <w:pStyle w:val="ECHRParaHanging"/>
        <w:rPr>
          <w:rFonts w:ascii="Times New Roman" w:hAnsi="Times New Roman" w:cs="Times New Roman"/>
          <w:lang w:val="af-ZA"/>
        </w:rPr>
      </w:pPr>
      <w:hyperlink r:id="rId647" w:history="1">
        <w:r w:rsidR="00395611" w:rsidRPr="00EF7399">
          <w:rPr>
            <w:rStyle w:val="Hyperlink"/>
            <w:rFonts w:ascii="Times New Roman" w:hAnsi="Times New Roman" w:cs="Times New Roman"/>
            <w:lang w:val="af-ZA"/>
          </w:rPr>
          <w:t>Ahmed and Others</w:t>
        </w:r>
        <w:r w:rsidR="00873234" w:rsidRPr="00EF7399">
          <w:rPr>
            <w:rStyle w:val="Hyperlink"/>
            <w:rFonts w:ascii="Times New Roman" w:hAnsi="Times New Roman" w:cs="Times New Roman"/>
            <w:lang w:val="af-ZA"/>
          </w:rPr>
          <w:t xml:space="preserve"> v. </w:t>
        </w:r>
        <w:r w:rsidR="00395611" w:rsidRPr="00EF7399">
          <w:rPr>
            <w:rStyle w:val="Hyperlink"/>
            <w:rFonts w:ascii="Times New Roman" w:hAnsi="Times New Roman" w:cs="Times New Roman"/>
            <w:lang w:val="af-ZA"/>
          </w:rPr>
          <w:t>the United Kingdom</w:t>
        </w:r>
      </w:hyperlink>
      <w:r w:rsidR="00395611" w:rsidRPr="00EF7399">
        <w:rPr>
          <w:rFonts w:ascii="Times New Roman" w:hAnsi="Times New Roman" w:cs="Times New Roman"/>
          <w:lang w:val="af-ZA"/>
        </w:rPr>
        <w:t xml:space="preserve">, 2 September 1998, </w:t>
      </w:r>
      <w:r w:rsidR="00395611" w:rsidRPr="00EF7399">
        <w:rPr>
          <w:rFonts w:ascii="Times New Roman" w:hAnsi="Times New Roman" w:cs="Times New Roman"/>
          <w:i/>
          <w:lang w:val="af-ZA"/>
        </w:rPr>
        <w:t>Reports of Judgments and Decisions</w:t>
      </w:r>
      <w:r w:rsidR="00395611" w:rsidRPr="00EF7399">
        <w:rPr>
          <w:rFonts w:ascii="Times New Roman" w:hAnsi="Times New Roman" w:cs="Times New Roman"/>
          <w:lang w:val="af-ZA"/>
        </w:rPr>
        <w:t xml:space="preserve"> 1998</w:t>
      </w:r>
      <w:r w:rsidR="00395611" w:rsidRPr="00EF7399">
        <w:rPr>
          <w:rFonts w:ascii="Times New Roman" w:hAnsi="Times New Roman" w:cs="Times New Roman"/>
          <w:lang w:val="af-ZA"/>
        </w:rPr>
        <w:noBreakHyphen/>
        <w:t>VI</w:t>
      </w:r>
    </w:p>
    <w:p w14:paraId="585331EF" w14:textId="31E1325B" w:rsidR="00EA4EF4" w:rsidRPr="00EF7399" w:rsidRDefault="00000000" w:rsidP="00EA4EF4">
      <w:pPr>
        <w:pStyle w:val="ECHRParaHanging"/>
        <w:rPr>
          <w:rFonts w:ascii="Times New Roman" w:hAnsi="Times New Roman" w:cs="Times New Roman"/>
          <w:lang w:val="af-ZA"/>
        </w:rPr>
      </w:pPr>
      <w:hyperlink r:id="rId648" w:history="1">
        <w:r w:rsidR="00EA4EF4" w:rsidRPr="00EF7399">
          <w:rPr>
            <w:rStyle w:val="Hyperlink"/>
            <w:rFonts w:ascii="Times New Roman" w:hAnsi="Times New Roman" w:cs="Times New Roman"/>
            <w:iCs/>
            <w:lang w:val="af-ZA"/>
          </w:rPr>
          <w:t>Akarsubaşı and Alçiçek</w:t>
        </w:r>
        <w:r w:rsidR="00873234" w:rsidRPr="00EF7399">
          <w:rPr>
            <w:rStyle w:val="Hyperlink"/>
            <w:rFonts w:ascii="Times New Roman" w:hAnsi="Times New Roman" w:cs="Times New Roman"/>
            <w:iCs/>
            <w:lang w:val="af-ZA"/>
          </w:rPr>
          <w:t xml:space="preserve"> v. </w:t>
        </w:r>
        <w:r w:rsidR="00EA4EF4" w:rsidRPr="00EF7399">
          <w:rPr>
            <w:rStyle w:val="Hyperlink"/>
            <w:rFonts w:ascii="Times New Roman" w:hAnsi="Times New Roman" w:cs="Times New Roman"/>
            <w:iCs/>
            <w:lang w:val="af-ZA"/>
          </w:rPr>
          <w:t>Turkey</w:t>
        </w:r>
      </w:hyperlink>
      <w:r w:rsidR="00EA4EF4" w:rsidRPr="00EF7399">
        <w:rPr>
          <w:rFonts w:ascii="Times New Roman" w:hAnsi="Times New Roman" w:cs="Times New Roman"/>
          <w:lang w:val="af-ZA"/>
        </w:rPr>
        <w:t>, no. 19620/12, 23 January 2018</w:t>
      </w:r>
    </w:p>
    <w:p w14:paraId="0AAF8AD9" w14:textId="27558961" w:rsidR="00EA4EF4" w:rsidRPr="00EF7399" w:rsidRDefault="00000000" w:rsidP="00EA4EF4">
      <w:pPr>
        <w:pStyle w:val="ECHRParaHanging"/>
        <w:rPr>
          <w:rFonts w:ascii="Times New Roman" w:hAnsi="Times New Roman" w:cs="Times New Roman"/>
          <w:lang w:val="af-ZA"/>
        </w:rPr>
      </w:pPr>
      <w:hyperlink r:id="rId649" w:history="1">
        <w:r w:rsidR="00EA4EF4" w:rsidRPr="00EF7399">
          <w:rPr>
            <w:rStyle w:val="Hyperlink"/>
            <w:rFonts w:ascii="Times New Roman" w:hAnsi="Times New Roman" w:cs="Times New Roman"/>
            <w:lang w:val="af-ZA"/>
          </w:rPr>
          <w:t>Akgöl and Göl</w:t>
        </w:r>
        <w:r w:rsidR="00873234" w:rsidRPr="00EF7399">
          <w:rPr>
            <w:rStyle w:val="Hyperlink"/>
            <w:rFonts w:ascii="Times New Roman" w:hAnsi="Times New Roman" w:cs="Times New Roman"/>
            <w:lang w:val="af-ZA"/>
          </w:rPr>
          <w:t xml:space="preserve"> v. </w:t>
        </w:r>
        <w:r w:rsidR="00EA4EF4" w:rsidRPr="00EF7399">
          <w:rPr>
            <w:rStyle w:val="Hyperlink"/>
            <w:rFonts w:ascii="Times New Roman" w:hAnsi="Times New Roman" w:cs="Times New Roman"/>
            <w:lang w:val="af-ZA"/>
          </w:rPr>
          <w:t>Turkey</w:t>
        </w:r>
      </w:hyperlink>
      <w:r w:rsidR="00EA4EF4" w:rsidRPr="00EF7399">
        <w:rPr>
          <w:rFonts w:ascii="Times New Roman" w:hAnsi="Times New Roman" w:cs="Times New Roman"/>
          <w:lang w:val="af-ZA"/>
        </w:rPr>
        <w:t>, nos. 28495/06 and 28516/06, 17 May 2011</w:t>
      </w:r>
    </w:p>
    <w:p w14:paraId="0B6E6553" w14:textId="17840A2F" w:rsidR="00EA4EF4" w:rsidRPr="00EF7399" w:rsidRDefault="00000000" w:rsidP="00EA4EF4">
      <w:pPr>
        <w:pStyle w:val="ECHRParaHanging"/>
        <w:rPr>
          <w:rFonts w:ascii="Times New Roman" w:hAnsi="Times New Roman" w:cs="Times New Roman"/>
          <w:lang w:val="af-ZA"/>
        </w:rPr>
      </w:pPr>
      <w:hyperlink r:id="rId650" w:history="1">
        <w:r w:rsidR="00EA4EF4" w:rsidRPr="00EF7399">
          <w:rPr>
            <w:rStyle w:val="Hyperlink"/>
            <w:rFonts w:ascii="Times New Roman" w:hAnsi="Times New Roman" w:cs="Times New Roman"/>
            <w:lang w:val="af-ZA"/>
          </w:rPr>
          <w:t>Alekseyev</w:t>
        </w:r>
        <w:r w:rsidR="00873234" w:rsidRPr="00EF7399">
          <w:rPr>
            <w:rStyle w:val="Hyperlink"/>
            <w:rFonts w:ascii="Times New Roman" w:hAnsi="Times New Roman" w:cs="Times New Roman"/>
            <w:lang w:val="af-ZA"/>
          </w:rPr>
          <w:t xml:space="preserve"> v. </w:t>
        </w:r>
        <w:r w:rsidR="00EA4EF4" w:rsidRPr="00EF7399">
          <w:rPr>
            <w:rStyle w:val="Hyperlink"/>
            <w:rFonts w:ascii="Times New Roman" w:hAnsi="Times New Roman" w:cs="Times New Roman"/>
            <w:lang w:val="af-ZA"/>
          </w:rPr>
          <w:t>Russia</w:t>
        </w:r>
      </w:hyperlink>
      <w:r w:rsidR="00EA4EF4" w:rsidRPr="00EF7399">
        <w:rPr>
          <w:rFonts w:ascii="Times New Roman" w:hAnsi="Times New Roman" w:cs="Times New Roman"/>
          <w:lang w:val="af-ZA"/>
        </w:rPr>
        <w:t xml:space="preserve">, </w:t>
      </w:r>
      <w:r w:rsidR="003C0F56" w:rsidRPr="00EF7399">
        <w:rPr>
          <w:rFonts w:ascii="Times New Roman" w:hAnsi="Times New Roman" w:cs="Times New Roman"/>
          <w:lang w:val="af-ZA"/>
        </w:rPr>
        <w:t>nos. 4916/07 and 2 others</w:t>
      </w:r>
      <w:r w:rsidR="00EA4EF4" w:rsidRPr="00EF7399">
        <w:rPr>
          <w:rFonts w:ascii="Times New Roman" w:hAnsi="Times New Roman" w:cs="Times New Roman"/>
          <w:lang w:val="af-ZA"/>
        </w:rPr>
        <w:t>, 21 October 2010</w:t>
      </w:r>
    </w:p>
    <w:p w14:paraId="2D6DA1AF" w14:textId="3F876C8A" w:rsidR="002C1045" w:rsidRPr="00EF7399" w:rsidRDefault="00000000" w:rsidP="002C1045">
      <w:pPr>
        <w:pStyle w:val="ECHRParaHanging"/>
        <w:rPr>
          <w:rFonts w:ascii="Times New Roman" w:hAnsi="Times New Roman" w:cs="Times New Roman"/>
          <w:lang w:val="af-ZA"/>
        </w:rPr>
      </w:pPr>
      <w:hyperlink r:id="rId651" w:history="1">
        <w:r w:rsidR="00E30A85" w:rsidRPr="00EF7399">
          <w:rPr>
            <w:rStyle w:val="Hyperlink"/>
            <w:rFonts w:ascii="Times New Roman" w:hAnsi="Times New Roman" w:cs="Times New Roman"/>
            <w:lang w:val="af-ZA" w:eastAsia="fr-FR"/>
          </w:rPr>
          <w:t>Alıcı and Others v. Türkiye</w:t>
        </w:r>
      </w:hyperlink>
      <w:r w:rsidR="002C1045" w:rsidRPr="00EF7399">
        <w:rPr>
          <w:rFonts w:ascii="Times New Roman" w:hAnsi="Times New Roman" w:cs="Times New Roman"/>
          <w:color w:val="000000"/>
          <w:lang w:val="af-ZA" w:eastAsia="fr-FR"/>
        </w:rPr>
        <w:t>, no. 70098/12, 24 May 2022</w:t>
      </w:r>
    </w:p>
    <w:p w14:paraId="2531E75D" w14:textId="495BBE34" w:rsidR="005E132B" w:rsidRPr="00EF7399" w:rsidRDefault="00000000" w:rsidP="004C3976">
      <w:pPr>
        <w:pStyle w:val="ECHRParaHanging"/>
        <w:rPr>
          <w:rFonts w:ascii="Times New Roman" w:hAnsi="Times New Roman" w:cs="Times New Roman"/>
          <w:lang w:val="af-ZA"/>
        </w:rPr>
      </w:pPr>
      <w:hyperlink r:id="rId652" w:history="1">
        <w:r w:rsidR="005E132B" w:rsidRPr="00EF7399">
          <w:rPr>
            <w:rStyle w:val="Hyperlink"/>
            <w:rFonts w:ascii="Times New Roman" w:hAnsi="Times New Roman" w:cs="Times New Roman"/>
            <w:lang w:val="af-ZA"/>
          </w:rPr>
          <w:t>Aliyev and Others</w:t>
        </w:r>
        <w:r w:rsidR="00873234" w:rsidRPr="00EF7399">
          <w:rPr>
            <w:rStyle w:val="Hyperlink"/>
            <w:rFonts w:ascii="Times New Roman" w:hAnsi="Times New Roman" w:cs="Times New Roman"/>
            <w:lang w:val="af-ZA"/>
          </w:rPr>
          <w:t xml:space="preserve"> v. </w:t>
        </w:r>
        <w:r w:rsidR="005E132B" w:rsidRPr="00EF7399">
          <w:rPr>
            <w:rStyle w:val="Hyperlink"/>
            <w:rFonts w:ascii="Times New Roman" w:hAnsi="Times New Roman" w:cs="Times New Roman"/>
            <w:lang w:val="af-ZA"/>
          </w:rPr>
          <w:t>Azerbaijan</w:t>
        </w:r>
      </w:hyperlink>
      <w:r w:rsidR="005E132B" w:rsidRPr="00EF7399">
        <w:rPr>
          <w:rFonts w:ascii="Times New Roman" w:hAnsi="Times New Roman" w:cs="Times New Roman"/>
          <w:lang w:val="af-ZA"/>
        </w:rPr>
        <w:t>, no. 28736/05, 18 December 2008</w:t>
      </w:r>
    </w:p>
    <w:p w14:paraId="068595D5" w14:textId="5F9CA316" w:rsidR="000D7F2E" w:rsidRPr="00EF7399" w:rsidRDefault="00000000" w:rsidP="000D7F2E">
      <w:pPr>
        <w:pStyle w:val="ECHRParaHanging"/>
        <w:rPr>
          <w:rFonts w:ascii="Times New Roman" w:hAnsi="Times New Roman" w:cs="Times New Roman"/>
          <w:lang w:val="af-ZA"/>
        </w:rPr>
      </w:pPr>
      <w:hyperlink r:id="rId653" w:history="1">
        <w:r w:rsidR="000D7F2E" w:rsidRPr="00EF7399">
          <w:rPr>
            <w:rStyle w:val="Hyperlink"/>
            <w:rFonts w:ascii="Times New Roman" w:hAnsi="Times New Roman" w:cs="Times New Roman"/>
            <w:lang w:val="af-ZA"/>
          </w:rPr>
          <w:t>Animal Defenders International</w:t>
        </w:r>
        <w:r w:rsidR="00873234" w:rsidRPr="00EF7399">
          <w:rPr>
            <w:rStyle w:val="Hyperlink"/>
            <w:rFonts w:ascii="Times New Roman" w:hAnsi="Times New Roman" w:cs="Times New Roman"/>
            <w:lang w:val="af-ZA"/>
          </w:rPr>
          <w:t xml:space="preserve"> v. </w:t>
        </w:r>
        <w:r w:rsidR="000D7F2E" w:rsidRPr="00EF7399">
          <w:rPr>
            <w:rStyle w:val="Hyperlink"/>
            <w:rFonts w:ascii="Times New Roman" w:hAnsi="Times New Roman" w:cs="Times New Roman"/>
            <w:lang w:val="af-ZA"/>
          </w:rPr>
          <w:t>the United Kingdom</w:t>
        </w:r>
      </w:hyperlink>
      <w:r w:rsidR="000D7F2E" w:rsidRPr="00EF7399">
        <w:rPr>
          <w:rFonts w:ascii="Times New Roman" w:hAnsi="Times New Roman" w:cs="Times New Roman"/>
          <w:lang w:val="af-ZA"/>
        </w:rPr>
        <w:t xml:space="preserve"> [GC], no. 48876/08, ECHR 2013 (extracts)</w:t>
      </w:r>
    </w:p>
    <w:p w14:paraId="4DD1C4F3" w14:textId="172966CD" w:rsidR="006B6FEB" w:rsidRPr="00EF7399" w:rsidRDefault="00000000" w:rsidP="006B6FEB">
      <w:pPr>
        <w:pStyle w:val="ECHRParaHanging"/>
        <w:rPr>
          <w:rFonts w:ascii="Times New Roman" w:hAnsi="Times New Roman" w:cs="Times New Roman"/>
          <w:iCs/>
          <w:lang w:val="af-ZA"/>
        </w:rPr>
      </w:pPr>
      <w:hyperlink r:id="rId654" w:history="1">
        <w:r w:rsidR="006B6FEB" w:rsidRPr="00EF7399">
          <w:rPr>
            <w:rStyle w:val="Hyperlink"/>
            <w:rFonts w:ascii="Times New Roman" w:hAnsi="Times New Roman" w:cs="Times New Roman"/>
            <w:iCs/>
            <w:lang w:val="af-ZA"/>
          </w:rPr>
          <w:t>Annenkov and Others</w:t>
        </w:r>
        <w:r w:rsidR="00873234" w:rsidRPr="00EF7399">
          <w:rPr>
            <w:rStyle w:val="Hyperlink"/>
            <w:rFonts w:ascii="Times New Roman" w:hAnsi="Times New Roman" w:cs="Times New Roman"/>
            <w:iCs/>
            <w:lang w:val="af-ZA"/>
          </w:rPr>
          <w:t xml:space="preserve"> v. </w:t>
        </w:r>
        <w:r w:rsidR="006B6FEB" w:rsidRPr="00EF7399">
          <w:rPr>
            <w:rStyle w:val="Hyperlink"/>
            <w:rFonts w:ascii="Times New Roman" w:hAnsi="Times New Roman" w:cs="Times New Roman"/>
            <w:iCs/>
            <w:lang w:val="af-ZA"/>
          </w:rPr>
          <w:t>Russia</w:t>
        </w:r>
      </w:hyperlink>
      <w:r w:rsidR="006B6FEB" w:rsidRPr="00EF7399">
        <w:rPr>
          <w:rFonts w:ascii="Times New Roman" w:hAnsi="Times New Roman" w:cs="Times New Roman"/>
          <w:iCs/>
          <w:lang w:val="af-ZA"/>
        </w:rPr>
        <w:t>, no. 31475/10, 25 July 2017</w:t>
      </w:r>
    </w:p>
    <w:p w14:paraId="037D7D71" w14:textId="2A5977DA" w:rsidR="001A3FA7" w:rsidRPr="00EF7399" w:rsidRDefault="00000000" w:rsidP="004C3976">
      <w:pPr>
        <w:pStyle w:val="ECHRParaHanging"/>
        <w:rPr>
          <w:rFonts w:ascii="Times New Roman" w:hAnsi="Times New Roman" w:cs="Times New Roman"/>
          <w:lang w:val="af-ZA"/>
        </w:rPr>
      </w:pPr>
      <w:hyperlink r:id="rId655" w:history="1">
        <w:r w:rsidR="001A3FA7" w:rsidRPr="00EF7399">
          <w:rPr>
            <w:rStyle w:val="Hyperlink"/>
            <w:rFonts w:ascii="Times New Roman" w:hAnsi="Times New Roman" w:cs="Times New Roman"/>
            <w:lang w:val="af-ZA"/>
          </w:rPr>
          <w:t>APEH Üldözötteinek Szövetsége, Iványi, Róth and Szerdahelyi</w:t>
        </w:r>
        <w:r w:rsidR="00873234" w:rsidRPr="00EF7399">
          <w:rPr>
            <w:rStyle w:val="Hyperlink"/>
            <w:rFonts w:ascii="Times New Roman" w:hAnsi="Times New Roman" w:cs="Times New Roman"/>
            <w:lang w:val="af-ZA"/>
          </w:rPr>
          <w:t xml:space="preserve"> v. </w:t>
        </w:r>
        <w:r w:rsidR="001A3FA7" w:rsidRPr="00EF7399">
          <w:rPr>
            <w:rStyle w:val="Hyperlink"/>
            <w:rFonts w:ascii="Times New Roman" w:hAnsi="Times New Roman" w:cs="Times New Roman"/>
            <w:lang w:val="af-ZA"/>
          </w:rPr>
          <w:t>Hungary</w:t>
        </w:r>
      </w:hyperlink>
      <w:r w:rsidR="001A3FA7" w:rsidRPr="00EF7399">
        <w:rPr>
          <w:rFonts w:ascii="Times New Roman" w:hAnsi="Times New Roman" w:cs="Times New Roman"/>
          <w:lang w:val="af-ZA"/>
        </w:rPr>
        <w:t xml:space="preserve"> (dec.) no. 32367/96</w:t>
      </w:r>
      <w:r w:rsidR="0093363D" w:rsidRPr="00EF7399">
        <w:rPr>
          <w:rFonts w:ascii="Times New Roman" w:hAnsi="Times New Roman" w:cs="Times New Roman"/>
          <w:lang w:val="af-ZA"/>
        </w:rPr>
        <w:t>, 31 </w:t>
      </w:r>
      <w:r w:rsidR="001A3FA7" w:rsidRPr="00EF7399">
        <w:rPr>
          <w:rFonts w:ascii="Times New Roman" w:hAnsi="Times New Roman" w:cs="Times New Roman"/>
          <w:lang w:val="af-ZA"/>
        </w:rPr>
        <w:t>August 1999</w:t>
      </w:r>
    </w:p>
    <w:p w14:paraId="0041FF64" w14:textId="4557B492" w:rsidR="006B6FEB" w:rsidRPr="00EF7399" w:rsidRDefault="00000000" w:rsidP="006B6FEB">
      <w:pPr>
        <w:pStyle w:val="ECHRParaHanging"/>
        <w:rPr>
          <w:rFonts w:ascii="Times New Roman" w:hAnsi="Times New Roman" w:cs="Times New Roman"/>
          <w:lang w:val="af-ZA"/>
        </w:rPr>
      </w:pPr>
      <w:hyperlink r:id="rId656" w:history="1">
        <w:r w:rsidR="006B6FEB" w:rsidRPr="00EF7399">
          <w:rPr>
            <w:rStyle w:val="Hyperlink"/>
            <w:rFonts w:ascii="Times New Roman" w:hAnsi="Times New Roman" w:cs="Times New Roman"/>
            <w:lang w:val="af-ZA"/>
          </w:rPr>
          <w:t>Appleby and Others</w:t>
        </w:r>
        <w:r w:rsidR="00873234" w:rsidRPr="00EF7399">
          <w:rPr>
            <w:rStyle w:val="Hyperlink"/>
            <w:rFonts w:ascii="Times New Roman" w:hAnsi="Times New Roman" w:cs="Times New Roman"/>
            <w:lang w:val="af-ZA"/>
          </w:rPr>
          <w:t xml:space="preserve"> v. </w:t>
        </w:r>
        <w:r w:rsidR="006B6FEB" w:rsidRPr="00EF7399">
          <w:rPr>
            <w:rStyle w:val="Hyperlink"/>
            <w:rFonts w:ascii="Times New Roman" w:hAnsi="Times New Roman" w:cs="Times New Roman"/>
            <w:lang w:val="af-ZA"/>
          </w:rPr>
          <w:t>the United Kingdom</w:t>
        </w:r>
      </w:hyperlink>
      <w:r w:rsidR="006B6FEB" w:rsidRPr="00EF7399">
        <w:rPr>
          <w:rFonts w:ascii="Times New Roman" w:hAnsi="Times New Roman" w:cs="Times New Roman"/>
          <w:lang w:val="af-ZA"/>
        </w:rPr>
        <w:t>, no. 44306/98, ECHR 2003 VI</w:t>
      </w:r>
    </w:p>
    <w:p w14:paraId="7EEF60A9" w14:textId="50B71EBA" w:rsidR="00154F8C" w:rsidRPr="00EF7399" w:rsidRDefault="00000000" w:rsidP="004C3976">
      <w:pPr>
        <w:pStyle w:val="ECHRParaHanging"/>
        <w:rPr>
          <w:rFonts w:ascii="Times New Roman" w:hAnsi="Times New Roman" w:cs="Times New Roman"/>
          <w:lang w:val="af-ZA"/>
        </w:rPr>
      </w:pPr>
      <w:hyperlink r:id="rId657" w:history="1">
        <w:r w:rsidR="00154F8C" w:rsidRPr="00EF7399">
          <w:rPr>
            <w:rStyle w:val="Hyperlink"/>
            <w:rFonts w:ascii="Times New Roman" w:hAnsi="Times New Roman" w:cs="Times New Roman"/>
            <w:lang w:val="af-ZA"/>
          </w:rPr>
          <w:t>Artyomov</w:t>
        </w:r>
        <w:r w:rsidR="00873234" w:rsidRPr="00EF7399">
          <w:rPr>
            <w:rStyle w:val="Hyperlink"/>
            <w:rFonts w:ascii="Times New Roman" w:hAnsi="Times New Roman" w:cs="Times New Roman"/>
            <w:lang w:val="af-ZA"/>
          </w:rPr>
          <w:t xml:space="preserve"> v. </w:t>
        </w:r>
        <w:r w:rsidR="00154F8C" w:rsidRPr="00EF7399">
          <w:rPr>
            <w:rStyle w:val="Hyperlink"/>
            <w:rFonts w:ascii="Times New Roman" w:hAnsi="Times New Roman" w:cs="Times New Roman"/>
            <w:lang w:val="af-ZA"/>
          </w:rPr>
          <w:t>Russia</w:t>
        </w:r>
      </w:hyperlink>
      <w:r w:rsidR="00154F8C" w:rsidRPr="00EF7399">
        <w:rPr>
          <w:rFonts w:ascii="Times New Roman" w:hAnsi="Times New Roman" w:cs="Times New Roman"/>
          <w:lang w:val="af-ZA"/>
        </w:rPr>
        <w:t xml:space="preserve"> (dec.), no. 17582/05, ECHR 2006</w:t>
      </w:r>
      <w:r w:rsidR="00154F8C" w:rsidRPr="00EF7399">
        <w:rPr>
          <w:rFonts w:ascii="Times New Roman" w:hAnsi="Times New Roman" w:cs="Times New Roman"/>
          <w:lang w:val="af-ZA"/>
        </w:rPr>
        <w:noBreakHyphen/>
        <w:t>XV</w:t>
      </w:r>
    </w:p>
    <w:p w14:paraId="405C4296" w14:textId="1C22AFAC" w:rsidR="00EA4EF4" w:rsidRPr="00EF7399" w:rsidRDefault="00000000" w:rsidP="004C3976">
      <w:pPr>
        <w:pStyle w:val="ECHRParaHanging"/>
        <w:rPr>
          <w:rFonts w:ascii="Times New Roman" w:hAnsi="Times New Roman" w:cs="Times New Roman"/>
          <w:lang w:val="af-ZA"/>
        </w:rPr>
      </w:pPr>
      <w:hyperlink r:id="rId658" w:history="1">
        <w:r w:rsidR="00EA4EF4" w:rsidRPr="00EF7399">
          <w:rPr>
            <w:rStyle w:val="Hyperlink"/>
            <w:rFonts w:ascii="Times New Roman" w:hAnsi="Times New Roman" w:cs="Times New Roman"/>
            <w:lang w:val="af-ZA"/>
          </w:rPr>
          <w:t>Ashughyan</w:t>
        </w:r>
        <w:r w:rsidR="00873234" w:rsidRPr="00EF7399">
          <w:rPr>
            <w:rStyle w:val="Hyperlink"/>
            <w:rFonts w:ascii="Times New Roman" w:hAnsi="Times New Roman" w:cs="Times New Roman"/>
            <w:lang w:val="af-ZA"/>
          </w:rPr>
          <w:t xml:space="preserve"> v. </w:t>
        </w:r>
        <w:r w:rsidR="00EA4EF4" w:rsidRPr="00EF7399">
          <w:rPr>
            <w:rStyle w:val="Hyperlink"/>
            <w:rFonts w:ascii="Times New Roman" w:hAnsi="Times New Roman" w:cs="Times New Roman"/>
            <w:lang w:val="af-ZA"/>
          </w:rPr>
          <w:t>Armenia</w:t>
        </w:r>
      </w:hyperlink>
      <w:r w:rsidR="00EA4EF4" w:rsidRPr="00EF7399">
        <w:rPr>
          <w:rFonts w:ascii="Times New Roman" w:hAnsi="Times New Roman" w:cs="Times New Roman"/>
          <w:lang w:val="af-ZA"/>
        </w:rPr>
        <w:t>, no</w:t>
      </w:r>
      <w:r w:rsidR="00F74C24" w:rsidRPr="00EF7399">
        <w:rPr>
          <w:rFonts w:ascii="Times New Roman" w:hAnsi="Times New Roman" w:cs="Times New Roman"/>
          <w:lang w:val="af-ZA"/>
        </w:rPr>
        <w:t>.</w:t>
      </w:r>
      <w:r w:rsidR="00EA4EF4" w:rsidRPr="00EF7399">
        <w:rPr>
          <w:rFonts w:ascii="Times New Roman" w:hAnsi="Times New Roman" w:cs="Times New Roman"/>
          <w:lang w:val="af-ZA"/>
        </w:rPr>
        <w:t xml:space="preserve"> 33268/03, 17 July 2008</w:t>
      </w:r>
    </w:p>
    <w:p w14:paraId="2E733ADA" w14:textId="79BA14C0" w:rsidR="002265D1" w:rsidRPr="00EF7399" w:rsidRDefault="00000000" w:rsidP="004C3976">
      <w:pPr>
        <w:pStyle w:val="ECHRParaHanging"/>
        <w:rPr>
          <w:rFonts w:ascii="Times New Roman" w:hAnsi="Times New Roman" w:cs="Times New Roman"/>
          <w:iCs/>
          <w:lang w:val="af-ZA"/>
        </w:rPr>
      </w:pPr>
      <w:hyperlink r:id="rId659" w:history="1">
        <w:r w:rsidR="002265D1" w:rsidRPr="00EF7399">
          <w:rPr>
            <w:rStyle w:val="Hyperlink"/>
            <w:rFonts w:ascii="Times New Roman" w:hAnsi="Times New Roman" w:cs="Times New Roman"/>
            <w:iCs/>
            <w:lang w:val="af-ZA"/>
          </w:rPr>
          <w:t>Association of Academics</w:t>
        </w:r>
        <w:r w:rsidR="00873234" w:rsidRPr="00EF7399">
          <w:rPr>
            <w:rStyle w:val="Hyperlink"/>
            <w:rFonts w:ascii="Times New Roman" w:hAnsi="Times New Roman" w:cs="Times New Roman"/>
            <w:iCs/>
            <w:lang w:val="af-ZA"/>
          </w:rPr>
          <w:t xml:space="preserve"> v. </w:t>
        </w:r>
        <w:r w:rsidR="002265D1" w:rsidRPr="00EF7399">
          <w:rPr>
            <w:rStyle w:val="Hyperlink"/>
            <w:rFonts w:ascii="Times New Roman" w:hAnsi="Times New Roman" w:cs="Times New Roman"/>
            <w:iCs/>
            <w:lang w:val="af-ZA"/>
          </w:rPr>
          <w:t>Iceland</w:t>
        </w:r>
      </w:hyperlink>
      <w:r w:rsidR="002265D1" w:rsidRPr="00EF7399">
        <w:rPr>
          <w:rFonts w:ascii="Times New Roman" w:hAnsi="Times New Roman" w:cs="Times New Roman"/>
          <w:iCs/>
          <w:lang w:val="af-ZA"/>
        </w:rPr>
        <w:t xml:space="preserve"> (dec.), no. 2451/16, 15 May 2018</w:t>
      </w:r>
    </w:p>
    <w:p w14:paraId="7D84DE12" w14:textId="72BAFD96" w:rsidR="00307F87" w:rsidRPr="00EF7399" w:rsidRDefault="00000000" w:rsidP="004C3976">
      <w:pPr>
        <w:pStyle w:val="ECHRParaHanging"/>
        <w:rPr>
          <w:rFonts w:ascii="Times New Roman" w:hAnsi="Times New Roman" w:cs="Times New Roman"/>
          <w:lang w:val="af-ZA"/>
        </w:rPr>
      </w:pPr>
      <w:hyperlink r:id="rId660" w:history="1">
        <w:r w:rsidR="00307F87" w:rsidRPr="00EF7399">
          <w:rPr>
            <w:rStyle w:val="Hyperlink"/>
            <w:rFonts w:ascii="Times New Roman" w:hAnsi="Times New Roman" w:cs="Times New Roman"/>
            <w:lang w:val="af-ZA"/>
          </w:rPr>
          <w:t>Association of Civil Servants and Union for Collective Bargaining and Others</w:t>
        </w:r>
        <w:r w:rsidR="00873234" w:rsidRPr="00EF7399">
          <w:rPr>
            <w:rStyle w:val="Hyperlink"/>
            <w:rFonts w:ascii="Times New Roman" w:hAnsi="Times New Roman" w:cs="Times New Roman"/>
            <w:lang w:val="af-ZA"/>
          </w:rPr>
          <w:t xml:space="preserve"> v. </w:t>
        </w:r>
        <w:r w:rsidR="00307F87" w:rsidRPr="00EF7399">
          <w:rPr>
            <w:rStyle w:val="Hyperlink"/>
            <w:rFonts w:ascii="Times New Roman" w:hAnsi="Times New Roman" w:cs="Times New Roman"/>
            <w:lang w:val="af-ZA"/>
          </w:rPr>
          <w:t>Germany</w:t>
        </w:r>
      </w:hyperlink>
      <w:r w:rsidR="00307F87" w:rsidRPr="00EF7399">
        <w:rPr>
          <w:rFonts w:ascii="Times New Roman" w:hAnsi="Times New Roman" w:cs="Times New Roman"/>
          <w:lang w:val="af-ZA"/>
        </w:rPr>
        <w:t>, no</w:t>
      </w:r>
      <w:r w:rsidR="005244E7" w:rsidRPr="00EF7399">
        <w:rPr>
          <w:rFonts w:ascii="Times New Roman" w:hAnsi="Times New Roman" w:cs="Times New Roman"/>
          <w:lang w:val="af-ZA"/>
        </w:rPr>
        <w:t>s</w:t>
      </w:r>
      <w:r w:rsidR="00307F87" w:rsidRPr="00EF7399">
        <w:rPr>
          <w:rFonts w:ascii="Times New Roman" w:hAnsi="Times New Roman" w:cs="Times New Roman"/>
          <w:lang w:val="af-ZA"/>
        </w:rPr>
        <w:t>.</w:t>
      </w:r>
      <w:r w:rsidR="00873234" w:rsidRPr="00EF7399">
        <w:rPr>
          <w:rFonts w:ascii="Times New Roman" w:hAnsi="Times New Roman" w:cs="Times New Roman"/>
          <w:lang w:val="af-ZA"/>
        </w:rPr>
        <w:t> </w:t>
      </w:r>
      <w:r w:rsidR="00307F87" w:rsidRPr="00EF7399">
        <w:rPr>
          <w:rFonts w:ascii="Times New Roman" w:hAnsi="Times New Roman" w:cs="Times New Roman"/>
          <w:lang w:val="af-ZA"/>
        </w:rPr>
        <w:t>815/18 and 4 others, 5 July 2022</w:t>
      </w:r>
    </w:p>
    <w:p w14:paraId="15A5862E" w14:textId="0A9F5CCE" w:rsidR="004B337D" w:rsidRPr="00EF7399" w:rsidRDefault="00000000" w:rsidP="004B337D">
      <w:pPr>
        <w:pStyle w:val="ECHRParaHanging"/>
        <w:rPr>
          <w:rFonts w:ascii="Times New Roman" w:hAnsi="Times New Roman" w:cs="Times New Roman"/>
          <w:lang w:val="af-ZA"/>
        </w:rPr>
      </w:pPr>
      <w:hyperlink r:id="rId661" w:history="1">
        <w:r w:rsidR="004B337D" w:rsidRPr="00EF7399">
          <w:rPr>
            <w:rStyle w:val="Hyperlink"/>
            <w:rFonts w:ascii="Times New Roman" w:hAnsi="Times New Roman" w:cs="Times New Roman"/>
            <w:lang w:val="af-ZA"/>
          </w:rPr>
          <w:t>Association of Citizens “Radko” and Paunkovski</w:t>
        </w:r>
        <w:r w:rsidR="00873234" w:rsidRPr="00EF7399">
          <w:rPr>
            <w:rStyle w:val="Hyperlink"/>
            <w:rFonts w:ascii="Times New Roman" w:hAnsi="Times New Roman" w:cs="Times New Roman"/>
            <w:lang w:val="af-ZA"/>
          </w:rPr>
          <w:t xml:space="preserve"> v. </w:t>
        </w:r>
        <w:r w:rsidR="004B337D" w:rsidRPr="00EF7399">
          <w:rPr>
            <w:rStyle w:val="Hyperlink"/>
            <w:rFonts w:ascii="Times New Roman" w:hAnsi="Times New Roman" w:cs="Times New Roman"/>
            <w:lang w:val="af-ZA"/>
          </w:rPr>
          <w:t>the former Yugoslav Republic of Macedonia</w:t>
        </w:r>
      </w:hyperlink>
      <w:r w:rsidR="004B337D" w:rsidRPr="00EF7399">
        <w:rPr>
          <w:rFonts w:ascii="Times New Roman" w:hAnsi="Times New Roman" w:cs="Times New Roman"/>
          <w:lang w:val="af-ZA"/>
        </w:rPr>
        <w:t>, no. 74651/01, ECHR 2009 (extracts)</w:t>
      </w:r>
    </w:p>
    <w:p w14:paraId="0A19430B" w14:textId="1EB80150" w:rsidR="004C3976" w:rsidRPr="00EF7399" w:rsidRDefault="00000000" w:rsidP="004C3976">
      <w:pPr>
        <w:pStyle w:val="ECHRParaHanging"/>
        <w:rPr>
          <w:rFonts w:ascii="Times New Roman" w:hAnsi="Times New Roman" w:cs="Times New Roman"/>
          <w:lang w:val="af-ZA"/>
        </w:rPr>
      </w:pPr>
      <w:hyperlink r:id="rId662" w:history="1">
        <w:r w:rsidR="004C3976" w:rsidRPr="00EF7399">
          <w:rPr>
            <w:rStyle w:val="Hyperlink"/>
            <w:rFonts w:ascii="Times New Roman" w:hAnsi="Times New Roman" w:cs="Times New Roman"/>
            <w:lang w:val="af-ZA"/>
          </w:rPr>
          <w:t>Association Rhino and Others</w:t>
        </w:r>
        <w:r w:rsidR="00873234" w:rsidRPr="00EF7399">
          <w:rPr>
            <w:rStyle w:val="Hyperlink"/>
            <w:rFonts w:ascii="Times New Roman" w:hAnsi="Times New Roman" w:cs="Times New Roman"/>
            <w:lang w:val="af-ZA"/>
          </w:rPr>
          <w:t xml:space="preserve"> v. </w:t>
        </w:r>
        <w:r w:rsidR="004C3976" w:rsidRPr="00EF7399">
          <w:rPr>
            <w:rStyle w:val="Hyperlink"/>
            <w:rFonts w:ascii="Times New Roman" w:hAnsi="Times New Roman" w:cs="Times New Roman"/>
            <w:lang w:val="af-ZA"/>
          </w:rPr>
          <w:t>Switzerland</w:t>
        </w:r>
      </w:hyperlink>
      <w:r w:rsidR="004C3976" w:rsidRPr="00EF7399">
        <w:rPr>
          <w:rFonts w:ascii="Times New Roman" w:hAnsi="Times New Roman" w:cs="Times New Roman"/>
          <w:lang w:val="af-ZA"/>
        </w:rPr>
        <w:t>, no. 48848/07, 11 October 2011</w:t>
      </w:r>
    </w:p>
    <w:p w14:paraId="062DB68B" w14:textId="14170F90" w:rsidR="0069284A" w:rsidRPr="00EF7399" w:rsidRDefault="00000000" w:rsidP="0069284A">
      <w:pPr>
        <w:pStyle w:val="ECHRParaHanging"/>
        <w:rPr>
          <w:rFonts w:ascii="Times New Roman" w:hAnsi="Times New Roman" w:cs="Times New Roman"/>
          <w:lang w:val="af-ZA"/>
        </w:rPr>
      </w:pPr>
      <w:hyperlink r:id="rId663" w:history="1">
        <w:r w:rsidR="0069284A" w:rsidRPr="00EF7399">
          <w:rPr>
            <w:rStyle w:val="Hyperlink"/>
            <w:rFonts w:ascii="Times New Roman" w:hAnsi="Times New Roman" w:cs="Times New Roman"/>
            <w:lang w:val="af-ZA"/>
          </w:rPr>
          <w:t>Associated Society of Locomotive Engineers and Firemen (ASLEF)</w:t>
        </w:r>
        <w:r w:rsidR="00873234" w:rsidRPr="00EF7399">
          <w:rPr>
            <w:rStyle w:val="Hyperlink"/>
            <w:rFonts w:ascii="Times New Roman" w:hAnsi="Times New Roman" w:cs="Times New Roman"/>
            <w:lang w:val="af-ZA"/>
          </w:rPr>
          <w:t xml:space="preserve"> v. </w:t>
        </w:r>
        <w:r w:rsidR="0069284A" w:rsidRPr="00EF7399">
          <w:rPr>
            <w:rStyle w:val="Hyperlink"/>
            <w:rFonts w:ascii="Times New Roman" w:hAnsi="Times New Roman" w:cs="Times New Roman"/>
            <w:lang w:val="af-ZA"/>
          </w:rPr>
          <w:t>the United Kingdom</w:t>
        </w:r>
      </w:hyperlink>
      <w:r w:rsidR="0093363D" w:rsidRPr="00EF7399">
        <w:rPr>
          <w:rFonts w:ascii="Times New Roman" w:hAnsi="Times New Roman" w:cs="Times New Roman"/>
          <w:lang w:val="af-ZA"/>
        </w:rPr>
        <w:t>, no. </w:t>
      </w:r>
      <w:r w:rsidR="0069284A" w:rsidRPr="00EF7399">
        <w:rPr>
          <w:rFonts w:ascii="Times New Roman" w:hAnsi="Times New Roman" w:cs="Times New Roman"/>
          <w:lang w:val="af-ZA"/>
        </w:rPr>
        <w:t>11002/05, 27 February 2007</w:t>
      </w:r>
    </w:p>
    <w:p w14:paraId="22C0B928" w14:textId="53BCD550" w:rsidR="00061A89" w:rsidRPr="00EF7399" w:rsidRDefault="00000000" w:rsidP="00061A89">
      <w:pPr>
        <w:pStyle w:val="ECHRParaHanging"/>
        <w:rPr>
          <w:rFonts w:ascii="Times New Roman" w:hAnsi="Times New Roman" w:cs="Times New Roman"/>
          <w:i/>
          <w:lang w:val="af-ZA"/>
        </w:rPr>
      </w:pPr>
      <w:hyperlink r:id="rId664" w:history="1">
        <w:r w:rsidR="00061A89" w:rsidRPr="00EF7399">
          <w:rPr>
            <w:rStyle w:val="Hyperlink"/>
            <w:rFonts w:ascii="Times New Roman" w:hAnsi="Times New Roman" w:cs="Times New Roman"/>
            <w:lang w:val="af-ZA"/>
          </w:rPr>
          <w:t>Ayoub and Others</w:t>
        </w:r>
        <w:r w:rsidR="00873234" w:rsidRPr="00EF7399">
          <w:rPr>
            <w:rStyle w:val="Hyperlink"/>
            <w:rFonts w:ascii="Times New Roman" w:hAnsi="Times New Roman" w:cs="Times New Roman"/>
            <w:lang w:val="af-ZA"/>
          </w:rPr>
          <w:t xml:space="preserve"> v. </w:t>
        </w:r>
        <w:r w:rsidR="00061A89" w:rsidRPr="00EF7399">
          <w:rPr>
            <w:rStyle w:val="Hyperlink"/>
            <w:rFonts w:ascii="Times New Roman" w:hAnsi="Times New Roman" w:cs="Times New Roman"/>
            <w:lang w:val="af-ZA"/>
          </w:rPr>
          <w:t>France</w:t>
        </w:r>
      </w:hyperlink>
      <w:r w:rsidR="00061A89" w:rsidRPr="00EF7399">
        <w:rPr>
          <w:rFonts w:ascii="Times New Roman" w:hAnsi="Times New Roman" w:cs="Times New Roman"/>
          <w:lang w:val="af-ZA"/>
        </w:rPr>
        <w:t>, nos. 77400/14 and 2 others, 8 October 2020</w:t>
      </w:r>
    </w:p>
    <w:p w14:paraId="568BF205" w14:textId="77777777" w:rsidR="00BB682C" w:rsidRPr="00EF7399" w:rsidRDefault="00BB682C" w:rsidP="00BB682C">
      <w:pPr>
        <w:pStyle w:val="ECHRTitleCentre1"/>
        <w:rPr>
          <w:rFonts w:ascii="Times New Roman" w:hAnsi="Times New Roman" w:cs="Times New Roman"/>
          <w:lang w:val="af-ZA"/>
        </w:rPr>
      </w:pPr>
      <w:r w:rsidRPr="00EF7399">
        <w:rPr>
          <w:rFonts w:ascii="Times New Roman" w:hAnsi="Times New Roman" w:cs="Times New Roman"/>
          <w:lang w:val="af-ZA"/>
        </w:rPr>
        <w:t>—B—</w:t>
      </w:r>
    </w:p>
    <w:p w14:paraId="51D09663" w14:textId="0E503B47" w:rsidR="00FD6916" w:rsidRPr="00EF7399" w:rsidRDefault="00000000" w:rsidP="009A215E">
      <w:pPr>
        <w:pStyle w:val="ECHRParaHanging"/>
        <w:rPr>
          <w:rFonts w:ascii="Times New Roman" w:hAnsi="Times New Roman" w:cs="Times New Roman"/>
          <w:lang w:val="af-ZA"/>
        </w:rPr>
      </w:pPr>
      <w:hyperlink r:id="rId665" w:history="1">
        <w:r w:rsidR="00FD6916" w:rsidRPr="00EF7399">
          <w:rPr>
            <w:rStyle w:val="Hyperlink"/>
            <w:rFonts w:ascii="Times New Roman" w:hAnsi="Times New Roman" w:cs="Times New Roman"/>
            <w:lang w:val="af-ZA"/>
          </w:rPr>
          <w:t>Bączkowski and Others</w:t>
        </w:r>
        <w:r w:rsidR="00873234" w:rsidRPr="00EF7399">
          <w:rPr>
            <w:rStyle w:val="Hyperlink"/>
            <w:rFonts w:ascii="Times New Roman" w:hAnsi="Times New Roman" w:cs="Times New Roman"/>
            <w:lang w:val="af-ZA"/>
          </w:rPr>
          <w:t xml:space="preserve"> v. </w:t>
        </w:r>
        <w:r w:rsidR="00FD6916" w:rsidRPr="00EF7399">
          <w:rPr>
            <w:rStyle w:val="Hyperlink"/>
            <w:rFonts w:ascii="Times New Roman" w:hAnsi="Times New Roman" w:cs="Times New Roman"/>
            <w:lang w:val="af-ZA"/>
          </w:rPr>
          <w:t>Poland</w:t>
        </w:r>
      </w:hyperlink>
      <w:r w:rsidR="00FD6916" w:rsidRPr="00EF7399">
        <w:rPr>
          <w:rFonts w:ascii="Times New Roman" w:hAnsi="Times New Roman" w:cs="Times New Roman"/>
          <w:lang w:val="af-ZA"/>
        </w:rPr>
        <w:t>, no. 1543/06, 3 May 2007</w:t>
      </w:r>
    </w:p>
    <w:p w14:paraId="4A26355F" w14:textId="36FEC4C5" w:rsidR="00EA4EF4" w:rsidRPr="00EF7399" w:rsidRDefault="00000000" w:rsidP="009A215E">
      <w:pPr>
        <w:pStyle w:val="ECHRParaHanging"/>
        <w:rPr>
          <w:rFonts w:ascii="Times New Roman" w:hAnsi="Times New Roman" w:cs="Times New Roman"/>
          <w:lang w:val="af-ZA"/>
        </w:rPr>
      </w:pPr>
      <w:hyperlink r:id="rId666" w:history="1">
        <w:r w:rsidR="00EA4EF4" w:rsidRPr="00EF7399">
          <w:rPr>
            <w:rStyle w:val="Hyperlink"/>
            <w:rFonts w:ascii="Times New Roman" w:hAnsi="Times New Roman" w:cs="Times New Roman"/>
            <w:lang w:val="af-ZA"/>
          </w:rPr>
          <w:t>Balçık and Others</w:t>
        </w:r>
        <w:r w:rsidR="00873234" w:rsidRPr="00EF7399">
          <w:rPr>
            <w:rStyle w:val="Hyperlink"/>
            <w:rFonts w:ascii="Times New Roman" w:hAnsi="Times New Roman" w:cs="Times New Roman"/>
            <w:lang w:val="af-ZA"/>
          </w:rPr>
          <w:t xml:space="preserve"> v. </w:t>
        </w:r>
        <w:r w:rsidR="00EA4EF4" w:rsidRPr="00EF7399">
          <w:rPr>
            <w:rStyle w:val="Hyperlink"/>
            <w:rFonts w:ascii="Times New Roman" w:hAnsi="Times New Roman" w:cs="Times New Roman"/>
            <w:lang w:val="af-ZA"/>
          </w:rPr>
          <w:t>Turkey</w:t>
        </w:r>
      </w:hyperlink>
      <w:r w:rsidR="00EA4EF4" w:rsidRPr="00EF7399">
        <w:rPr>
          <w:rFonts w:ascii="Times New Roman" w:hAnsi="Times New Roman" w:cs="Times New Roman"/>
          <w:lang w:val="af-ZA"/>
        </w:rPr>
        <w:t>, no. 25/02, 29 November 2007</w:t>
      </w:r>
    </w:p>
    <w:p w14:paraId="36DA5C72" w14:textId="66CF9953" w:rsidR="006B6FEB" w:rsidRPr="00EF7399" w:rsidRDefault="00000000" w:rsidP="006B6FEB">
      <w:pPr>
        <w:pStyle w:val="ECHRParaHanging"/>
        <w:rPr>
          <w:rFonts w:ascii="Times New Roman" w:hAnsi="Times New Roman" w:cs="Times New Roman"/>
          <w:lang w:val="af-ZA"/>
        </w:rPr>
      </w:pPr>
      <w:hyperlink r:id="rId667" w:history="1">
        <w:r w:rsidR="006B6FEB" w:rsidRPr="00EF7399">
          <w:rPr>
            <w:rStyle w:val="Hyperlink"/>
            <w:rFonts w:ascii="Times New Roman" w:hAnsi="Times New Roman" w:cs="Times New Roman"/>
            <w:lang w:val="af-ZA"/>
          </w:rPr>
          <w:t>Barabanov</w:t>
        </w:r>
        <w:r w:rsidR="00873234" w:rsidRPr="00EF7399">
          <w:rPr>
            <w:rStyle w:val="Hyperlink"/>
            <w:rFonts w:ascii="Times New Roman" w:hAnsi="Times New Roman" w:cs="Times New Roman"/>
            <w:lang w:val="af-ZA"/>
          </w:rPr>
          <w:t xml:space="preserve"> v. </w:t>
        </w:r>
        <w:r w:rsidR="006B6FEB" w:rsidRPr="00EF7399">
          <w:rPr>
            <w:rStyle w:val="Hyperlink"/>
            <w:rFonts w:ascii="Times New Roman" w:hAnsi="Times New Roman" w:cs="Times New Roman"/>
            <w:lang w:val="af-ZA"/>
          </w:rPr>
          <w:t>Russia</w:t>
        </w:r>
      </w:hyperlink>
      <w:r w:rsidR="006B6FEB" w:rsidRPr="00EF7399">
        <w:rPr>
          <w:rFonts w:ascii="Times New Roman" w:hAnsi="Times New Roman" w:cs="Times New Roman"/>
          <w:i/>
          <w:lang w:val="af-ZA"/>
        </w:rPr>
        <w:t xml:space="preserve">, </w:t>
      </w:r>
      <w:r w:rsidR="006B6FEB" w:rsidRPr="00EF7399">
        <w:rPr>
          <w:rFonts w:ascii="Times New Roman" w:hAnsi="Times New Roman" w:cs="Times New Roman"/>
          <w:lang w:val="af-ZA"/>
        </w:rPr>
        <w:t>nos. 4966/13 and 5550/15, 30 January 2018</w:t>
      </w:r>
    </w:p>
    <w:p w14:paraId="72196092" w14:textId="4539E43D" w:rsidR="00EA4EF4" w:rsidRPr="00EF7399" w:rsidRDefault="00000000" w:rsidP="009A215E">
      <w:pPr>
        <w:pStyle w:val="ECHRParaHanging"/>
        <w:rPr>
          <w:rFonts w:ascii="Times New Roman" w:hAnsi="Times New Roman" w:cs="Times New Roman"/>
          <w:lang w:val="af-ZA"/>
        </w:rPr>
      </w:pPr>
      <w:hyperlink r:id="rId668" w:history="1">
        <w:r w:rsidR="00EA4EF4" w:rsidRPr="00EF7399">
          <w:rPr>
            <w:rStyle w:val="Hyperlink"/>
            <w:rFonts w:ascii="Times New Roman" w:hAnsi="Times New Roman" w:cs="Times New Roman"/>
            <w:lang w:val="af-ZA"/>
          </w:rPr>
          <w:t>Barankevich</w:t>
        </w:r>
        <w:r w:rsidR="00873234" w:rsidRPr="00EF7399">
          <w:rPr>
            <w:rStyle w:val="Hyperlink"/>
            <w:rFonts w:ascii="Times New Roman" w:hAnsi="Times New Roman" w:cs="Times New Roman"/>
            <w:lang w:val="af-ZA"/>
          </w:rPr>
          <w:t xml:space="preserve"> v. </w:t>
        </w:r>
        <w:r w:rsidR="00EA4EF4" w:rsidRPr="00EF7399">
          <w:rPr>
            <w:rStyle w:val="Hyperlink"/>
            <w:rFonts w:ascii="Times New Roman" w:hAnsi="Times New Roman" w:cs="Times New Roman"/>
            <w:lang w:val="af-ZA"/>
          </w:rPr>
          <w:t>Russia</w:t>
        </w:r>
      </w:hyperlink>
      <w:r w:rsidR="00EA4EF4" w:rsidRPr="00EF7399">
        <w:rPr>
          <w:rFonts w:ascii="Times New Roman" w:hAnsi="Times New Roman" w:cs="Times New Roman"/>
          <w:lang w:val="af-ZA"/>
        </w:rPr>
        <w:t>, no. 10519/03, 26 July 2007</w:t>
      </w:r>
    </w:p>
    <w:p w14:paraId="73481642" w14:textId="58F5BEE4" w:rsidR="00811214" w:rsidRPr="00EF7399" w:rsidRDefault="00000000" w:rsidP="009A215E">
      <w:pPr>
        <w:pStyle w:val="ECHRParaHanging"/>
        <w:rPr>
          <w:rFonts w:ascii="Times New Roman" w:hAnsi="Times New Roman" w:cs="Times New Roman"/>
          <w:lang w:val="af-ZA"/>
        </w:rPr>
      </w:pPr>
      <w:hyperlink r:id="rId669" w:history="1">
        <w:r w:rsidR="00811214" w:rsidRPr="00EF7399">
          <w:rPr>
            <w:rStyle w:val="Hyperlink"/>
            <w:rFonts w:ascii="Times New Roman" w:hAnsi="Times New Roman" w:cs="Times New Roman"/>
            <w:iCs/>
            <w:lang w:val="af-ZA"/>
          </w:rPr>
          <w:t>Barış and Others</w:t>
        </w:r>
        <w:r w:rsidR="00873234" w:rsidRPr="00EF7399">
          <w:rPr>
            <w:rStyle w:val="Hyperlink"/>
            <w:rFonts w:ascii="Times New Roman" w:hAnsi="Times New Roman" w:cs="Times New Roman"/>
            <w:iCs/>
            <w:lang w:val="af-ZA"/>
          </w:rPr>
          <w:t xml:space="preserve"> v. </w:t>
        </w:r>
        <w:r w:rsidR="00811214" w:rsidRPr="00EF7399">
          <w:rPr>
            <w:rStyle w:val="Hyperlink"/>
            <w:rFonts w:ascii="Times New Roman" w:hAnsi="Times New Roman" w:cs="Times New Roman"/>
            <w:iCs/>
            <w:lang w:val="af-ZA"/>
          </w:rPr>
          <w:t>Turkey</w:t>
        </w:r>
      </w:hyperlink>
      <w:r w:rsidR="00811214" w:rsidRPr="00EF7399">
        <w:rPr>
          <w:rFonts w:ascii="Times New Roman" w:hAnsi="Times New Roman" w:cs="Times New Roman"/>
          <w:i/>
          <w:iCs/>
          <w:lang w:val="af-ZA"/>
        </w:rPr>
        <w:t xml:space="preserve"> </w:t>
      </w:r>
      <w:r w:rsidR="00811214" w:rsidRPr="00EF7399">
        <w:rPr>
          <w:rFonts w:ascii="Times New Roman" w:hAnsi="Times New Roman" w:cs="Times New Roman"/>
          <w:lang w:val="af-ZA"/>
        </w:rPr>
        <w:t>(dec.), no. 66828/16 and 31 others, 14 December 2021</w:t>
      </w:r>
    </w:p>
    <w:p w14:paraId="529AB51A" w14:textId="66A91CA6" w:rsidR="00EA4EF4" w:rsidRPr="00EF7399" w:rsidRDefault="00000000" w:rsidP="009A215E">
      <w:pPr>
        <w:pStyle w:val="ECHRParaHanging"/>
        <w:rPr>
          <w:rFonts w:ascii="Times New Roman" w:hAnsi="Times New Roman" w:cs="Times New Roman"/>
          <w:lang w:val="af-ZA"/>
        </w:rPr>
      </w:pPr>
      <w:hyperlink r:id="rId670" w:history="1">
        <w:r w:rsidR="00EA4EF4" w:rsidRPr="00EF7399">
          <w:rPr>
            <w:rStyle w:val="Hyperlink"/>
            <w:rFonts w:ascii="Times New Roman" w:hAnsi="Times New Roman" w:cs="Times New Roman"/>
            <w:lang w:val="af-ZA"/>
          </w:rPr>
          <w:t>Barraco</w:t>
        </w:r>
        <w:r w:rsidR="00873234" w:rsidRPr="00EF7399">
          <w:rPr>
            <w:rStyle w:val="Hyperlink"/>
            <w:rFonts w:ascii="Times New Roman" w:hAnsi="Times New Roman" w:cs="Times New Roman"/>
            <w:lang w:val="af-ZA"/>
          </w:rPr>
          <w:t xml:space="preserve"> v. </w:t>
        </w:r>
        <w:r w:rsidR="00EA4EF4" w:rsidRPr="00EF7399">
          <w:rPr>
            <w:rStyle w:val="Hyperlink"/>
            <w:rFonts w:ascii="Times New Roman" w:hAnsi="Times New Roman" w:cs="Times New Roman"/>
            <w:lang w:val="af-ZA"/>
          </w:rPr>
          <w:t>France</w:t>
        </w:r>
      </w:hyperlink>
      <w:r w:rsidR="00EA4EF4" w:rsidRPr="00EF7399">
        <w:rPr>
          <w:rFonts w:ascii="Times New Roman" w:hAnsi="Times New Roman" w:cs="Times New Roman"/>
          <w:lang w:val="af-ZA"/>
        </w:rPr>
        <w:t>, no. 31684/05, 5 March 2009</w:t>
      </w:r>
    </w:p>
    <w:p w14:paraId="14228E39" w14:textId="00BCF4C2" w:rsidR="009A215E" w:rsidRPr="00EF7399" w:rsidRDefault="00000000" w:rsidP="009A215E">
      <w:pPr>
        <w:pStyle w:val="ECHRParaHanging"/>
        <w:rPr>
          <w:rFonts w:ascii="Times New Roman" w:hAnsi="Times New Roman" w:cs="Times New Roman"/>
          <w:lang w:val="af-ZA"/>
        </w:rPr>
      </w:pPr>
      <w:hyperlink r:id="rId671" w:history="1">
        <w:r w:rsidR="009A215E" w:rsidRPr="00EF7399">
          <w:rPr>
            <w:rStyle w:val="Hyperlink"/>
            <w:rFonts w:ascii="Times New Roman" w:hAnsi="Times New Roman" w:cs="Times New Roman"/>
            <w:lang w:val="af-ZA"/>
          </w:rPr>
          <w:t>Barthold</w:t>
        </w:r>
        <w:r w:rsidR="00873234" w:rsidRPr="00EF7399">
          <w:rPr>
            <w:rStyle w:val="Hyperlink"/>
            <w:rFonts w:ascii="Times New Roman" w:hAnsi="Times New Roman" w:cs="Times New Roman"/>
            <w:lang w:val="af-ZA"/>
          </w:rPr>
          <w:t xml:space="preserve"> v. </w:t>
        </w:r>
        <w:r w:rsidR="009A215E" w:rsidRPr="00EF7399">
          <w:rPr>
            <w:rStyle w:val="Hyperlink"/>
            <w:rFonts w:ascii="Times New Roman" w:hAnsi="Times New Roman" w:cs="Times New Roman"/>
            <w:lang w:val="af-ZA"/>
          </w:rPr>
          <w:t>Germany</w:t>
        </w:r>
      </w:hyperlink>
      <w:r w:rsidR="009A215E" w:rsidRPr="00EF7399">
        <w:rPr>
          <w:rFonts w:ascii="Times New Roman" w:hAnsi="Times New Roman" w:cs="Times New Roman"/>
          <w:lang w:val="af-ZA"/>
        </w:rPr>
        <w:t xml:space="preserve">, 25 March 1985, </w:t>
      </w:r>
      <w:r w:rsidR="00873234" w:rsidRPr="00EF7399">
        <w:rPr>
          <w:rFonts w:ascii="Times New Roman" w:hAnsi="Times New Roman" w:cs="Times New Roman"/>
          <w:lang w:val="af-ZA"/>
        </w:rPr>
        <w:t>§ </w:t>
      </w:r>
      <w:r w:rsidR="009A215E" w:rsidRPr="00EF7399">
        <w:rPr>
          <w:rFonts w:ascii="Times New Roman" w:hAnsi="Times New Roman" w:cs="Times New Roman"/>
          <w:lang w:val="af-ZA"/>
        </w:rPr>
        <w:t>61, Series A no. 90</w:t>
      </w:r>
    </w:p>
    <w:p w14:paraId="0CB6EA24" w14:textId="6C0671E4" w:rsidR="00EA4EF4" w:rsidRPr="00EF7399" w:rsidRDefault="00000000" w:rsidP="009A215E">
      <w:pPr>
        <w:pStyle w:val="ECHRParaHanging"/>
        <w:rPr>
          <w:rFonts w:ascii="Times New Roman" w:hAnsi="Times New Roman" w:cs="Times New Roman"/>
          <w:lang w:val="af-ZA"/>
        </w:rPr>
      </w:pPr>
      <w:hyperlink r:id="rId672" w:history="1">
        <w:r w:rsidR="00EA4EF4" w:rsidRPr="00EF7399">
          <w:rPr>
            <w:rStyle w:val="Hyperlink"/>
            <w:rFonts w:ascii="Times New Roman" w:hAnsi="Times New Roman" w:cs="Times New Roman"/>
            <w:lang w:val="af-ZA"/>
          </w:rPr>
          <w:t>Bayev and Others</w:t>
        </w:r>
        <w:r w:rsidR="00873234" w:rsidRPr="00EF7399">
          <w:rPr>
            <w:rStyle w:val="Hyperlink"/>
            <w:rFonts w:ascii="Times New Roman" w:hAnsi="Times New Roman" w:cs="Times New Roman"/>
            <w:lang w:val="af-ZA"/>
          </w:rPr>
          <w:t xml:space="preserve"> v. </w:t>
        </w:r>
        <w:r w:rsidR="00EA4EF4" w:rsidRPr="00EF7399">
          <w:rPr>
            <w:rStyle w:val="Hyperlink"/>
            <w:rFonts w:ascii="Times New Roman" w:hAnsi="Times New Roman" w:cs="Times New Roman"/>
            <w:lang w:val="af-ZA"/>
          </w:rPr>
          <w:t>Russia</w:t>
        </w:r>
      </w:hyperlink>
      <w:r w:rsidR="00EA4EF4" w:rsidRPr="00EF7399">
        <w:rPr>
          <w:rFonts w:ascii="Times New Roman" w:hAnsi="Times New Roman" w:cs="Times New Roman"/>
          <w:lang w:val="af-ZA"/>
        </w:rPr>
        <w:t>, nos. 67667/09 and 2 others, 20 June 2017</w:t>
      </w:r>
    </w:p>
    <w:p w14:paraId="60411ADA" w14:textId="4E4C399B" w:rsidR="00E254A9" w:rsidRPr="00EF7399" w:rsidRDefault="00000000" w:rsidP="009A215E">
      <w:pPr>
        <w:pStyle w:val="ECHRParaHanging"/>
        <w:rPr>
          <w:rFonts w:ascii="Times New Roman" w:hAnsi="Times New Roman" w:cs="Times New Roman"/>
          <w:lang w:val="af-ZA"/>
        </w:rPr>
      </w:pPr>
      <w:hyperlink r:id="rId673" w:history="1">
        <w:r w:rsidR="00E254A9" w:rsidRPr="00EF7399">
          <w:rPr>
            <w:rStyle w:val="Hyperlink"/>
            <w:rFonts w:ascii="Times New Roman" w:hAnsi="Times New Roman" w:cs="Times New Roman"/>
            <w:lang w:val="af-ZA"/>
          </w:rPr>
          <w:t>Bekir-Ousta and Others</w:t>
        </w:r>
        <w:r w:rsidR="00873234" w:rsidRPr="00EF7399">
          <w:rPr>
            <w:rStyle w:val="Hyperlink"/>
            <w:rFonts w:ascii="Times New Roman" w:hAnsi="Times New Roman" w:cs="Times New Roman"/>
            <w:lang w:val="af-ZA"/>
          </w:rPr>
          <w:t xml:space="preserve"> v. </w:t>
        </w:r>
        <w:r w:rsidR="00E254A9" w:rsidRPr="00EF7399">
          <w:rPr>
            <w:rStyle w:val="Hyperlink"/>
            <w:rFonts w:ascii="Times New Roman" w:hAnsi="Times New Roman" w:cs="Times New Roman"/>
            <w:lang w:val="af-ZA"/>
          </w:rPr>
          <w:t>Greece</w:t>
        </w:r>
      </w:hyperlink>
      <w:r w:rsidR="00E254A9" w:rsidRPr="00EF7399">
        <w:rPr>
          <w:rFonts w:ascii="Times New Roman" w:hAnsi="Times New Roman" w:cs="Times New Roman"/>
          <w:lang w:val="af-ZA"/>
        </w:rPr>
        <w:t>, no. 35151/05, 11 October 2007</w:t>
      </w:r>
    </w:p>
    <w:p w14:paraId="3CB00ABE" w14:textId="5D4AC566" w:rsidR="00816F99" w:rsidRPr="00EF7399" w:rsidRDefault="00000000" w:rsidP="00816F99">
      <w:pPr>
        <w:pStyle w:val="ECHRParaHanging"/>
        <w:rPr>
          <w:rFonts w:ascii="Times New Roman" w:hAnsi="Times New Roman" w:cs="Times New Roman"/>
          <w:lang w:val="af-ZA"/>
        </w:rPr>
      </w:pPr>
      <w:hyperlink r:id="rId674" w:history="1">
        <w:r w:rsidR="00816F99" w:rsidRPr="00EF7399">
          <w:rPr>
            <w:rStyle w:val="Hyperlink"/>
            <w:rFonts w:ascii="Times New Roman" w:hAnsi="Times New Roman" w:cs="Times New Roman"/>
            <w:iCs/>
            <w:lang w:val="af-ZA"/>
          </w:rPr>
          <w:t>Bektashi Community and Others</w:t>
        </w:r>
        <w:r w:rsidR="00873234" w:rsidRPr="00EF7399">
          <w:rPr>
            <w:rStyle w:val="Hyperlink"/>
            <w:rFonts w:ascii="Times New Roman" w:hAnsi="Times New Roman" w:cs="Times New Roman"/>
            <w:iCs/>
            <w:lang w:val="af-ZA"/>
          </w:rPr>
          <w:t xml:space="preserve"> v. </w:t>
        </w:r>
        <w:r w:rsidR="00816F99" w:rsidRPr="00EF7399">
          <w:rPr>
            <w:rStyle w:val="Hyperlink"/>
            <w:rFonts w:ascii="Times New Roman" w:hAnsi="Times New Roman" w:cs="Times New Roman"/>
            <w:iCs/>
            <w:lang w:val="af-ZA"/>
          </w:rPr>
          <w:t>the former Yugoslav Republic of Macedonia</w:t>
        </w:r>
      </w:hyperlink>
      <w:r w:rsidR="00816F99" w:rsidRPr="00EF7399">
        <w:rPr>
          <w:rFonts w:ascii="Times New Roman" w:hAnsi="Times New Roman" w:cs="Times New Roman"/>
          <w:iCs/>
          <w:lang w:val="af-ZA"/>
        </w:rPr>
        <w:t>,</w:t>
      </w:r>
      <w:r w:rsidR="00816F99" w:rsidRPr="00EF7399">
        <w:rPr>
          <w:rFonts w:ascii="Times New Roman" w:hAnsi="Times New Roman" w:cs="Times New Roman"/>
          <w:lang w:val="af-ZA"/>
        </w:rPr>
        <w:t xml:space="preserve"> nos. </w:t>
      </w:r>
      <w:r w:rsidR="0093363D" w:rsidRPr="00EF7399">
        <w:rPr>
          <w:rFonts w:ascii="Times New Roman" w:hAnsi="Times New Roman" w:cs="Times New Roman"/>
          <w:iCs/>
          <w:lang w:val="af-ZA"/>
        </w:rPr>
        <w:t>48044/10 and 2 </w:t>
      </w:r>
      <w:r w:rsidR="00816F99" w:rsidRPr="00EF7399">
        <w:rPr>
          <w:rFonts w:ascii="Times New Roman" w:hAnsi="Times New Roman" w:cs="Times New Roman"/>
          <w:iCs/>
          <w:lang w:val="af-ZA"/>
        </w:rPr>
        <w:t>others</w:t>
      </w:r>
      <w:r w:rsidR="00816F99" w:rsidRPr="00EF7399">
        <w:rPr>
          <w:rFonts w:ascii="Times New Roman" w:hAnsi="Times New Roman" w:cs="Times New Roman"/>
          <w:lang w:val="af-ZA"/>
        </w:rPr>
        <w:t>, 12 April 2018</w:t>
      </w:r>
    </w:p>
    <w:p w14:paraId="4898E3EE" w14:textId="1883CEF2" w:rsidR="00110A9E" w:rsidRPr="00EF7399" w:rsidRDefault="00000000" w:rsidP="00816F99">
      <w:pPr>
        <w:pStyle w:val="ECHRParaHanging"/>
        <w:rPr>
          <w:rFonts w:ascii="Times New Roman" w:hAnsi="Times New Roman" w:cs="Times New Roman"/>
          <w:lang w:val="af-ZA"/>
        </w:rPr>
      </w:pPr>
      <w:hyperlink r:id="rId675" w:history="1">
        <w:r w:rsidR="001D02B7" w:rsidRPr="00EF7399">
          <w:rPr>
            <w:rStyle w:val="Hyperlink"/>
            <w:rFonts w:ascii="Times New Roman" w:hAnsi="Times New Roman" w:cs="Times New Roman"/>
            <w:lang w:val="af-ZA" w:eastAsia="fr-FR"/>
          </w:rPr>
          <w:t>Berkman</w:t>
        </w:r>
        <w:r w:rsidR="00873234" w:rsidRPr="00EF7399">
          <w:rPr>
            <w:rStyle w:val="Hyperlink"/>
            <w:rFonts w:ascii="Times New Roman" w:hAnsi="Times New Roman" w:cs="Times New Roman"/>
            <w:lang w:val="af-ZA" w:eastAsia="fr-FR"/>
          </w:rPr>
          <w:t xml:space="preserve"> v. </w:t>
        </w:r>
        <w:r w:rsidR="001D02B7" w:rsidRPr="00EF7399">
          <w:rPr>
            <w:rStyle w:val="Hyperlink"/>
            <w:rFonts w:ascii="Times New Roman" w:hAnsi="Times New Roman" w:cs="Times New Roman"/>
            <w:lang w:val="af-ZA" w:eastAsia="fr-FR"/>
          </w:rPr>
          <w:t>Russia</w:t>
        </w:r>
      </w:hyperlink>
      <w:r w:rsidR="00110A9E" w:rsidRPr="00EF7399">
        <w:rPr>
          <w:rFonts w:ascii="Times New Roman" w:hAnsi="Times New Roman" w:cs="Times New Roman"/>
          <w:color w:val="000000"/>
          <w:lang w:val="af-ZA" w:eastAsia="fr-FR"/>
        </w:rPr>
        <w:t>, no. 46712/15, 1 December 2020</w:t>
      </w:r>
    </w:p>
    <w:p w14:paraId="2C6CF130" w14:textId="13A6DB2E" w:rsidR="00EA4EF4" w:rsidRPr="00EF7399" w:rsidRDefault="00000000" w:rsidP="00816F99">
      <w:pPr>
        <w:pStyle w:val="ECHRParaHanging"/>
        <w:rPr>
          <w:rFonts w:ascii="Times New Roman" w:hAnsi="Times New Roman" w:cs="Times New Roman"/>
          <w:lang w:val="af-ZA"/>
        </w:rPr>
      </w:pPr>
      <w:hyperlink r:id="rId676" w:history="1">
        <w:r w:rsidR="00EA4EF4" w:rsidRPr="00EF7399">
          <w:rPr>
            <w:rStyle w:val="Hyperlink"/>
            <w:rFonts w:ascii="Times New Roman" w:hAnsi="Times New Roman" w:cs="Times New Roman"/>
            <w:lang w:val="af-ZA"/>
          </w:rPr>
          <w:t>Berladir and Others</w:t>
        </w:r>
        <w:r w:rsidR="00873234" w:rsidRPr="00EF7399">
          <w:rPr>
            <w:rStyle w:val="Hyperlink"/>
            <w:rFonts w:ascii="Times New Roman" w:hAnsi="Times New Roman" w:cs="Times New Roman"/>
            <w:lang w:val="af-ZA"/>
          </w:rPr>
          <w:t xml:space="preserve"> v. </w:t>
        </w:r>
        <w:r w:rsidR="00EA4EF4" w:rsidRPr="00EF7399">
          <w:rPr>
            <w:rStyle w:val="Hyperlink"/>
            <w:rFonts w:ascii="Times New Roman" w:hAnsi="Times New Roman" w:cs="Times New Roman"/>
            <w:lang w:val="af-ZA"/>
          </w:rPr>
          <w:t>Russia</w:t>
        </w:r>
      </w:hyperlink>
      <w:r w:rsidR="00EA4EF4" w:rsidRPr="00EF7399">
        <w:rPr>
          <w:rFonts w:ascii="Times New Roman" w:hAnsi="Times New Roman" w:cs="Times New Roman"/>
          <w:i/>
          <w:lang w:val="af-ZA"/>
        </w:rPr>
        <w:t xml:space="preserve">, </w:t>
      </w:r>
      <w:r w:rsidR="00EA4EF4" w:rsidRPr="00EF7399">
        <w:rPr>
          <w:rFonts w:ascii="Times New Roman" w:hAnsi="Times New Roman" w:cs="Times New Roman"/>
          <w:lang w:val="af-ZA"/>
        </w:rPr>
        <w:t>no. 34202/06, 10 July 2012</w:t>
      </w:r>
    </w:p>
    <w:p w14:paraId="6A6D7C1A" w14:textId="03332F35" w:rsidR="00816F99" w:rsidRPr="00EF7399" w:rsidRDefault="00000000" w:rsidP="006019EB">
      <w:pPr>
        <w:pStyle w:val="ECHRParaHanging"/>
        <w:rPr>
          <w:rFonts w:ascii="Times New Roman" w:hAnsi="Times New Roman" w:cs="Times New Roman"/>
          <w:lang w:val="af-ZA"/>
        </w:rPr>
      </w:pPr>
      <w:hyperlink r:id="rId677" w:history="1">
        <w:r w:rsidR="00F503D0" w:rsidRPr="00EF7399">
          <w:rPr>
            <w:rStyle w:val="Hyperlink"/>
            <w:rFonts w:ascii="Times New Roman" w:hAnsi="Times New Roman" w:cs="Times New Roman"/>
            <w:lang w:val="af-ZA"/>
          </w:rPr>
          <w:t>Bollan</w:t>
        </w:r>
        <w:r w:rsidR="00873234" w:rsidRPr="00EF7399">
          <w:rPr>
            <w:rStyle w:val="Hyperlink"/>
            <w:rFonts w:ascii="Times New Roman" w:hAnsi="Times New Roman" w:cs="Times New Roman"/>
            <w:lang w:val="af-ZA"/>
          </w:rPr>
          <w:t xml:space="preserve"> v. </w:t>
        </w:r>
        <w:r w:rsidR="00F503D0" w:rsidRPr="00EF7399">
          <w:rPr>
            <w:rStyle w:val="Hyperlink"/>
            <w:rFonts w:ascii="Times New Roman" w:hAnsi="Times New Roman" w:cs="Times New Roman"/>
            <w:lang w:val="af-ZA"/>
          </w:rPr>
          <w:t>the United Kingdom</w:t>
        </w:r>
      </w:hyperlink>
      <w:r w:rsidR="00F503D0" w:rsidRPr="00EF7399">
        <w:rPr>
          <w:rFonts w:ascii="Times New Roman" w:hAnsi="Times New Roman" w:cs="Times New Roman"/>
          <w:lang w:val="af-ZA"/>
        </w:rPr>
        <w:t xml:space="preserve"> (dec.), no. 42117/98, </w:t>
      </w:r>
      <w:r w:rsidR="00816F99" w:rsidRPr="00EF7399">
        <w:rPr>
          <w:rFonts w:ascii="Times New Roman" w:hAnsi="Times New Roman" w:cs="Times New Roman"/>
          <w:lang w:val="af-ZA"/>
        </w:rPr>
        <w:t>ECHR 2000</w:t>
      </w:r>
      <w:r w:rsidR="00816F99" w:rsidRPr="00EF7399">
        <w:rPr>
          <w:rFonts w:ascii="Times New Roman" w:hAnsi="Times New Roman" w:cs="Times New Roman"/>
          <w:lang w:val="af-ZA"/>
        </w:rPr>
        <w:noBreakHyphen/>
        <w:t>V</w:t>
      </w:r>
    </w:p>
    <w:p w14:paraId="053EDE18" w14:textId="5DA6C045" w:rsidR="00FE6087" w:rsidRPr="00EF7399" w:rsidRDefault="00000000" w:rsidP="006019EB">
      <w:pPr>
        <w:pStyle w:val="ECHRParaHanging"/>
        <w:rPr>
          <w:rFonts w:ascii="Times New Roman" w:hAnsi="Times New Roman" w:cs="Times New Roman"/>
          <w:lang w:val="af-ZA"/>
        </w:rPr>
      </w:pPr>
      <w:hyperlink r:id="rId678" w:history="1">
        <w:r w:rsidR="00FE6087" w:rsidRPr="00EF7399">
          <w:rPr>
            <w:rStyle w:val="Hyperlink"/>
            <w:rFonts w:ascii="Times New Roman" w:hAnsi="Times New Roman" w:cs="Times New Roman"/>
            <w:lang w:val="af-ZA"/>
          </w:rPr>
          <w:t>Bota</w:t>
        </w:r>
        <w:r w:rsidR="00873234" w:rsidRPr="00EF7399">
          <w:rPr>
            <w:rStyle w:val="Hyperlink"/>
            <w:rFonts w:ascii="Times New Roman" w:hAnsi="Times New Roman" w:cs="Times New Roman"/>
            <w:lang w:val="af-ZA"/>
          </w:rPr>
          <w:t xml:space="preserve"> v. </w:t>
        </w:r>
        <w:r w:rsidR="00FE6087" w:rsidRPr="00EF7399">
          <w:rPr>
            <w:rStyle w:val="Hyperlink"/>
            <w:rFonts w:ascii="Times New Roman" w:hAnsi="Times New Roman" w:cs="Times New Roman"/>
            <w:lang w:val="af-ZA"/>
          </w:rPr>
          <w:t>Romania</w:t>
        </w:r>
      </w:hyperlink>
      <w:r w:rsidR="00FE6087" w:rsidRPr="00EF7399">
        <w:rPr>
          <w:rFonts w:ascii="Times New Roman" w:hAnsi="Times New Roman" w:cs="Times New Roman"/>
          <w:lang w:val="af-ZA"/>
        </w:rPr>
        <w:t xml:space="preserve"> (dec.), no. 24057/03, 12 October 2004</w:t>
      </w:r>
    </w:p>
    <w:p w14:paraId="57DB00BB" w14:textId="4A401C3C" w:rsidR="002852FD" w:rsidRPr="00EF7399" w:rsidRDefault="00000000" w:rsidP="006019EB">
      <w:pPr>
        <w:pStyle w:val="ECHRParaHanging"/>
        <w:rPr>
          <w:rFonts w:ascii="Times New Roman" w:hAnsi="Times New Roman" w:cs="Times New Roman"/>
          <w:lang w:val="af-ZA"/>
        </w:rPr>
      </w:pPr>
      <w:hyperlink r:id="rId679" w:history="1">
        <w:r w:rsidR="002852FD" w:rsidRPr="00EF7399">
          <w:rPr>
            <w:rStyle w:val="Hyperlink"/>
            <w:rFonts w:ascii="Times New Roman" w:hAnsi="Times New Roman" w:cs="Times New Roman"/>
            <w:lang w:val="af-ZA"/>
          </w:rPr>
          <w:t>Bozgan</w:t>
        </w:r>
        <w:r w:rsidR="00873234" w:rsidRPr="00EF7399">
          <w:rPr>
            <w:rStyle w:val="Hyperlink"/>
            <w:rFonts w:ascii="Times New Roman" w:hAnsi="Times New Roman" w:cs="Times New Roman"/>
            <w:lang w:val="af-ZA"/>
          </w:rPr>
          <w:t xml:space="preserve"> v. </w:t>
        </w:r>
        <w:r w:rsidR="002852FD" w:rsidRPr="00EF7399">
          <w:rPr>
            <w:rStyle w:val="Hyperlink"/>
            <w:rFonts w:ascii="Times New Roman" w:hAnsi="Times New Roman" w:cs="Times New Roman"/>
            <w:lang w:val="af-ZA"/>
          </w:rPr>
          <w:t>Romania</w:t>
        </w:r>
      </w:hyperlink>
      <w:r w:rsidR="002852FD" w:rsidRPr="00EF7399">
        <w:rPr>
          <w:rFonts w:ascii="Times New Roman" w:hAnsi="Times New Roman" w:cs="Times New Roman"/>
          <w:lang w:val="af-ZA"/>
        </w:rPr>
        <w:t>, no</w:t>
      </w:r>
      <w:r w:rsidR="002852FD" w:rsidRPr="00EF7399">
        <w:rPr>
          <w:rFonts w:ascii="Times New Roman" w:hAnsi="Times New Roman" w:cs="Times New Roman"/>
          <w:i/>
          <w:lang w:val="af-ZA"/>
        </w:rPr>
        <w:t xml:space="preserve">. </w:t>
      </w:r>
      <w:hyperlink r:id="rId680" w:anchor="{&quot;appno&quot;:[&quot;35097/02&quot;]}" w:tgtFrame="_blank" w:history="1">
        <w:r w:rsidR="002852FD" w:rsidRPr="00EF7399">
          <w:rPr>
            <w:rStyle w:val="Hyperlink"/>
            <w:rFonts w:ascii="Times New Roman" w:hAnsi="Times New Roman" w:cs="Times New Roman"/>
            <w:i w:val="0"/>
            <w:color w:val="auto"/>
            <w:lang w:val="af-ZA"/>
          </w:rPr>
          <w:t>35097/02</w:t>
        </w:r>
      </w:hyperlink>
      <w:r w:rsidR="002852FD" w:rsidRPr="00EF7399">
        <w:rPr>
          <w:rFonts w:ascii="Times New Roman" w:hAnsi="Times New Roman" w:cs="Times New Roman"/>
          <w:i/>
          <w:lang w:val="af-ZA"/>
        </w:rPr>
        <w:t>,</w:t>
      </w:r>
      <w:r w:rsidR="002852FD" w:rsidRPr="00EF7399">
        <w:rPr>
          <w:rFonts w:ascii="Times New Roman" w:hAnsi="Times New Roman" w:cs="Times New Roman"/>
          <w:lang w:val="af-ZA"/>
        </w:rPr>
        <w:t xml:space="preserve"> 11 October 2007</w:t>
      </w:r>
    </w:p>
    <w:p w14:paraId="07B7E0C0" w14:textId="188819AB" w:rsidR="00EA4EF4" w:rsidRPr="00EF7399" w:rsidRDefault="00000000" w:rsidP="006019EB">
      <w:pPr>
        <w:pStyle w:val="ECHRParaHanging"/>
        <w:rPr>
          <w:rFonts w:ascii="Times New Roman" w:hAnsi="Times New Roman" w:cs="Times New Roman"/>
          <w:lang w:val="af-ZA"/>
        </w:rPr>
      </w:pPr>
      <w:hyperlink r:id="rId681" w:history="1">
        <w:r w:rsidR="00EA4EF4" w:rsidRPr="00EF7399">
          <w:rPr>
            <w:rStyle w:val="Hyperlink"/>
            <w:rFonts w:ascii="Times New Roman" w:hAnsi="Times New Roman" w:cs="Times New Roman"/>
            <w:lang w:val="af-ZA"/>
          </w:rPr>
          <w:t>Budaházy</w:t>
        </w:r>
        <w:r w:rsidR="00873234" w:rsidRPr="00EF7399">
          <w:rPr>
            <w:rStyle w:val="Hyperlink"/>
            <w:rFonts w:ascii="Times New Roman" w:hAnsi="Times New Roman" w:cs="Times New Roman"/>
            <w:lang w:val="af-ZA"/>
          </w:rPr>
          <w:t xml:space="preserve"> v. </w:t>
        </w:r>
        <w:r w:rsidR="00EA4EF4" w:rsidRPr="00EF7399">
          <w:rPr>
            <w:rStyle w:val="Hyperlink"/>
            <w:rFonts w:ascii="Times New Roman" w:hAnsi="Times New Roman" w:cs="Times New Roman"/>
            <w:lang w:val="af-ZA"/>
          </w:rPr>
          <w:t>Hungary</w:t>
        </w:r>
      </w:hyperlink>
      <w:r w:rsidR="00EA4EF4" w:rsidRPr="00EF7399">
        <w:rPr>
          <w:rFonts w:ascii="Times New Roman" w:hAnsi="Times New Roman" w:cs="Times New Roman"/>
          <w:lang w:val="af-ZA"/>
        </w:rPr>
        <w:t>, no. 41479/10, 15 December 2015</w:t>
      </w:r>
    </w:p>
    <w:p w14:paraId="3435DEEC" w14:textId="384D6FDE" w:rsidR="00EA4EF4" w:rsidRPr="00EF7399" w:rsidRDefault="00000000" w:rsidP="006019EB">
      <w:pPr>
        <w:pStyle w:val="ECHRParaHanging"/>
        <w:rPr>
          <w:rFonts w:ascii="Times New Roman" w:hAnsi="Times New Roman" w:cs="Times New Roman"/>
          <w:lang w:val="af-ZA"/>
        </w:rPr>
      </w:pPr>
      <w:hyperlink r:id="rId682" w:history="1">
        <w:r w:rsidR="00EA4EF4" w:rsidRPr="00EF7399">
          <w:rPr>
            <w:rStyle w:val="Hyperlink"/>
            <w:rFonts w:ascii="Times New Roman" w:hAnsi="Times New Roman" w:cs="Times New Roman"/>
            <w:lang w:val="af-ZA"/>
          </w:rPr>
          <w:t>Bukta and Others</w:t>
        </w:r>
        <w:r w:rsidR="00873234" w:rsidRPr="00EF7399">
          <w:rPr>
            <w:rStyle w:val="Hyperlink"/>
            <w:rFonts w:ascii="Times New Roman" w:hAnsi="Times New Roman" w:cs="Times New Roman"/>
            <w:lang w:val="af-ZA"/>
          </w:rPr>
          <w:t xml:space="preserve"> v. </w:t>
        </w:r>
        <w:r w:rsidR="00EA4EF4" w:rsidRPr="00EF7399">
          <w:rPr>
            <w:rStyle w:val="Hyperlink"/>
            <w:rFonts w:ascii="Times New Roman" w:hAnsi="Times New Roman" w:cs="Times New Roman"/>
            <w:lang w:val="af-ZA"/>
          </w:rPr>
          <w:t>Hungary</w:t>
        </w:r>
      </w:hyperlink>
      <w:r w:rsidR="00EA4EF4" w:rsidRPr="00EF7399">
        <w:rPr>
          <w:rFonts w:ascii="Times New Roman" w:hAnsi="Times New Roman" w:cs="Times New Roman"/>
          <w:lang w:val="af-ZA"/>
        </w:rPr>
        <w:t>, no. 25691/04, ECHR 2007 III</w:t>
      </w:r>
    </w:p>
    <w:p w14:paraId="3E80EF41" w14:textId="0DC95AB6" w:rsidR="005C4DBB" w:rsidRPr="00EF7399" w:rsidRDefault="00000000" w:rsidP="005C4DBB">
      <w:pPr>
        <w:pStyle w:val="ECHRParaHanging"/>
        <w:rPr>
          <w:rFonts w:ascii="Times New Roman" w:eastAsia="PMingLiU" w:hAnsi="Times New Roman" w:cs="Times New Roman"/>
          <w:lang w:val="af-ZA"/>
        </w:rPr>
      </w:pPr>
      <w:hyperlink r:id="rId683" w:history="1">
        <w:r w:rsidR="005C4DBB" w:rsidRPr="00EF7399">
          <w:rPr>
            <w:rStyle w:val="Hyperlink"/>
            <w:rFonts w:ascii="Times New Roman" w:hAnsi="Times New Roman" w:cs="Times New Roman"/>
            <w:lang w:val="af-ZA" w:eastAsia="fr-FR"/>
          </w:rPr>
          <w:t>Bumbeș</w:t>
        </w:r>
        <w:r w:rsidR="00873234" w:rsidRPr="00EF7399">
          <w:rPr>
            <w:rStyle w:val="Hyperlink"/>
            <w:rFonts w:ascii="Times New Roman" w:hAnsi="Times New Roman" w:cs="Times New Roman"/>
            <w:lang w:val="af-ZA" w:eastAsia="fr-FR"/>
          </w:rPr>
          <w:t xml:space="preserve"> v. </w:t>
        </w:r>
        <w:r w:rsidR="005C4DBB" w:rsidRPr="00EF7399">
          <w:rPr>
            <w:rStyle w:val="Hyperlink"/>
            <w:rFonts w:ascii="Times New Roman" w:hAnsi="Times New Roman" w:cs="Times New Roman"/>
            <w:lang w:val="af-ZA" w:eastAsia="fr-FR"/>
          </w:rPr>
          <w:t>Romania</w:t>
        </w:r>
      </w:hyperlink>
      <w:r w:rsidR="005C4DBB" w:rsidRPr="00EF7399">
        <w:rPr>
          <w:rFonts w:ascii="Times New Roman" w:hAnsi="Times New Roman" w:cs="Times New Roman"/>
          <w:color w:val="000000"/>
          <w:lang w:val="af-ZA" w:eastAsia="fr-FR"/>
        </w:rPr>
        <w:t>, no. 18079/15, 3 May 2022</w:t>
      </w:r>
    </w:p>
    <w:p w14:paraId="11B5CDEB" w14:textId="77777777" w:rsidR="00BB682C" w:rsidRPr="00EF7399" w:rsidRDefault="00BB682C" w:rsidP="006019EB">
      <w:pPr>
        <w:pStyle w:val="ECHRTitleCentre1"/>
        <w:rPr>
          <w:rFonts w:ascii="Times New Roman" w:hAnsi="Times New Roman" w:cs="Times New Roman"/>
          <w:lang w:val="af-ZA"/>
        </w:rPr>
      </w:pPr>
      <w:r w:rsidRPr="00EF7399">
        <w:rPr>
          <w:rFonts w:ascii="Times New Roman" w:hAnsi="Times New Roman" w:cs="Times New Roman"/>
          <w:lang w:val="af-ZA"/>
        </w:rPr>
        <w:t>—C—</w:t>
      </w:r>
    </w:p>
    <w:p w14:paraId="06A95D1B" w14:textId="00A9C167" w:rsidR="00184326" w:rsidRPr="00EF7399" w:rsidRDefault="00000000" w:rsidP="006019EB">
      <w:pPr>
        <w:pStyle w:val="ECHRParaHanging"/>
        <w:rPr>
          <w:rFonts w:ascii="Times New Roman" w:hAnsi="Times New Roman" w:cs="Times New Roman"/>
          <w:lang w:val="af-ZA"/>
        </w:rPr>
      </w:pPr>
      <w:hyperlink r:id="rId684" w:history="1">
        <w:r w:rsidR="00184326" w:rsidRPr="00EF7399">
          <w:rPr>
            <w:rStyle w:val="Hyperlink"/>
            <w:rFonts w:ascii="Times New Roman" w:hAnsi="Times New Roman" w:cs="Times New Roman"/>
            <w:lang w:val="af-ZA"/>
          </w:rPr>
          <w:t>Cârmuirea Spirituală a Musulmanilor din Republica Moldova</w:t>
        </w:r>
        <w:r w:rsidR="00873234" w:rsidRPr="00EF7399">
          <w:rPr>
            <w:rStyle w:val="Hyperlink"/>
            <w:rFonts w:ascii="Times New Roman" w:hAnsi="Times New Roman" w:cs="Times New Roman"/>
            <w:lang w:val="af-ZA"/>
          </w:rPr>
          <w:t xml:space="preserve"> v. </w:t>
        </w:r>
        <w:r w:rsidR="00184326" w:rsidRPr="00EF7399">
          <w:rPr>
            <w:rStyle w:val="Hyperlink"/>
            <w:rFonts w:ascii="Times New Roman" w:hAnsi="Times New Roman" w:cs="Times New Roman"/>
            <w:lang w:val="af-ZA"/>
          </w:rPr>
          <w:t>Moldova</w:t>
        </w:r>
      </w:hyperlink>
      <w:r w:rsidR="00184326" w:rsidRPr="00EF7399">
        <w:rPr>
          <w:rFonts w:ascii="Times New Roman" w:hAnsi="Times New Roman" w:cs="Times New Roman"/>
          <w:i/>
          <w:lang w:val="af-ZA"/>
        </w:rPr>
        <w:t xml:space="preserve"> </w:t>
      </w:r>
      <w:r w:rsidR="00184326" w:rsidRPr="00EF7399">
        <w:rPr>
          <w:rFonts w:ascii="Times New Roman" w:hAnsi="Times New Roman" w:cs="Times New Roman"/>
          <w:lang w:val="af-ZA"/>
        </w:rPr>
        <w:t xml:space="preserve">(dec.), no. </w:t>
      </w:r>
      <w:r w:rsidR="0093363D" w:rsidRPr="00EF7399">
        <w:rPr>
          <w:rFonts w:ascii="Times New Roman" w:hAnsi="Times New Roman" w:cs="Times New Roman"/>
          <w:lang w:val="af-ZA"/>
        </w:rPr>
        <w:t>12283/02, 14 </w:t>
      </w:r>
      <w:r w:rsidR="00184326" w:rsidRPr="00EF7399">
        <w:rPr>
          <w:rFonts w:ascii="Times New Roman" w:hAnsi="Times New Roman" w:cs="Times New Roman"/>
          <w:lang w:val="af-ZA"/>
        </w:rPr>
        <w:t>June 2005</w:t>
      </w:r>
    </w:p>
    <w:p w14:paraId="641B86B9" w14:textId="0B6D3243" w:rsidR="009807DA" w:rsidRPr="00EF7399" w:rsidRDefault="00000000" w:rsidP="006019EB">
      <w:pPr>
        <w:pStyle w:val="ECHRParaHanging"/>
        <w:rPr>
          <w:rFonts w:ascii="Times New Roman" w:hAnsi="Times New Roman" w:cs="Times New Roman"/>
          <w:lang w:val="af-ZA"/>
        </w:rPr>
      </w:pPr>
      <w:hyperlink r:id="rId685" w:history="1">
        <w:r w:rsidR="00367255" w:rsidRPr="00EF7399">
          <w:rPr>
            <w:rStyle w:val="Hyperlink"/>
            <w:rFonts w:ascii="Times New Roman" w:hAnsi="Times New Roman" w:cs="Times New Roman"/>
            <w:lang w:val="af-ZA"/>
          </w:rPr>
          <w:t>Centre of Societies for Krishna Consciousness in Russia</w:t>
        </w:r>
      </w:hyperlink>
      <w:r w:rsidR="00367255" w:rsidRPr="00EF7399">
        <w:rPr>
          <w:rFonts w:ascii="Times New Roman" w:hAnsi="Times New Roman" w:cs="Times New Roman"/>
          <w:lang w:val="af-ZA"/>
        </w:rPr>
        <w:t xml:space="preserve">, </w:t>
      </w:r>
      <w:r w:rsidR="009807DA" w:rsidRPr="00EF7399">
        <w:rPr>
          <w:rFonts w:ascii="Times New Roman" w:hAnsi="Times New Roman" w:cs="Times New Roman"/>
          <w:lang w:val="af-ZA"/>
        </w:rPr>
        <w:t>no. 37477/11, 23 November 2021</w:t>
      </w:r>
    </w:p>
    <w:p w14:paraId="2A659925" w14:textId="772DDD66" w:rsidR="006019EB" w:rsidRPr="00EF7399" w:rsidRDefault="00000000" w:rsidP="006019EB">
      <w:pPr>
        <w:pStyle w:val="ECHRParaHanging"/>
        <w:rPr>
          <w:rFonts w:ascii="Times New Roman" w:hAnsi="Times New Roman" w:cs="Times New Roman"/>
          <w:lang w:val="af-ZA"/>
        </w:rPr>
      </w:pPr>
      <w:hyperlink r:id="rId686" w:history="1">
        <w:r w:rsidR="00C9283C" w:rsidRPr="00EF7399">
          <w:rPr>
            <w:rStyle w:val="Hyperlink"/>
            <w:rFonts w:ascii="Times New Roman" w:hAnsi="Times New Roman" w:cs="Times New Roman"/>
            <w:lang w:val="af-ZA"/>
          </w:rPr>
          <w:t>Chassagnou and Others</w:t>
        </w:r>
        <w:r w:rsidR="00873234" w:rsidRPr="00EF7399">
          <w:rPr>
            <w:rStyle w:val="Hyperlink"/>
            <w:rFonts w:ascii="Times New Roman" w:hAnsi="Times New Roman" w:cs="Times New Roman"/>
            <w:lang w:val="af-ZA"/>
          </w:rPr>
          <w:t xml:space="preserve"> v. </w:t>
        </w:r>
        <w:r w:rsidR="00C9283C" w:rsidRPr="00EF7399">
          <w:rPr>
            <w:rStyle w:val="Hyperlink"/>
            <w:rFonts w:ascii="Times New Roman" w:hAnsi="Times New Roman" w:cs="Times New Roman"/>
            <w:lang w:val="af-ZA"/>
          </w:rPr>
          <w:t>France</w:t>
        </w:r>
      </w:hyperlink>
      <w:r w:rsidR="00C9283C" w:rsidRPr="00EF7399">
        <w:rPr>
          <w:rFonts w:ascii="Times New Roman" w:hAnsi="Times New Roman" w:cs="Times New Roman"/>
          <w:lang w:val="af-ZA"/>
        </w:rPr>
        <w:t xml:space="preserve"> [GC], nos. 25088/94, 28331/95 and 28443/95, ECHR 1999</w:t>
      </w:r>
      <w:r w:rsidR="00C9283C" w:rsidRPr="00EF7399">
        <w:rPr>
          <w:rFonts w:ascii="Times New Roman" w:hAnsi="Times New Roman" w:cs="Times New Roman"/>
          <w:lang w:val="af-ZA"/>
        </w:rPr>
        <w:noBreakHyphen/>
        <w:t>III</w:t>
      </w:r>
    </w:p>
    <w:p w14:paraId="16B0ED19" w14:textId="35938C14" w:rsidR="00CD66B0" w:rsidRDefault="00000000" w:rsidP="006019EB">
      <w:pPr>
        <w:pStyle w:val="ECHRParaHanging"/>
        <w:rPr>
          <w:rFonts w:ascii="Times New Roman" w:hAnsi="Times New Roman" w:cs="Times New Roman"/>
          <w:lang w:val="af-ZA"/>
        </w:rPr>
      </w:pPr>
      <w:hyperlink r:id="rId687" w:history="1">
        <w:r w:rsidR="00CD66B0" w:rsidRPr="00EF7399">
          <w:rPr>
            <w:rStyle w:val="Hyperlink"/>
            <w:rFonts w:ascii="Times New Roman" w:hAnsi="Times New Roman" w:cs="Times New Roman"/>
            <w:lang w:val="af-ZA"/>
          </w:rPr>
          <w:t>Cheall</w:t>
        </w:r>
        <w:r w:rsidR="00873234" w:rsidRPr="00EF7399">
          <w:rPr>
            <w:rStyle w:val="Hyperlink"/>
            <w:rFonts w:ascii="Times New Roman" w:hAnsi="Times New Roman" w:cs="Times New Roman"/>
            <w:lang w:val="af-ZA"/>
          </w:rPr>
          <w:t xml:space="preserve"> v. </w:t>
        </w:r>
        <w:r w:rsidR="00CD66B0" w:rsidRPr="00EF7399">
          <w:rPr>
            <w:rStyle w:val="Hyperlink"/>
            <w:rFonts w:ascii="Times New Roman" w:hAnsi="Times New Roman" w:cs="Times New Roman"/>
            <w:lang w:val="af-ZA"/>
          </w:rPr>
          <w:t>the United Kingdom</w:t>
        </w:r>
      </w:hyperlink>
      <w:r w:rsidR="00CD66B0" w:rsidRPr="00EF7399">
        <w:rPr>
          <w:rFonts w:ascii="Times New Roman" w:hAnsi="Times New Roman" w:cs="Times New Roman"/>
          <w:lang w:val="af-ZA"/>
        </w:rPr>
        <w:t>, no. 10550/83, Commission decision of 13 May 1985, Decisions and Reports 42, p. 178</w:t>
      </w:r>
    </w:p>
    <w:p w14:paraId="496BB266" w14:textId="0D46B5DC" w:rsidR="003F385B" w:rsidRPr="00EF7399" w:rsidRDefault="00000000" w:rsidP="003F385B">
      <w:pPr>
        <w:pStyle w:val="ECHRParaHanging"/>
        <w:rPr>
          <w:rFonts w:ascii="Times New Roman" w:hAnsi="Times New Roman" w:cs="Times New Roman"/>
          <w:lang w:val="af-ZA"/>
        </w:rPr>
      </w:pPr>
      <w:hyperlink r:id="rId688" w:history="1">
        <w:r w:rsidR="003F385B" w:rsidRPr="00AE3D02">
          <w:rPr>
            <w:rStyle w:val="Hyperlink"/>
            <w:rFonts w:ascii="Times New Roman" w:hAnsi="Times New Roman" w:cs="Times New Roman"/>
            <w:lang w:val="af-ZA"/>
          </w:rPr>
          <w:t>Chkhartishvili v. Georgia, no. 31349/20, 11 May 2023</w:t>
        </w:r>
      </w:hyperlink>
    </w:p>
    <w:p w14:paraId="1C848498" w14:textId="78719A6D" w:rsidR="00D410EB" w:rsidRPr="00EF7399" w:rsidRDefault="00000000" w:rsidP="006019EB">
      <w:pPr>
        <w:pStyle w:val="ECHRParaHanging"/>
        <w:rPr>
          <w:rFonts w:ascii="Times New Roman" w:hAnsi="Times New Roman" w:cs="Times New Roman"/>
          <w:lang w:val="af-ZA"/>
        </w:rPr>
      </w:pPr>
      <w:hyperlink r:id="rId689" w:history="1">
        <w:r w:rsidR="0014001A" w:rsidRPr="00EF7399">
          <w:rPr>
            <w:rStyle w:val="Hyperlink"/>
            <w:rFonts w:ascii="Times New Roman" w:hAnsi="Times New Roman" w:cs="Times New Roman"/>
            <w:lang w:val="af-ZA"/>
          </w:rPr>
          <w:t>Christian Democratic People</w:t>
        </w:r>
        <w:r w:rsidR="00DF297D" w:rsidRPr="00EF7399">
          <w:rPr>
            <w:rStyle w:val="Hyperlink"/>
            <w:rFonts w:ascii="Times New Roman" w:hAnsi="Times New Roman" w:cs="Times New Roman"/>
            <w:lang w:val="af-ZA"/>
          </w:rPr>
          <w:t>’</w:t>
        </w:r>
        <w:r w:rsidR="00D410EB" w:rsidRPr="00EF7399">
          <w:rPr>
            <w:rStyle w:val="Hyperlink"/>
            <w:rFonts w:ascii="Times New Roman" w:hAnsi="Times New Roman" w:cs="Times New Roman"/>
            <w:lang w:val="af-ZA"/>
          </w:rPr>
          <w:t>s Party</w:t>
        </w:r>
        <w:r w:rsidR="00873234" w:rsidRPr="00EF7399">
          <w:rPr>
            <w:rStyle w:val="Hyperlink"/>
            <w:rFonts w:ascii="Times New Roman" w:hAnsi="Times New Roman" w:cs="Times New Roman"/>
            <w:lang w:val="af-ZA"/>
          </w:rPr>
          <w:t xml:space="preserve"> v. </w:t>
        </w:r>
        <w:r w:rsidR="00D410EB" w:rsidRPr="00EF7399">
          <w:rPr>
            <w:rStyle w:val="Hyperlink"/>
            <w:rFonts w:ascii="Times New Roman" w:hAnsi="Times New Roman" w:cs="Times New Roman"/>
            <w:lang w:val="af-ZA"/>
          </w:rPr>
          <w:t>Moldova</w:t>
        </w:r>
      </w:hyperlink>
      <w:r w:rsidR="005E2301" w:rsidRPr="00EF7399">
        <w:rPr>
          <w:rFonts w:ascii="Times New Roman" w:hAnsi="Times New Roman" w:cs="Times New Roman"/>
          <w:lang w:val="af-ZA"/>
        </w:rPr>
        <w:t xml:space="preserve">, no. 28793/02, </w:t>
      </w:r>
      <w:r w:rsidR="00D410EB" w:rsidRPr="00EF7399">
        <w:rPr>
          <w:rFonts w:ascii="Times New Roman" w:hAnsi="Times New Roman" w:cs="Times New Roman"/>
          <w:lang w:val="af-ZA"/>
        </w:rPr>
        <w:t>ECHR 2006</w:t>
      </w:r>
      <w:r w:rsidR="00D410EB" w:rsidRPr="00EF7399">
        <w:rPr>
          <w:rFonts w:ascii="Times New Roman" w:hAnsi="Times New Roman" w:cs="Times New Roman"/>
          <w:lang w:val="af-ZA"/>
        </w:rPr>
        <w:noBreakHyphen/>
        <w:t>II</w:t>
      </w:r>
    </w:p>
    <w:p w14:paraId="22DF6AA7" w14:textId="393E4C85" w:rsidR="006B6FEB" w:rsidRPr="00EF7399" w:rsidRDefault="00000000" w:rsidP="006B6FEB">
      <w:pPr>
        <w:pStyle w:val="ECHRParaHanging"/>
        <w:rPr>
          <w:rFonts w:ascii="Times New Roman" w:hAnsi="Times New Roman" w:cs="Times New Roman"/>
          <w:i/>
          <w:lang w:val="af-ZA"/>
        </w:rPr>
      </w:pPr>
      <w:hyperlink r:id="rId690" w:history="1">
        <w:r w:rsidR="006B6FEB" w:rsidRPr="00EF7399">
          <w:rPr>
            <w:rStyle w:val="Hyperlink"/>
            <w:rFonts w:ascii="Times New Roman" w:hAnsi="Times New Roman" w:cs="Times New Roman"/>
            <w:lang w:val="af-ZA"/>
          </w:rPr>
          <w:t>Christian Democratic People</w:t>
        </w:r>
        <w:r w:rsidR="00DF297D" w:rsidRPr="00EF7399">
          <w:rPr>
            <w:rStyle w:val="Hyperlink"/>
            <w:rFonts w:ascii="Times New Roman" w:hAnsi="Times New Roman" w:cs="Times New Roman"/>
            <w:lang w:val="af-ZA"/>
          </w:rPr>
          <w:t>’</w:t>
        </w:r>
        <w:r w:rsidR="006B6FEB" w:rsidRPr="00EF7399">
          <w:rPr>
            <w:rStyle w:val="Hyperlink"/>
            <w:rFonts w:ascii="Times New Roman" w:hAnsi="Times New Roman" w:cs="Times New Roman"/>
            <w:lang w:val="af-ZA"/>
          </w:rPr>
          <w:t>s Party</w:t>
        </w:r>
        <w:r w:rsidR="00873234" w:rsidRPr="00EF7399">
          <w:rPr>
            <w:rStyle w:val="Hyperlink"/>
            <w:rFonts w:ascii="Times New Roman" w:hAnsi="Times New Roman" w:cs="Times New Roman"/>
            <w:lang w:val="af-ZA"/>
          </w:rPr>
          <w:t xml:space="preserve"> v. </w:t>
        </w:r>
        <w:r w:rsidR="006B6FEB" w:rsidRPr="00EF7399">
          <w:rPr>
            <w:rStyle w:val="Hyperlink"/>
            <w:rFonts w:ascii="Times New Roman" w:hAnsi="Times New Roman" w:cs="Times New Roman"/>
            <w:lang w:val="af-ZA"/>
          </w:rPr>
          <w:t>Moldova (no. 2)</w:t>
        </w:r>
      </w:hyperlink>
      <w:r w:rsidR="006B6FEB" w:rsidRPr="00EF7399">
        <w:rPr>
          <w:rFonts w:ascii="Times New Roman" w:hAnsi="Times New Roman" w:cs="Times New Roman"/>
          <w:i/>
          <w:lang w:val="af-ZA"/>
        </w:rPr>
        <w:t xml:space="preserve">, </w:t>
      </w:r>
      <w:r w:rsidR="006B6FEB" w:rsidRPr="00EF7399">
        <w:rPr>
          <w:rFonts w:ascii="Times New Roman" w:hAnsi="Times New Roman" w:cs="Times New Roman"/>
          <w:lang w:val="af-ZA"/>
        </w:rPr>
        <w:t>no. 25196/04, 2 February 2010</w:t>
      </w:r>
    </w:p>
    <w:p w14:paraId="700B3B51" w14:textId="260A6D26" w:rsidR="000D7F2E" w:rsidRPr="00EF7399" w:rsidRDefault="00000000" w:rsidP="006019EB">
      <w:pPr>
        <w:pStyle w:val="ECHRParaHanging"/>
        <w:rPr>
          <w:rFonts w:ascii="Times New Roman" w:hAnsi="Times New Roman" w:cs="Times New Roman"/>
          <w:lang w:val="af-ZA"/>
        </w:rPr>
      </w:pPr>
      <w:hyperlink r:id="rId691" w:history="1">
        <w:r w:rsidR="000D7F2E" w:rsidRPr="00EF7399">
          <w:rPr>
            <w:rStyle w:val="Hyperlink"/>
            <w:rFonts w:ascii="Times New Roman" w:hAnsi="Times New Roman" w:cs="Times New Roman"/>
            <w:lang w:val="af-ZA"/>
          </w:rPr>
          <w:t>Christians against Racism and Fascism</w:t>
        </w:r>
        <w:r w:rsidR="00873234" w:rsidRPr="00EF7399">
          <w:rPr>
            <w:rStyle w:val="Hyperlink"/>
            <w:rFonts w:ascii="Times New Roman" w:hAnsi="Times New Roman" w:cs="Times New Roman"/>
            <w:lang w:val="af-ZA"/>
          </w:rPr>
          <w:t xml:space="preserve"> v. </w:t>
        </w:r>
        <w:r w:rsidR="000D7F2E" w:rsidRPr="00EF7399">
          <w:rPr>
            <w:rStyle w:val="Hyperlink"/>
            <w:rFonts w:ascii="Times New Roman" w:hAnsi="Times New Roman" w:cs="Times New Roman"/>
            <w:lang w:val="af-ZA"/>
          </w:rPr>
          <w:t>the United Kingdom</w:t>
        </w:r>
      </w:hyperlink>
      <w:r w:rsidR="000D7F2E" w:rsidRPr="00EF7399">
        <w:rPr>
          <w:rFonts w:ascii="Times New Roman" w:hAnsi="Times New Roman" w:cs="Times New Roman"/>
          <w:lang w:val="af-ZA"/>
        </w:rPr>
        <w:t>, no. 8440/78, Commission decision of 16 July 1980</w:t>
      </w:r>
      <w:r w:rsidR="00556834" w:rsidRPr="00EF7399">
        <w:rPr>
          <w:rFonts w:ascii="Times New Roman" w:hAnsi="Times New Roman" w:cs="Times New Roman"/>
          <w:lang w:val="af-ZA"/>
        </w:rPr>
        <w:t>, Decisions and Reports 21, p. 138</w:t>
      </w:r>
    </w:p>
    <w:p w14:paraId="79EF8A88" w14:textId="790A14AE" w:rsidR="00277407" w:rsidRPr="00EF7399" w:rsidRDefault="00000000" w:rsidP="00277407">
      <w:pPr>
        <w:pStyle w:val="ECHRParaHanging"/>
        <w:rPr>
          <w:rFonts w:ascii="Times New Roman" w:hAnsi="Times New Roman" w:cs="Times New Roman"/>
          <w:lang w:val="af-ZA"/>
        </w:rPr>
      </w:pPr>
      <w:hyperlink r:id="rId692" w:history="1">
        <w:r w:rsidR="00277407" w:rsidRPr="00EF7399">
          <w:rPr>
            <w:rStyle w:val="Hyperlink"/>
            <w:rFonts w:ascii="Times New Roman" w:hAnsi="Times New Roman" w:cs="Times New Roman"/>
            <w:lang w:val="af-ZA"/>
          </w:rPr>
          <w:t>Church of Scientology Moscow</w:t>
        </w:r>
        <w:r w:rsidR="00873234" w:rsidRPr="00EF7399">
          <w:rPr>
            <w:rStyle w:val="Hyperlink"/>
            <w:rFonts w:ascii="Times New Roman" w:hAnsi="Times New Roman" w:cs="Times New Roman"/>
            <w:lang w:val="af-ZA"/>
          </w:rPr>
          <w:t xml:space="preserve"> v. </w:t>
        </w:r>
        <w:r w:rsidR="00277407" w:rsidRPr="00EF7399">
          <w:rPr>
            <w:rStyle w:val="Hyperlink"/>
            <w:rFonts w:ascii="Times New Roman" w:hAnsi="Times New Roman" w:cs="Times New Roman"/>
            <w:lang w:val="af-ZA"/>
          </w:rPr>
          <w:t>Russia</w:t>
        </w:r>
      </w:hyperlink>
      <w:r w:rsidR="00277407" w:rsidRPr="00EF7399">
        <w:rPr>
          <w:rFonts w:ascii="Times New Roman" w:hAnsi="Times New Roman" w:cs="Times New Roman"/>
          <w:lang w:val="af-ZA"/>
        </w:rPr>
        <w:t>, no. 18147/02, 5 April 2007</w:t>
      </w:r>
    </w:p>
    <w:p w14:paraId="72FC3F2B" w14:textId="12C85B2A" w:rsidR="00ED4F33" w:rsidRPr="00EF7399" w:rsidRDefault="00000000" w:rsidP="00277407">
      <w:pPr>
        <w:pStyle w:val="ECHRParaHanging"/>
        <w:rPr>
          <w:rFonts w:ascii="Times New Roman" w:hAnsi="Times New Roman" w:cs="Times New Roman"/>
          <w:lang w:val="af-ZA"/>
        </w:rPr>
      </w:pPr>
      <w:hyperlink r:id="rId693" w:history="1">
        <w:r w:rsidR="00ED4F33" w:rsidRPr="00EF7399">
          <w:rPr>
            <w:rStyle w:val="Hyperlink"/>
            <w:rFonts w:ascii="Times New Roman" w:hAnsi="Times New Roman" w:cs="Times New Roman"/>
            <w:lang w:val="af-ZA"/>
          </w:rPr>
          <w:t>Çiçek and Others v. Türkiye</w:t>
        </w:r>
      </w:hyperlink>
      <w:r w:rsidR="00ED4F33" w:rsidRPr="00EF7399">
        <w:rPr>
          <w:rFonts w:ascii="Times New Roman" w:hAnsi="Times New Roman" w:cs="Times New Roman"/>
          <w:lang w:val="af-ZA"/>
        </w:rPr>
        <w:t>, nos. 48694/10 and 4 others, 22 November 2022</w:t>
      </w:r>
    </w:p>
    <w:p w14:paraId="75A28A33" w14:textId="2B5E08CA" w:rsidR="006B6FEB" w:rsidRPr="00EF7399" w:rsidRDefault="00000000" w:rsidP="006B6FEB">
      <w:pPr>
        <w:pStyle w:val="ECHRParaHanging"/>
        <w:rPr>
          <w:rFonts w:ascii="Times New Roman" w:hAnsi="Times New Roman" w:cs="Times New Roman"/>
          <w:lang w:val="af-ZA"/>
        </w:rPr>
      </w:pPr>
      <w:hyperlink r:id="rId694" w:history="1">
        <w:r w:rsidR="006B6FEB" w:rsidRPr="00EF7399">
          <w:rPr>
            <w:rStyle w:val="Hyperlink"/>
            <w:rFonts w:ascii="Times New Roman" w:hAnsi="Times New Roman" w:cs="Times New Roman"/>
            <w:lang w:val="af-ZA"/>
          </w:rPr>
          <w:t>Cisse</w:t>
        </w:r>
        <w:r w:rsidR="00873234" w:rsidRPr="00EF7399">
          <w:rPr>
            <w:rStyle w:val="Hyperlink"/>
            <w:rFonts w:ascii="Times New Roman" w:hAnsi="Times New Roman" w:cs="Times New Roman"/>
            <w:lang w:val="af-ZA"/>
          </w:rPr>
          <w:t xml:space="preserve"> v. </w:t>
        </w:r>
        <w:r w:rsidR="006B6FEB" w:rsidRPr="00EF7399">
          <w:rPr>
            <w:rStyle w:val="Hyperlink"/>
            <w:rFonts w:ascii="Times New Roman" w:hAnsi="Times New Roman" w:cs="Times New Roman"/>
            <w:lang w:val="af-ZA"/>
          </w:rPr>
          <w:t>France</w:t>
        </w:r>
      </w:hyperlink>
      <w:r w:rsidR="006B6FEB" w:rsidRPr="00EF7399">
        <w:rPr>
          <w:rFonts w:ascii="Times New Roman" w:hAnsi="Times New Roman" w:cs="Times New Roman"/>
          <w:lang w:val="af-ZA"/>
        </w:rPr>
        <w:t>, no. 51346/99, ECHR 2002-III</w:t>
      </w:r>
    </w:p>
    <w:p w14:paraId="779CBE09" w14:textId="5183FF81" w:rsidR="00FB034F" w:rsidRPr="00EF7399" w:rsidRDefault="00000000" w:rsidP="00277407">
      <w:pPr>
        <w:pStyle w:val="ECHRParaHanging"/>
        <w:rPr>
          <w:rFonts w:ascii="Times New Roman" w:hAnsi="Times New Roman" w:cs="Times New Roman"/>
          <w:lang w:val="af-ZA"/>
        </w:rPr>
      </w:pPr>
      <w:hyperlink r:id="rId695" w:history="1">
        <w:r w:rsidR="00FB034F" w:rsidRPr="00EF7399">
          <w:rPr>
            <w:rStyle w:val="Hyperlink"/>
            <w:rFonts w:ascii="Times New Roman" w:hAnsi="Times New Roman" w:cs="Times New Roman"/>
            <w:lang w:val="af-ZA"/>
          </w:rPr>
          <w:t>Council of Civil Service Unions</w:t>
        </w:r>
        <w:r w:rsidR="00873234" w:rsidRPr="00EF7399">
          <w:rPr>
            <w:rStyle w:val="Hyperlink"/>
            <w:rFonts w:ascii="Times New Roman" w:hAnsi="Times New Roman" w:cs="Times New Roman"/>
            <w:lang w:val="af-ZA"/>
          </w:rPr>
          <w:t xml:space="preserve"> v. </w:t>
        </w:r>
        <w:r w:rsidR="00FB034F" w:rsidRPr="00EF7399">
          <w:rPr>
            <w:rStyle w:val="Hyperlink"/>
            <w:rFonts w:ascii="Times New Roman" w:hAnsi="Times New Roman" w:cs="Times New Roman"/>
            <w:lang w:val="af-ZA"/>
          </w:rPr>
          <w:t>the United Kingdom</w:t>
        </w:r>
      </w:hyperlink>
      <w:r w:rsidR="00FB034F" w:rsidRPr="00EF7399">
        <w:rPr>
          <w:rFonts w:ascii="Times New Roman" w:hAnsi="Times New Roman" w:cs="Times New Roman"/>
          <w:lang w:val="af-ZA"/>
        </w:rPr>
        <w:t>, no. 11603/85, Commission decision</w:t>
      </w:r>
      <w:r w:rsidR="0093363D" w:rsidRPr="00EF7399">
        <w:rPr>
          <w:rFonts w:ascii="Times New Roman" w:hAnsi="Times New Roman" w:cs="Times New Roman"/>
          <w:lang w:val="af-ZA"/>
        </w:rPr>
        <w:t xml:space="preserve"> of 29 </w:t>
      </w:r>
      <w:r w:rsidR="00FB034F" w:rsidRPr="00EF7399">
        <w:rPr>
          <w:rFonts w:ascii="Times New Roman" w:hAnsi="Times New Roman" w:cs="Times New Roman"/>
          <w:lang w:val="af-ZA"/>
        </w:rPr>
        <w:t>January 1987, Decisions and Reports 50</w:t>
      </w:r>
      <w:r w:rsidR="002D141A" w:rsidRPr="00EF7399">
        <w:rPr>
          <w:rFonts w:ascii="Times New Roman" w:hAnsi="Times New Roman" w:cs="Times New Roman"/>
          <w:lang w:val="af-ZA"/>
        </w:rPr>
        <w:t>, p. 228</w:t>
      </w:r>
    </w:p>
    <w:p w14:paraId="533354AE" w14:textId="4FEDD4B3" w:rsidR="00BC451D" w:rsidRPr="00EF7399" w:rsidRDefault="00000000" w:rsidP="00BC451D">
      <w:pPr>
        <w:pStyle w:val="ECHRParaHanging"/>
        <w:rPr>
          <w:rFonts w:ascii="Times New Roman" w:hAnsi="Times New Roman" w:cs="Times New Roman"/>
          <w:lang w:val="af-ZA"/>
        </w:rPr>
      </w:pPr>
      <w:hyperlink r:id="rId696" w:history="1">
        <w:r w:rsidR="00BC451D" w:rsidRPr="00EF7399">
          <w:rPr>
            <w:rStyle w:val="Hyperlink"/>
            <w:rFonts w:ascii="Times New Roman" w:hAnsi="Times New Roman" w:cs="Times New Roman"/>
            <w:lang w:val="af-ZA"/>
          </w:rPr>
          <w:t>Croatian Golf Federation</w:t>
        </w:r>
        <w:r w:rsidR="00873234" w:rsidRPr="00EF7399">
          <w:rPr>
            <w:rStyle w:val="Hyperlink"/>
            <w:rFonts w:ascii="Times New Roman" w:hAnsi="Times New Roman" w:cs="Times New Roman"/>
            <w:lang w:val="af-ZA"/>
          </w:rPr>
          <w:t xml:space="preserve"> v. </w:t>
        </w:r>
        <w:r w:rsidR="00BC451D" w:rsidRPr="00EF7399">
          <w:rPr>
            <w:rStyle w:val="Hyperlink"/>
            <w:rFonts w:ascii="Times New Roman" w:hAnsi="Times New Roman" w:cs="Times New Roman"/>
            <w:lang w:val="af-ZA"/>
          </w:rPr>
          <w:t>Croatia</w:t>
        </w:r>
      </w:hyperlink>
      <w:r w:rsidR="00BC451D" w:rsidRPr="00EF7399">
        <w:rPr>
          <w:rFonts w:ascii="Times New Roman" w:hAnsi="Times New Roman" w:cs="Times New Roman"/>
          <w:lang w:val="af-ZA"/>
        </w:rPr>
        <w:t>, no. 66994/14, 17 December 2020</w:t>
      </w:r>
    </w:p>
    <w:p w14:paraId="73448953" w14:textId="7205B2E3" w:rsidR="005E2301" w:rsidRPr="00EF7399" w:rsidRDefault="00000000" w:rsidP="006019EB">
      <w:pPr>
        <w:pStyle w:val="ECHRParaHanging"/>
        <w:rPr>
          <w:rFonts w:ascii="Times New Roman" w:hAnsi="Times New Roman" w:cs="Times New Roman"/>
          <w:lang w:val="af-ZA"/>
        </w:rPr>
      </w:pPr>
      <w:hyperlink r:id="rId697" w:history="1">
        <w:r w:rsidR="005E2301" w:rsidRPr="00EF7399">
          <w:rPr>
            <w:rStyle w:val="Hyperlink"/>
            <w:rFonts w:ascii="Times New Roman" w:hAnsi="Times New Roman" w:cs="Times New Roman"/>
            <w:lang w:val="af-ZA"/>
          </w:rPr>
          <w:t>Cumhuriyet Halk Partisi</w:t>
        </w:r>
        <w:r w:rsidR="00873234" w:rsidRPr="00EF7399">
          <w:rPr>
            <w:rStyle w:val="Hyperlink"/>
            <w:rFonts w:ascii="Times New Roman" w:hAnsi="Times New Roman" w:cs="Times New Roman"/>
            <w:lang w:val="af-ZA"/>
          </w:rPr>
          <w:t xml:space="preserve"> v. </w:t>
        </w:r>
        <w:r w:rsidR="005E2301" w:rsidRPr="00EF7399">
          <w:rPr>
            <w:rStyle w:val="Hyperlink"/>
            <w:rFonts w:ascii="Times New Roman" w:hAnsi="Times New Roman" w:cs="Times New Roman"/>
            <w:lang w:val="af-ZA"/>
          </w:rPr>
          <w:t>Turkey</w:t>
        </w:r>
      </w:hyperlink>
      <w:r w:rsidR="005E2301" w:rsidRPr="00EF7399">
        <w:rPr>
          <w:rFonts w:ascii="Times New Roman" w:hAnsi="Times New Roman" w:cs="Times New Roman"/>
          <w:lang w:val="af-ZA"/>
        </w:rPr>
        <w:t>, no. 19920/13, ECHR 2016 (extracts)</w:t>
      </w:r>
    </w:p>
    <w:p w14:paraId="2755277F" w14:textId="77777777" w:rsidR="00BB682C" w:rsidRPr="00EF7399" w:rsidRDefault="00BB682C" w:rsidP="006019EB">
      <w:pPr>
        <w:pStyle w:val="ECHRTitleCentre1"/>
        <w:rPr>
          <w:rFonts w:ascii="Times New Roman" w:hAnsi="Times New Roman" w:cs="Times New Roman"/>
          <w:lang w:val="af-ZA"/>
        </w:rPr>
      </w:pPr>
      <w:r w:rsidRPr="00EF7399">
        <w:rPr>
          <w:rFonts w:ascii="Times New Roman" w:hAnsi="Times New Roman" w:cs="Times New Roman"/>
          <w:lang w:val="af-ZA"/>
        </w:rPr>
        <w:t>—D—</w:t>
      </w:r>
    </w:p>
    <w:p w14:paraId="3B0FA646" w14:textId="5FACA2D4" w:rsidR="000B1BA0" w:rsidRPr="00EF7399" w:rsidRDefault="00000000" w:rsidP="000B1BA0">
      <w:pPr>
        <w:pStyle w:val="JuPara"/>
        <w:ind w:firstLine="0"/>
        <w:rPr>
          <w:rFonts w:ascii="Times New Roman" w:hAnsi="Times New Roman" w:cs="Times New Roman"/>
          <w:sz w:val="22"/>
          <w:lang w:val="af-ZA"/>
        </w:rPr>
      </w:pPr>
      <w:hyperlink r:id="rId698" w:history="1">
        <w:r w:rsidR="000B1BA0" w:rsidRPr="00EF7399">
          <w:rPr>
            <w:rStyle w:val="Hyperlink"/>
            <w:rFonts w:ascii="Times New Roman" w:hAnsi="Times New Roman" w:cs="Times New Roman"/>
            <w:sz w:val="22"/>
            <w:lang w:val="af-ZA"/>
          </w:rPr>
          <w:t>Dareskizb Ltd</w:t>
        </w:r>
        <w:r w:rsidR="00873234" w:rsidRPr="00EF7399">
          <w:rPr>
            <w:rStyle w:val="Hyperlink"/>
            <w:rFonts w:ascii="Times New Roman" w:hAnsi="Times New Roman" w:cs="Times New Roman"/>
            <w:sz w:val="22"/>
            <w:lang w:val="af-ZA"/>
          </w:rPr>
          <w:t xml:space="preserve"> v. </w:t>
        </w:r>
        <w:r w:rsidR="000B1BA0" w:rsidRPr="00EF7399">
          <w:rPr>
            <w:rStyle w:val="Hyperlink"/>
            <w:rFonts w:ascii="Times New Roman" w:hAnsi="Times New Roman" w:cs="Times New Roman"/>
            <w:sz w:val="22"/>
            <w:lang w:val="af-ZA"/>
          </w:rPr>
          <w:t>Armenia</w:t>
        </w:r>
      </w:hyperlink>
      <w:r w:rsidR="000B1BA0" w:rsidRPr="00EF7399">
        <w:rPr>
          <w:rFonts w:ascii="Times New Roman" w:hAnsi="Times New Roman" w:cs="Times New Roman"/>
          <w:sz w:val="22"/>
          <w:lang w:val="af-ZA"/>
        </w:rPr>
        <w:t>, no. 61737/08, 21 September 2021</w:t>
      </w:r>
    </w:p>
    <w:p w14:paraId="08D8EDCF" w14:textId="7CEF7C4C" w:rsidR="00AD3674" w:rsidRPr="00EF7399" w:rsidRDefault="00000000" w:rsidP="006019EB">
      <w:pPr>
        <w:pStyle w:val="ECHRParaHanging"/>
        <w:rPr>
          <w:rFonts w:ascii="Times New Roman" w:hAnsi="Times New Roman" w:cs="Times New Roman"/>
          <w:lang w:val="af-ZA"/>
        </w:rPr>
      </w:pPr>
      <w:hyperlink r:id="rId699" w:history="1">
        <w:r w:rsidR="00AD3674" w:rsidRPr="00EF7399">
          <w:rPr>
            <w:rStyle w:val="Hyperlink"/>
            <w:rFonts w:ascii="Times New Roman" w:hAnsi="Times New Roman" w:cs="Times New Roman"/>
            <w:lang w:val="af-ZA"/>
          </w:rPr>
          <w:t>Demir and Baykara</w:t>
        </w:r>
        <w:r w:rsidR="00873234" w:rsidRPr="00EF7399">
          <w:rPr>
            <w:rStyle w:val="Hyperlink"/>
            <w:rFonts w:ascii="Times New Roman" w:hAnsi="Times New Roman" w:cs="Times New Roman"/>
            <w:lang w:val="af-ZA"/>
          </w:rPr>
          <w:t xml:space="preserve"> v. </w:t>
        </w:r>
        <w:r w:rsidR="00AD3674" w:rsidRPr="00EF7399">
          <w:rPr>
            <w:rStyle w:val="Hyperlink"/>
            <w:rFonts w:ascii="Times New Roman" w:hAnsi="Times New Roman" w:cs="Times New Roman"/>
            <w:lang w:val="af-ZA"/>
          </w:rPr>
          <w:t>Turkey</w:t>
        </w:r>
      </w:hyperlink>
      <w:r w:rsidR="00AD3674" w:rsidRPr="00EF7399">
        <w:rPr>
          <w:rFonts w:ascii="Times New Roman" w:hAnsi="Times New Roman" w:cs="Times New Roman"/>
          <w:lang w:val="af-ZA"/>
        </w:rPr>
        <w:t xml:space="preserve"> [GC], no. 34503/97, ECHR 2008</w:t>
      </w:r>
    </w:p>
    <w:p w14:paraId="0527DA4C" w14:textId="0A807549" w:rsidR="00EA4EF4" w:rsidRPr="00EF7399" w:rsidRDefault="00000000" w:rsidP="006019EB">
      <w:pPr>
        <w:pStyle w:val="ECHRParaHanging"/>
        <w:rPr>
          <w:rFonts w:ascii="Times New Roman" w:hAnsi="Times New Roman" w:cs="Times New Roman"/>
          <w:lang w:val="af-ZA"/>
        </w:rPr>
      </w:pPr>
      <w:hyperlink r:id="rId700" w:history="1">
        <w:r w:rsidR="00EA4EF4" w:rsidRPr="00EF7399">
          <w:rPr>
            <w:rStyle w:val="Hyperlink"/>
            <w:rFonts w:ascii="Times New Roman" w:hAnsi="Times New Roman" w:cs="Times New Roman"/>
            <w:lang w:val="af-ZA"/>
          </w:rPr>
          <w:t>Disk and Kesk</w:t>
        </w:r>
        <w:r w:rsidR="00873234" w:rsidRPr="00EF7399">
          <w:rPr>
            <w:rStyle w:val="Hyperlink"/>
            <w:rFonts w:ascii="Times New Roman" w:hAnsi="Times New Roman" w:cs="Times New Roman"/>
            <w:lang w:val="af-ZA"/>
          </w:rPr>
          <w:t xml:space="preserve"> v. </w:t>
        </w:r>
        <w:r w:rsidR="00EA4EF4" w:rsidRPr="00EF7399">
          <w:rPr>
            <w:rStyle w:val="Hyperlink"/>
            <w:rFonts w:ascii="Times New Roman" w:hAnsi="Times New Roman" w:cs="Times New Roman"/>
            <w:lang w:val="af-ZA"/>
          </w:rPr>
          <w:t>Turkey</w:t>
        </w:r>
      </w:hyperlink>
      <w:r w:rsidR="00EA4EF4" w:rsidRPr="00EF7399">
        <w:rPr>
          <w:rFonts w:ascii="Times New Roman" w:hAnsi="Times New Roman" w:cs="Times New Roman"/>
          <w:lang w:val="af-ZA"/>
        </w:rPr>
        <w:t>, no. 38676/08, 27 November 2012</w:t>
      </w:r>
    </w:p>
    <w:p w14:paraId="64EE3CA5" w14:textId="7D2026CA" w:rsidR="006019EB" w:rsidRPr="00EF7399" w:rsidRDefault="00000000" w:rsidP="006019EB">
      <w:pPr>
        <w:pStyle w:val="ECHRParaHanging"/>
        <w:rPr>
          <w:rFonts w:ascii="Times New Roman" w:hAnsi="Times New Roman" w:cs="Times New Roman"/>
          <w:lang w:val="af-ZA"/>
        </w:rPr>
      </w:pPr>
      <w:hyperlink r:id="rId701" w:history="1">
        <w:r w:rsidR="00110C87" w:rsidRPr="00EF7399">
          <w:rPr>
            <w:rStyle w:val="Hyperlink"/>
            <w:rFonts w:ascii="Times New Roman" w:hAnsi="Times New Roman" w:cs="Times New Roman"/>
            <w:lang w:val="af-ZA"/>
          </w:rPr>
          <w:t>Danilenkov and Others</w:t>
        </w:r>
        <w:r w:rsidR="00873234" w:rsidRPr="00EF7399">
          <w:rPr>
            <w:rStyle w:val="Hyperlink"/>
            <w:rFonts w:ascii="Times New Roman" w:hAnsi="Times New Roman" w:cs="Times New Roman"/>
            <w:lang w:val="af-ZA"/>
          </w:rPr>
          <w:t xml:space="preserve"> v. </w:t>
        </w:r>
        <w:r w:rsidR="00110C87" w:rsidRPr="00EF7399">
          <w:rPr>
            <w:rStyle w:val="Hyperlink"/>
            <w:rFonts w:ascii="Times New Roman" w:hAnsi="Times New Roman" w:cs="Times New Roman"/>
            <w:lang w:val="af-ZA"/>
          </w:rPr>
          <w:t>Russia</w:t>
        </w:r>
      </w:hyperlink>
      <w:r w:rsidR="00110C87" w:rsidRPr="00EF7399">
        <w:rPr>
          <w:rFonts w:ascii="Times New Roman" w:hAnsi="Times New Roman" w:cs="Times New Roman"/>
          <w:lang w:val="af-ZA"/>
        </w:rPr>
        <w:t>, no. 67336/01, ECHR 2009 (extracts))</w:t>
      </w:r>
    </w:p>
    <w:p w14:paraId="22997822" w14:textId="557D1934" w:rsidR="00EA4EF4" w:rsidRPr="00EF7399" w:rsidRDefault="00000000" w:rsidP="006019EB">
      <w:pPr>
        <w:pStyle w:val="ECHRParaHanging"/>
        <w:rPr>
          <w:rFonts w:ascii="Times New Roman" w:hAnsi="Times New Roman" w:cs="Times New Roman"/>
          <w:lang w:val="af-ZA"/>
        </w:rPr>
      </w:pPr>
      <w:hyperlink r:id="rId702" w:history="1">
        <w:r w:rsidR="00EA4EF4" w:rsidRPr="00EF7399">
          <w:rPr>
            <w:rStyle w:val="Hyperlink"/>
            <w:rFonts w:ascii="Times New Roman" w:hAnsi="Times New Roman" w:cs="Times New Roman"/>
            <w:lang w:val="af-ZA"/>
          </w:rPr>
          <w:t>Djavit An</w:t>
        </w:r>
        <w:r w:rsidR="00873234" w:rsidRPr="00EF7399">
          <w:rPr>
            <w:rStyle w:val="Hyperlink"/>
            <w:rFonts w:ascii="Times New Roman" w:hAnsi="Times New Roman" w:cs="Times New Roman"/>
            <w:lang w:val="af-ZA"/>
          </w:rPr>
          <w:t xml:space="preserve"> v. </w:t>
        </w:r>
        <w:r w:rsidR="00EA4EF4" w:rsidRPr="00EF7399">
          <w:rPr>
            <w:rStyle w:val="Hyperlink"/>
            <w:rFonts w:ascii="Times New Roman" w:hAnsi="Times New Roman" w:cs="Times New Roman"/>
            <w:lang w:val="af-ZA"/>
          </w:rPr>
          <w:t>Turkey</w:t>
        </w:r>
      </w:hyperlink>
      <w:r w:rsidR="00EA4EF4" w:rsidRPr="00EF7399">
        <w:rPr>
          <w:rFonts w:ascii="Times New Roman" w:hAnsi="Times New Roman" w:cs="Times New Roman"/>
          <w:lang w:val="af-ZA"/>
        </w:rPr>
        <w:t>, no. 20652/92, ECHR 2003-III</w:t>
      </w:r>
    </w:p>
    <w:p w14:paraId="74A2834B" w14:textId="3B3CC99D" w:rsidR="003D07F2" w:rsidRPr="00EF7399" w:rsidRDefault="00000000" w:rsidP="003D07F2">
      <w:pPr>
        <w:pStyle w:val="ECHRParaHanging"/>
        <w:rPr>
          <w:rFonts w:ascii="Times New Roman" w:hAnsi="Times New Roman" w:cs="Times New Roman"/>
          <w:lang w:val="af-ZA"/>
        </w:rPr>
      </w:pPr>
      <w:hyperlink r:id="rId703" w:history="1">
        <w:r w:rsidR="003D07F2" w:rsidRPr="00EF7399">
          <w:rPr>
            <w:rStyle w:val="Hyperlink"/>
            <w:rFonts w:ascii="Times New Roman" w:hAnsi="Times New Roman" w:cs="Times New Roman"/>
            <w:lang w:val="af-ZA"/>
          </w:rPr>
          <w:t>Doǧan Altun</w:t>
        </w:r>
        <w:r w:rsidR="00873234" w:rsidRPr="00EF7399">
          <w:rPr>
            <w:rStyle w:val="Hyperlink"/>
            <w:rFonts w:ascii="Times New Roman" w:hAnsi="Times New Roman" w:cs="Times New Roman"/>
            <w:lang w:val="af-ZA"/>
          </w:rPr>
          <w:t xml:space="preserve"> v. </w:t>
        </w:r>
        <w:r w:rsidR="003D07F2" w:rsidRPr="00EF7399">
          <w:rPr>
            <w:rStyle w:val="Hyperlink"/>
            <w:rFonts w:ascii="Times New Roman" w:hAnsi="Times New Roman" w:cs="Times New Roman"/>
            <w:lang w:val="af-ZA"/>
          </w:rPr>
          <w:t>Turkey</w:t>
        </w:r>
      </w:hyperlink>
      <w:r w:rsidR="003D07F2" w:rsidRPr="00EF7399">
        <w:rPr>
          <w:rFonts w:ascii="Times New Roman" w:hAnsi="Times New Roman" w:cs="Times New Roman"/>
          <w:lang w:val="af-ZA"/>
        </w:rPr>
        <w:t>, no. 7152/08, 26 May 2015</w:t>
      </w:r>
    </w:p>
    <w:p w14:paraId="1993D760" w14:textId="260F7131" w:rsidR="00EA4EF4" w:rsidRPr="00EF7399" w:rsidRDefault="00000000" w:rsidP="003D07F2">
      <w:pPr>
        <w:pStyle w:val="ECHRParaHanging"/>
        <w:rPr>
          <w:rFonts w:ascii="Times New Roman" w:hAnsi="Times New Roman" w:cs="Times New Roman"/>
          <w:lang w:val="af-ZA"/>
        </w:rPr>
      </w:pPr>
      <w:hyperlink r:id="rId704" w:history="1">
        <w:r w:rsidR="00EA4EF4" w:rsidRPr="00EF7399">
          <w:rPr>
            <w:rStyle w:val="Hyperlink"/>
            <w:rFonts w:ascii="Times New Roman" w:hAnsi="Times New Roman" w:cs="Times New Roman"/>
            <w:lang w:val="af-ZA"/>
          </w:rPr>
          <w:t>Drieman and Others</w:t>
        </w:r>
        <w:r w:rsidR="00873234" w:rsidRPr="00EF7399">
          <w:rPr>
            <w:rStyle w:val="Hyperlink"/>
            <w:rFonts w:ascii="Times New Roman" w:hAnsi="Times New Roman" w:cs="Times New Roman"/>
            <w:lang w:val="af-ZA"/>
          </w:rPr>
          <w:t xml:space="preserve"> v. </w:t>
        </w:r>
        <w:r w:rsidR="00EA4EF4" w:rsidRPr="00EF7399">
          <w:rPr>
            <w:rStyle w:val="Hyperlink"/>
            <w:rFonts w:ascii="Times New Roman" w:hAnsi="Times New Roman" w:cs="Times New Roman"/>
            <w:lang w:val="af-ZA"/>
          </w:rPr>
          <w:t>Norway</w:t>
        </w:r>
      </w:hyperlink>
      <w:r w:rsidR="00EA4EF4" w:rsidRPr="00EF7399">
        <w:rPr>
          <w:rFonts w:ascii="Times New Roman" w:hAnsi="Times New Roman" w:cs="Times New Roman"/>
          <w:lang w:val="af-ZA"/>
        </w:rPr>
        <w:t xml:space="preserve"> (dec.), no. 33678/96, 4 May 2000</w:t>
      </w:r>
    </w:p>
    <w:p w14:paraId="57BA2C8E" w14:textId="4AB2C34E" w:rsidR="00814C6A" w:rsidRPr="00EF7399" w:rsidRDefault="006019EB" w:rsidP="006019EB">
      <w:pPr>
        <w:pStyle w:val="ECHRTitleCentre1"/>
        <w:rPr>
          <w:rFonts w:ascii="Times New Roman" w:hAnsi="Times New Roman" w:cs="Times New Roman"/>
          <w:lang w:val="af-ZA"/>
        </w:rPr>
      </w:pPr>
      <w:r w:rsidRPr="00EF7399">
        <w:rPr>
          <w:rFonts w:ascii="Times New Roman" w:hAnsi="Times New Roman" w:cs="Times New Roman"/>
          <w:lang w:val="af-ZA"/>
        </w:rPr>
        <w:t>—E</w:t>
      </w:r>
      <w:r w:rsidR="00814C6A" w:rsidRPr="00EF7399">
        <w:rPr>
          <w:rFonts w:ascii="Times New Roman" w:hAnsi="Times New Roman" w:cs="Times New Roman"/>
          <w:lang w:val="af-ZA"/>
        </w:rPr>
        <w:t>—</w:t>
      </w:r>
    </w:p>
    <w:p w14:paraId="020EB7C2" w14:textId="39762085" w:rsidR="005244E7" w:rsidRPr="00EF7399" w:rsidRDefault="00000000" w:rsidP="005244E7">
      <w:pPr>
        <w:pStyle w:val="ECHRPara"/>
        <w:rPr>
          <w:rFonts w:ascii="Times New Roman" w:hAnsi="Times New Roman" w:cs="Times New Roman"/>
        </w:rPr>
      </w:pPr>
      <w:hyperlink r:id="rId705" w:history="1">
        <w:r w:rsidR="005244E7" w:rsidRPr="00EF7399">
          <w:rPr>
            <w:rStyle w:val="Hyperlink"/>
            <w:rFonts w:ascii="Times New Roman" w:hAnsi="Times New Roman" w:cs="Times New Roman"/>
            <w:iCs/>
            <w:lang w:val="af-ZA"/>
          </w:rPr>
          <w:t>Ecodefence and Others</w:t>
        </w:r>
        <w:r w:rsidR="00873234" w:rsidRPr="00EF7399">
          <w:rPr>
            <w:rStyle w:val="Hyperlink"/>
            <w:rFonts w:ascii="Times New Roman" w:hAnsi="Times New Roman" w:cs="Times New Roman"/>
            <w:iCs/>
            <w:lang w:val="af-ZA"/>
          </w:rPr>
          <w:t xml:space="preserve"> v. </w:t>
        </w:r>
        <w:r w:rsidR="005244E7" w:rsidRPr="00EF7399">
          <w:rPr>
            <w:rStyle w:val="Hyperlink"/>
            <w:rFonts w:ascii="Times New Roman" w:hAnsi="Times New Roman" w:cs="Times New Roman"/>
            <w:iCs/>
            <w:lang w:val="af-ZA"/>
          </w:rPr>
          <w:t>Russia</w:t>
        </w:r>
      </w:hyperlink>
      <w:r w:rsidR="005244E7" w:rsidRPr="00EF7399">
        <w:rPr>
          <w:rFonts w:ascii="Times New Roman" w:hAnsi="Times New Roman" w:cs="Times New Roman"/>
        </w:rPr>
        <w:t>, nos. 9988/13 and 60 others, 14 June 2022</w:t>
      </w:r>
    </w:p>
    <w:p w14:paraId="1C4C23A6" w14:textId="03CA5F3E" w:rsidR="006019EB" w:rsidRPr="00EF7399" w:rsidRDefault="00000000" w:rsidP="005244E7">
      <w:pPr>
        <w:pStyle w:val="ECHRPara"/>
        <w:rPr>
          <w:rFonts w:ascii="Times New Roman" w:hAnsi="Times New Roman" w:cs="Times New Roman"/>
        </w:rPr>
      </w:pPr>
      <w:hyperlink r:id="rId706" w:history="1">
        <w:r w:rsidR="00DA16B0" w:rsidRPr="00EF7399">
          <w:rPr>
            <w:rStyle w:val="Hyperlink"/>
            <w:rFonts w:ascii="Times New Roman" w:hAnsi="Times New Roman" w:cs="Times New Roman"/>
            <w:lang w:val="af-ZA"/>
          </w:rPr>
          <w:t>Eğitim ve Bilim Emekçileri Sendikası</w:t>
        </w:r>
        <w:r w:rsidR="00873234" w:rsidRPr="00EF7399">
          <w:rPr>
            <w:rStyle w:val="Hyperlink"/>
            <w:rFonts w:ascii="Times New Roman" w:hAnsi="Times New Roman" w:cs="Times New Roman"/>
            <w:lang w:val="af-ZA"/>
          </w:rPr>
          <w:t xml:space="preserve"> v. </w:t>
        </w:r>
        <w:r w:rsidR="00DA16B0" w:rsidRPr="00EF7399">
          <w:rPr>
            <w:rStyle w:val="Hyperlink"/>
            <w:rFonts w:ascii="Times New Roman" w:hAnsi="Times New Roman" w:cs="Times New Roman"/>
            <w:lang w:val="af-ZA"/>
          </w:rPr>
          <w:t>Turkey</w:t>
        </w:r>
      </w:hyperlink>
      <w:r w:rsidR="00DA16B0" w:rsidRPr="00EF7399">
        <w:rPr>
          <w:rFonts w:ascii="Times New Roman" w:hAnsi="Times New Roman" w:cs="Times New Roman"/>
        </w:rPr>
        <w:t>, no.</w:t>
      </w:r>
      <w:r w:rsidR="00EA4EF4" w:rsidRPr="00EF7399">
        <w:rPr>
          <w:rFonts w:ascii="Times New Roman" w:hAnsi="Times New Roman" w:cs="Times New Roman"/>
        </w:rPr>
        <w:t xml:space="preserve"> 20641/05, ECHR 2012 (extracts)</w:t>
      </w:r>
    </w:p>
    <w:p w14:paraId="30004589" w14:textId="05B48799" w:rsidR="009D79A4" w:rsidRPr="00EF7399" w:rsidRDefault="00000000" w:rsidP="009D79A4">
      <w:pPr>
        <w:pStyle w:val="ECHRParaHanging"/>
        <w:rPr>
          <w:rFonts w:ascii="Times New Roman" w:hAnsi="Times New Roman" w:cs="Times New Roman"/>
          <w:lang w:val="af-ZA"/>
        </w:rPr>
      </w:pPr>
      <w:hyperlink r:id="rId707" w:history="1">
        <w:r w:rsidR="009D79A4" w:rsidRPr="00EF7399">
          <w:rPr>
            <w:rStyle w:val="Hyperlink"/>
            <w:rFonts w:ascii="Times New Roman" w:hAnsi="Times New Roman" w:cs="Times New Roman"/>
            <w:lang w:val="af-ZA"/>
          </w:rPr>
          <w:t>Eğitim ve Bilim Emekçileri Sendikası and Others</w:t>
        </w:r>
        <w:r w:rsidR="00873234" w:rsidRPr="00EF7399">
          <w:rPr>
            <w:rStyle w:val="Hyperlink"/>
            <w:rFonts w:ascii="Times New Roman" w:hAnsi="Times New Roman" w:cs="Times New Roman"/>
            <w:lang w:val="af-ZA"/>
          </w:rPr>
          <w:t xml:space="preserve"> v. </w:t>
        </w:r>
        <w:r w:rsidR="009D79A4" w:rsidRPr="00EF7399">
          <w:rPr>
            <w:rStyle w:val="Hyperlink"/>
            <w:rFonts w:ascii="Times New Roman" w:hAnsi="Times New Roman" w:cs="Times New Roman"/>
            <w:lang w:val="af-ZA"/>
          </w:rPr>
          <w:t>Turkey</w:t>
        </w:r>
      </w:hyperlink>
      <w:r w:rsidR="009D79A4" w:rsidRPr="00EF7399">
        <w:rPr>
          <w:rFonts w:ascii="Times New Roman" w:hAnsi="Times New Roman" w:cs="Times New Roman"/>
          <w:lang w:val="af-ZA"/>
        </w:rPr>
        <w:t>, no. 20347/07, 5 July 2016</w:t>
      </w:r>
    </w:p>
    <w:p w14:paraId="68B98172" w14:textId="79C2A34A" w:rsidR="005A3118" w:rsidRPr="00EF7399" w:rsidRDefault="00000000" w:rsidP="005A3118">
      <w:pPr>
        <w:pStyle w:val="ECHRParaHanging"/>
        <w:rPr>
          <w:rFonts w:ascii="Times New Roman" w:hAnsi="Times New Roman" w:cs="Times New Roman"/>
          <w:lang w:val="af-ZA"/>
        </w:rPr>
      </w:pPr>
      <w:hyperlink r:id="rId708" w:history="1">
        <w:r w:rsidR="005A3118" w:rsidRPr="00EF7399">
          <w:rPr>
            <w:rStyle w:val="Hyperlink"/>
            <w:rFonts w:ascii="Times New Roman" w:hAnsi="Times New Roman" w:cs="Times New Roman"/>
            <w:lang w:val="af-ZA"/>
          </w:rPr>
          <w:t>Ekrem Can and Others</w:t>
        </w:r>
        <w:r w:rsidR="00873234" w:rsidRPr="00EF7399">
          <w:rPr>
            <w:rStyle w:val="Hyperlink"/>
            <w:rFonts w:ascii="Times New Roman" w:hAnsi="Times New Roman" w:cs="Times New Roman"/>
            <w:lang w:val="af-ZA"/>
          </w:rPr>
          <w:t xml:space="preserve"> v. </w:t>
        </w:r>
        <w:r w:rsidR="005A3118" w:rsidRPr="00EF7399">
          <w:rPr>
            <w:rStyle w:val="Hyperlink"/>
            <w:rFonts w:ascii="Times New Roman" w:hAnsi="Times New Roman" w:cs="Times New Roman"/>
            <w:lang w:val="af-ZA"/>
          </w:rPr>
          <w:t>Turkey</w:t>
        </w:r>
      </w:hyperlink>
      <w:r w:rsidR="005A3118" w:rsidRPr="00EF7399">
        <w:rPr>
          <w:rFonts w:ascii="Times New Roman" w:hAnsi="Times New Roman" w:cs="Times New Roman"/>
          <w:lang w:val="af-ZA"/>
        </w:rPr>
        <w:t>, no. 10613/10, 8 March 2022</w:t>
      </w:r>
    </w:p>
    <w:p w14:paraId="15787562" w14:textId="3AFF3C41" w:rsidR="006F5BD0" w:rsidRPr="00EF7399" w:rsidRDefault="00000000" w:rsidP="009D79A4">
      <w:pPr>
        <w:pStyle w:val="ECHRParaHanging"/>
        <w:rPr>
          <w:rFonts w:ascii="Times New Roman" w:hAnsi="Times New Roman" w:cs="Times New Roman"/>
          <w:lang w:val="af-ZA"/>
        </w:rPr>
      </w:pPr>
      <w:hyperlink r:id="rId709" w:history="1">
        <w:r w:rsidR="006F5BD0" w:rsidRPr="00EF7399">
          <w:rPr>
            <w:rStyle w:val="Hyperlink"/>
            <w:rFonts w:ascii="Times New Roman" w:hAnsi="Times New Roman" w:cs="Times New Roman"/>
            <w:lang w:val="af-ZA"/>
          </w:rPr>
          <w:t>Elvira Dmitriyeva</w:t>
        </w:r>
        <w:r w:rsidR="00873234" w:rsidRPr="00EF7399">
          <w:rPr>
            <w:rStyle w:val="Hyperlink"/>
            <w:rFonts w:ascii="Times New Roman" w:hAnsi="Times New Roman" w:cs="Times New Roman"/>
            <w:lang w:val="af-ZA"/>
          </w:rPr>
          <w:t xml:space="preserve"> v. </w:t>
        </w:r>
        <w:r w:rsidR="006F5BD0" w:rsidRPr="00EF7399">
          <w:rPr>
            <w:rStyle w:val="Hyperlink"/>
            <w:rFonts w:ascii="Times New Roman" w:hAnsi="Times New Roman" w:cs="Times New Roman"/>
            <w:lang w:val="af-ZA"/>
          </w:rPr>
          <w:t>Russia</w:t>
        </w:r>
      </w:hyperlink>
      <w:r w:rsidR="006F5BD0" w:rsidRPr="00EF7399">
        <w:rPr>
          <w:rFonts w:ascii="Times New Roman" w:hAnsi="Times New Roman" w:cs="Times New Roman"/>
          <w:color w:val="000000"/>
          <w:lang w:val="af-ZA"/>
        </w:rPr>
        <w:t>, nos. 60921/17 and 7202/18, 30 April 2019</w:t>
      </w:r>
    </w:p>
    <w:p w14:paraId="493BF78F" w14:textId="6CB75284" w:rsidR="00F4575F" w:rsidRPr="00EF7399" w:rsidRDefault="00000000" w:rsidP="00F4575F">
      <w:pPr>
        <w:pStyle w:val="ECHRParaHanging"/>
        <w:rPr>
          <w:rFonts w:ascii="Times New Roman" w:hAnsi="Times New Roman" w:cs="Times New Roman"/>
          <w:lang w:val="af-ZA"/>
        </w:rPr>
      </w:pPr>
      <w:hyperlink r:id="rId710" w:history="1">
        <w:r w:rsidR="00F4575F" w:rsidRPr="00EF7399">
          <w:rPr>
            <w:rStyle w:val="Hyperlink"/>
            <w:rFonts w:ascii="Times New Roman" w:hAnsi="Times New Roman" w:cs="Times New Roman"/>
            <w:lang w:val="af-ZA"/>
          </w:rPr>
          <w:t>Emin Huseynov</w:t>
        </w:r>
        <w:r w:rsidR="00873234" w:rsidRPr="00EF7399">
          <w:rPr>
            <w:rStyle w:val="Hyperlink"/>
            <w:rFonts w:ascii="Times New Roman" w:hAnsi="Times New Roman" w:cs="Times New Roman"/>
            <w:lang w:val="af-ZA"/>
          </w:rPr>
          <w:t xml:space="preserve"> v. </w:t>
        </w:r>
        <w:r w:rsidR="00F4575F" w:rsidRPr="00EF7399">
          <w:rPr>
            <w:rStyle w:val="Hyperlink"/>
            <w:rFonts w:ascii="Times New Roman" w:hAnsi="Times New Roman" w:cs="Times New Roman"/>
            <w:lang w:val="af-ZA"/>
          </w:rPr>
          <w:t>Azerbaijan</w:t>
        </w:r>
      </w:hyperlink>
      <w:r w:rsidR="00F4575F" w:rsidRPr="00EF7399">
        <w:rPr>
          <w:rFonts w:ascii="Times New Roman" w:hAnsi="Times New Roman" w:cs="Times New Roman"/>
          <w:lang w:val="af-ZA"/>
        </w:rPr>
        <w:t>, no. 59135/09, 7 May 2015</w:t>
      </w:r>
    </w:p>
    <w:p w14:paraId="1C950351" w14:textId="4FE5880A" w:rsidR="002265D1" w:rsidRPr="00EF7399" w:rsidRDefault="00000000" w:rsidP="002265D1">
      <w:pPr>
        <w:pStyle w:val="ECHRParaHanging"/>
        <w:rPr>
          <w:rFonts w:ascii="Times New Roman" w:hAnsi="Times New Roman" w:cs="Times New Roman"/>
          <w:lang w:val="af-ZA"/>
        </w:rPr>
      </w:pPr>
      <w:hyperlink r:id="rId711" w:history="1">
        <w:r w:rsidR="002265D1" w:rsidRPr="00EF7399">
          <w:rPr>
            <w:rStyle w:val="Hyperlink"/>
            <w:rFonts w:ascii="Times New Roman" w:hAnsi="Times New Roman" w:cs="Times New Roman"/>
            <w:lang w:val="af-ZA"/>
          </w:rPr>
          <w:t>Enerji Yapı-Yol Sen</w:t>
        </w:r>
        <w:r w:rsidR="00873234" w:rsidRPr="00EF7399">
          <w:rPr>
            <w:rStyle w:val="Hyperlink"/>
            <w:rFonts w:ascii="Times New Roman" w:hAnsi="Times New Roman" w:cs="Times New Roman"/>
            <w:lang w:val="af-ZA"/>
          </w:rPr>
          <w:t xml:space="preserve"> v. </w:t>
        </w:r>
        <w:r w:rsidR="002265D1" w:rsidRPr="00EF7399">
          <w:rPr>
            <w:rStyle w:val="Hyperlink"/>
            <w:rFonts w:ascii="Times New Roman" w:hAnsi="Times New Roman" w:cs="Times New Roman"/>
            <w:lang w:val="af-ZA"/>
          </w:rPr>
          <w:t>Turkey</w:t>
        </w:r>
      </w:hyperlink>
      <w:r w:rsidR="002265D1" w:rsidRPr="00EF7399">
        <w:rPr>
          <w:rFonts w:ascii="Times New Roman" w:hAnsi="Times New Roman" w:cs="Times New Roman"/>
          <w:lang w:val="af-ZA"/>
        </w:rPr>
        <w:t>, no. 68959/01, 21 April 2009</w:t>
      </w:r>
    </w:p>
    <w:p w14:paraId="1BACF027" w14:textId="33A0CBAA" w:rsidR="00E710F9" w:rsidRPr="00EF7399" w:rsidRDefault="00000000" w:rsidP="002265D1">
      <w:pPr>
        <w:pStyle w:val="ECHRParaHanging"/>
        <w:rPr>
          <w:rFonts w:ascii="Times New Roman" w:hAnsi="Times New Roman" w:cs="Times New Roman"/>
          <w:lang w:val="af-ZA"/>
        </w:rPr>
      </w:pPr>
      <w:hyperlink r:id="rId712" w:history="1">
        <w:r w:rsidR="00E710F9" w:rsidRPr="00EF7399">
          <w:rPr>
            <w:rStyle w:val="Hyperlink"/>
            <w:rFonts w:ascii="Times New Roman" w:hAnsi="Times New Roman" w:cs="Times New Roman"/>
            <w:lang w:val="af-ZA"/>
          </w:rPr>
          <w:t>Engel and Others</w:t>
        </w:r>
        <w:r w:rsidR="00873234" w:rsidRPr="00EF7399">
          <w:rPr>
            <w:rStyle w:val="Hyperlink"/>
            <w:rFonts w:ascii="Times New Roman" w:hAnsi="Times New Roman" w:cs="Times New Roman"/>
            <w:lang w:val="af-ZA"/>
          </w:rPr>
          <w:t xml:space="preserve"> v. </w:t>
        </w:r>
        <w:r w:rsidR="00E710F9" w:rsidRPr="00EF7399">
          <w:rPr>
            <w:rStyle w:val="Hyperlink"/>
            <w:rFonts w:ascii="Times New Roman" w:hAnsi="Times New Roman" w:cs="Times New Roman"/>
            <w:lang w:val="af-ZA"/>
          </w:rPr>
          <w:t>the Netherlands</w:t>
        </w:r>
      </w:hyperlink>
      <w:r w:rsidR="00E710F9" w:rsidRPr="00EF7399">
        <w:rPr>
          <w:rFonts w:ascii="Times New Roman" w:hAnsi="Times New Roman" w:cs="Times New Roman"/>
          <w:lang w:val="af-ZA"/>
        </w:rPr>
        <w:t>, 8 June 1976, Series A no. 22</w:t>
      </w:r>
    </w:p>
    <w:p w14:paraId="5485C4B6" w14:textId="3AB1FF0B" w:rsidR="00E710F9" w:rsidRPr="00EF7399" w:rsidRDefault="00000000" w:rsidP="002265D1">
      <w:pPr>
        <w:pStyle w:val="ECHRParaHanging"/>
        <w:rPr>
          <w:rFonts w:ascii="Times New Roman" w:hAnsi="Times New Roman" w:cs="Times New Roman"/>
          <w:lang w:val="af-ZA"/>
        </w:rPr>
      </w:pPr>
      <w:hyperlink r:id="rId713" w:history="1">
        <w:r w:rsidR="00E710F9" w:rsidRPr="00EF7399">
          <w:rPr>
            <w:rStyle w:val="Hyperlink"/>
            <w:rFonts w:ascii="Times New Roman" w:hAnsi="Times New Roman" w:cs="Times New Roman"/>
            <w:lang w:val="af-ZA"/>
          </w:rPr>
          <w:t>Erdel</w:t>
        </w:r>
        <w:r w:rsidR="00873234" w:rsidRPr="00EF7399">
          <w:rPr>
            <w:rStyle w:val="Hyperlink"/>
            <w:rFonts w:ascii="Times New Roman" w:hAnsi="Times New Roman" w:cs="Times New Roman"/>
            <w:lang w:val="af-ZA"/>
          </w:rPr>
          <w:t xml:space="preserve"> v. </w:t>
        </w:r>
        <w:r w:rsidR="00E710F9" w:rsidRPr="00EF7399">
          <w:rPr>
            <w:rStyle w:val="Hyperlink"/>
            <w:rFonts w:ascii="Times New Roman" w:hAnsi="Times New Roman" w:cs="Times New Roman"/>
            <w:lang w:val="af-ZA"/>
          </w:rPr>
          <w:t>Germany</w:t>
        </w:r>
      </w:hyperlink>
      <w:r w:rsidR="00E710F9" w:rsidRPr="00EF7399">
        <w:rPr>
          <w:rFonts w:ascii="Times New Roman" w:hAnsi="Times New Roman" w:cs="Times New Roman"/>
          <w:i/>
          <w:lang w:val="af-ZA"/>
        </w:rPr>
        <w:t xml:space="preserve"> </w:t>
      </w:r>
      <w:r w:rsidR="00E710F9" w:rsidRPr="00EF7399">
        <w:rPr>
          <w:rFonts w:ascii="Times New Roman" w:hAnsi="Times New Roman" w:cs="Times New Roman"/>
          <w:lang w:val="af-ZA"/>
        </w:rPr>
        <w:t>(dec.), no. 30067/04, 13 February 2007</w:t>
      </w:r>
    </w:p>
    <w:p w14:paraId="769733FE" w14:textId="59920B02" w:rsidR="008A38EA" w:rsidRPr="00EF7399" w:rsidRDefault="00000000" w:rsidP="008A38EA">
      <w:pPr>
        <w:pStyle w:val="ECHRParaHanging"/>
        <w:rPr>
          <w:rFonts w:ascii="Times New Roman" w:hAnsi="Times New Roman" w:cs="Times New Roman"/>
          <w:lang w:val="af-ZA"/>
        </w:rPr>
      </w:pPr>
      <w:hyperlink r:id="rId714" w:history="1">
        <w:r w:rsidR="008A38EA" w:rsidRPr="00EF7399">
          <w:rPr>
            <w:rStyle w:val="Hyperlink"/>
            <w:rFonts w:ascii="Times New Roman" w:hAnsi="Times New Roman" w:cs="Times New Roman"/>
            <w:lang w:val="af-ZA" w:eastAsia="fr-FR"/>
          </w:rPr>
          <w:t>Ete v. Türkiye</w:t>
        </w:r>
      </w:hyperlink>
      <w:r w:rsidR="008A38EA" w:rsidRPr="00EF7399">
        <w:rPr>
          <w:rFonts w:ascii="Times New Roman" w:hAnsi="Times New Roman" w:cs="Times New Roman"/>
          <w:color w:val="000000"/>
          <w:lang w:val="af-ZA" w:eastAsia="fr-FR"/>
        </w:rPr>
        <w:t>, no. 28154/20, 6 September 2022</w:t>
      </w:r>
    </w:p>
    <w:p w14:paraId="2AD84AF7" w14:textId="52BD268A" w:rsidR="00EA4EF4" w:rsidRPr="00EF7399" w:rsidRDefault="00000000" w:rsidP="002265D1">
      <w:pPr>
        <w:pStyle w:val="ECHRParaHanging"/>
        <w:rPr>
          <w:rFonts w:ascii="Times New Roman" w:hAnsi="Times New Roman" w:cs="Times New Roman"/>
          <w:lang w:val="af-ZA"/>
        </w:rPr>
      </w:pPr>
      <w:hyperlink r:id="rId715" w:history="1">
        <w:r w:rsidR="00EA4EF4" w:rsidRPr="00EF7399">
          <w:rPr>
            <w:rStyle w:val="Hyperlink"/>
            <w:rFonts w:ascii="Times New Roman" w:hAnsi="Times New Roman" w:cs="Times New Roman"/>
            <w:lang w:val="af-ZA"/>
          </w:rPr>
          <w:t>Éva Molnár</w:t>
        </w:r>
        <w:r w:rsidR="00873234" w:rsidRPr="00EF7399">
          <w:rPr>
            <w:rStyle w:val="Hyperlink"/>
            <w:rFonts w:ascii="Times New Roman" w:hAnsi="Times New Roman" w:cs="Times New Roman"/>
            <w:lang w:val="af-ZA"/>
          </w:rPr>
          <w:t xml:space="preserve"> v. </w:t>
        </w:r>
        <w:r w:rsidR="00EA4EF4" w:rsidRPr="00EF7399">
          <w:rPr>
            <w:rStyle w:val="Hyperlink"/>
            <w:rFonts w:ascii="Times New Roman" w:hAnsi="Times New Roman" w:cs="Times New Roman"/>
            <w:lang w:val="af-ZA"/>
          </w:rPr>
          <w:t>Hungary</w:t>
        </w:r>
      </w:hyperlink>
      <w:r w:rsidR="00EA4EF4" w:rsidRPr="00EF7399">
        <w:rPr>
          <w:rFonts w:ascii="Times New Roman" w:hAnsi="Times New Roman" w:cs="Times New Roman"/>
          <w:lang w:val="af-ZA"/>
        </w:rPr>
        <w:t>, no. 10346/05, 7 October 2008</w:t>
      </w:r>
    </w:p>
    <w:p w14:paraId="46C0BF32" w14:textId="3D7C5BAB" w:rsidR="002265D1" w:rsidRPr="00EF7399" w:rsidRDefault="00000000" w:rsidP="006019EB">
      <w:pPr>
        <w:pStyle w:val="ECHRParaHanging"/>
        <w:rPr>
          <w:rFonts w:ascii="Times New Roman" w:hAnsi="Times New Roman" w:cs="Times New Roman"/>
          <w:lang w:val="af-ZA"/>
        </w:rPr>
      </w:pPr>
      <w:hyperlink r:id="rId716" w:history="1">
        <w:r w:rsidR="00EA4EF4" w:rsidRPr="00EF7399">
          <w:rPr>
            <w:rStyle w:val="Hyperlink"/>
            <w:rFonts w:ascii="Times New Roman" w:hAnsi="Times New Roman" w:cs="Times New Roman"/>
            <w:lang w:val="af-ZA"/>
          </w:rPr>
          <w:t>Ezelin</w:t>
        </w:r>
        <w:r w:rsidR="00873234" w:rsidRPr="00EF7399">
          <w:rPr>
            <w:rStyle w:val="Hyperlink"/>
            <w:rFonts w:ascii="Times New Roman" w:hAnsi="Times New Roman" w:cs="Times New Roman"/>
            <w:lang w:val="af-ZA"/>
          </w:rPr>
          <w:t xml:space="preserve"> v. </w:t>
        </w:r>
        <w:r w:rsidR="00EA4EF4" w:rsidRPr="00EF7399">
          <w:rPr>
            <w:rStyle w:val="Hyperlink"/>
            <w:rFonts w:ascii="Times New Roman" w:hAnsi="Times New Roman" w:cs="Times New Roman"/>
            <w:lang w:val="af-ZA"/>
          </w:rPr>
          <w:t>France</w:t>
        </w:r>
      </w:hyperlink>
      <w:r w:rsidR="00EA4EF4" w:rsidRPr="00EF7399">
        <w:rPr>
          <w:rFonts w:ascii="Times New Roman" w:hAnsi="Times New Roman" w:cs="Times New Roman"/>
          <w:lang w:val="af-ZA"/>
        </w:rPr>
        <w:t>, 26 April 1991, Series A no. 202</w:t>
      </w:r>
    </w:p>
    <w:p w14:paraId="6B73B65B" w14:textId="77777777" w:rsidR="006019EB" w:rsidRPr="00EF7399" w:rsidRDefault="006019EB" w:rsidP="006019EB">
      <w:pPr>
        <w:pStyle w:val="ECHRTitleCentre1"/>
        <w:rPr>
          <w:rFonts w:ascii="Times New Roman" w:hAnsi="Times New Roman" w:cs="Times New Roman"/>
          <w:lang w:val="af-ZA"/>
        </w:rPr>
      </w:pPr>
      <w:r w:rsidRPr="00EF7399">
        <w:rPr>
          <w:rFonts w:ascii="Times New Roman" w:hAnsi="Times New Roman" w:cs="Times New Roman"/>
          <w:lang w:val="af-ZA"/>
        </w:rPr>
        <w:t>—F—</w:t>
      </w:r>
    </w:p>
    <w:p w14:paraId="5127AF0D" w14:textId="66D5794C" w:rsidR="00EA4EF4" w:rsidRPr="00EF7399" w:rsidRDefault="00000000" w:rsidP="00AD3674">
      <w:pPr>
        <w:pStyle w:val="ECHRParaHanging"/>
        <w:rPr>
          <w:rFonts w:ascii="Times New Roman" w:hAnsi="Times New Roman" w:cs="Times New Roman"/>
          <w:lang w:val="af-ZA"/>
        </w:rPr>
      </w:pPr>
      <w:hyperlink r:id="rId717" w:history="1">
        <w:r w:rsidR="00EA4EF4" w:rsidRPr="00EF7399">
          <w:rPr>
            <w:rStyle w:val="Hyperlink"/>
            <w:rFonts w:ascii="Times New Roman" w:hAnsi="Times New Roman" w:cs="Times New Roman"/>
            <w:lang w:val="af-ZA"/>
          </w:rPr>
          <w:t>Fáber</w:t>
        </w:r>
        <w:r w:rsidR="00873234" w:rsidRPr="00EF7399">
          <w:rPr>
            <w:rStyle w:val="Hyperlink"/>
            <w:rFonts w:ascii="Times New Roman" w:hAnsi="Times New Roman" w:cs="Times New Roman"/>
            <w:lang w:val="af-ZA"/>
          </w:rPr>
          <w:t xml:space="preserve"> v. </w:t>
        </w:r>
        <w:r w:rsidR="00EA4EF4" w:rsidRPr="00EF7399">
          <w:rPr>
            <w:rStyle w:val="Hyperlink"/>
            <w:rFonts w:ascii="Times New Roman" w:hAnsi="Times New Roman" w:cs="Times New Roman"/>
            <w:lang w:val="af-ZA"/>
          </w:rPr>
          <w:t>Hungary</w:t>
        </w:r>
      </w:hyperlink>
      <w:r w:rsidR="00EA4EF4" w:rsidRPr="00EF7399">
        <w:rPr>
          <w:rFonts w:ascii="Times New Roman" w:hAnsi="Times New Roman" w:cs="Times New Roman"/>
          <w:lang w:val="af-ZA"/>
        </w:rPr>
        <w:t>, no. 40721/08, 24 July 2012</w:t>
      </w:r>
    </w:p>
    <w:p w14:paraId="7A73786F" w14:textId="269B5212" w:rsidR="00AD3674" w:rsidRPr="00EF7399" w:rsidRDefault="00000000" w:rsidP="00AD3674">
      <w:pPr>
        <w:pStyle w:val="ECHRParaHanging"/>
        <w:rPr>
          <w:rFonts w:ascii="Times New Roman" w:hAnsi="Times New Roman" w:cs="Times New Roman"/>
          <w:lang w:val="af-ZA"/>
        </w:rPr>
      </w:pPr>
      <w:hyperlink r:id="rId718" w:history="1">
        <w:r w:rsidR="00AD3674" w:rsidRPr="00EF7399">
          <w:rPr>
            <w:rStyle w:val="Hyperlink"/>
            <w:rFonts w:ascii="Times New Roman" w:hAnsi="Times New Roman" w:cs="Times New Roman"/>
            <w:lang w:val="af-ZA"/>
          </w:rPr>
          <w:t>Federation of Offshore Workers</w:t>
        </w:r>
        <w:r w:rsidR="00DF297D" w:rsidRPr="00EF7399">
          <w:rPr>
            <w:rStyle w:val="Hyperlink"/>
            <w:rFonts w:ascii="Times New Roman" w:hAnsi="Times New Roman" w:cs="Times New Roman"/>
            <w:lang w:val="af-ZA"/>
          </w:rPr>
          <w:t>’</w:t>
        </w:r>
        <w:r w:rsidR="00AD3674" w:rsidRPr="00EF7399">
          <w:rPr>
            <w:rStyle w:val="Hyperlink"/>
            <w:rFonts w:ascii="Times New Roman" w:hAnsi="Times New Roman" w:cs="Times New Roman"/>
            <w:lang w:val="af-ZA"/>
          </w:rPr>
          <w:t xml:space="preserve"> Trade Unions and Others</w:t>
        </w:r>
        <w:r w:rsidR="00873234" w:rsidRPr="00EF7399">
          <w:rPr>
            <w:rStyle w:val="Hyperlink"/>
            <w:rFonts w:ascii="Times New Roman" w:hAnsi="Times New Roman" w:cs="Times New Roman"/>
            <w:lang w:val="af-ZA"/>
          </w:rPr>
          <w:t xml:space="preserve"> v. </w:t>
        </w:r>
        <w:r w:rsidR="00AD3674" w:rsidRPr="00EF7399">
          <w:rPr>
            <w:rStyle w:val="Hyperlink"/>
            <w:rFonts w:ascii="Times New Roman" w:hAnsi="Times New Roman" w:cs="Times New Roman"/>
            <w:lang w:val="af-ZA"/>
          </w:rPr>
          <w:t>Norway</w:t>
        </w:r>
      </w:hyperlink>
      <w:r w:rsidR="00AD3674" w:rsidRPr="00EF7399">
        <w:rPr>
          <w:rFonts w:ascii="Times New Roman" w:hAnsi="Times New Roman" w:cs="Times New Roman"/>
          <w:lang w:val="af-ZA"/>
        </w:rPr>
        <w:t xml:space="preserve"> (dec.), no. 38190/97, ECHR 2002</w:t>
      </w:r>
      <w:r w:rsidR="00AD3674" w:rsidRPr="00EF7399">
        <w:rPr>
          <w:rFonts w:ascii="Times New Roman" w:hAnsi="Times New Roman" w:cs="Times New Roman"/>
          <w:lang w:val="af-ZA"/>
        </w:rPr>
        <w:noBreakHyphen/>
        <w:t>VI</w:t>
      </w:r>
    </w:p>
    <w:p w14:paraId="3AE03E0C" w14:textId="2FA840E0" w:rsidR="004145CA" w:rsidRPr="00EF7399" w:rsidRDefault="00000000" w:rsidP="001A1615">
      <w:pPr>
        <w:pStyle w:val="ECHRParaHanging"/>
        <w:rPr>
          <w:rFonts w:ascii="Times New Roman" w:hAnsi="Times New Roman" w:cs="Times New Roman"/>
          <w:lang w:val="af-ZA"/>
        </w:rPr>
      </w:pPr>
      <w:hyperlink r:id="rId719" w:history="1">
        <w:r w:rsidR="004145CA" w:rsidRPr="00EF7399">
          <w:rPr>
            <w:rStyle w:val="Hyperlink"/>
            <w:rFonts w:ascii="Times New Roman" w:hAnsi="Times New Roman" w:cs="Times New Roman"/>
            <w:lang w:val="af-ZA"/>
          </w:rPr>
          <w:t>Fedotov</w:t>
        </w:r>
        <w:r w:rsidR="00873234" w:rsidRPr="00EF7399">
          <w:rPr>
            <w:rStyle w:val="Hyperlink"/>
            <w:rFonts w:ascii="Times New Roman" w:hAnsi="Times New Roman" w:cs="Times New Roman"/>
            <w:lang w:val="af-ZA"/>
          </w:rPr>
          <w:t xml:space="preserve"> v. </w:t>
        </w:r>
        <w:r w:rsidR="004145CA" w:rsidRPr="00EF7399">
          <w:rPr>
            <w:rStyle w:val="Hyperlink"/>
            <w:rFonts w:ascii="Times New Roman" w:hAnsi="Times New Roman" w:cs="Times New Roman"/>
            <w:lang w:val="af-ZA"/>
          </w:rPr>
          <w:t>Russia</w:t>
        </w:r>
      </w:hyperlink>
      <w:r w:rsidR="004145CA" w:rsidRPr="00EF7399">
        <w:rPr>
          <w:rFonts w:ascii="Times New Roman" w:hAnsi="Times New Roman" w:cs="Times New Roman"/>
          <w:lang w:val="af-ZA"/>
        </w:rPr>
        <w:t xml:space="preserve"> (dec.), no. 5140/02, 23 November 2004</w:t>
      </w:r>
    </w:p>
    <w:p w14:paraId="47B938C9" w14:textId="64CD9E06" w:rsidR="001B04CE" w:rsidRPr="00EF7399" w:rsidRDefault="00000000" w:rsidP="001A1615">
      <w:pPr>
        <w:pStyle w:val="ECHRParaHanging"/>
        <w:rPr>
          <w:rFonts w:ascii="Times New Roman" w:hAnsi="Times New Roman" w:cs="Times New Roman"/>
          <w:lang w:val="af-ZA"/>
        </w:rPr>
      </w:pPr>
      <w:hyperlink r:id="rId720" w:history="1">
        <w:r w:rsidR="001B04CE" w:rsidRPr="00EF7399">
          <w:rPr>
            <w:rStyle w:val="Hyperlink"/>
            <w:rFonts w:ascii="Times New Roman" w:hAnsi="Times New Roman" w:cs="Times New Roman"/>
            <w:lang w:val="af-ZA"/>
          </w:rPr>
          <w:t>Forcadell i lluis</w:t>
        </w:r>
        <w:r w:rsidR="00873234" w:rsidRPr="00EF7399">
          <w:rPr>
            <w:rStyle w:val="Hyperlink"/>
            <w:rFonts w:ascii="Times New Roman" w:hAnsi="Times New Roman" w:cs="Times New Roman"/>
            <w:lang w:val="af-ZA"/>
          </w:rPr>
          <w:t xml:space="preserve"> v. </w:t>
        </w:r>
        <w:r w:rsidR="001B04CE" w:rsidRPr="00EF7399">
          <w:rPr>
            <w:rStyle w:val="Hyperlink"/>
            <w:rFonts w:ascii="Times New Roman" w:hAnsi="Times New Roman" w:cs="Times New Roman"/>
            <w:lang w:val="af-ZA"/>
          </w:rPr>
          <w:t>Spain</w:t>
        </w:r>
      </w:hyperlink>
      <w:r w:rsidR="007B5750" w:rsidRPr="00EF7399">
        <w:rPr>
          <w:rStyle w:val="sb8d990e2"/>
          <w:rFonts w:ascii="Times New Roman" w:hAnsi="Times New Roman" w:cs="Times New Roman"/>
          <w:lang w:val="af-ZA"/>
        </w:rPr>
        <w:t xml:space="preserve"> (dec.), no. 75147/17, 7 M</w:t>
      </w:r>
      <w:r w:rsidR="001B04CE" w:rsidRPr="00EF7399">
        <w:rPr>
          <w:rStyle w:val="sb8d990e2"/>
          <w:rFonts w:ascii="Times New Roman" w:hAnsi="Times New Roman" w:cs="Times New Roman"/>
          <w:lang w:val="af-ZA"/>
        </w:rPr>
        <w:t>ay 2019</w:t>
      </w:r>
    </w:p>
    <w:p w14:paraId="27C45C79" w14:textId="3F34456A" w:rsidR="00D86D48" w:rsidRPr="00EF7399" w:rsidRDefault="00000000" w:rsidP="00D86D48">
      <w:pPr>
        <w:pStyle w:val="ECHRParaHanging"/>
        <w:rPr>
          <w:rFonts w:ascii="Times New Roman" w:hAnsi="Times New Roman" w:cs="Times New Roman"/>
          <w:lang w:val="af-ZA"/>
        </w:rPr>
      </w:pPr>
      <w:hyperlink r:id="rId721" w:history="1">
        <w:r w:rsidR="00D86D48" w:rsidRPr="00EF7399">
          <w:rPr>
            <w:rStyle w:val="Hyperlink"/>
            <w:rFonts w:ascii="Times New Roman" w:hAnsi="Times New Roman" w:cs="Times New Roman"/>
            <w:lang w:val="af-ZA"/>
          </w:rPr>
          <w:t>Friend, the Countryside Alliance and others</w:t>
        </w:r>
        <w:r w:rsidR="00873234" w:rsidRPr="00EF7399">
          <w:rPr>
            <w:rStyle w:val="Hyperlink"/>
            <w:rFonts w:ascii="Times New Roman" w:hAnsi="Times New Roman" w:cs="Times New Roman"/>
            <w:lang w:val="af-ZA"/>
          </w:rPr>
          <w:t xml:space="preserve"> v. </w:t>
        </w:r>
        <w:r w:rsidR="00D86D48" w:rsidRPr="00EF7399">
          <w:rPr>
            <w:rStyle w:val="Hyperlink"/>
            <w:rFonts w:ascii="Times New Roman" w:hAnsi="Times New Roman" w:cs="Times New Roman"/>
            <w:lang w:val="af-ZA"/>
          </w:rPr>
          <w:t>the United Kingdom</w:t>
        </w:r>
      </w:hyperlink>
      <w:r w:rsidR="00D86D48" w:rsidRPr="00EF7399">
        <w:rPr>
          <w:rFonts w:ascii="Times New Roman" w:hAnsi="Times New Roman" w:cs="Times New Roman"/>
          <w:i/>
          <w:lang w:val="af-ZA"/>
        </w:rPr>
        <w:t xml:space="preserve"> </w:t>
      </w:r>
      <w:r w:rsidR="00D86D48" w:rsidRPr="00EF7399">
        <w:rPr>
          <w:rFonts w:ascii="Times New Roman" w:hAnsi="Times New Roman" w:cs="Times New Roman"/>
          <w:lang w:val="af-ZA"/>
        </w:rPr>
        <w:t>(dec.), nos. 16072/06 and 27809/08, 24 November 2009</w:t>
      </w:r>
    </w:p>
    <w:p w14:paraId="331C658D" w14:textId="5357C94D" w:rsidR="001A1615" w:rsidRPr="00EF7399" w:rsidRDefault="00000000" w:rsidP="001A1615">
      <w:pPr>
        <w:pStyle w:val="ECHRParaHanging"/>
        <w:rPr>
          <w:rFonts w:ascii="Times New Roman" w:hAnsi="Times New Roman" w:cs="Times New Roman"/>
          <w:lang w:val="af-ZA"/>
        </w:rPr>
      </w:pPr>
      <w:hyperlink r:id="rId722" w:history="1">
        <w:r w:rsidR="001A1615" w:rsidRPr="00EF7399">
          <w:rPr>
            <w:rStyle w:val="Hyperlink"/>
            <w:rFonts w:ascii="Times New Roman" w:hAnsi="Times New Roman" w:cs="Times New Roman"/>
            <w:lang w:val="af-ZA"/>
          </w:rPr>
          <w:t>Freedom and Democracy Party (ÖZDEP)</w:t>
        </w:r>
        <w:r w:rsidR="00873234" w:rsidRPr="00EF7399">
          <w:rPr>
            <w:rStyle w:val="Hyperlink"/>
            <w:rFonts w:ascii="Times New Roman" w:hAnsi="Times New Roman" w:cs="Times New Roman"/>
            <w:lang w:val="af-ZA"/>
          </w:rPr>
          <w:t xml:space="preserve"> v. </w:t>
        </w:r>
        <w:r w:rsidR="001A1615" w:rsidRPr="00EF7399">
          <w:rPr>
            <w:rStyle w:val="Hyperlink"/>
            <w:rFonts w:ascii="Times New Roman" w:hAnsi="Times New Roman" w:cs="Times New Roman"/>
            <w:lang w:val="af-ZA"/>
          </w:rPr>
          <w:t>Turkey</w:t>
        </w:r>
      </w:hyperlink>
      <w:r w:rsidR="001A1615" w:rsidRPr="00EF7399">
        <w:rPr>
          <w:rFonts w:ascii="Times New Roman" w:hAnsi="Times New Roman" w:cs="Times New Roman"/>
          <w:i/>
          <w:lang w:val="af-ZA"/>
        </w:rPr>
        <w:t xml:space="preserve"> </w:t>
      </w:r>
      <w:r w:rsidR="001A1615" w:rsidRPr="00EF7399">
        <w:rPr>
          <w:rFonts w:ascii="Times New Roman" w:hAnsi="Times New Roman" w:cs="Times New Roman"/>
          <w:lang w:val="af-ZA"/>
        </w:rPr>
        <w:t>[GC], no. 23885/94, ECHR 1999</w:t>
      </w:r>
      <w:r w:rsidR="001A1615" w:rsidRPr="00EF7399">
        <w:rPr>
          <w:rFonts w:ascii="Times New Roman" w:hAnsi="Times New Roman" w:cs="Times New Roman"/>
          <w:lang w:val="af-ZA"/>
        </w:rPr>
        <w:noBreakHyphen/>
        <w:t>VIII</w:t>
      </w:r>
    </w:p>
    <w:p w14:paraId="637092A9" w14:textId="69D267FC" w:rsidR="006019EB" w:rsidRPr="00EF7399" w:rsidRDefault="00000000" w:rsidP="00D86D48">
      <w:pPr>
        <w:pStyle w:val="ECHRParaHanging"/>
        <w:rPr>
          <w:rFonts w:ascii="Times New Roman" w:hAnsi="Times New Roman" w:cs="Times New Roman"/>
          <w:i/>
          <w:lang w:val="af-ZA"/>
        </w:rPr>
      </w:pPr>
      <w:hyperlink r:id="rId723" w:history="1">
        <w:r w:rsidR="00D86D48" w:rsidRPr="00EF7399">
          <w:rPr>
            <w:rStyle w:val="Hyperlink"/>
            <w:rFonts w:ascii="Times New Roman" w:hAnsi="Times New Roman" w:cs="Times New Roman"/>
            <w:lang w:val="af-ZA"/>
          </w:rPr>
          <w:t>Frumkin</w:t>
        </w:r>
        <w:r w:rsidR="00873234" w:rsidRPr="00EF7399">
          <w:rPr>
            <w:rStyle w:val="Hyperlink"/>
            <w:rFonts w:ascii="Times New Roman" w:hAnsi="Times New Roman" w:cs="Times New Roman"/>
            <w:lang w:val="af-ZA"/>
          </w:rPr>
          <w:t xml:space="preserve"> v. </w:t>
        </w:r>
        <w:r w:rsidR="00D86D48" w:rsidRPr="00EF7399">
          <w:rPr>
            <w:rStyle w:val="Hyperlink"/>
            <w:rFonts w:ascii="Times New Roman" w:hAnsi="Times New Roman" w:cs="Times New Roman"/>
            <w:lang w:val="af-ZA"/>
          </w:rPr>
          <w:t>Russia</w:t>
        </w:r>
      </w:hyperlink>
      <w:r w:rsidR="00D86D48" w:rsidRPr="00EF7399">
        <w:rPr>
          <w:rFonts w:ascii="Times New Roman" w:hAnsi="Times New Roman" w:cs="Times New Roman"/>
          <w:lang w:val="af-ZA"/>
        </w:rPr>
        <w:t>, no. 74568/12, 5 January 2016</w:t>
      </w:r>
    </w:p>
    <w:p w14:paraId="70B73F53" w14:textId="77777777" w:rsidR="006019EB" w:rsidRPr="00EF7399" w:rsidRDefault="006019EB" w:rsidP="006019EB">
      <w:pPr>
        <w:pStyle w:val="ECHRTitleCentre1"/>
        <w:rPr>
          <w:rFonts w:ascii="Times New Roman" w:hAnsi="Times New Roman" w:cs="Times New Roman"/>
          <w:lang w:val="af-ZA"/>
        </w:rPr>
      </w:pPr>
      <w:r w:rsidRPr="00EF7399">
        <w:rPr>
          <w:rFonts w:ascii="Times New Roman" w:hAnsi="Times New Roman" w:cs="Times New Roman"/>
          <w:lang w:val="af-ZA"/>
        </w:rPr>
        <w:t>—G—</w:t>
      </w:r>
    </w:p>
    <w:p w14:paraId="41053C80" w14:textId="47EC26A8" w:rsidR="004E5A34" w:rsidRPr="00EF7399" w:rsidRDefault="00000000" w:rsidP="004C3976">
      <w:pPr>
        <w:pStyle w:val="ECHRParaHanging"/>
        <w:rPr>
          <w:rFonts w:ascii="Times New Roman" w:hAnsi="Times New Roman" w:cs="Times New Roman"/>
          <w:lang w:val="af-ZA"/>
        </w:rPr>
      </w:pPr>
      <w:hyperlink r:id="rId724" w:history="1">
        <w:r w:rsidR="004E5A34" w:rsidRPr="00EF7399">
          <w:rPr>
            <w:rStyle w:val="Hyperlink"/>
            <w:rFonts w:ascii="Times New Roman" w:hAnsi="Times New Roman" w:cs="Times New Roman"/>
            <w:lang w:val="af-ZA"/>
          </w:rPr>
          <w:t>Gafgaz Mammadov</w:t>
        </w:r>
        <w:r w:rsidR="00873234" w:rsidRPr="00EF7399">
          <w:rPr>
            <w:rStyle w:val="Hyperlink"/>
            <w:rFonts w:ascii="Times New Roman" w:hAnsi="Times New Roman" w:cs="Times New Roman"/>
            <w:lang w:val="af-ZA"/>
          </w:rPr>
          <w:t xml:space="preserve"> v. </w:t>
        </w:r>
        <w:r w:rsidR="004E5A34" w:rsidRPr="00EF7399">
          <w:rPr>
            <w:rStyle w:val="Hyperlink"/>
            <w:rFonts w:ascii="Times New Roman" w:hAnsi="Times New Roman" w:cs="Times New Roman"/>
            <w:lang w:val="af-ZA"/>
          </w:rPr>
          <w:t>Azerbaijan</w:t>
        </w:r>
      </w:hyperlink>
      <w:r w:rsidR="004E5A34" w:rsidRPr="00EF7399">
        <w:rPr>
          <w:rFonts w:ascii="Times New Roman" w:hAnsi="Times New Roman" w:cs="Times New Roman"/>
          <w:lang w:val="af-ZA"/>
        </w:rPr>
        <w:t>, no. 60259/11, 15 October 2015</w:t>
      </w:r>
    </w:p>
    <w:p w14:paraId="00EEE354" w14:textId="4993DB64" w:rsidR="004E5A34" w:rsidRPr="00EF7399" w:rsidRDefault="00000000" w:rsidP="004C3976">
      <w:pPr>
        <w:pStyle w:val="ECHRParaHanging"/>
        <w:rPr>
          <w:rFonts w:ascii="Times New Roman" w:hAnsi="Times New Roman" w:cs="Times New Roman"/>
          <w:lang w:val="af-ZA"/>
        </w:rPr>
      </w:pPr>
      <w:hyperlink r:id="rId725" w:history="1">
        <w:r w:rsidR="004E5A34" w:rsidRPr="00EF7399">
          <w:rPr>
            <w:rStyle w:val="Hyperlink"/>
            <w:rFonts w:ascii="Times New Roman" w:hAnsi="Times New Roman" w:cs="Times New Roman"/>
            <w:lang w:val="af-ZA"/>
          </w:rPr>
          <w:t>Galstyan</w:t>
        </w:r>
        <w:r w:rsidR="00873234" w:rsidRPr="00EF7399">
          <w:rPr>
            <w:rStyle w:val="Hyperlink"/>
            <w:rFonts w:ascii="Times New Roman" w:hAnsi="Times New Roman" w:cs="Times New Roman"/>
            <w:lang w:val="af-ZA"/>
          </w:rPr>
          <w:t xml:space="preserve"> v. </w:t>
        </w:r>
        <w:r w:rsidR="004E5A34" w:rsidRPr="00EF7399">
          <w:rPr>
            <w:rStyle w:val="Hyperlink"/>
            <w:rFonts w:ascii="Times New Roman" w:hAnsi="Times New Roman" w:cs="Times New Roman"/>
            <w:lang w:val="af-ZA"/>
          </w:rPr>
          <w:t>Armenia</w:t>
        </w:r>
      </w:hyperlink>
      <w:r w:rsidR="004E5A34" w:rsidRPr="00EF7399">
        <w:rPr>
          <w:rFonts w:ascii="Times New Roman" w:hAnsi="Times New Roman" w:cs="Times New Roman"/>
          <w:lang w:val="af-ZA"/>
        </w:rPr>
        <w:t>, no. 26986/03, 15 November 2007</w:t>
      </w:r>
    </w:p>
    <w:p w14:paraId="6793C569" w14:textId="4854556F" w:rsidR="004E5A34" w:rsidRPr="00EF7399" w:rsidRDefault="00000000" w:rsidP="004E5A34">
      <w:pPr>
        <w:pStyle w:val="ECHRParaHanging"/>
        <w:rPr>
          <w:rFonts w:ascii="Times New Roman" w:hAnsi="Times New Roman" w:cs="Times New Roman"/>
          <w:lang w:val="af-ZA"/>
        </w:rPr>
      </w:pPr>
      <w:hyperlink r:id="rId726" w:history="1">
        <w:r w:rsidR="00CC2D9C" w:rsidRPr="00EF7399">
          <w:rPr>
            <w:rStyle w:val="Hyperlink"/>
            <w:rFonts w:ascii="Times New Roman" w:hAnsi="Times New Roman" w:cs="Times New Roman"/>
            <w:lang w:val="af-ZA"/>
          </w:rPr>
          <w:t>Geotech Kancev GmbH</w:t>
        </w:r>
        <w:r w:rsidR="00873234" w:rsidRPr="00EF7399">
          <w:rPr>
            <w:rStyle w:val="Hyperlink"/>
            <w:rFonts w:ascii="Times New Roman" w:hAnsi="Times New Roman" w:cs="Times New Roman"/>
            <w:lang w:val="af-ZA"/>
          </w:rPr>
          <w:t xml:space="preserve"> v. </w:t>
        </w:r>
        <w:r w:rsidR="00CC2D9C" w:rsidRPr="00EF7399">
          <w:rPr>
            <w:rStyle w:val="Hyperlink"/>
            <w:rFonts w:ascii="Times New Roman" w:hAnsi="Times New Roman" w:cs="Times New Roman"/>
            <w:lang w:val="af-ZA"/>
          </w:rPr>
          <w:t>Germany</w:t>
        </w:r>
      </w:hyperlink>
      <w:r w:rsidR="00CC2D9C" w:rsidRPr="00EF7399">
        <w:rPr>
          <w:rFonts w:ascii="Times New Roman" w:hAnsi="Times New Roman" w:cs="Times New Roman"/>
          <w:i/>
          <w:lang w:val="af-ZA"/>
        </w:rPr>
        <w:t xml:space="preserve">, </w:t>
      </w:r>
      <w:r w:rsidR="004E5A34" w:rsidRPr="00EF7399">
        <w:rPr>
          <w:rFonts w:ascii="Times New Roman" w:hAnsi="Times New Roman" w:cs="Times New Roman"/>
          <w:lang w:val="af-ZA"/>
        </w:rPr>
        <w:t>no. 23646/09, 2 June 2016</w:t>
      </w:r>
    </w:p>
    <w:p w14:paraId="2B093A51" w14:textId="665E4F73" w:rsidR="004E5A34" w:rsidRPr="00EF7399" w:rsidRDefault="00000000" w:rsidP="004C3976">
      <w:pPr>
        <w:pStyle w:val="ECHRParaHanging"/>
        <w:rPr>
          <w:rFonts w:ascii="Times New Roman" w:hAnsi="Times New Roman" w:cs="Times New Roman"/>
          <w:lang w:val="af-ZA"/>
        </w:rPr>
      </w:pPr>
      <w:hyperlink r:id="rId727" w:history="1">
        <w:r w:rsidR="004E5A34" w:rsidRPr="00EF7399">
          <w:rPr>
            <w:rStyle w:val="Hyperlink"/>
            <w:rFonts w:ascii="Times New Roman" w:hAnsi="Times New Roman" w:cs="Times New Roman"/>
            <w:lang w:val="af-ZA"/>
          </w:rPr>
          <w:t>Giuliani and Gaggio</w:t>
        </w:r>
        <w:r w:rsidR="00873234" w:rsidRPr="00EF7399">
          <w:rPr>
            <w:rStyle w:val="Hyperlink"/>
            <w:rFonts w:ascii="Times New Roman" w:hAnsi="Times New Roman" w:cs="Times New Roman"/>
            <w:lang w:val="af-ZA"/>
          </w:rPr>
          <w:t xml:space="preserve"> v. </w:t>
        </w:r>
        <w:r w:rsidR="004E5A34" w:rsidRPr="00EF7399">
          <w:rPr>
            <w:rStyle w:val="Hyperlink"/>
            <w:rFonts w:ascii="Times New Roman" w:hAnsi="Times New Roman" w:cs="Times New Roman"/>
            <w:lang w:val="af-ZA"/>
          </w:rPr>
          <w:t>Italy</w:t>
        </w:r>
      </w:hyperlink>
      <w:r w:rsidR="004E5A34" w:rsidRPr="00EF7399">
        <w:rPr>
          <w:rFonts w:ascii="Times New Roman" w:hAnsi="Times New Roman" w:cs="Times New Roman"/>
          <w:lang w:val="af-ZA"/>
        </w:rPr>
        <w:t xml:space="preserve"> [GC], no. 23458/02, ECHR 2011 (extracts)</w:t>
      </w:r>
    </w:p>
    <w:p w14:paraId="1C0F0D52" w14:textId="4B1ADD99" w:rsidR="004C3976" w:rsidRPr="00EF7399" w:rsidRDefault="00000000" w:rsidP="004C3976">
      <w:pPr>
        <w:pStyle w:val="ECHRParaHanging"/>
        <w:rPr>
          <w:rFonts w:ascii="Times New Roman" w:hAnsi="Times New Roman" w:cs="Times New Roman"/>
          <w:lang w:val="af-ZA"/>
        </w:rPr>
      </w:pPr>
      <w:hyperlink r:id="rId728" w:history="1">
        <w:r w:rsidR="004C3976" w:rsidRPr="00EF7399">
          <w:rPr>
            <w:rStyle w:val="Hyperlink"/>
            <w:rFonts w:ascii="Times New Roman" w:hAnsi="Times New Roman" w:cs="Times New Roman"/>
            <w:lang w:val="af-ZA"/>
          </w:rPr>
          <w:t>Gorzelik and Others</w:t>
        </w:r>
        <w:r w:rsidR="00873234" w:rsidRPr="00EF7399">
          <w:rPr>
            <w:rStyle w:val="Hyperlink"/>
            <w:rFonts w:ascii="Times New Roman" w:hAnsi="Times New Roman" w:cs="Times New Roman"/>
            <w:lang w:val="af-ZA"/>
          </w:rPr>
          <w:t xml:space="preserve"> v. </w:t>
        </w:r>
        <w:r w:rsidR="004C3976" w:rsidRPr="00EF7399">
          <w:rPr>
            <w:rStyle w:val="Hyperlink"/>
            <w:rFonts w:ascii="Times New Roman" w:hAnsi="Times New Roman" w:cs="Times New Roman"/>
            <w:lang w:val="af-ZA"/>
          </w:rPr>
          <w:t>Poland</w:t>
        </w:r>
      </w:hyperlink>
      <w:r w:rsidR="004C3976" w:rsidRPr="00EF7399">
        <w:rPr>
          <w:rFonts w:ascii="Times New Roman" w:hAnsi="Times New Roman" w:cs="Times New Roman"/>
          <w:i/>
          <w:lang w:val="af-ZA"/>
        </w:rPr>
        <w:t xml:space="preserve"> </w:t>
      </w:r>
      <w:r w:rsidR="004C3976" w:rsidRPr="00EF7399">
        <w:rPr>
          <w:rFonts w:ascii="Times New Roman" w:hAnsi="Times New Roman" w:cs="Times New Roman"/>
          <w:lang w:val="af-ZA"/>
        </w:rPr>
        <w:t>[GC], no. 44158/98, ECHR 2004</w:t>
      </w:r>
      <w:r w:rsidR="004C3976" w:rsidRPr="00EF7399">
        <w:rPr>
          <w:rFonts w:ascii="Times New Roman" w:hAnsi="Times New Roman" w:cs="Times New Roman"/>
          <w:lang w:val="af-ZA"/>
        </w:rPr>
        <w:noBreakHyphen/>
        <w:t>I</w:t>
      </w:r>
    </w:p>
    <w:p w14:paraId="087EB8BE" w14:textId="60B402DB" w:rsidR="004D5DB2" w:rsidRPr="00EF7399" w:rsidRDefault="00000000" w:rsidP="004C3976">
      <w:pPr>
        <w:pStyle w:val="ECHRParaHanging"/>
        <w:rPr>
          <w:rFonts w:ascii="Times New Roman" w:hAnsi="Times New Roman" w:cs="Times New Roman"/>
          <w:lang w:val="af-ZA"/>
        </w:rPr>
      </w:pPr>
      <w:hyperlink r:id="rId729" w:history="1">
        <w:r w:rsidR="004D5DB2" w:rsidRPr="00EF7399">
          <w:rPr>
            <w:rStyle w:val="Hyperlink"/>
            <w:rFonts w:ascii="Times New Roman" w:hAnsi="Times New Roman" w:cs="Times New Roman"/>
            <w:lang w:val="af-ZA"/>
          </w:rPr>
          <w:t>Grande Oriente d</w:t>
        </w:r>
        <w:r w:rsidR="00DF297D" w:rsidRPr="00EF7399">
          <w:rPr>
            <w:rStyle w:val="Hyperlink"/>
            <w:rFonts w:ascii="Times New Roman" w:hAnsi="Times New Roman" w:cs="Times New Roman"/>
            <w:lang w:val="af-ZA"/>
          </w:rPr>
          <w:t>’</w:t>
        </w:r>
        <w:r w:rsidR="004D5DB2" w:rsidRPr="00EF7399">
          <w:rPr>
            <w:rStyle w:val="Hyperlink"/>
            <w:rFonts w:ascii="Times New Roman" w:hAnsi="Times New Roman" w:cs="Times New Roman"/>
            <w:lang w:val="af-ZA"/>
          </w:rPr>
          <w:t>Italia di Palazzo Giustiniani</w:t>
        </w:r>
        <w:r w:rsidR="00873234" w:rsidRPr="00EF7399">
          <w:rPr>
            <w:rStyle w:val="Hyperlink"/>
            <w:rFonts w:ascii="Times New Roman" w:hAnsi="Times New Roman" w:cs="Times New Roman"/>
            <w:lang w:val="af-ZA"/>
          </w:rPr>
          <w:t xml:space="preserve"> v. </w:t>
        </w:r>
        <w:r w:rsidR="004D5DB2" w:rsidRPr="00EF7399">
          <w:rPr>
            <w:rStyle w:val="Hyperlink"/>
            <w:rFonts w:ascii="Times New Roman" w:hAnsi="Times New Roman" w:cs="Times New Roman"/>
            <w:lang w:val="af-ZA"/>
          </w:rPr>
          <w:t>Italy</w:t>
        </w:r>
      </w:hyperlink>
      <w:r w:rsidR="004D5DB2" w:rsidRPr="00EF7399">
        <w:rPr>
          <w:rFonts w:ascii="Times New Roman" w:hAnsi="Times New Roman" w:cs="Times New Roman"/>
          <w:lang w:val="af-ZA"/>
        </w:rPr>
        <w:t>, no. 35972/97, ECHR 2001</w:t>
      </w:r>
      <w:r w:rsidR="004D5DB2" w:rsidRPr="00EF7399">
        <w:rPr>
          <w:rFonts w:ascii="Times New Roman" w:hAnsi="Times New Roman" w:cs="Times New Roman"/>
          <w:lang w:val="af-ZA"/>
        </w:rPr>
        <w:noBreakHyphen/>
        <w:t>VIII</w:t>
      </w:r>
    </w:p>
    <w:p w14:paraId="0081FC1D" w14:textId="74DE8850" w:rsidR="00BE2121" w:rsidRPr="00EF7399" w:rsidRDefault="00000000" w:rsidP="00BE2121">
      <w:pPr>
        <w:pStyle w:val="ECHRParaHanging"/>
        <w:rPr>
          <w:rFonts w:ascii="Times New Roman" w:hAnsi="Times New Roman" w:cs="Times New Roman"/>
          <w:lang w:val="af-ZA"/>
        </w:rPr>
      </w:pPr>
      <w:hyperlink r:id="rId730" w:history="1">
        <w:r w:rsidR="00BE2121" w:rsidRPr="00EF7399">
          <w:rPr>
            <w:rStyle w:val="Hyperlink"/>
            <w:rFonts w:ascii="Times New Roman" w:hAnsi="Times New Roman" w:cs="Times New Roman"/>
            <w:lang w:val="af-ZA"/>
          </w:rPr>
          <w:t>Gülcü</w:t>
        </w:r>
        <w:r w:rsidR="00873234" w:rsidRPr="00EF7399">
          <w:rPr>
            <w:rStyle w:val="Hyperlink"/>
            <w:rFonts w:ascii="Times New Roman" w:hAnsi="Times New Roman" w:cs="Times New Roman"/>
            <w:lang w:val="af-ZA"/>
          </w:rPr>
          <w:t xml:space="preserve"> v. </w:t>
        </w:r>
        <w:r w:rsidR="00BE2121" w:rsidRPr="00EF7399">
          <w:rPr>
            <w:rStyle w:val="Hyperlink"/>
            <w:rFonts w:ascii="Times New Roman" w:hAnsi="Times New Roman" w:cs="Times New Roman"/>
            <w:lang w:val="af-ZA"/>
          </w:rPr>
          <w:t>Turkey</w:t>
        </w:r>
      </w:hyperlink>
      <w:r w:rsidR="00BE2121" w:rsidRPr="00EF7399">
        <w:rPr>
          <w:rFonts w:ascii="Times New Roman" w:hAnsi="Times New Roman" w:cs="Times New Roman"/>
          <w:lang w:val="af-ZA"/>
        </w:rPr>
        <w:t>, no. 17526/10, 19 January 2016</w:t>
      </w:r>
    </w:p>
    <w:p w14:paraId="15B182A9" w14:textId="18204F77" w:rsidR="004E5A34" w:rsidRPr="00EF7399" w:rsidRDefault="00000000" w:rsidP="004C3976">
      <w:pPr>
        <w:pStyle w:val="ECHRParaHanging"/>
        <w:rPr>
          <w:rFonts w:ascii="Times New Roman" w:hAnsi="Times New Roman" w:cs="Times New Roman"/>
          <w:lang w:val="af-ZA"/>
        </w:rPr>
      </w:pPr>
      <w:hyperlink r:id="rId731" w:history="1">
        <w:r w:rsidR="004E5A34" w:rsidRPr="00EF7399">
          <w:rPr>
            <w:rStyle w:val="Hyperlink"/>
            <w:rFonts w:ascii="Times New Roman" w:hAnsi="Times New Roman" w:cs="Times New Roman"/>
            <w:lang w:val="af-ZA"/>
          </w:rPr>
          <w:t>Güler and Uğur</w:t>
        </w:r>
        <w:r w:rsidR="00873234" w:rsidRPr="00EF7399">
          <w:rPr>
            <w:rStyle w:val="Hyperlink"/>
            <w:rFonts w:ascii="Times New Roman" w:hAnsi="Times New Roman" w:cs="Times New Roman"/>
            <w:lang w:val="af-ZA"/>
          </w:rPr>
          <w:t xml:space="preserve"> v. </w:t>
        </w:r>
        <w:r w:rsidR="004E5A34" w:rsidRPr="00EF7399">
          <w:rPr>
            <w:rStyle w:val="Hyperlink"/>
            <w:rFonts w:ascii="Times New Roman" w:hAnsi="Times New Roman" w:cs="Times New Roman"/>
            <w:lang w:val="af-ZA"/>
          </w:rPr>
          <w:t>Turkey</w:t>
        </w:r>
      </w:hyperlink>
      <w:r w:rsidR="004E5A34" w:rsidRPr="00EF7399">
        <w:rPr>
          <w:rFonts w:ascii="Times New Roman" w:hAnsi="Times New Roman" w:cs="Times New Roman"/>
          <w:lang w:val="af-ZA"/>
        </w:rPr>
        <w:t>, nos. 31706/10 and 33088/10, 2 December 2014</w:t>
      </w:r>
    </w:p>
    <w:p w14:paraId="55EE419F" w14:textId="2A953903" w:rsidR="004E5A34" w:rsidRPr="00EF7399" w:rsidRDefault="00000000" w:rsidP="004C3976">
      <w:pPr>
        <w:pStyle w:val="ECHRParaHanging"/>
        <w:rPr>
          <w:rFonts w:ascii="Times New Roman" w:hAnsi="Times New Roman" w:cs="Times New Roman"/>
          <w:lang w:val="af-ZA"/>
        </w:rPr>
      </w:pPr>
      <w:hyperlink r:id="rId732" w:history="1">
        <w:r w:rsidR="004E5A34" w:rsidRPr="00EF7399">
          <w:rPr>
            <w:rStyle w:val="Hyperlink"/>
            <w:rFonts w:ascii="Times New Roman" w:hAnsi="Times New Roman" w:cs="Times New Roman"/>
            <w:lang w:val="af-ZA"/>
          </w:rPr>
          <w:t>Gün and Others</w:t>
        </w:r>
        <w:r w:rsidR="00873234" w:rsidRPr="00EF7399">
          <w:rPr>
            <w:rStyle w:val="Hyperlink"/>
            <w:rFonts w:ascii="Times New Roman" w:hAnsi="Times New Roman" w:cs="Times New Roman"/>
            <w:lang w:val="af-ZA"/>
          </w:rPr>
          <w:t xml:space="preserve"> v. </w:t>
        </w:r>
        <w:r w:rsidR="004E5A34" w:rsidRPr="00EF7399">
          <w:rPr>
            <w:rStyle w:val="Hyperlink"/>
            <w:rFonts w:ascii="Times New Roman" w:hAnsi="Times New Roman" w:cs="Times New Roman"/>
            <w:lang w:val="af-ZA"/>
          </w:rPr>
          <w:t>Turkey</w:t>
        </w:r>
      </w:hyperlink>
      <w:r w:rsidR="004E5A34" w:rsidRPr="00EF7399">
        <w:rPr>
          <w:rFonts w:ascii="Times New Roman" w:hAnsi="Times New Roman" w:cs="Times New Roman"/>
          <w:lang w:val="af-ZA"/>
        </w:rPr>
        <w:t>, no. 8029/07, 18 June 2013</w:t>
      </w:r>
    </w:p>
    <w:p w14:paraId="305846E5" w14:textId="77777777" w:rsidR="006019EB" w:rsidRPr="00EF7399" w:rsidRDefault="006019EB" w:rsidP="006019EB">
      <w:pPr>
        <w:pStyle w:val="ECHRTitleCentre1"/>
        <w:rPr>
          <w:rFonts w:ascii="Times New Roman" w:hAnsi="Times New Roman" w:cs="Times New Roman"/>
          <w:lang w:val="af-ZA"/>
        </w:rPr>
      </w:pPr>
      <w:r w:rsidRPr="00EF7399">
        <w:rPr>
          <w:rFonts w:ascii="Times New Roman" w:hAnsi="Times New Roman" w:cs="Times New Roman"/>
          <w:lang w:val="af-ZA"/>
        </w:rPr>
        <w:t>—H—</w:t>
      </w:r>
    </w:p>
    <w:p w14:paraId="45A47DFB" w14:textId="39B8E515" w:rsidR="00C10117" w:rsidRPr="00EF7399" w:rsidRDefault="00000000" w:rsidP="00C10117">
      <w:pPr>
        <w:pStyle w:val="ECHRParaHanging"/>
        <w:rPr>
          <w:rFonts w:ascii="Times New Roman" w:hAnsi="Times New Roman" w:cs="Times New Roman"/>
          <w:lang w:val="af-ZA"/>
        </w:rPr>
      </w:pPr>
      <w:hyperlink r:id="rId733" w:history="1">
        <w:r w:rsidR="00C10117" w:rsidRPr="00EF7399">
          <w:rPr>
            <w:rStyle w:val="Hyperlink"/>
            <w:rFonts w:ascii="Times New Roman" w:hAnsi="Times New Roman" w:cs="Times New Roman"/>
            <w:lang w:val="af-ZA"/>
          </w:rPr>
          <w:t>Hakim Aydın</w:t>
        </w:r>
        <w:r w:rsidR="00873234" w:rsidRPr="00EF7399">
          <w:rPr>
            <w:rStyle w:val="Hyperlink"/>
            <w:rFonts w:ascii="Times New Roman" w:hAnsi="Times New Roman" w:cs="Times New Roman"/>
            <w:lang w:val="af-ZA"/>
          </w:rPr>
          <w:t xml:space="preserve"> v. </w:t>
        </w:r>
        <w:r w:rsidR="00C10117" w:rsidRPr="00EF7399">
          <w:rPr>
            <w:rStyle w:val="Hyperlink"/>
            <w:rFonts w:ascii="Times New Roman" w:hAnsi="Times New Roman" w:cs="Times New Roman"/>
            <w:lang w:val="af-ZA"/>
          </w:rPr>
          <w:t>Turkey</w:t>
        </w:r>
      </w:hyperlink>
      <w:r w:rsidR="00C10117" w:rsidRPr="00EF7399">
        <w:rPr>
          <w:rFonts w:ascii="Times New Roman" w:hAnsi="Times New Roman" w:cs="Times New Roman"/>
          <w:lang w:val="af-ZA"/>
        </w:rPr>
        <w:t>, no. 4048/09, 26 May 2020</w:t>
      </w:r>
    </w:p>
    <w:p w14:paraId="5281E844" w14:textId="05392AED" w:rsidR="004E5A34" w:rsidRPr="00EF7399" w:rsidRDefault="00000000" w:rsidP="006019EB">
      <w:pPr>
        <w:pStyle w:val="ECHRParaHanging"/>
        <w:rPr>
          <w:rFonts w:ascii="Times New Roman" w:hAnsi="Times New Roman" w:cs="Times New Roman"/>
          <w:iCs/>
          <w:lang w:val="af-ZA"/>
        </w:rPr>
      </w:pPr>
      <w:hyperlink r:id="rId734" w:history="1">
        <w:r w:rsidR="004E5A34" w:rsidRPr="00EF7399">
          <w:rPr>
            <w:rStyle w:val="Hyperlink"/>
            <w:rFonts w:ascii="Times New Roman" w:hAnsi="Times New Roman" w:cs="Times New Roman"/>
            <w:iCs/>
            <w:lang w:val="af-ZA"/>
          </w:rPr>
          <w:t>Hakobyan and Others</w:t>
        </w:r>
        <w:r w:rsidR="00873234" w:rsidRPr="00EF7399">
          <w:rPr>
            <w:rStyle w:val="Hyperlink"/>
            <w:rFonts w:ascii="Times New Roman" w:hAnsi="Times New Roman" w:cs="Times New Roman"/>
            <w:iCs/>
            <w:lang w:val="af-ZA"/>
          </w:rPr>
          <w:t xml:space="preserve"> v. </w:t>
        </w:r>
        <w:r w:rsidR="004E5A34" w:rsidRPr="00EF7399">
          <w:rPr>
            <w:rStyle w:val="Hyperlink"/>
            <w:rFonts w:ascii="Times New Roman" w:hAnsi="Times New Roman" w:cs="Times New Roman"/>
            <w:iCs/>
            <w:lang w:val="af-ZA"/>
          </w:rPr>
          <w:t>Armenia</w:t>
        </w:r>
      </w:hyperlink>
      <w:r w:rsidR="004E5A34" w:rsidRPr="00EF7399">
        <w:rPr>
          <w:rFonts w:ascii="Times New Roman" w:hAnsi="Times New Roman" w:cs="Times New Roman"/>
          <w:iCs/>
          <w:lang w:val="af-ZA"/>
        </w:rPr>
        <w:t>, no. 34320/04, 10 April 2012</w:t>
      </w:r>
    </w:p>
    <w:p w14:paraId="5CB849A0" w14:textId="7D3086D5" w:rsidR="0098677D" w:rsidRPr="00EF7399" w:rsidRDefault="00000000" w:rsidP="006019EB">
      <w:pPr>
        <w:pStyle w:val="ECHRParaHanging"/>
        <w:rPr>
          <w:rFonts w:ascii="Times New Roman" w:hAnsi="Times New Roman" w:cs="Times New Roman"/>
          <w:lang w:val="af-ZA"/>
        </w:rPr>
      </w:pPr>
      <w:hyperlink r:id="rId735" w:history="1">
        <w:r w:rsidR="0098677D" w:rsidRPr="00EF7399">
          <w:rPr>
            <w:rStyle w:val="Hyperlink"/>
            <w:rFonts w:ascii="Times New Roman" w:hAnsi="Times New Roman" w:cs="Times New Roman"/>
            <w:iCs/>
            <w:lang w:val="af-ZA"/>
          </w:rPr>
          <w:t>Herri Batasuna and Batasuna</w:t>
        </w:r>
        <w:r w:rsidR="00873234" w:rsidRPr="00EF7399">
          <w:rPr>
            <w:rStyle w:val="Hyperlink"/>
            <w:rFonts w:ascii="Times New Roman" w:hAnsi="Times New Roman" w:cs="Times New Roman"/>
            <w:iCs/>
            <w:lang w:val="af-ZA"/>
          </w:rPr>
          <w:t xml:space="preserve"> v. </w:t>
        </w:r>
        <w:r w:rsidR="0098677D" w:rsidRPr="00EF7399">
          <w:rPr>
            <w:rStyle w:val="Hyperlink"/>
            <w:rFonts w:ascii="Times New Roman" w:hAnsi="Times New Roman" w:cs="Times New Roman"/>
            <w:iCs/>
            <w:lang w:val="af-ZA"/>
          </w:rPr>
          <w:t>Spain</w:t>
        </w:r>
      </w:hyperlink>
      <w:r w:rsidR="0098677D" w:rsidRPr="00EF7399">
        <w:rPr>
          <w:rFonts w:ascii="Times New Roman" w:hAnsi="Times New Roman" w:cs="Times New Roman"/>
          <w:iCs/>
          <w:lang w:val="af-ZA"/>
        </w:rPr>
        <w:t>, nos. 25803/04 and 25817/04, ECHR 2009</w:t>
      </w:r>
    </w:p>
    <w:p w14:paraId="24ED5F8F" w14:textId="49B1972F" w:rsidR="00E26627" w:rsidRPr="00EF7399" w:rsidRDefault="00000000" w:rsidP="006019EB">
      <w:pPr>
        <w:pStyle w:val="ECHRParaHanging"/>
        <w:rPr>
          <w:rFonts w:ascii="Times New Roman" w:hAnsi="Times New Roman" w:cs="Times New Roman"/>
          <w:lang w:val="af-ZA"/>
        </w:rPr>
      </w:pPr>
      <w:hyperlink r:id="rId736" w:history="1">
        <w:r w:rsidR="00E26627" w:rsidRPr="00EF7399">
          <w:rPr>
            <w:rStyle w:val="Hyperlink"/>
            <w:rFonts w:ascii="Times New Roman" w:hAnsi="Times New Roman" w:cs="Times New Roman"/>
            <w:lang w:val="af-ZA"/>
          </w:rPr>
          <w:t>Herrmann</w:t>
        </w:r>
        <w:r w:rsidR="00873234" w:rsidRPr="00EF7399">
          <w:rPr>
            <w:rStyle w:val="Hyperlink"/>
            <w:rFonts w:ascii="Times New Roman" w:hAnsi="Times New Roman" w:cs="Times New Roman"/>
            <w:lang w:val="af-ZA"/>
          </w:rPr>
          <w:t xml:space="preserve"> v. </w:t>
        </w:r>
        <w:r w:rsidR="00E26627" w:rsidRPr="00EF7399">
          <w:rPr>
            <w:rStyle w:val="Hyperlink"/>
            <w:rFonts w:ascii="Times New Roman" w:hAnsi="Times New Roman" w:cs="Times New Roman"/>
            <w:lang w:val="af-ZA"/>
          </w:rPr>
          <w:t>Germany</w:t>
        </w:r>
      </w:hyperlink>
      <w:r w:rsidR="00E26627" w:rsidRPr="00EF7399">
        <w:rPr>
          <w:rFonts w:ascii="Times New Roman" w:hAnsi="Times New Roman" w:cs="Times New Roman"/>
          <w:lang w:val="af-ZA"/>
        </w:rPr>
        <w:t>, no. 9300/07, 20 January 2011</w:t>
      </w:r>
    </w:p>
    <w:p w14:paraId="4177C206" w14:textId="3D01BF04" w:rsidR="0098677D" w:rsidRPr="00EF7399" w:rsidRDefault="00000000" w:rsidP="0098677D">
      <w:pPr>
        <w:pStyle w:val="ECHRParaHanging"/>
        <w:rPr>
          <w:rFonts w:ascii="Times New Roman" w:hAnsi="Times New Roman" w:cs="Times New Roman"/>
          <w:lang w:val="af-ZA"/>
        </w:rPr>
      </w:pPr>
      <w:hyperlink r:id="rId737" w:history="1">
        <w:r w:rsidR="0098677D" w:rsidRPr="00EF7399">
          <w:rPr>
            <w:rStyle w:val="Hyperlink"/>
            <w:rFonts w:ascii="Times New Roman" w:hAnsi="Times New Roman" w:cs="Times New Roman"/>
            <w:lang w:val="af-ZA"/>
          </w:rPr>
          <w:t>Hizb ut-Tahrir and Others</w:t>
        </w:r>
        <w:r w:rsidR="00873234" w:rsidRPr="00EF7399">
          <w:rPr>
            <w:rStyle w:val="Hyperlink"/>
            <w:rFonts w:ascii="Times New Roman" w:hAnsi="Times New Roman" w:cs="Times New Roman"/>
            <w:lang w:val="af-ZA"/>
          </w:rPr>
          <w:t xml:space="preserve"> v. </w:t>
        </w:r>
        <w:r w:rsidR="0098677D" w:rsidRPr="00EF7399">
          <w:rPr>
            <w:rStyle w:val="Hyperlink"/>
            <w:rFonts w:ascii="Times New Roman" w:hAnsi="Times New Roman" w:cs="Times New Roman"/>
            <w:lang w:val="af-ZA"/>
          </w:rPr>
          <w:t>Germany</w:t>
        </w:r>
      </w:hyperlink>
      <w:r w:rsidR="0098677D" w:rsidRPr="00EF7399">
        <w:rPr>
          <w:rFonts w:ascii="Times New Roman" w:hAnsi="Times New Roman" w:cs="Times New Roman"/>
          <w:lang w:val="af-ZA"/>
        </w:rPr>
        <w:t xml:space="preserve"> (dec.), no. 31098/08, 12 June 2012</w:t>
      </w:r>
    </w:p>
    <w:p w14:paraId="154B3B7D" w14:textId="0709C73C" w:rsidR="00D3415C" w:rsidRPr="00EF7399" w:rsidRDefault="00000000" w:rsidP="0098677D">
      <w:pPr>
        <w:pStyle w:val="ECHRParaHanging"/>
        <w:rPr>
          <w:rFonts w:ascii="Times New Roman" w:hAnsi="Times New Roman" w:cs="Times New Roman"/>
          <w:lang w:val="af-ZA"/>
        </w:rPr>
      </w:pPr>
      <w:hyperlink r:id="rId738" w:history="1">
        <w:r w:rsidR="00D3415C" w:rsidRPr="00EF7399">
          <w:rPr>
            <w:rStyle w:val="Hyperlink"/>
            <w:rFonts w:ascii="Times New Roman" w:hAnsi="Times New Roman" w:cs="Times New Roman"/>
            <w:iCs/>
            <w:lang w:val="af-ZA"/>
          </w:rPr>
          <w:t>Hoppen and trade union of AB Amber Grid employees v. Lithuania</w:t>
        </w:r>
      </w:hyperlink>
      <w:r w:rsidR="0014026F" w:rsidRPr="00EF7399">
        <w:rPr>
          <w:rFonts w:ascii="Times New Roman" w:hAnsi="Times New Roman" w:cs="Times New Roman"/>
          <w:lang w:val="af-ZA"/>
        </w:rPr>
        <w:t>,</w:t>
      </w:r>
      <w:r w:rsidR="00D3415C" w:rsidRPr="00EF7399">
        <w:rPr>
          <w:rFonts w:ascii="Times New Roman" w:hAnsi="Times New Roman" w:cs="Times New Roman"/>
          <w:lang w:val="af-ZA"/>
        </w:rPr>
        <w:t xml:space="preserve"> no. 976/20, 17 January 2023</w:t>
      </w:r>
    </w:p>
    <w:p w14:paraId="2A5B2830" w14:textId="1D2D06EA" w:rsidR="002265D1" w:rsidRPr="00EF7399" w:rsidRDefault="00000000" w:rsidP="002265D1">
      <w:pPr>
        <w:pStyle w:val="ECHRParaHanging"/>
        <w:rPr>
          <w:rFonts w:ascii="Times New Roman" w:hAnsi="Times New Roman" w:cs="Times New Roman"/>
          <w:lang w:val="af-ZA"/>
        </w:rPr>
      </w:pPr>
      <w:hyperlink r:id="rId739" w:history="1">
        <w:r w:rsidR="002265D1" w:rsidRPr="00EF7399">
          <w:rPr>
            <w:rStyle w:val="Hyperlink"/>
            <w:rFonts w:ascii="Times New Roman" w:hAnsi="Times New Roman" w:cs="Times New Roman"/>
            <w:lang w:val="af-ZA"/>
          </w:rPr>
          <w:t>Hrvatski liječnički sindikat</w:t>
        </w:r>
        <w:r w:rsidR="00873234" w:rsidRPr="00EF7399">
          <w:rPr>
            <w:rStyle w:val="Hyperlink"/>
            <w:rFonts w:ascii="Times New Roman" w:hAnsi="Times New Roman" w:cs="Times New Roman"/>
            <w:lang w:val="af-ZA"/>
          </w:rPr>
          <w:t xml:space="preserve"> v. </w:t>
        </w:r>
        <w:r w:rsidR="002265D1" w:rsidRPr="00EF7399">
          <w:rPr>
            <w:rStyle w:val="Hyperlink"/>
            <w:rFonts w:ascii="Times New Roman" w:hAnsi="Times New Roman" w:cs="Times New Roman"/>
            <w:lang w:val="af-ZA"/>
          </w:rPr>
          <w:t>Croatia</w:t>
        </w:r>
      </w:hyperlink>
      <w:r w:rsidR="002265D1" w:rsidRPr="00EF7399">
        <w:rPr>
          <w:rFonts w:ascii="Times New Roman" w:hAnsi="Times New Roman" w:cs="Times New Roman"/>
          <w:lang w:val="af-ZA"/>
        </w:rPr>
        <w:t>, no. 36701/09, 27 November 2014</w:t>
      </w:r>
    </w:p>
    <w:p w14:paraId="06218246" w14:textId="636F08BC" w:rsidR="004E5A34" w:rsidRPr="00EF7399" w:rsidRDefault="00000000" w:rsidP="002265D1">
      <w:pPr>
        <w:pStyle w:val="ECHRParaHanging"/>
        <w:rPr>
          <w:rFonts w:ascii="Times New Roman" w:hAnsi="Times New Roman" w:cs="Times New Roman"/>
          <w:lang w:val="af-ZA"/>
        </w:rPr>
      </w:pPr>
      <w:hyperlink r:id="rId740" w:history="1">
        <w:r w:rsidR="004E5A34" w:rsidRPr="00EF7399">
          <w:rPr>
            <w:rStyle w:val="Hyperlink"/>
            <w:rFonts w:ascii="Times New Roman" w:hAnsi="Times New Roman" w:cs="Times New Roman"/>
            <w:lang w:val="af-ZA"/>
          </w:rPr>
          <w:t>Huseynli and Others</w:t>
        </w:r>
        <w:r w:rsidR="00873234" w:rsidRPr="00EF7399">
          <w:rPr>
            <w:rStyle w:val="Hyperlink"/>
            <w:rFonts w:ascii="Times New Roman" w:hAnsi="Times New Roman" w:cs="Times New Roman"/>
            <w:lang w:val="af-ZA"/>
          </w:rPr>
          <w:t xml:space="preserve"> v. </w:t>
        </w:r>
        <w:r w:rsidR="004E5A34" w:rsidRPr="00EF7399">
          <w:rPr>
            <w:rStyle w:val="Hyperlink"/>
            <w:rFonts w:ascii="Times New Roman" w:hAnsi="Times New Roman" w:cs="Times New Roman"/>
            <w:lang w:val="af-ZA"/>
          </w:rPr>
          <w:t>Azerbaijan</w:t>
        </w:r>
      </w:hyperlink>
      <w:r w:rsidR="004E5A34" w:rsidRPr="00EF7399">
        <w:rPr>
          <w:rFonts w:ascii="Times New Roman" w:hAnsi="Times New Roman" w:cs="Times New Roman"/>
          <w:lang w:val="af-ZA"/>
        </w:rPr>
        <w:t>, nos. 67360/11 and 2 others, 11 February 2016</w:t>
      </w:r>
    </w:p>
    <w:p w14:paraId="4E8F59D2" w14:textId="77777777" w:rsidR="006019EB" w:rsidRPr="00EF7399" w:rsidRDefault="006019EB" w:rsidP="006019EB">
      <w:pPr>
        <w:pStyle w:val="ECHRTitleCentre1"/>
        <w:rPr>
          <w:rFonts w:ascii="Times New Roman" w:hAnsi="Times New Roman" w:cs="Times New Roman"/>
          <w:lang w:val="af-ZA"/>
        </w:rPr>
      </w:pPr>
      <w:r w:rsidRPr="00EF7399">
        <w:rPr>
          <w:rFonts w:ascii="Times New Roman" w:hAnsi="Times New Roman" w:cs="Times New Roman"/>
          <w:lang w:val="af-ZA"/>
        </w:rPr>
        <w:t>—I—</w:t>
      </w:r>
    </w:p>
    <w:p w14:paraId="6C75B570" w14:textId="35AF0A4F" w:rsidR="004E5A34" w:rsidRPr="00EF7399" w:rsidRDefault="00000000" w:rsidP="005B608E">
      <w:pPr>
        <w:pStyle w:val="ECHRParaHanging"/>
        <w:rPr>
          <w:rFonts w:ascii="Times New Roman" w:hAnsi="Times New Roman" w:cs="Times New Roman"/>
          <w:lang w:val="af-ZA"/>
        </w:rPr>
      </w:pPr>
      <w:hyperlink r:id="rId741" w:history="1">
        <w:r w:rsidR="004E5A34" w:rsidRPr="00EF7399">
          <w:rPr>
            <w:rStyle w:val="Hyperlink"/>
            <w:rFonts w:ascii="Times New Roman" w:hAnsi="Times New Roman" w:cs="Times New Roman"/>
            <w:lang w:val="af-ZA"/>
          </w:rPr>
          <w:t>Ibrahimov and Others</w:t>
        </w:r>
        <w:r w:rsidR="00873234" w:rsidRPr="00EF7399">
          <w:rPr>
            <w:rStyle w:val="Hyperlink"/>
            <w:rFonts w:ascii="Times New Roman" w:hAnsi="Times New Roman" w:cs="Times New Roman"/>
            <w:lang w:val="af-ZA"/>
          </w:rPr>
          <w:t xml:space="preserve"> v. </w:t>
        </w:r>
        <w:r w:rsidR="004E5A34" w:rsidRPr="00EF7399">
          <w:rPr>
            <w:rStyle w:val="Hyperlink"/>
            <w:rFonts w:ascii="Times New Roman" w:hAnsi="Times New Roman" w:cs="Times New Roman"/>
            <w:lang w:val="af-ZA"/>
          </w:rPr>
          <w:t>Azerbaijan</w:t>
        </w:r>
      </w:hyperlink>
      <w:r w:rsidR="004E5A34" w:rsidRPr="00EF7399">
        <w:rPr>
          <w:rFonts w:ascii="Times New Roman" w:hAnsi="Times New Roman" w:cs="Times New Roman"/>
          <w:lang w:val="af-ZA"/>
        </w:rPr>
        <w:t>, nos. 69234/11 and 2 others, 11 February 2016</w:t>
      </w:r>
    </w:p>
    <w:p w14:paraId="7ABE75F5" w14:textId="172B55C3" w:rsidR="00AE19DE" w:rsidRPr="00EF7399" w:rsidRDefault="00000000" w:rsidP="005B608E">
      <w:pPr>
        <w:pStyle w:val="ECHRParaHanging"/>
        <w:rPr>
          <w:rFonts w:ascii="Times New Roman" w:hAnsi="Times New Roman" w:cs="Times New Roman"/>
          <w:lang w:val="af-ZA"/>
        </w:rPr>
      </w:pPr>
      <w:hyperlink r:id="rId742" w:history="1">
        <w:r w:rsidR="00AE19DE" w:rsidRPr="00EF7399">
          <w:rPr>
            <w:rStyle w:val="Hyperlink"/>
            <w:rFonts w:ascii="Times New Roman" w:hAnsi="Times New Roman" w:cs="Times New Roman"/>
            <w:lang w:val="af-ZA"/>
          </w:rPr>
          <w:t>Identoba and Others</w:t>
        </w:r>
        <w:r w:rsidR="00873234" w:rsidRPr="00EF7399">
          <w:rPr>
            <w:rStyle w:val="Hyperlink"/>
            <w:rFonts w:ascii="Times New Roman" w:hAnsi="Times New Roman" w:cs="Times New Roman"/>
            <w:lang w:val="af-ZA"/>
          </w:rPr>
          <w:t xml:space="preserve"> v. </w:t>
        </w:r>
        <w:r w:rsidR="00AE19DE" w:rsidRPr="00EF7399">
          <w:rPr>
            <w:rStyle w:val="Hyperlink"/>
            <w:rFonts w:ascii="Times New Roman" w:hAnsi="Times New Roman" w:cs="Times New Roman"/>
            <w:lang w:val="af-ZA"/>
          </w:rPr>
          <w:t>Georgia</w:t>
        </w:r>
      </w:hyperlink>
      <w:r w:rsidR="00AE19DE" w:rsidRPr="00EF7399">
        <w:rPr>
          <w:rFonts w:ascii="Times New Roman" w:hAnsi="Times New Roman" w:cs="Times New Roman"/>
          <w:lang w:val="af-ZA"/>
        </w:rPr>
        <w:t>, no. 73235/12, 12 May 2015</w:t>
      </w:r>
    </w:p>
    <w:p w14:paraId="77C023F9" w14:textId="7485E43E" w:rsidR="00534C9E" w:rsidRPr="00EF7399" w:rsidRDefault="00000000" w:rsidP="005B608E">
      <w:pPr>
        <w:pStyle w:val="ECHRParaHanging"/>
        <w:rPr>
          <w:rFonts w:ascii="Times New Roman" w:hAnsi="Times New Roman" w:cs="Times New Roman"/>
          <w:lang w:val="af-ZA"/>
        </w:rPr>
      </w:pPr>
      <w:hyperlink r:id="rId743" w:history="1">
        <w:r w:rsidR="00534C9E" w:rsidRPr="00EF7399">
          <w:rPr>
            <w:rStyle w:val="Hyperlink"/>
            <w:rFonts w:ascii="Times New Roman" w:hAnsi="Times New Roman" w:cs="Times New Roman"/>
            <w:lang w:val="af-ZA"/>
          </w:rPr>
          <w:t>Ignatencu and the Romanian Communist Party</w:t>
        </w:r>
        <w:r w:rsidR="00873234" w:rsidRPr="00EF7399">
          <w:rPr>
            <w:rStyle w:val="Hyperlink"/>
            <w:rFonts w:ascii="Times New Roman" w:hAnsi="Times New Roman" w:cs="Times New Roman"/>
            <w:lang w:val="af-ZA"/>
          </w:rPr>
          <w:t xml:space="preserve"> v. </w:t>
        </w:r>
        <w:r w:rsidR="00534C9E" w:rsidRPr="00EF7399">
          <w:rPr>
            <w:rStyle w:val="Hyperlink"/>
            <w:rFonts w:ascii="Times New Roman" w:hAnsi="Times New Roman" w:cs="Times New Roman"/>
            <w:lang w:val="af-ZA"/>
          </w:rPr>
          <w:t>Romania</w:t>
        </w:r>
      </w:hyperlink>
      <w:r w:rsidR="00534C9E" w:rsidRPr="00EF7399">
        <w:rPr>
          <w:rFonts w:ascii="Times New Roman" w:hAnsi="Times New Roman" w:cs="Times New Roman"/>
          <w:lang w:val="af-ZA"/>
        </w:rPr>
        <w:t xml:space="preserve">, no. 78635/13, </w:t>
      </w:r>
      <w:r w:rsidR="00FD54C8" w:rsidRPr="00EF7399">
        <w:rPr>
          <w:rFonts w:ascii="Times New Roman" w:hAnsi="Times New Roman" w:cs="Times New Roman"/>
          <w:lang w:val="af-ZA"/>
        </w:rPr>
        <w:t xml:space="preserve">5 May </w:t>
      </w:r>
      <w:r w:rsidR="00534C9E" w:rsidRPr="00EF7399">
        <w:rPr>
          <w:rFonts w:ascii="Times New Roman" w:hAnsi="Times New Roman" w:cs="Times New Roman"/>
          <w:lang w:val="af-ZA"/>
        </w:rPr>
        <w:t>2020</w:t>
      </w:r>
    </w:p>
    <w:p w14:paraId="2130FDEC" w14:textId="4F920686" w:rsidR="004E5A34" w:rsidRPr="00EF7399" w:rsidRDefault="00000000" w:rsidP="005B608E">
      <w:pPr>
        <w:pStyle w:val="ECHRParaHanging"/>
        <w:rPr>
          <w:rFonts w:ascii="Times New Roman" w:hAnsi="Times New Roman" w:cs="Times New Roman"/>
          <w:lang w:val="af-ZA"/>
        </w:rPr>
      </w:pPr>
      <w:hyperlink r:id="rId744" w:history="1">
        <w:r w:rsidR="004E5A34" w:rsidRPr="00EF7399">
          <w:rPr>
            <w:rStyle w:val="Hyperlink"/>
            <w:rFonts w:ascii="Times New Roman" w:hAnsi="Times New Roman" w:cs="Times New Roman"/>
            <w:lang w:val="af-ZA"/>
          </w:rPr>
          <w:t>İzci</w:t>
        </w:r>
        <w:r w:rsidR="00873234" w:rsidRPr="00EF7399">
          <w:rPr>
            <w:rStyle w:val="Hyperlink"/>
            <w:rFonts w:ascii="Times New Roman" w:hAnsi="Times New Roman" w:cs="Times New Roman"/>
            <w:lang w:val="af-ZA"/>
          </w:rPr>
          <w:t xml:space="preserve"> v. </w:t>
        </w:r>
        <w:r w:rsidR="004E5A34" w:rsidRPr="00EF7399">
          <w:rPr>
            <w:rStyle w:val="Hyperlink"/>
            <w:rFonts w:ascii="Times New Roman" w:hAnsi="Times New Roman" w:cs="Times New Roman"/>
            <w:lang w:val="af-ZA"/>
          </w:rPr>
          <w:t>Turkey</w:t>
        </w:r>
      </w:hyperlink>
      <w:r w:rsidR="004E5A34" w:rsidRPr="00EF7399">
        <w:rPr>
          <w:rFonts w:ascii="Times New Roman" w:hAnsi="Times New Roman" w:cs="Times New Roman"/>
          <w:lang w:val="af-ZA"/>
        </w:rPr>
        <w:t>, no. 42606/05, 23 July 2013</w:t>
      </w:r>
    </w:p>
    <w:p w14:paraId="6F8A00F3" w14:textId="30112104" w:rsidR="005B608E" w:rsidRPr="00EF7399" w:rsidRDefault="00000000" w:rsidP="005B608E">
      <w:pPr>
        <w:pStyle w:val="ECHRParaHanging"/>
        <w:rPr>
          <w:rFonts w:ascii="Times New Roman" w:hAnsi="Times New Roman" w:cs="Times New Roman"/>
          <w:lang w:val="af-ZA"/>
        </w:rPr>
      </w:pPr>
      <w:hyperlink r:id="rId745" w:history="1">
        <w:r w:rsidR="005B608E" w:rsidRPr="00EF7399">
          <w:rPr>
            <w:rStyle w:val="Hyperlink"/>
            <w:rFonts w:ascii="Times New Roman" w:hAnsi="Times New Roman" w:cs="Times New Roman"/>
            <w:lang w:val="af-ZA"/>
          </w:rPr>
          <w:t>İzzettin Doğan and Others</w:t>
        </w:r>
        <w:r w:rsidR="00873234" w:rsidRPr="00EF7399">
          <w:rPr>
            <w:rStyle w:val="Hyperlink"/>
            <w:rFonts w:ascii="Times New Roman" w:hAnsi="Times New Roman" w:cs="Times New Roman"/>
            <w:lang w:val="af-ZA"/>
          </w:rPr>
          <w:t xml:space="preserve"> v. </w:t>
        </w:r>
        <w:r w:rsidR="005B608E" w:rsidRPr="00EF7399">
          <w:rPr>
            <w:rStyle w:val="Hyperlink"/>
            <w:rFonts w:ascii="Times New Roman" w:hAnsi="Times New Roman" w:cs="Times New Roman"/>
            <w:lang w:val="af-ZA"/>
          </w:rPr>
          <w:t>Turkey</w:t>
        </w:r>
      </w:hyperlink>
      <w:r w:rsidR="005B608E" w:rsidRPr="00EF7399">
        <w:rPr>
          <w:rFonts w:ascii="Times New Roman" w:hAnsi="Times New Roman" w:cs="Times New Roman"/>
          <w:i/>
          <w:lang w:val="af-ZA"/>
        </w:rPr>
        <w:t xml:space="preserve"> </w:t>
      </w:r>
      <w:r w:rsidR="005B608E" w:rsidRPr="00EF7399">
        <w:rPr>
          <w:rFonts w:ascii="Times New Roman" w:hAnsi="Times New Roman" w:cs="Times New Roman"/>
          <w:lang w:val="af-ZA"/>
        </w:rPr>
        <w:t>[GC], no. 62649/10, ECHR 2016</w:t>
      </w:r>
    </w:p>
    <w:p w14:paraId="1C536FA7" w14:textId="77777777" w:rsidR="006019EB" w:rsidRPr="00EF7399" w:rsidRDefault="006019EB" w:rsidP="006019EB">
      <w:pPr>
        <w:pStyle w:val="ECHRTitleCentre1"/>
        <w:rPr>
          <w:rFonts w:ascii="Times New Roman" w:hAnsi="Times New Roman" w:cs="Times New Roman"/>
          <w:lang w:val="af-ZA"/>
        </w:rPr>
      </w:pPr>
      <w:r w:rsidRPr="00EF7399">
        <w:rPr>
          <w:rFonts w:ascii="Times New Roman" w:hAnsi="Times New Roman" w:cs="Times New Roman"/>
          <w:lang w:val="af-ZA"/>
        </w:rPr>
        <w:t>—J—</w:t>
      </w:r>
    </w:p>
    <w:p w14:paraId="47EF196F" w14:textId="1C2C643B" w:rsidR="005A5018" w:rsidRPr="00EF7399" w:rsidRDefault="00000000" w:rsidP="00F61B94">
      <w:pPr>
        <w:pStyle w:val="ECHRParaHanging"/>
        <w:rPr>
          <w:rFonts w:ascii="Times New Roman" w:hAnsi="Times New Roman" w:cs="Times New Roman"/>
          <w:lang w:val="af-ZA"/>
        </w:rPr>
      </w:pPr>
      <w:hyperlink r:id="rId746" w:history="1">
        <w:r w:rsidR="00A52C8F" w:rsidRPr="00EF7399">
          <w:rPr>
            <w:rStyle w:val="Hyperlink"/>
            <w:rFonts w:ascii="Times New Roman" w:hAnsi="Times New Roman" w:cs="Times New Roman"/>
            <w:lang w:val="af-ZA"/>
          </w:rPr>
          <w:t>Jafarov an</w:t>
        </w:r>
        <w:r w:rsidR="005A5018" w:rsidRPr="00EF7399">
          <w:rPr>
            <w:rStyle w:val="Hyperlink"/>
            <w:rFonts w:ascii="Times New Roman" w:hAnsi="Times New Roman" w:cs="Times New Roman"/>
            <w:lang w:val="af-ZA"/>
          </w:rPr>
          <w:t>d Others</w:t>
        </w:r>
        <w:r w:rsidR="00873234" w:rsidRPr="00EF7399">
          <w:rPr>
            <w:rStyle w:val="Hyperlink"/>
            <w:rFonts w:ascii="Times New Roman" w:hAnsi="Times New Roman" w:cs="Times New Roman"/>
            <w:lang w:val="af-ZA"/>
          </w:rPr>
          <w:t xml:space="preserve"> v. </w:t>
        </w:r>
        <w:r w:rsidR="005A5018" w:rsidRPr="00EF7399">
          <w:rPr>
            <w:rStyle w:val="Hyperlink"/>
            <w:rFonts w:ascii="Times New Roman" w:hAnsi="Times New Roman" w:cs="Times New Roman"/>
            <w:lang w:val="af-ZA"/>
          </w:rPr>
          <w:t>Azerbaijan</w:t>
        </w:r>
      </w:hyperlink>
      <w:r w:rsidR="005A5018" w:rsidRPr="00EF7399">
        <w:rPr>
          <w:rFonts w:ascii="Times New Roman" w:hAnsi="Times New Roman" w:cs="Times New Roman"/>
          <w:lang w:val="af-ZA"/>
        </w:rPr>
        <w:t>, no. 27309/14, 25 July 2019</w:t>
      </w:r>
    </w:p>
    <w:p w14:paraId="3AAF80E8" w14:textId="6E0DF3BD" w:rsidR="00F61B94" w:rsidRPr="00EF7399" w:rsidRDefault="00000000" w:rsidP="00F61B94">
      <w:pPr>
        <w:pStyle w:val="ECHRParaHanging"/>
        <w:rPr>
          <w:rFonts w:ascii="Times New Roman" w:hAnsi="Times New Roman" w:cs="Times New Roman"/>
          <w:lang w:val="af-ZA"/>
        </w:rPr>
      </w:pPr>
      <w:hyperlink r:id="rId747" w:history="1">
        <w:r w:rsidR="00F61B94" w:rsidRPr="00EF7399">
          <w:rPr>
            <w:rStyle w:val="Hyperlink"/>
            <w:rFonts w:ascii="Times New Roman" w:hAnsi="Times New Roman" w:cs="Times New Roman"/>
            <w:lang w:val="af-ZA"/>
          </w:rPr>
          <w:t>Jehovah</w:t>
        </w:r>
        <w:r w:rsidR="00DF297D" w:rsidRPr="00EF7399">
          <w:rPr>
            <w:rStyle w:val="Hyperlink"/>
            <w:rFonts w:ascii="Times New Roman" w:hAnsi="Times New Roman" w:cs="Times New Roman"/>
            <w:lang w:val="af-ZA"/>
          </w:rPr>
          <w:t>’</w:t>
        </w:r>
        <w:r w:rsidR="00F61B94" w:rsidRPr="00EF7399">
          <w:rPr>
            <w:rStyle w:val="Hyperlink"/>
            <w:rFonts w:ascii="Times New Roman" w:hAnsi="Times New Roman" w:cs="Times New Roman"/>
            <w:lang w:val="af-ZA"/>
          </w:rPr>
          <w:t>s Witnesses of Moscow and Others</w:t>
        </w:r>
        <w:r w:rsidR="00873234" w:rsidRPr="00EF7399">
          <w:rPr>
            <w:rStyle w:val="Hyperlink"/>
            <w:rFonts w:ascii="Times New Roman" w:hAnsi="Times New Roman" w:cs="Times New Roman"/>
            <w:lang w:val="af-ZA"/>
          </w:rPr>
          <w:t xml:space="preserve"> v. </w:t>
        </w:r>
        <w:r w:rsidR="00F61B94" w:rsidRPr="00EF7399">
          <w:rPr>
            <w:rStyle w:val="Hyperlink"/>
            <w:rFonts w:ascii="Times New Roman" w:hAnsi="Times New Roman" w:cs="Times New Roman"/>
            <w:lang w:val="af-ZA"/>
          </w:rPr>
          <w:t>Russia</w:t>
        </w:r>
      </w:hyperlink>
      <w:r w:rsidR="00F61B94" w:rsidRPr="00EF7399">
        <w:rPr>
          <w:rFonts w:ascii="Times New Roman" w:hAnsi="Times New Roman" w:cs="Times New Roman"/>
          <w:lang w:val="af-ZA"/>
        </w:rPr>
        <w:t>, no. 302/02, 10 June 2010</w:t>
      </w:r>
    </w:p>
    <w:p w14:paraId="79F105FD" w14:textId="284C7E5E" w:rsidR="00046F85" w:rsidRPr="00EF7399" w:rsidRDefault="00000000" w:rsidP="00F61B94">
      <w:pPr>
        <w:pStyle w:val="ECHRParaHanging"/>
        <w:rPr>
          <w:rFonts w:ascii="Times New Roman" w:hAnsi="Times New Roman" w:cs="Times New Roman"/>
          <w:iCs/>
          <w:lang w:val="af-ZA"/>
        </w:rPr>
      </w:pPr>
      <w:hyperlink r:id="rId748" w:history="1">
        <w:r w:rsidR="00046F85" w:rsidRPr="00EF7399">
          <w:rPr>
            <w:rStyle w:val="Hyperlink"/>
            <w:rFonts w:ascii="Times New Roman" w:hAnsi="Times New Roman" w:cs="Times New Roman"/>
            <w:iCs/>
            <w:lang w:val="af-ZA"/>
          </w:rPr>
          <w:t>Johansson</w:t>
        </w:r>
        <w:r w:rsidR="00873234" w:rsidRPr="00EF7399">
          <w:rPr>
            <w:rStyle w:val="Hyperlink"/>
            <w:rFonts w:ascii="Times New Roman" w:hAnsi="Times New Roman" w:cs="Times New Roman"/>
            <w:iCs/>
            <w:lang w:val="af-ZA"/>
          </w:rPr>
          <w:t xml:space="preserve"> v. </w:t>
        </w:r>
        <w:r w:rsidR="00046F85" w:rsidRPr="00EF7399">
          <w:rPr>
            <w:rStyle w:val="Hyperlink"/>
            <w:rFonts w:ascii="Times New Roman" w:hAnsi="Times New Roman" w:cs="Times New Roman"/>
            <w:iCs/>
            <w:lang w:val="af-ZA"/>
          </w:rPr>
          <w:t>Sweden</w:t>
        </w:r>
      </w:hyperlink>
      <w:r w:rsidR="00046F85" w:rsidRPr="00EF7399">
        <w:rPr>
          <w:rFonts w:ascii="Times New Roman" w:hAnsi="Times New Roman" w:cs="Times New Roman"/>
          <w:iCs/>
          <w:lang w:val="af-ZA"/>
        </w:rPr>
        <w:t>, no. 13537/88, Commission decision of 7 May 1990, D.R. 65, p. 202</w:t>
      </w:r>
    </w:p>
    <w:p w14:paraId="2E7FC694" w14:textId="1998946C" w:rsidR="00395611" w:rsidRPr="00EF7399" w:rsidRDefault="00000000" w:rsidP="00F61B94">
      <w:pPr>
        <w:pStyle w:val="ECHRParaHanging"/>
        <w:rPr>
          <w:rFonts w:ascii="Times New Roman" w:hAnsi="Times New Roman" w:cs="Times New Roman"/>
          <w:lang w:val="af-ZA"/>
        </w:rPr>
      </w:pPr>
      <w:hyperlink r:id="rId749" w:history="1">
        <w:r w:rsidR="00395611" w:rsidRPr="00EF7399">
          <w:rPr>
            <w:rStyle w:val="Hyperlink"/>
            <w:rFonts w:ascii="Times New Roman" w:hAnsi="Times New Roman" w:cs="Times New Roman"/>
            <w:iCs/>
            <w:lang w:val="af-ZA"/>
          </w:rPr>
          <w:t>Junta Rectora Del Ertzainen Nazional Elkartasuna (ER.N.E.)</w:t>
        </w:r>
        <w:r w:rsidR="00873234" w:rsidRPr="00EF7399">
          <w:rPr>
            <w:rStyle w:val="Hyperlink"/>
            <w:rFonts w:ascii="Times New Roman" w:hAnsi="Times New Roman" w:cs="Times New Roman"/>
            <w:iCs/>
            <w:lang w:val="af-ZA"/>
          </w:rPr>
          <w:t xml:space="preserve"> v. </w:t>
        </w:r>
        <w:r w:rsidR="00395611" w:rsidRPr="00EF7399">
          <w:rPr>
            <w:rStyle w:val="Hyperlink"/>
            <w:rFonts w:ascii="Times New Roman" w:hAnsi="Times New Roman" w:cs="Times New Roman"/>
            <w:iCs/>
            <w:lang w:val="af-ZA"/>
          </w:rPr>
          <w:t>Spain</w:t>
        </w:r>
      </w:hyperlink>
      <w:r w:rsidR="00395611" w:rsidRPr="00EF7399">
        <w:rPr>
          <w:rFonts w:ascii="Times New Roman" w:hAnsi="Times New Roman" w:cs="Times New Roman"/>
          <w:iCs/>
          <w:lang w:val="af-ZA"/>
        </w:rPr>
        <w:t>, no. 45892/09, 21 April 2015</w:t>
      </w:r>
    </w:p>
    <w:p w14:paraId="76F1E56B" w14:textId="77777777" w:rsidR="006019EB" w:rsidRPr="00EF7399" w:rsidRDefault="006019EB" w:rsidP="006019EB">
      <w:pPr>
        <w:pStyle w:val="ECHRTitleCentre1"/>
        <w:rPr>
          <w:rFonts w:ascii="Times New Roman" w:hAnsi="Times New Roman" w:cs="Times New Roman"/>
          <w:lang w:val="af-ZA"/>
        </w:rPr>
      </w:pPr>
      <w:r w:rsidRPr="00EF7399">
        <w:rPr>
          <w:rFonts w:ascii="Times New Roman" w:hAnsi="Times New Roman" w:cs="Times New Roman"/>
          <w:lang w:val="af-ZA"/>
        </w:rPr>
        <w:t>—K—</w:t>
      </w:r>
    </w:p>
    <w:p w14:paraId="38FB28EA" w14:textId="0D82B686" w:rsidR="0098677D" w:rsidRPr="00EF7399" w:rsidRDefault="00000000" w:rsidP="006019EB">
      <w:pPr>
        <w:pStyle w:val="ECHRParaHanging"/>
        <w:rPr>
          <w:rFonts w:ascii="Times New Roman" w:hAnsi="Times New Roman" w:cs="Times New Roman"/>
          <w:iCs/>
          <w:lang w:val="af-ZA"/>
        </w:rPr>
      </w:pPr>
      <w:hyperlink r:id="rId750" w:history="1">
        <w:r w:rsidR="0098677D" w:rsidRPr="00EF7399">
          <w:rPr>
            <w:rStyle w:val="Hyperlink"/>
            <w:rFonts w:ascii="Times New Roman" w:hAnsi="Times New Roman" w:cs="Times New Roman"/>
            <w:iCs/>
            <w:lang w:val="af-ZA"/>
          </w:rPr>
          <w:t>Kalifatstaat</w:t>
        </w:r>
        <w:r w:rsidR="00873234" w:rsidRPr="00EF7399">
          <w:rPr>
            <w:rStyle w:val="Hyperlink"/>
            <w:rFonts w:ascii="Times New Roman" w:hAnsi="Times New Roman" w:cs="Times New Roman"/>
            <w:iCs/>
            <w:lang w:val="af-ZA"/>
          </w:rPr>
          <w:t xml:space="preserve"> v. </w:t>
        </w:r>
        <w:r w:rsidR="0098677D" w:rsidRPr="00EF7399">
          <w:rPr>
            <w:rStyle w:val="Hyperlink"/>
            <w:rFonts w:ascii="Times New Roman" w:hAnsi="Times New Roman" w:cs="Times New Roman"/>
            <w:iCs/>
            <w:lang w:val="af-ZA"/>
          </w:rPr>
          <w:t>Germany</w:t>
        </w:r>
      </w:hyperlink>
      <w:r w:rsidR="0098677D" w:rsidRPr="00EF7399">
        <w:rPr>
          <w:rFonts w:ascii="Times New Roman" w:hAnsi="Times New Roman" w:cs="Times New Roman"/>
          <w:iCs/>
          <w:lang w:val="af-ZA"/>
        </w:rPr>
        <w:t xml:space="preserve"> (dec.), no. 13828/04, 11 December 2006</w:t>
      </w:r>
    </w:p>
    <w:p w14:paraId="165D7A58" w14:textId="6AA0EA80" w:rsidR="003D07F2" w:rsidRPr="00EF7399" w:rsidRDefault="00000000" w:rsidP="003D07F2">
      <w:pPr>
        <w:pStyle w:val="ECHRParaHanging"/>
        <w:rPr>
          <w:rFonts w:ascii="Times New Roman" w:hAnsi="Times New Roman" w:cs="Times New Roman"/>
          <w:iCs/>
          <w:lang w:val="af-ZA"/>
        </w:rPr>
      </w:pPr>
      <w:hyperlink r:id="rId751" w:history="1">
        <w:r w:rsidR="003D07F2" w:rsidRPr="00EF7399">
          <w:rPr>
            <w:rStyle w:val="Hyperlink"/>
            <w:rFonts w:ascii="Times New Roman" w:hAnsi="Times New Roman" w:cs="Times New Roman"/>
            <w:iCs/>
            <w:lang w:val="af-ZA"/>
          </w:rPr>
          <w:t>Karaçay</w:t>
        </w:r>
        <w:r w:rsidR="00873234" w:rsidRPr="00EF7399">
          <w:rPr>
            <w:rStyle w:val="Hyperlink"/>
            <w:rFonts w:ascii="Times New Roman" w:hAnsi="Times New Roman" w:cs="Times New Roman"/>
            <w:iCs/>
            <w:lang w:val="af-ZA"/>
          </w:rPr>
          <w:t xml:space="preserve"> v. </w:t>
        </w:r>
        <w:r w:rsidR="003D07F2" w:rsidRPr="00EF7399">
          <w:rPr>
            <w:rStyle w:val="Hyperlink"/>
            <w:rFonts w:ascii="Times New Roman" w:hAnsi="Times New Roman" w:cs="Times New Roman"/>
            <w:iCs/>
            <w:lang w:val="af-ZA"/>
          </w:rPr>
          <w:t>Turkey</w:t>
        </w:r>
      </w:hyperlink>
      <w:r w:rsidR="003D07F2" w:rsidRPr="00EF7399">
        <w:rPr>
          <w:rFonts w:ascii="Times New Roman" w:hAnsi="Times New Roman" w:cs="Times New Roman"/>
          <w:iCs/>
          <w:lang w:val="af-ZA"/>
        </w:rPr>
        <w:t>, no. 6615/03, 27 March 2007</w:t>
      </w:r>
    </w:p>
    <w:p w14:paraId="1B2B3393" w14:textId="3A5116B4" w:rsidR="00EC61FF" w:rsidRPr="00EF7399" w:rsidRDefault="00000000" w:rsidP="006019EB">
      <w:pPr>
        <w:pStyle w:val="ECHRParaHanging"/>
        <w:rPr>
          <w:rFonts w:ascii="Times New Roman" w:hAnsi="Times New Roman" w:cs="Times New Roman"/>
          <w:lang w:val="af-ZA"/>
        </w:rPr>
      </w:pPr>
      <w:hyperlink r:id="rId752" w:history="1">
        <w:r w:rsidR="00EC61FF" w:rsidRPr="00EF7399">
          <w:rPr>
            <w:rStyle w:val="Hyperlink"/>
            <w:rFonts w:ascii="Times New Roman" w:hAnsi="Times New Roman" w:cs="Times New Roman"/>
            <w:lang w:val="af-ZA"/>
          </w:rPr>
          <w:t>Karakurt</w:t>
        </w:r>
        <w:r w:rsidR="00873234" w:rsidRPr="00EF7399">
          <w:rPr>
            <w:rStyle w:val="Hyperlink"/>
            <w:rFonts w:ascii="Times New Roman" w:hAnsi="Times New Roman" w:cs="Times New Roman"/>
            <w:lang w:val="af-ZA"/>
          </w:rPr>
          <w:t xml:space="preserve"> v. </w:t>
        </w:r>
        <w:r w:rsidR="00EC61FF" w:rsidRPr="00EF7399">
          <w:rPr>
            <w:rStyle w:val="Hyperlink"/>
            <w:rFonts w:ascii="Times New Roman" w:hAnsi="Times New Roman" w:cs="Times New Roman"/>
            <w:lang w:val="af-ZA"/>
          </w:rPr>
          <w:t>Austria</w:t>
        </w:r>
      </w:hyperlink>
      <w:r w:rsidR="00EC61FF" w:rsidRPr="00EF7399">
        <w:rPr>
          <w:rFonts w:ascii="Times New Roman" w:hAnsi="Times New Roman" w:cs="Times New Roman"/>
          <w:lang w:val="af-ZA"/>
        </w:rPr>
        <w:t xml:space="preserve"> (dec.), no. 32441/96, 14 September 1999</w:t>
      </w:r>
    </w:p>
    <w:p w14:paraId="63664B51" w14:textId="53E0C7F0" w:rsidR="00BE2121" w:rsidRPr="00EF7399" w:rsidRDefault="00000000" w:rsidP="00BE2121">
      <w:pPr>
        <w:pStyle w:val="ECHRParaHanging"/>
        <w:rPr>
          <w:rFonts w:ascii="Times New Roman" w:hAnsi="Times New Roman" w:cs="Times New Roman"/>
          <w:lang w:val="af-ZA"/>
        </w:rPr>
      </w:pPr>
      <w:hyperlink r:id="rId753" w:history="1">
        <w:r w:rsidR="00BE2121" w:rsidRPr="00EF7399">
          <w:rPr>
            <w:rStyle w:val="Hyperlink"/>
            <w:rFonts w:ascii="Times New Roman" w:hAnsi="Times New Roman" w:cs="Times New Roman"/>
            <w:lang w:val="af-ZA"/>
          </w:rPr>
          <w:t>Kasparov and Others</w:t>
        </w:r>
        <w:r w:rsidR="00873234" w:rsidRPr="00EF7399">
          <w:rPr>
            <w:rStyle w:val="Hyperlink"/>
            <w:rFonts w:ascii="Times New Roman" w:hAnsi="Times New Roman" w:cs="Times New Roman"/>
            <w:lang w:val="af-ZA"/>
          </w:rPr>
          <w:t xml:space="preserve"> v. </w:t>
        </w:r>
        <w:r w:rsidR="00BE2121" w:rsidRPr="00EF7399">
          <w:rPr>
            <w:rStyle w:val="Hyperlink"/>
            <w:rFonts w:ascii="Times New Roman" w:hAnsi="Times New Roman" w:cs="Times New Roman"/>
            <w:lang w:val="af-ZA"/>
          </w:rPr>
          <w:t>Russia</w:t>
        </w:r>
      </w:hyperlink>
      <w:r w:rsidR="00BE2121" w:rsidRPr="00EF7399">
        <w:rPr>
          <w:rFonts w:ascii="Times New Roman" w:hAnsi="Times New Roman" w:cs="Times New Roman"/>
          <w:lang w:val="af-ZA"/>
        </w:rPr>
        <w:t>, no. 21613/07, 3 October 2013</w:t>
      </w:r>
    </w:p>
    <w:p w14:paraId="4D63410E" w14:textId="71632624" w:rsidR="005853D9" w:rsidRDefault="00000000" w:rsidP="005853D9">
      <w:pPr>
        <w:pStyle w:val="ECHRParaHanging"/>
        <w:rPr>
          <w:rFonts w:ascii="Times New Roman" w:hAnsi="Times New Roman" w:cs="Times New Roman"/>
          <w:lang w:val="af-ZA"/>
        </w:rPr>
      </w:pPr>
      <w:hyperlink r:id="rId754" w:history="1">
        <w:r w:rsidR="005853D9" w:rsidRPr="00EF7399">
          <w:rPr>
            <w:rStyle w:val="Hyperlink"/>
            <w:rFonts w:ascii="Times New Roman" w:hAnsi="Times New Roman" w:cs="Times New Roman"/>
            <w:lang w:val="af-ZA"/>
          </w:rPr>
          <w:t>Kasparov</w:t>
        </w:r>
        <w:r w:rsidR="00873234" w:rsidRPr="00EF7399">
          <w:rPr>
            <w:rStyle w:val="Hyperlink"/>
            <w:rFonts w:ascii="Times New Roman" w:hAnsi="Times New Roman" w:cs="Times New Roman"/>
            <w:lang w:val="af-ZA"/>
          </w:rPr>
          <w:t xml:space="preserve"> v. </w:t>
        </w:r>
        <w:r w:rsidR="005853D9" w:rsidRPr="00EF7399">
          <w:rPr>
            <w:rStyle w:val="Hyperlink"/>
            <w:rFonts w:ascii="Times New Roman" w:hAnsi="Times New Roman" w:cs="Times New Roman"/>
            <w:lang w:val="af-ZA"/>
          </w:rPr>
          <w:t>Russia</w:t>
        </w:r>
      </w:hyperlink>
      <w:r w:rsidR="005853D9" w:rsidRPr="00EF7399">
        <w:rPr>
          <w:rFonts w:ascii="Times New Roman" w:hAnsi="Times New Roman" w:cs="Times New Roman"/>
          <w:lang w:val="af-ZA"/>
        </w:rPr>
        <w:t>, no. 53659/07, 11 October 2016</w:t>
      </w:r>
    </w:p>
    <w:p w14:paraId="32AF9D29" w14:textId="77777777" w:rsidR="003F385B" w:rsidRDefault="00000000" w:rsidP="003F385B">
      <w:pPr>
        <w:pStyle w:val="ECHRParaHanging"/>
        <w:rPr>
          <w:rFonts w:ascii="Times New Roman" w:hAnsi="Times New Roman" w:cs="Times New Roman"/>
          <w:lang w:val="hy-AM"/>
        </w:rPr>
      </w:pPr>
      <w:hyperlink r:id="rId755" w:history="1">
        <w:r w:rsidR="003F385B" w:rsidRPr="00AE3D02">
          <w:rPr>
            <w:rStyle w:val="Hyperlink"/>
            <w:rFonts w:ascii="Times New Roman" w:hAnsi="Times New Roman" w:cs="Times New Roman"/>
            <w:lang w:val="af-ZA"/>
          </w:rPr>
          <w:t>Kaymak and Others v. Türkiye</w:t>
        </w:r>
      </w:hyperlink>
      <w:r w:rsidR="003F385B" w:rsidRPr="00AE3D02">
        <w:rPr>
          <w:rFonts w:ascii="Times New Roman" w:hAnsi="Times New Roman" w:cs="Times New Roman"/>
          <w:lang w:val="af-ZA"/>
        </w:rPr>
        <w:t>, no. 62239/12, 20 June 2023</w:t>
      </w:r>
    </w:p>
    <w:p w14:paraId="0F098677" w14:textId="122895A2" w:rsidR="003F385B" w:rsidRPr="003F385B" w:rsidRDefault="00000000" w:rsidP="003F385B">
      <w:pPr>
        <w:pStyle w:val="ECHRParaHanging"/>
        <w:rPr>
          <w:rFonts w:ascii="Times New Roman" w:hAnsi="Times New Roman" w:cs="Times New Roman"/>
          <w:lang w:val="hy-AM"/>
        </w:rPr>
      </w:pPr>
      <w:hyperlink r:id="rId756" w:history="1">
        <w:r w:rsidR="003F385B" w:rsidRPr="00AE3D02">
          <w:rPr>
            <w:rStyle w:val="Hyperlink"/>
            <w:rFonts w:ascii="Times New Roman" w:hAnsi="Times New Roman" w:cs="Times New Roman"/>
            <w:lang w:val="hy-AM"/>
          </w:rPr>
          <w:t>Kazan v. Türkiye</w:t>
        </w:r>
      </w:hyperlink>
      <w:r w:rsidR="003F385B" w:rsidRPr="00AE3D02">
        <w:rPr>
          <w:rFonts w:ascii="Times New Roman" w:hAnsi="Times New Roman" w:cs="Times New Roman"/>
          <w:iCs/>
          <w:lang w:val="hy-AM"/>
        </w:rPr>
        <w:t>, no. 58262/10, 6 June 2023</w:t>
      </w:r>
    </w:p>
    <w:p w14:paraId="6664561D" w14:textId="03BB18C3" w:rsidR="00580670" w:rsidRPr="00EF7399" w:rsidRDefault="00000000" w:rsidP="00BE2121">
      <w:pPr>
        <w:pStyle w:val="ECHRParaHanging"/>
        <w:rPr>
          <w:rFonts w:ascii="Times New Roman" w:hAnsi="Times New Roman" w:cs="Times New Roman"/>
          <w:lang w:val="af-ZA"/>
        </w:rPr>
      </w:pPr>
      <w:hyperlink r:id="rId757" w:history="1">
        <w:r w:rsidR="00580670" w:rsidRPr="00EF7399">
          <w:rPr>
            <w:rStyle w:val="Hyperlink"/>
            <w:rFonts w:ascii="Times New Roman" w:hAnsi="Times New Roman" w:cs="Times New Roman"/>
            <w:lang w:val="af-ZA"/>
          </w:rPr>
          <w:t>Kemal Çetin</w:t>
        </w:r>
        <w:r w:rsidR="00873234" w:rsidRPr="00EF7399">
          <w:rPr>
            <w:rStyle w:val="Hyperlink"/>
            <w:rFonts w:ascii="Times New Roman" w:hAnsi="Times New Roman" w:cs="Times New Roman"/>
            <w:lang w:val="af-ZA"/>
          </w:rPr>
          <w:t xml:space="preserve"> v. </w:t>
        </w:r>
        <w:r w:rsidR="00580670" w:rsidRPr="00EF7399">
          <w:rPr>
            <w:rStyle w:val="Hyperlink"/>
            <w:rFonts w:ascii="Times New Roman" w:hAnsi="Times New Roman" w:cs="Times New Roman"/>
            <w:lang w:val="af-ZA"/>
          </w:rPr>
          <w:t>Turkey</w:t>
        </w:r>
      </w:hyperlink>
      <w:r w:rsidR="00580670" w:rsidRPr="00EF7399">
        <w:rPr>
          <w:rFonts w:ascii="Times New Roman" w:hAnsi="Times New Roman" w:cs="Times New Roman"/>
          <w:lang w:val="af-ZA"/>
        </w:rPr>
        <w:t>, no. 3704/13, 26 May 2020</w:t>
      </w:r>
    </w:p>
    <w:p w14:paraId="324881C2" w14:textId="3BB190AF" w:rsidR="00F02FCE" w:rsidRPr="00EF7399" w:rsidRDefault="00000000" w:rsidP="006019EB">
      <w:pPr>
        <w:pStyle w:val="ECHRParaHanging"/>
        <w:rPr>
          <w:rFonts w:ascii="Times New Roman" w:hAnsi="Times New Roman" w:cs="Times New Roman"/>
          <w:lang w:val="af-ZA"/>
        </w:rPr>
      </w:pPr>
      <w:hyperlink r:id="rId758" w:history="1">
        <w:r w:rsidR="00F02FCE" w:rsidRPr="00EF7399">
          <w:rPr>
            <w:rStyle w:val="Hyperlink"/>
            <w:rFonts w:ascii="Times New Roman" w:hAnsi="Times New Roman" w:cs="Times New Roman"/>
            <w:lang w:val="af-ZA"/>
          </w:rPr>
          <w:t>Koretskyy and Others</w:t>
        </w:r>
        <w:r w:rsidR="00873234" w:rsidRPr="00EF7399">
          <w:rPr>
            <w:rStyle w:val="Hyperlink"/>
            <w:rFonts w:ascii="Times New Roman" w:hAnsi="Times New Roman" w:cs="Times New Roman"/>
            <w:lang w:val="af-ZA"/>
          </w:rPr>
          <w:t xml:space="preserve"> v. </w:t>
        </w:r>
        <w:r w:rsidR="00F02FCE" w:rsidRPr="00EF7399">
          <w:rPr>
            <w:rStyle w:val="Hyperlink"/>
            <w:rFonts w:ascii="Times New Roman" w:hAnsi="Times New Roman" w:cs="Times New Roman"/>
            <w:lang w:val="af-ZA"/>
          </w:rPr>
          <w:t>Ukraine</w:t>
        </w:r>
      </w:hyperlink>
      <w:r w:rsidR="00F02FCE" w:rsidRPr="00EF7399">
        <w:rPr>
          <w:rFonts w:ascii="Times New Roman" w:hAnsi="Times New Roman" w:cs="Times New Roman"/>
          <w:lang w:val="af-ZA"/>
        </w:rPr>
        <w:t>, no. 40269/02, 3 April 2008</w:t>
      </w:r>
    </w:p>
    <w:p w14:paraId="22A6C68C" w14:textId="26086AFC" w:rsidR="006019EB" w:rsidRPr="00EF7399" w:rsidRDefault="00000000" w:rsidP="006019EB">
      <w:pPr>
        <w:pStyle w:val="ECHRParaHanging"/>
        <w:rPr>
          <w:rFonts w:ascii="Times New Roman" w:hAnsi="Times New Roman" w:cs="Times New Roman"/>
          <w:lang w:val="af-ZA"/>
        </w:rPr>
      </w:pPr>
      <w:hyperlink r:id="rId759" w:history="1">
        <w:r w:rsidR="00AC7690" w:rsidRPr="00EF7399">
          <w:rPr>
            <w:rStyle w:val="Hyperlink"/>
            <w:rFonts w:ascii="Times New Roman" w:hAnsi="Times New Roman" w:cs="Times New Roman"/>
            <w:lang w:val="af-ZA"/>
          </w:rPr>
          <w:t>Köll</w:t>
        </w:r>
        <w:r w:rsidR="00873234" w:rsidRPr="00EF7399">
          <w:rPr>
            <w:rStyle w:val="Hyperlink"/>
            <w:rFonts w:ascii="Times New Roman" w:hAnsi="Times New Roman" w:cs="Times New Roman"/>
            <w:lang w:val="af-ZA"/>
          </w:rPr>
          <w:t xml:space="preserve"> v. </w:t>
        </w:r>
        <w:r w:rsidR="00AC7690" w:rsidRPr="00EF7399">
          <w:rPr>
            <w:rStyle w:val="Hyperlink"/>
            <w:rFonts w:ascii="Times New Roman" w:hAnsi="Times New Roman" w:cs="Times New Roman"/>
            <w:lang w:val="af-ZA"/>
          </w:rPr>
          <w:t>Austria</w:t>
        </w:r>
      </w:hyperlink>
      <w:r w:rsidR="00AC7690" w:rsidRPr="00EF7399">
        <w:rPr>
          <w:rFonts w:ascii="Times New Roman" w:hAnsi="Times New Roman" w:cs="Times New Roman"/>
          <w:lang w:val="af-ZA"/>
        </w:rPr>
        <w:t xml:space="preserve"> (dec.), no. 43311/98, 4 July 2002</w:t>
      </w:r>
    </w:p>
    <w:p w14:paraId="731B9EE1" w14:textId="2BFCFE1F" w:rsidR="00C5605A" w:rsidRPr="00EF7399" w:rsidRDefault="00000000" w:rsidP="006019EB">
      <w:pPr>
        <w:pStyle w:val="ECHRParaHanging"/>
        <w:rPr>
          <w:rFonts w:ascii="Times New Roman" w:hAnsi="Times New Roman" w:cs="Times New Roman"/>
          <w:lang w:val="af-ZA"/>
        </w:rPr>
      </w:pPr>
      <w:hyperlink r:id="rId760" w:history="1">
        <w:r w:rsidR="00C5605A" w:rsidRPr="00EF7399">
          <w:rPr>
            <w:rStyle w:val="Hyperlink"/>
            <w:rFonts w:ascii="Times New Roman" w:hAnsi="Times New Roman" w:cs="Times New Roman"/>
            <w:lang w:val="af-ZA"/>
          </w:rPr>
          <w:t>Körtvélyessy</w:t>
        </w:r>
        <w:r w:rsidR="00873234" w:rsidRPr="00EF7399">
          <w:rPr>
            <w:rStyle w:val="Hyperlink"/>
            <w:rFonts w:ascii="Times New Roman" w:hAnsi="Times New Roman" w:cs="Times New Roman"/>
            <w:lang w:val="af-ZA"/>
          </w:rPr>
          <w:t xml:space="preserve"> v. </w:t>
        </w:r>
        <w:r w:rsidR="00C5605A" w:rsidRPr="00EF7399">
          <w:rPr>
            <w:rStyle w:val="Hyperlink"/>
            <w:rFonts w:ascii="Times New Roman" w:hAnsi="Times New Roman" w:cs="Times New Roman"/>
            <w:lang w:val="af-ZA"/>
          </w:rPr>
          <w:t>Hungary</w:t>
        </w:r>
      </w:hyperlink>
      <w:r w:rsidR="00C5605A" w:rsidRPr="00EF7399">
        <w:rPr>
          <w:rFonts w:ascii="Times New Roman" w:hAnsi="Times New Roman" w:cs="Times New Roman"/>
          <w:lang w:val="af-ZA"/>
        </w:rPr>
        <w:t>, no. 7871/10</w:t>
      </w:r>
      <w:r w:rsidR="00C5605A" w:rsidRPr="00EF7399">
        <w:rPr>
          <w:rFonts w:ascii="Times New Roman" w:hAnsi="Times New Roman" w:cs="Times New Roman"/>
          <w:snapToGrid w:val="0"/>
          <w:lang w:val="af-ZA"/>
        </w:rPr>
        <w:t xml:space="preserve">, 5 </w:t>
      </w:r>
      <w:r w:rsidR="00C5605A" w:rsidRPr="00EF7399">
        <w:rPr>
          <w:rFonts w:ascii="Times New Roman" w:hAnsi="Times New Roman" w:cs="Times New Roman"/>
          <w:lang w:val="af-ZA"/>
        </w:rPr>
        <w:t>April</w:t>
      </w:r>
      <w:r w:rsidR="00C5605A" w:rsidRPr="00EF7399">
        <w:rPr>
          <w:rFonts w:ascii="Times New Roman" w:hAnsi="Times New Roman" w:cs="Times New Roman"/>
          <w:snapToGrid w:val="0"/>
          <w:lang w:val="af-ZA"/>
        </w:rPr>
        <w:t xml:space="preserve"> 2016</w:t>
      </w:r>
    </w:p>
    <w:p w14:paraId="05AB1C85" w14:textId="23ADA40F" w:rsidR="004E5A34" w:rsidRPr="00EF7399" w:rsidRDefault="00000000" w:rsidP="006019EB">
      <w:pPr>
        <w:pStyle w:val="ECHRParaHanging"/>
        <w:rPr>
          <w:rFonts w:ascii="Times New Roman" w:hAnsi="Times New Roman" w:cs="Times New Roman"/>
          <w:lang w:val="af-ZA"/>
        </w:rPr>
      </w:pPr>
      <w:hyperlink r:id="rId761" w:history="1">
        <w:r w:rsidR="004E5A34" w:rsidRPr="00EF7399">
          <w:rPr>
            <w:rStyle w:val="Hyperlink"/>
            <w:rFonts w:ascii="Times New Roman" w:hAnsi="Times New Roman" w:cs="Times New Roman"/>
            <w:lang w:val="af-ZA"/>
          </w:rPr>
          <w:t>Krupko and Others</w:t>
        </w:r>
        <w:r w:rsidR="00873234" w:rsidRPr="00EF7399">
          <w:rPr>
            <w:rStyle w:val="Hyperlink"/>
            <w:rFonts w:ascii="Times New Roman" w:hAnsi="Times New Roman" w:cs="Times New Roman"/>
            <w:lang w:val="af-ZA"/>
          </w:rPr>
          <w:t xml:space="preserve"> v. </w:t>
        </w:r>
        <w:r w:rsidR="004E5A34" w:rsidRPr="00EF7399">
          <w:rPr>
            <w:rStyle w:val="Hyperlink"/>
            <w:rFonts w:ascii="Times New Roman" w:hAnsi="Times New Roman" w:cs="Times New Roman"/>
            <w:lang w:val="af-ZA"/>
          </w:rPr>
          <w:t>Russia</w:t>
        </w:r>
      </w:hyperlink>
      <w:r w:rsidR="004E5A34" w:rsidRPr="00EF7399">
        <w:rPr>
          <w:rFonts w:ascii="Times New Roman" w:hAnsi="Times New Roman" w:cs="Times New Roman"/>
          <w:lang w:val="af-ZA"/>
        </w:rPr>
        <w:t>, no. 26587/07, 26 June 2014</w:t>
      </w:r>
    </w:p>
    <w:p w14:paraId="1071DAAF" w14:textId="577BA126" w:rsidR="0014001A" w:rsidRPr="00EF7399" w:rsidRDefault="00000000" w:rsidP="0014001A">
      <w:pPr>
        <w:pStyle w:val="ECHRParaHanging"/>
        <w:rPr>
          <w:rFonts w:ascii="Times New Roman" w:hAnsi="Times New Roman" w:cs="Times New Roman"/>
          <w:lang w:val="af-ZA"/>
        </w:rPr>
      </w:pPr>
      <w:hyperlink r:id="rId762" w:history="1">
        <w:r w:rsidR="004E5A34" w:rsidRPr="00EF7399">
          <w:rPr>
            <w:rStyle w:val="Hyperlink"/>
            <w:rFonts w:ascii="Times New Roman" w:hAnsi="Times New Roman" w:cs="Times New Roman"/>
            <w:lang w:val="af-ZA"/>
          </w:rPr>
          <w:t>Kudrevičius and Others</w:t>
        </w:r>
        <w:r w:rsidR="00873234" w:rsidRPr="00EF7399">
          <w:rPr>
            <w:rStyle w:val="Hyperlink"/>
            <w:rFonts w:ascii="Times New Roman" w:hAnsi="Times New Roman" w:cs="Times New Roman"/>
            <w:lang w:val="af-ZA"/>
          </w:rPr>
          <w:t xml:space="preserve"> v. </w:t>
        </w:r>
        <w:r w:rsidR="004E5A34" w:rsidRPr="00EF7399">
          <w:rPr>
            <w:rStyle w:val="Hyperlink"/>
            <w:rFonts w:ascii="Times New Roman" w:hAnsi="Times New Roman" w:cs="Times New Roman"/>
            <w:lang w:val="af-ZA"/>
          </w:rPr>
          <w:t>Lithuania</w:t>
        </w:r>
      </w:hyperlink>
      <w:r w:rsidR="004E5A34" w:rsidRPr="00EF7399">
        <w:rPr>
          <w:rFonts w:ascii="Times New Roman" w:hAnsi="Times New Roman" w:cs="Times New Roman"/>
          <w:lang w:val="af-ZA"/>
        </w:rPr>
        <w:t xml:space="preserve"> [GC], no. 37553/05, </w:t>
      </w:r>
      <w:r w:rsidR="0014001A" w:rsidRPr="00EF7399">
        <w:rPr>
          <w:rFonts w:ascii="Times New Roman" w:hAnsi="Times New Roman" w:cs="Times New Roman"/>
          <w:lang w:val="af-ZA"/>
        </w:rPr>
        <w:t>ECHR 2015</w:t>
      </w:r>
    </w:p>
    <w:p w14:paraId="7ADF202C" w14:textId="3CE21682" w:rsidR="004E5A34" w:rsidRPr="00EF7399" w:rsidRDefault="00000000" w:rsidP="006019EB">
      <w:pPr>
        <w:pStyle w:val="ECHRParaHanging"/>
        <w:rPr>
          <w:rFonts w:ascii="Times New Roman" w:hAnsi="Times New Roman" w:cs="Times New Roman"/>
          <w:lang w:val="af-ZA"/>
        </w:rPr>
      </w:pPr>
      <w:hyperlink r:id="rId763" w:history="1">
        <w:r w:rsidR="004E5A34" w:rsidRPr="00EF7399">
          <w:rPr>
            <w:rStyle w:val="Hyperlink"/>
            <w:rFonts w:ascii="Times New Roman" w:hAnsi="Times New Roman" w:cs="Times New Roman"/>
            <w:lang w:val="af-ZA"/>
          </w:rPr>
          <w:t>Kuznetsov and Others</w:t>
        </w:r>
        <w:r w:rsidR="00873234" w:rsidRPr="00EF7399">
          <w:rPr>
            <w:rStyle w:val="Hyperlink"/>
            <w:rFonts w:ascii="Times New Roman" w:hAnsi="Times New Roman" w:cs="Times New Roman"/>
            <w:lang w:val="af-ZA"/>
          </w:rPr>
          <w:t xml:space="preserve"> v. </w:t>
        </w:r>
        <w:r w:rsidR="004E5A34" w:rsidRPr="00EF7399">
          <w:rPr>
            <w:rStyle w:val="Hyperlink"/>
            <w:rFonts w:ascii="Times New Roman" w:hAnsi="Times New Roman" w:cs="Times New Roman"/>
            <w:lang w:val="af-ZA"/>
          </w:rPr>
          <w:t>Russia</w:t>
        </w:r>
      </w:hyperlink>
      <w:r w:rsidR="004E5A34" w:rsidRPr="00EF7399">
        <w:rPr>
          <w:rFonts w:ascii="Times New Roman" w:hAnsi="Times New Roman" w:cs="Times New Roman"/>
          <w:lang w:val="af-ZA"/>
        </w:rPr>
        <w:t>, no. 184/02, 11 January 2007</w:t>
      </w:r>
    </w:p>
    <w:p w14:paraId="5CE22574" w14:textId="48863BB0" w:rsidR="00B04B2E" w:rsidRPr="00EF7399" w:rsidRDefault="00000000" w:rsidP="006019EB">
      <w:pPr>
        <w:pStyle w:val="ECHRParaHanging"/>
        <w:rPr>
          <w:rFonts w:ascii="Times New Roman" w:hAnsi="Times New Roman" w:cs="Times New Roman"/>
          <w:lang w:val="af-ZA"/>
        </w:rPr>
      </w:pPr>
      <w:hyperlink r:id="rId764" w:history="1">
        <w:r w:rsidR="00D965BC" w:rsidRPr="00EF7399">
          <w:rPr>
            <w:rStyle w:val="Hyperlink"/>
            <w:rFonts w:ascii="Times New Roman" w:hAnsi="Times New Roman" w:cs="Times New Roman"/>
            <w:lang w:val="af-ZA"/>
          </w:rPr>
          <w:t>Kimlya and Others</w:t>
        </w:r>
        <w:r w:rsidR="00873234" w:rsidRPr="00EF7399">
          <w:rPr>
            <w:rStyle w:val="Hyperlink"/>
            <w:rFonts w:ascii="Times New Roman" w:hAnsi="Times New Roman" w:cs="Times New Roman"/>
            <w:lang w:val="af-ZA"/>
          </w:rPr>
          <w:t xml:space="preserve"> v. </w:t>
        </w:r>
        <w:r w:rsidR="00D965BC" w:rsidRPr="00EF7399">
          <w:rPr>
            <w:rStyle w:val="Hyperlink"/>
            <w:rFonts w:ascii="Times New Roman" w:hAnsi="Times New Roman" w:cs="Times New Roman"/>
            <w:lang w:val="af-ZA"/>
          </w:rPr>
          <w:t>Russia</w:t>
        </w:r>
      </w:hyperlink>
      <w:r w:rsidR="00D965BC" w:rsidRPr="00EF7399">
        <w:rPr>
          <w:rFonts w:ascii="Times New Roman" w:hAnsi="Times New Roman" w:cs="Times New Roman"/>
          <w:lang w:val="af-ZA"/>
        </w:rPr>
        <w:t>, nos. 76836/01 and 32782/03, ECHR 2009</w:t>
      </w:r>
    </w:p>
    <w:p w14:paraId="6AC3BB83" w14:textId="77777777" w:rsidR="006019EB" w:rsidRPr="00EF7399" w:rsidRDefault="006019EB" w:rsidP="006019EB">
      <w:pPr>
        <w:pStyle w:val="ECHRTitleCentre1"/>
        <w:rPr>
          <w:rFonts w:ascii="Times New Roman" w:hAnsi="Times New Roman" w:cs="Times New Roman"/>
          <w:lang w:val="af-ZA"/>
        </w:rPr>
      </w:pPr>
      <w:r w:rsidRPr="00EF7399">
        <w:rPr>
          <w:rFonts w:ascii="Times New Roman" w:hAnsi="Times New Roman" w:cs="Times New Roman"/>
          <w:lang w:val="af-ZA"/>
        </w:rPr>
        <w:lastRenderedPageBreak/>
        <w:t>—L—</w:t>
      </w:r>
    </w:p>
    <w:p w14:paraId="71FD91C3" w14:textId="60ACAD32" w:rsidR="006D6611" w:rsidRPr="00EF7399" w:rsidRDefault="00000000" w:rsidP="006019EB">
      <w:pPr>
        <w:pStyle w:val="ECHRParaHanging"/>
        <w:rPr>
          <w:rFonts w:ascii="Times New Roman" w:hAnsi="Times New Roman" w:cs="Times New Roman"/>
          <w:lang w:val="af-ZA"/>
        </w:rPr>
      </w:pPr>
      <w:hyperlink r:id="rId765" w:history="1">
        <w:r w:rsidR="006D6611" w:rsidRPr="00EF7399">
          <w:rPr>
            <w:rStyle w:val="Hyperlink"/>
            <w:rFonts w:ascii="Times New Roman" w:hAnsi="Times New Roman" w:cs="Times New Roman"/>
            <w:lang w:val="af-ZA"/>
          </w:rPr>
          <w:t>Laguna Guzman</w:t>
        </w:r>
        <w:r w:rsidR="00873234" w:rsidRPr="00EF7399">
          <w:rPr>
            <w:rStyle w:val="Hyperlink"/>
            <w:rFonts w:ascii="Times New Roman" w:hAnsi="Times New Roman" w:cs="Times New Roman"/>
            <w:lang w:val="af-ZA"/>
          </w:rPr>
          <w:t xml:space="preserve"> v. </w:t>
        </w:r>
        <w:r w:rsidR="006D6611" w:rsidRPr="00EF7399">
          <w:rPr>
            <w:rStyle w:val="Hyperlink"/>
            <w:rFonts w:ascii="Times New Roman" w:hAnsi="Times New Roman" w:cs="Times New Roman"/>
            <w:lang w:val="af-ZA"/>
          </w:rPr>
          <w:t>Spain</w:t>
        </w:r>
      </w:hyperlink>
      <w:r w:rsidR="006D6611" w:rsidRPr="00EF7399">
        <w:rPr>
          <w:rFonts w:ascii="Times New Roman" w:hAnsi="Times New Roman" w:cs="Times New Roman"/>
          <w:lang w:val="af-ZA"/>
        </w:rPr>
        <w:t>, no. 41462/17, 6 October 2020</w:t>
      </w:r>
    </w:p>
    <w:p w14:paraId="27CDEBBD" w14:textId="5B7D4455" w:rsidR="00ED2E0E" w:rsidRPr="00EF7399" w:rsidRDefault="00000000" w:rsidP="006019EB">
      <w:pPr>
        <w:pStyle w:val="ECHRParaHanging"/>
        <w:rPr>
          <w:rFonts w:ascii="Times New Roman" w:hAnsi="Times New Roman" w:cs="Times New Roman"/>
          <w:lang w:val="af-ZA"/>
        </w:rPr>
      </w:pPr>
      <w:hyperlink r:id="rId766" w:history="1">
        <w:r w:rsidR="00ED2E0E" w:rsidRPr="00EF7399">
          <w:rPr>
            <w:rStyle w:val="Hyperlink"/>
            <w:rFonts w:ascii="Times New Roman" w:hAnsi="Times New Roman" w:cs="Times New Roman"/>
            <w:lang w:val="af-ZA"/>
          </w:rPr>
          <w:t>Larmela</w:t>
        </w:r>
        <w:r w:rsidR="00873234" w:rsidRPr="00EF7399">
          <w:rPr>
            <w:rStyle w:val="Hyperlink"/>
            <w:rFonts w:ascii="Times New Roman" w:hAnsi="Times New Roman" w:cs="Times New Roman"/>
            <w:lang w:val="af-ZA"/>
          </w:rPr>
          <w:t xml:space="preserve"> v. </w:t>
        </w:r>
        <w:r w:rsidR="00ED2E0E" w:rsidRPr="00EF7399">
          <w:rPr>
            <w:rStyle w:val="Hyperlink"/>
            <w:rFonts w:ascii="Times New Roman" w:hAnsi="Times New Roman" w:cs="Times New Roman"/>
            <w:lang w:val="af-ZA"/>
          </w:rPr>
          <w:t>Finland</w:t>
        </w:r>
      </w:hyperlink>
      <w:r w:rsidR="00ED2E0E" w:rsidRPr="00EF7399">
        <w:rPr>
          <w:rFonts w:ascii="Times New Roman" w:hAnsi="Times New Roman" w:cs="Times New Roman"/>
          <w:i/>
          <w:lang w:val="af-ZA"/>
        </w:rPr>
        <w:t xml:space="preserve">, </w:t>
      </w:r>
      <w:r w:rsidR="00ED2E0E" w:rsidRPr="00EF7399">
        <w:rPr>
          <w:rFonts w:ascii="Times New Roman" w:hAnsi="Times New Roman" w:cs="Times New Roman"/>
          <w:lang w:val="af-ZA"/>
        </w:rPr>
        <w:t>no. 26712/95</w:t>
      </w:r>
      <w:r w:rsidR="00ED2E0E" w:rsidRPr="00EF7399">
        <w:rPr>
          <w:rFonts w:ascii="Times New Roman" w:hAnsi="Times New Roman" w:cs="Times New Roman"/>
          <w:i/>
          <w:lang w:val="af-ZA"/>
        </w:rPr>
        <w:t xml:space="preserve">, </w:t>
      </w:r>
      <w:r w:rsidR="00ED2E0E" w:rsidRPr="00EF7399">
        <w:rPr>
          <w:rFonts w:ascii="Times New Roman" w:hAnsi="Times New Roman" w:cs="Times New Roman"/>
          <w:lang w:val="af-ZA"/>
        </w:rPr>
        <w:t>Commission decision of 28 May 1997, unpublished</w:t>
      </w:r>
    </w:p>
    <w:p w14:paraId="21D97BEB" w14:textId="6FB363AB" w:rsidR="00BE2121" w:rsidRPr="00EF7399" w:rsidRDefault="00000000" w:rsidP="00BE2121">
      <w:pPr>
        <w:pStyle w:val="ECHRParaHanging"/>
        <w:rPr>
          <w:rFonts w:ascii="Times New Roman" w:hAnsi="Times New Roman" w:cs="Times New Roman"/>
          <w:i/>
          <w:lang w:val="af-ZA"/>
        </w:rPr>
      </w:pPr>
      <w:hyperlink r:id="rId767" w:history="1">
        <w:r w:rsidR="00BE2121" w:rsidRPr="00EF7399">
          <w:rPr>
            <w:rStyle w:val="Hyperlink"/>
            <w:rFonts w:ascii="Times New Roman" w:hAnsi="Times New Roman" w:cs="Times New Roman"/>
            <w:lang w:val="af-ZA"/>
          </w:rPr>
          <w:t>Lashmankin and Others</w:t>
        </w:r>
        <w:r w:rsidR="00873234" w:rsidRPr="00EF7399">
          <w:rPr>
            <w:rStyle w:val="Hyperlink"/>
            <w:rFonts w:ascii="Times New Roman" w:hAnsi="Times New Roman" w:cs="Times New Roman"/>
            <w:lang w:val="af-ZA"/>
          </w:rPr>
          <w:t xml:space="preserve"> v. </w:t>
        </w:r>
        <w:r w:rsidR="00BE2121" w:rsidRPr="00EF7399">
          <w:rPr>
            <w:rStyle w:val="Hyperlink"/>
            <w:rFonts w:ascii="Times New Roman" w:hAnsi="Times New Roman" w:cs="Times New Roman"/>
            <w:lang w:val="af-ZA"/>
          </w:rPr>
          <w:t>Russia</w:t>
        </w:r>
      </w:hyperlink>
      <w:r w:rsidR="00BE2121" w:rsidRPr="00EF7399">
        <w:rPr>
          <w:rFonts w:ascii="Times New Roman" w:hAnsi="Times New Roman" w:cs="Times New Roman"/>
          <w:lang w:val="af-ZA"/>
        </w:rPr>
        <w:t>, nos. 57818/09 and 14 others, 7 February 2017</w:t>
      </w:r>
    </w:p>
    <w:p w14:paraId="2F739A13" w14:textId="50037B73" w:rsidR="00ED2E0E" w:rsidRPr="00EF7399" w:rsidRDefault="00000000" w:rsidP="006019EB">
      <w:pPr>
        <w:pStyle w:val="ECHRParaHanging"/>
        <w:rPr>
          <w:rFonts w:ascii="Times New Roman" w:hAnsi="Times New Roman" w:cs="Times New Roman"/>
          <w:lang w:val="af-ZA"/>
        </w:rPr>
      </w:pPr>
      <w:hyperlink r:id="rId768" w:history="1">
        <w:r w:rsidR="00ED2E0E" w:rsidRPr="00EF7399">
          <w:rPr>
            <w:rStyle w:val="Hyperlink"/>
            <w:rFonts w:ascii="Times New Roman" w:hAnsi="Times New Roman" w:cs="Times New Roman"/>
            <w:lang w:val="af-ZA"/>
          </w:rPr>
          <w:t>Lavisse</w:t>
        </w:r>
        <w:r w:rsidR="00873234" w:rsidRPr="00EF7399">
          <w:rPr>
            <w:rStyle w:val="Hyperlink"/>
            <w:rFonts w:ascii="Times New Roman" w:hAnsi="Times New Roman" w:cs="Times New Roman"/>
            <w:lang w:val="af-ZA"/>
          </w:rPr>
          <w:t xml:space="preserve"> v. </w:t>
        </w:r>
        <w:r w:rsidR="00ED2E0E" w:rsidRPr="00EF7399">
          <w:rPr>
            <w:rStyle w:val="Hyperlink"/>
            <w:rFonts w:ascii="Times New Roman" w:hAnsi="Times New Roman" w:cs="Times New Roman"/>
            <w:lang w:val="af-ZA"/>
          </w:rPr>
          <w:t>France</w:t>
        </w:r>
      </w:hyperlink>
      <w:r w:rsidR="00ED2E0E" w:rsidRPr="00EF7399">
        <w:rPr>
          <w:rFonts w:ascii="Times New Roman" w:hAnsi="Times New Roman" w:cs="Times New Roman"/>
          <w:lang w:val="af-ZA"/>
        </w:rPr>
        <w:t xml:space="preserve">, no. 14223/88, Commission decision of 5 June 1991, Decisions and Reports </w:t>
      </w:r>
      <w:r w:rsidR="0093363D" w:rsidRPr="00EF7399">
        <w:rPr>
          <w:rFonts w:ascii="Times New Roman" w:hAnsi="Times New Roman" w:cs="Times New Roman"/>
          <w:lang w:val="af-ZA"/>
        </w:rPr>
        <w:t>70, p. </w:t>
      </w:r>
      <w:r w:rsidR="00ED2E0E" w:rsidRPr="00EF7399">
        <w:rPr>
          <w:rFonts w:ascii="Times New Roman" w:hAnsi="Times New Roman" w:cs="Times New Roman"/>
          <w:lang w:val="af-ZA"/>
        </w:rPr>
        <w:t>229</w:t>
      </w:r>
    </w:p>
    <w:p w14:paraId="00EA8B1F" w14:textId="30A3CD02" w:rsidR="006019EB" w:rsidRPr="00EF7399" w:rsidRDefault="00000000" w:rsidP="006019EB">
      <w:pPr>
        <w:pStyle w:val="ECHRParaHanging"/>
        <w:rPr>
          <w:rFonts w:ascii="Times New Roman" w:hAnsi="Times New Roman" w:cs="Times New Roman"/>
          <w:lang w:val="af-ZA"/>
        </w:rPr>
      </w:pPr>
      <w:hyperlink r:id="rId769" w:history="1">
        <w:r w:rsidR="009A215E" w:rsidRPr="00EF7399">
          <w:rPr>
            <w:rStyle w:val="Hyperlink"/>
            <w:rFonts w:ascii="Times New Roman" w:hAnsi="Times New Roman" w:cs="Times New Roman"/>
            <w:lang w:val="af-ZA"/>
          </w:rPr>
          <w:t>Le Compte</w:t>
        </w:r>
        <w:r w:rsidR="009A215E" w:rsidRPr="00EF7399">
          <w:rPr>
            <w:rStyle w:val="Hyperlink"/>
            <w:rFonts w:ascii="Times New Roman" w:hAnsi="Times New Roman" w:cs="Times New Roman"/>
            <w:iCs/>
            <w:lang w:val="af-ZA"/>
          </w:rPr>
          <w:t>,</w:t>
        </w:r>
        <w:r w:rsidR="009A215E" w:rsidRPr="00EF7399">
          <w:rPr>
            <w:rStyle w:val="Hyperlink"/>
            <w:rFonts w:ascii="Times New Roman" w:hAnsi="Times New Roman" w:cs="Times New Roman"/>
            <w:lang w:val="af-ZA"/>
          </w:rPr>
          <w:t xml:space="preserve"> Van Leuven and De Meyere</w:t>
        </w:r>
        <w:r w:rsidR="00873234" w:rsidRPr="00EF7399">
          <w:rPr>
            <w:rStyle w:val="Hyperlink"/>
            <w:rFonts w:ascii="Times New Roman" w:hAnsi="Times New Roman" w:cs="Times New Roman"/>
            <w:lang w:val="af-ZA"/>
          </w:rPr>
          <w:t xml:space="preserve"> v. </w:t>
        </w:r>
        <w:r w:rsidR="009A215E" w:rsidRPr="00EF7399">
          <w:rPr>
            <w:rStyle w:val="Hyperlink"/>
            <w:rFonts w:ascii="Times New Roman" w:hAnsi="Times New Roman" w:cs="Times New Roman"/>
            <w:lang w:val="af-ZA"/>
          </w:rPr>
          <w:t>Belgium</w:t>
        </w:r>
      </w:hyperlink>
      <w:r w:rsidR="009A215E" w:rsidRPr="00EF7399">
        <w:rPr>
          <w:rFonts w:ascii="Times New Roman" w:hAnsi="Times New Roman" w:cs="Times New Roman"/>
          <w:lang w:val="af-ZA"/>
        </w:rPr>
        <w:t>, 23 June 1981, Series A no. 43</w:t>
      </w:r>
    </w:p>
    <w:p w14:paraId="40E7CAED" w14:textId="16FCA497" w:rsidR="009A1A2B" w:rsidRPr="00EF7399" w:rsidRDefault="00000000" w:rsidP="006019EB">
      <w:pPr>
        <w:pStyle w:val="ECHRParaHanging"/>
        <w:rPr>
          <w:rFonts w:ascii="Times New Roman" w:hAnsi="Times New Roman" w:cs="Times New Roman"/>
          <w:lang w:val="af-ZA"/>
        </w:rPr>
      </w:pPr>
      <w:hyperlink r:id="rId770" w:history="1">
        <w:r w:rsidR="009A1A2B" w:rsidRPr="00EF7399">
          <w:rPr>
            <w:rStyle w:val="Hyperlink"/>
            <w:rFonts w:ascii="Times New Roman" w:hAnsi="Times New Roman" w:cs="Times New Roman"/>
            <w:lang w:val="af-ZA"/>
          </w:rPr>
          <w:t>Les Authentiks and Supras Auteuil 91</w:t>
        </w:r>
        <w:r w:rsidR="00873234" w:rsidRPr="00EF7399">
          <w:rPr>
            <w:rStyle w:val="Hyperlink"/>
            <w:rFonts w:ascii="Times New Roman" w:hAnsi="Times New Roman" w:cs="Times New Roman"/>
            <w:lang w:val="af-ZA"/>
          </w:rPr>
          <w:t xml:space="preserve"> v. </w:t>
        </w:r>
        <w:r w:rsidR="009A1A2B" w:rsidRPr="00EF7399">
          <w:rPr>
            <w:rStyle w:val="Hyperlink"/>
            <w:rFonts w:ascii="Times New Roman" w:hAnsi="Times New Roman" w:cs="Times New Roman"/>
            <w:lang w:val="af-ZA"/>
          </w:rPr>
          <w:t>France</w:t>
        </w:r>
      </w:hyperlink>
      <w:r w:rsidR="009A1A2B" w:rsidRPr="00EF7399">
        <w:rPr>
          <w:rFonts w:ascii="Times New Roman" w:hAnsi="Times New Roman" w:cs="Times New Roman"/>
          <w:lang w:val="af-ZA"/>
        </w:rPr>
        <w:t>, nos. 4696/11 and 4703/11, 27 October 2016</w:t>
      </w:r>
    </w:p>
    <w:p w14:paraId="1760B573" w14:textId="7542E6AE" w:rsidR="00D410EB" w:rsidRPr="00EF7399" w:rsidRDefault="00000000" w:rsidP="006019EB">
      <w:pPr>
        <w:pStyle w:val="ECHRParaHanging"/>
        <w:rPr>
          <w:rFonts w:ascii="Times New Roman" w:hAnsi="Times New Roman" w:cs="Times New Roman"/>
          <w:lang w:val="af-ZA"/>
        </w:rPr>
      </w:pPr>
      <w:hyperlink r:id="rId771" w:history="1">
        <w:r w:rsidR="00D410EB" w:rsidRPr="00EF7399">
          <w:rPr>
            <w:rStyle w:val="Hyperlink"/>
            <w:rFonts w:ascii="Times New Roman" w:hAnsi="Times New Roman" w:cs="Times New Roman"/>
            <w:lang w:val="af-ZA"/>
          </w:rPr>
          <w:t>Linkov</w:t>
        </w:r>
        <w:r w:rsidR="00873234" w:rsidRPr="00EF7399">
          <w:rPr>
            <w:rStyle w:val="Hyperlink"/>
            <w:rFonts w:ascii="Times New Roman" w:hAnsi="Times New Roman" w:cs="Times New Roman"/>
            <w:lang w:val="af-ZA"/>
          </w:rPr>
          <w:t xml:space="preserve"> v. </w:t>
        </w:r>
        <w:r w:rsidR="00D410EB" w:rsidRPr="00EF7399">
          <w:rPr>
            <w:rStyle w:val="Hyperlink"/>
            <w:rFonts w:ascii="Times New Roman" w:hAnsi="Times New Roman" w:cs="Times New Roman"/>
            <w:lang w:val="af-ZA"/>
          </w:rPr>
          <w:t>the Czech Republic</w:t>
        </w:r>
      </w:hyperlink>
      <w:r w:rsidR="00D410EB" w:rsidRPr="00EF7399">
        <w:rPr>
          <w:rFonts w:ascii="Times New Roman" w:hAnsi="Times New Roman" w:cs="Times New Roman"/>
          <w:lang w:val="af-ZA"/>
        </w:rPr>
        <w:t>, no. 10504/03, 7 December 2006</w:t>
      </w:r>
    </w:p>
    <w:p w14:paraId="741DC96D" w14:textId="22989966" w:rsidR="00CD66B0" w:rsidRPr="00EF7399" w:rsidRDefault="00000000" w:rsidP="006019EB">
      <w:pPr>
        <w:pStyle w:val="ECHRParaHanging"/>
        <w:rPr>
          <w:rFonts w:ascii="Times New Roman" w:hAnsi="Times New Roman" w:cs="Times New Roman"/>
          <w:lang w:val="af-ZA"/>
        </w:rPr>
      </w:pPr>
      <w:hyperlink r:id="rId772" w:history="1">
        <w:r w:rsidR="00CD66B0" w:rsidRPr="00EF7399">
          <w:rPr>
            <w:rStyle w:val="Hyperlink"/>
            <w:rFonts w:ascii="Times New Roman" w:hAnsi="Times New Roman" w:cs="Times New Roman"/>
            <w:lang w:val="af-ZA"/>
          </w:rPr>
          <w:t>Lovrić</w:t>
        </w:r>
        <w:r w:rsidR="00873234" w:rsidRPr="00EF7399">
          <w:rPr>
            <w:rStyle w:val="Hyperlink"/>
            <w:rFonts w:ascii="Times New Roman" w:hAnsi="Times New Roman" w:cs="Times New Roman"/>
            <w:lang w:val="af-ZA"/>
          </w:rPr>
          <w:t xml:space="preserve"> v. </w:t>
        </w:r>
        <w:r w:rsidR="00CD66B0" w:rsidRPr="00EF7399">
          <w:rPr>
            <w:rStyle w:val="Hyperlink"/>
            <w:rFonts w:ascii="Times New Roman" w:hAnsi="Times New Roman" w:cs="Times New Roman"/>
            <w:lang w:val="af-ZA"/>
          </w:rPr>
          <w:t>Croatia</w:t>
        </w:r>
      </w:hyperlink>
      <w:r w:rsidR="00CD66B0" w:rsidRPr="00EF7399">
        <w:rPr>
          <w:rFonts w:ascii="Times New Roman" w:hAnsi="Times New Roman" w:cs="Times New Roman"/>
          <w:lang w:val="af-ZA"/>
        </w:rPr>
        <w:t>, no. 38458/15, 4 April 2017</w:t>
      </w:r>
    </w:p>
    <w:p w14:paraId="35C553D5" w14:textId="53419F04" w:rsidR="004E5A34" w:rsidRPr="00EF7399" w:rsidRDefault="00000000" w:rsidP="006019EB">
      <w:pPr>
        <w:pStyle w:val="ECHRParaHanging"/>
        <w:rPr>
          <w:rFonts w:ascii="Times New Roman" w:hAnsi="Times New Roman" w:cs="Times New Roman"/>
          <w:lang w:val="af-ZA"/>
        </w:rPr>
      </w:pPr>
      <w:hyperlink r:id="rId773" w:history="1">
        <w:r w:rsidR="004E5A34" w:rsidRPr="00EF7399">
          <w:rPr>
            <w:rStyle w:val="Hyperlink"/>
            <w:rFonts w:ascii="Times New Roman" w:hAnsi="Times New Roman" w:cs="Times New Roman"/>
            <w:lang w:val="af-ZA"/>
          </w:rPr>
          <w:t>Lucas</w:t>
        </w:r>
        <w:r w:rsidR="00873234" w:rsidRPr="00EF7399">
          <w:rPr>
            <w:rStyle w:val="Hyperlink"/>
            <w:rFonts w:ascii="Times New Roman" w:hAnsi="Times New Roman" w:cs="Times New Roman"/>
            <w:lang w:val="af-ZA"/>
          </w:rPr>
          <w:t xml:space="preserve"> v. </w:t>
        </w:r>
        <w:r w:rsidR="004E5A34" w:rsidRPr="00EF7399">
          <w:rPr>
            <w:rStyle w:val="Hyperlink"/>
            <w:rFonts w:ascii="Times New Roman" w:hAnsi="Times New Roman" w:cs="Times New Roman"/>
            <w:lang w:val="af-ZA"/>
          </w:rPr>
          <w:t>the United Kingdom</w:t>
        </w:r>
      </w:hyperlink>
      <w:r w:rsidR="004E5A34" w:rsidRPr="00EF7399">
        <w:rPr>
          <w:rFonts w:ascii="Times New Roman" w:hAnsi="Times New Roman" w:cs="Times New Roman"/>
          <w:lang w:val="af-ZA"/>
        </w:rPr>
        <w:t xml:space="preserve"> (dec.), no. 39013/02, 18 March 2003</w:t>
      </w:r>
    </w:p>
    <w:p w14:paraId="6E2DE852" w14:textId="77777777" w:rsidR="006019EB" w:rsidRPr="00EF7399" w:rsidRDefault="006019EB" w:rsidP="006019EB">
      <w:pPr>
        <w:pStyle w:val="ECHRTitleCentre1"/>
        <w:rPr>
          <w:rFonts w:ascii="Times New Roman" w:hAnsi="Times New Roman" w:cs="Times New Roman"/>
          <w:lang w:val="af-ZA"/>
        </w:rPr>
      </w:pPr>
      <w:r w:rsidRPr="00EF7399">
        <w:rPr>
          <w:rFonts w:ascii="Times New Roman" w:hAnsi="Times New Roman" w:cs="Times New Roman"/>
          <w:lang w:val="af-ZA"/>
        </w:rPr>
        <w:t>—M—</w:t>
      </w:r>
    </w:p>
    <w:p w14:paraId="723678BD" w14:textId="177E48CD" w:rsidR="00DC2FE2" w:rsidRPr="00EF7399" w:rsidRDefault="00000000" w:rsidP="004C3976">
      <w:pPr>
        <w:pStyle w:val="ECHRParaHanging"/>
        <w:rPr>
          <w:rFonts w:ascii="Times New Roman" w:hAnsi="Times New Roman" w:cs="Times New Roman"/>
          <w:lang w:val="af-ZA"/>
        </w:rPr>
      </w:pPr>
      <w:hyperlink r:id="rId774" w:history="1">
        <w:r w:rsidR="00DC2FE2" w:rsidRPr="00EF7399">
          <w:rPr>
            <w:rStyle w:val="Hyperlink"/>
            <w:rFonts w:ascii="Times New Roman" w:hAnsi="Times New Roman" w:cs="Times New Roman"/>
            <w:lang w:val="af-ZA"/>
          </w:rPr>
          <w:t>Maestri</w:t>
        </w:r>
        <w:r w:rsidR="00873234" w:rsidRPr="00EF7399">
          <w:rPr>
            <w:rStyle w:val="Hyperlink"/>
            <w:rFonts w:ascii="Times New Roman" w:hAnsi="Times New Roman" w:cs="Times New Roman"/>
            <w:lang w:val="af-ZA"/>
          </w:rPr>
          <w:t xml:space="preserve"> v. </w:t>
        </w:r>
        <w:r w:rsidR="00DC2FE2" w:rsidRPr="00EF7399">
          <w:rPr>
            <w:rStyle w:val="Hyperlink"/>
            <w:rFonts w:ascii="Times New Roman" w:hAnsi="Times New Roman" w:cs="Times New Roman"/>
            <w:lang w:val="af-ZA"/>
          </w:rPr>
          <w:t>Italy</w:t>
        </w:r>
      </w:hyperlink>
      <w:r w:rsidR="00DC2FE2" w:rsidRPr="00EF7399">
        <w:rPr>
          <w:rFonts w:ascii="Times New Roman" w:hAnsi="Times New Roman" w:cs="Times New Roman"/>
          <w:lang w:val="af-ZA"/>
        </w:rPr>
        <w:t xml:space="preserve"> [GC], no. 39748/98, ECHR 2004</w:t>
      </w:r>
      <w:r w:rsidR="00DC2FE2" w:rsidRPr="00EF7399">
        <w:rPr>
          <w:rFonts w:ascii="Times New Roman" w:hAnsi="Times New Roman" w:cs="Times New Roman"/>
          <w:lang w:val="af-ZA"/>
        </w:rPr>
        <w:noBreakHyphen/>
        <w:t>I</w:t>
      </w:r>
    </w:p>
    <w:p w14:paraId="2EC2DAAE" w14:textId="62BBACF9" w:rsidR="00F02FCE" w:rsidRPr="00EF7399" w:rsidRDefault="00000000" w:rsidP="004C3976">
      <w:pPr>
        <w:pStyle w:val="ECHRParaHanging"/>
        <w:rPr>
          <w:rFonts w:ascii="Times New Roman" w:hAnsi="Times New Roman" w:cs="Times New Roman"/>
          <w:lang w:val="af-ZA"/>
        </w:rPr>
      </w:pPr>
      <w:hyperlink r:id="rId775" w:history="1">
        <w:r w:rsidR="00F02FCE" w:rsidRPr="00EF7399">
          <w:rPr>
            <w:rStyle w:val="Hyperlink"/>
            <w:rFonts w:ascii="Times New Roman" w:hAnsi="Times New Roman" w:cs="Times New Roman"/>
            <w:lang w:val="af-ZA"/>
          </w:rPr>
          <w:t>Magyar Keresztény Mennonita Egyház and Others</w:t>
        </w:r>
        <w:r w:rsidR="00873234" w:rsidRPr="00EF7399">
          <w:rPr>
            <w:rStyle w:val="Hyperlink"/>
            <w:rFonts w:ascii="Times New Roman" w:hAnsi="Times New Roman" w:cs="Times New Roman"/>
            <w:lang w:val="af-ZA"/>
          </w:rPr>
          <w:t xml:space="preserve"> v. </w:t>
        </w:r>
        <w:r w:rsidR="00F02FCE" w:rsidRPr="00EF7399">
          <w:rPr>
            <w:rStyle w:val="Hyperlink"/>
            <w:rFonts w:ascii="Times New Roman" w:hAnsi="Times New Roman" w:cs="Times New Roman"/>
            <w:lang w:val="af-ZA"/>
          </w:rPr>
          <w:t>Hungary</w:t>
        </w:r>
      </w:hyperlink>
      <w:r w:rsidR="00F02FCE" w:rsidRPr="00EF7399">
        <w:rPr>
          <w:rFonts w:ascii="Times New Roman" w:hAnsi="Times New Roman" w:cs="Times New Roman"/>
          <w:lang w:val="af-ZA"/>
        </w:rPr>
        <w:t xml:space="preserve">, nos. 70945/11 and </w:t>
      </w:r>
      <w:r w:rsidR="00A24EA3" w:rsidRPr="00EF7399">
        <w:rPr>
          <w:rFonts w:ascii="Times New Roman" w:hAnsi="Times New Roman" w:cs="Times New Roman"/>
          <w:lang w:val="af-ZA"/>
        </w:rPr>
        <w:t>8 others, ECHR 2014 (extracts)</w:t>
      </w:r>
    </w:p>
    <w:p w14:paraId="7F2E0A19" w14:textId="58814526" w:rsidR="008A38EA" w:rsidRPr="00EF7399" w:rsidRDefault="00000000" w:rsidP="004C3976">
      <w:pPr>
        <w:pStyle w:val="ECHRParaHanging"/>
        <w:rPr>
          <w:rFonts w:ascii="Times New Roman" w:hAnsi="Times New Roman" w:cs="Times New Roman"/>
          <w:lang w:val="af-ZA"/>
        </w:rPr>
      </w:pPr>
      <w:hyperlink r:id="rId776" w:history="1">
        <w:r w:rsidR="008A38EA" w:rsidRPr="00EF7399">
          <w:rPr>
            <w:rStyle w:val="Hyperlink"/>
            <w:rFonts w:ascii="Times New Roman" w:hAnsi="Times New Roman" w:cs="Times New Roman"/>
            <w:iCs/>
            <w:lang w:val="af-ZA"/>
          </w:rPr>
          <w:t>Makarashvili and Others v. Georgia</w:t>
        </w:r>
      </w:hyperlink>
      <w:r w:rsidR="008A38EA" w:rsidRPr="00EF7399">
        <w:rPr>
          <w:rFonts w:ascii="Times New Roman" w:hAnsi="Times New Roman" w:cs="Times New Roman"/>
          <w:iCs/>
          <w:lang w:val="af-ZA"/>
        </w:rPr>
        <w:t xml:space="preserve">, nos. </w:t>
      </w:r>
      <w:hyperlink r:id="rId777" w:anchor="{%22appno%22:[%2223158/20%22]}" w:tgtFrame="_blank" w:history="1">
        <w:r w:rsidR="008A38EA" w:rsidRPr="00EF7399">
          <w:rPr>
            <w:rFonts w:ascii="Times New Roman" w:hAnsi="Times New Roman" w:cs="Times New Roman"/>
            <w:iCs/>
            <w:lang w:val="af-ZA"/>
          </w:rPr>
          <w:t>23158/20</w:t>
        </w:r>
      </w:hyperlink>
      <w:r w:rsidR="008A38EA" w:rsidRPr="00EF7399">
        <w:rPr>
          <w:rFonts w:ascii="Times New Roman" w:hAnsi="Times New Roman" w:cs="Times New Roman"/>
          <w:iCs/>
          <w:lang w:val="af-ZA"/>
        </w:rPr>
        <w:t xml:space="preserve"> and 2 others, 1 September 2022</w:t>
      </w:r>
    </w:p>
    <w:p w14:paraId="044C0DF8" w14:textId="72469B11" w:rsidR="00A24EA3" w:rsidRPr="00EF7399" w:rsidRDefault="00000000" w:rsidP="004C3976">
      <w:pPr>
        <w:pStyle w:val="ECHRParaHanging"/>
        <w:rPr>
          <w:rFonts w:ascii="Times New Roman" w:hAnsi="Times New Roman" w:cs="Times New Roman"/>
          <w:lang w:val="af-ZA"/>
        </w:rPr>
      </w:pPr>
      <w:hyperlink r:id="rId778" w:history="1">
        <w:r w:rsidR="00A24EA3" w:rsidRPr="00EF7399">
          <w:rPr>
            <w:rStyle w:val="Hyperlink"/>
            <w:rFonts w:ascii="Times New Roman" w:hAnsi="Times New Roman" w:cs="Times New Roman"/>
            <w:lang w:val="af-ZA"/>
          </w:rPr>
          <w:t>Malofeyeva</w:t>
        </w:r>
        <w:r w:rsidR="00873234" w:rsidRPr="00EF7399">
          <w:rPr>
            <w:rStyle w:val="Hyperlink"/>
            <w:rFonts w:ascii="Times New Roman" w:hAnsi="Times New Roman" w:cs="Times New Roman"/>
            <w:lang w:val="af-ZA"/>
          </w:rPr>
          <w:t xml:space="preserve"> v. </w:t>
        </w:r>
        <w:r w:rsidR="00A24EA3" w:rsidRPr="00EF7399">
          <w:rPr>
            <w:rStyle w:val="Hyperlink"/>
            <w:rFonts w:ascii="Times New Roman" w:hAnsi="Times New Roman" w:cs="Times New Roman"/>
            <w:lang w:val="af-ZA"/>
          </w:rPr>
          <w:t>Russia</w:t>
        </w:r>
      </w:hyperlink>
      <w:r w:rsidR="00A24EA3" w:rsidRPr="00EF7399">
        <w:rPr>
          <w:rFonts w:ascii="Times New Roman" w:hAnsi="Times New Roman" w:cs="Times New Roman"/>
          <w:lang w:val="af-ZA"/>
        </w:rPr>
        <w:t>, no. 36673/04, 30 May 2013</w:t>
      </w:r>
    </w:p>
    <w:p w14:paraId="74C0A4E1" w14:textId="19B7DA55" w:rsidR="00FD4BDF" w:rsidRPr="00EF7399" w:rsidRDefault="00000000" w:rsidP="00FD4BDF">
      <w:pPr>
        <w:pStyle w:val="ECHRParaHanging"/>
        <w:rPr>
          <w:rFonts w:ascii="Times New Roman" w:hAnsi="Times New Roman" w:cs="Times New Roman"/>
          <w:lang w:val="af-ZA"/>
        </w:rPr>
      </w:pPr>
      <w:hyperlink r:id="rId779" w:history="1">
        <w:r w:rsidR="00FD4BDF" w:rsidRPr="00EF7399">
          <w:rPr>
            <w:rStyle w:val="Hyperlink"/>
            <w:rFonts w:ascii="Times New Roman" w:hAnsi="Times New Roman" w:cs="Times New Roman"/>
            <w:lang w:val="af-ZA"/>
          </w:rPr>
          <w:t>Manole and “Romanian Farmers Direct”</w:t>
        </w:r>
        <w:r w:rsidR="00873234" w:rsidRPr="00EF7399">
          <w:rPr>
            <w:rStyle w:val="Hyperlink"/>
            <w:rFonts w:ascii="Times New Roman" w:hAnsi="Times New Roman" w:cs="Times New Roman"/>
            <w:lang w:val="af-ZA"/>
          </w:rPr>
          <w:t xml:space="preserve"> v. </w:t>
        </w:r>
        <w:r w:rsidR="00FD4BDF" w:rsidRPr="00EF7399">
          <w:rPr>
            <w:rStyle w:val="Hyperlink"/>
            <w:rFonts w:ascii="Times New Roman" w:hAnsi="Times New Roman" w:cs="Times New Roman"/>
            <w:lang w:val="af-ZA"/>
          </w:rPr>
          <w:t>Romania</w:t>
        </w:r>
      </w:hyperlink>
      <w:r w:rsidR="00FD4BDF" w:rsidRPr="00EF7399">
        <w:rPr>
          <w:rFonts w:ascii="Times New Roman" w:hAnsi="Times New Roman" w:cs="Times New Roman"/>
          <w:lang w:val="af-ZA"/>
        </w:rPr>
        <w:t>, no. 46551/06, 16 June 2015</w:t>
      </w:r>
    </w:p>
    <w:p w14:paraId="1D823803" w14:textId="3D3FABCC" w:rsidR="00E710F9" w:rsidRPr="00EF7399" w:rsidRDefault="00000000" w:rsidP="00FD4BDF">
      <w:pPr>
        <w:pStyle w:val="ECHRParaHanging"/>
        <w:rPr>
          <w:rFonts w:ascii="Times New Roman" w:hAnsi="Times New Roman" w:cs="Times New Roman"/>
          <w:lang w:val="af-ZA"/>
        </w:rPr>
      </w:pPr>
      <w:hyperlink r:id="rId780" w:history="1">
        <w:r w:rsidR="00E710F9" w:rsidRPr="00EF7399">
          <w:rPr>
            <w:rStyle w:val="Hyperlink"/>
            <w:rFonts w:ascii="Times New Roman" w:hAnsi="Times New Roman" w:cs="Times New Roman"/>
            <w:lang w:val="af-ZA"/>
          </w:rPr>
          <w:t>Matelly</w:t>
        </w:r>
        <w:r w:rsidR="00873234" w:rsidRPr="00EF7399">
          <w:rPr>
            <w:rStyle w:val="Hyperlink"/>
            <w:rFonts w:ascii="Times New Roman" w:hAnsi="Times New Roman" w:cs="Times New Roman"/>
            <w:lang w:val="af-ZA"/>
          </w:rPr>
          <w:t xml:space="preserve"> v. </w:t>
        </w:r>
        <w:r w:rsidR="00E710F9" w:rsidRPr="00EF7399">
          <w:rPr>
            <w:rStyle w:val="Hyperlink"/>
            <w:rFonts w:ascii="Times New Roman" w:hAnsi="Times New Roman" w:cs="Times New Roman"/>
            <w:lang w:val="af-ZA"/>
          </w:rPr>
          <w:t>France</w:t>
        </w:r>
      </w:hyperlink>
      <w:r w:rsidR="00E710F9" w:rsidRPr="00EF7399">
        <w:rPr>
          <w:rFonts w:ascii="Times New Roman" w:hAnsi="Times New Roman" w:cs="Times New Roman"/>
          <w:lang w:val="af-ZA"/>
        </w:rPr>
        <w:t>, no. 10609/10, 2 October 2014</w:t>
      </w:r>
    </w:p>
    <w:p w14:paraId="27AB90B3" w14:textId="4EAE7E6F" w:rsidR="00F503D0" w:rsidRPr="00EF7399" w:rsidRDefault="00000000" w:rsidP="004C3976">
      <w:pPr>
        <w:pStyle w:val="ECHRParaHanging"/>
        <w:rPr>
          <w:rFonts w:ascii="Times New Roman" w:hAnsi="Times New Roman" w:cs="Times New Roman"/>
          <w:lang w:val="af-ZA"/>
        </w:rPr>
      </w:pPr>
      <w:hyperlink r:id="rId781" w:history="1">
        <w:r w:rsidR="00F503D0" w:rsidRPr="00EF7399">
          <w:rPr>
            <w:rStyle w:val="Hyperlink"/>
            <w:rFonts w:ascii="Times New Roman" w:hAnsi="Times New Roman" w:cs="Times New Roman"/>
            <w:lang w:val="af-ZA"/>
          </w:rPr>
          <w:t>McFeeley</w:t>
        </w:r>
        <w:r w:rsidR="00873234" w:rsidRPr="00EF7399">
          <w:rPr>
            <w:rStyle w:val="Hyperlink"/>
            <w:rFonts w:ascii="Times New Roman" w:hAnsi="Times New Roman" w:cs="Times New Roman"/>
            <w:lang w:val="af-ZA"/>
          </w:rPr>
          <w:t xml:space="preserve"> v. </w:t>
        </w:r>
        <w:r w:rsidR="00F503D0" w:rsidRPr="00EF7399">
          <w:rPr>
            <w:rStyle w:val="Hyperlink"/>
            <w:rFonts w:ascii="Times New Roman" w:hAnsi="Times New Roman" w:cs="Times New Roman"/>
            <w:lang w:val="af-ZA"/>
          </w:rPr>
          <w:t>the United Kingdom</w:t>
        </w:r>
      </w:hyperlink>
      <w:r w:rsidR="00F503D0" w:rsidRPr="00EF7399">
        <w:rPr>
          <w:rFonts w:ascii="Times New Roman" w:hAnsi="Times New Roman" w:cs="Times New Roman"/>
          <w:lang w:val="af-ZA"/>
        </w:rPr>
        <w:t xml:space="preserve">, no. </w:t>
      </w:r>
      <w:r w:rsidR="00F503D0" w:rsidRPr="00EF7399">
        <w:rPr>
          <w:rFonts w:ascii="Times New Roman" w:hAnsi="Times New Roman" w:cs="Times New Roman"/>
          <w:bCs/>
          <w:lang w:val="af-ZA"/>
        </w:rPr>
        <w:t xml:space="preserve">8317/78, </w:t>
      </w:r>
      <w:r w:rsidR="00873234" w:rsidRPr="00EF7399">
        <w:rPr>
          <w:rFonts w:ascii="Times New Roman" w:hAnsi="Times New Roman" w:cs="Times New Roman"/>
          <w:bCs/>
          <w:lang w:val="af-ZA"/>
        </w:rPr>
        <w:t>§ </w:t>
      </w:r>
      <w:r w:rsidR="00F503D0" w:rsidRPr="00EF7399">
        <w:rPr>
          <w:rFonts w:ascii="Times New Roman" w:hAnsi="Times New Roman" w:cs="Times New Roman"/>
          <w:bCs/>
          <w:lang w:val="af-ZA"/>
        </w:rPr>
        <w:t xml:space="preserve">114, Commission decision of </w:t>
      </w:r>
      <w:r w:rsidR="00F503D0" w:rsidRPr="00EF7399">
        <w:rPr>
          <w:rFonts w:ascii="Times New Roman" w:hAnsi="Times New Roman" w:cs="Times New Roman"/>
          <w:lang w:val="af-ZA"/>
        </w:rPr>
        <w:t>decision 15 May 1980, D</w:t>
      </w:r>
      <w:r w:rsidR="00FE6087" w:rsidRPr="00EF7399">
        <w:rPr>
          <w:rFonts w:ascii="Times New Roman" w:hAnsi="Times New Roman" w:cs="Times New Roman"/>
          <w:lang w:val="af-ZA"/>
        </w:rPr>
        <w:t xml:space="preserve">ecisions and Reports </w:t>
      </w:r>
      <w:r w:rsidR="00F503D0" w:rsidRPr="00EF7399">
        <w:rPr>
          <w:rFonts w:ascii="Times New Roman" w:hAnsi="Times New Roman" w:cs="Times New Roman"/>
          <w:lang w:val="af-ZA"/>
        </w:rPr>
        <w:t>20, p. 44</w:t>
      </w:r>
    </w:p>
    <w:p w14:paraId="7BDAF30C" w14:textId="1735538D" w:rsidR="000D7F2E" w:rsidRPr="00EF7399" w:rsidRDefault="00000000" w:rsidP="000D7F2E">
      <w:pPr>
        <w:pStyle w:val="ECHRParaHanging"/>
        <w:rPr>
          <w:rFonts w:ascii="Times New Roman" w:hAnsi="Times New Roman" w:cs="Times New Roman"/>
          <w:lang w:val="af-ZA"/>
        </w:rPr>
      </w:pPr>
      <w:hyperlink r:id="rId782" w:history="1">
        <w:r w:rsidR="000D7F2E" w:rsidRPr="00EF7399">
          <w:rPr>
            <w:rStyle w:val="Hyperlink"/>
            <w:rFonts w:ascii="Times New Roman" w:hAnsi="Times New Roman" w:cs="Times New Roman"/>
            <w:lang w:val="af-ZA"/>
          </w:rPr>
          <w:t>Members of the Gldani Congregation of Jehovah</w:t>
        </w:r>
        <w:r w:rsidR="00DF297D" w:rsidRPr="00EF7399">
          <w:rPr>
            <w:rStyle w:val="Hyperlink"/>
            <w:rFonts w:ascii="Times New Roman" w:hAnsi="Times New Roman" w:cs="Times New Roman"/>
            <w:lang w:val="af-ZA"/>
          </w:rPr>
          <w:t>’</w:t>
        </w:r>
        <w:r w:rsidR="000D7F2E" w:rsidRPr="00EF7399">
          <w:rPr>
            <w:rStyle w:val="Hyperlink"/>
            <w:rFonts w:ascii="Times New Roman" w:hAnsi="Times New Roman" w:cs="Times New Roman"/>
            <w:lang w:val="af-ZA"/>
          </w:rPr>
          <w:t>s Witnesses and Others</w:t>
        </w:r>
        <w:r w:rsidR="00873234" w:rsidRPr="00EF7399">
          <w:rPr>
            <w:rStyle w:val="Hyperlink"/>
            <w:rFonts w:ascii="Times New Roman" w:hAnsi="Times New Roman" w:cs="Times New Roman"/>
            <w:lang w:val="af-ZA"/>
          </w:rPr>
          <w:t xml:space="preserve"> v. </w:t>
        </w:r>
        <w:r w:rsidR="000D7F2E" w:rsidRPr="00EF7399">
          <w:rPr>
            <w:rStyle w:val="Hyperlink"/>
            <w:rFonts w:ascii="Times New Roman" w:hAnsi="Times New Roman" w:cs="Times New Roman"/>
            <w:lang w:val="af-ZA"/>
          </w:rPr>
          <w:t>Georgia</w:t>
        </w:r>
      </w:hyperlink>
      <w:r w:rsidR="0093363D" w:rsidRPr="00EF7399">
        <w:rPr>
          <w:rFonts w:ascii="Times New Roman" w:hAnsi="Times New Roman" w:cs="Times New Roman"/>
          <w:lang w:val="af-ZA"/>
        </w:rPr>
        <w:t>, no. 71156/01, 3 </w:t>
      </w:r>
      <w:r w:rsidR="000D7F2E" w:rsidRPr="00EF7399">
        <w:rPr>
          <w:rFonts w:ascii="Times New Roman" w:hAnsi="Times New Roman" w:cs="Times New Roman"/>
          <w:lang w:val="af-ZA"/>
        </w:rPr>
        <w:t>May 2007</w:t>
      </w:r>
    </w:p>
    <w:p w14:paraId="19AB1344" w14:textId="73D2F8EC" w:rsidR="005D7CE8" w:rsidRPr="00EF7399" w:rsidRDefault="00000000" w:rsidP="000D7F2E">
      <w:pPr>
        <w:pStyle w:val="ECHRParaHanging"/>
        <w:rPr>
          <w:rFonts w:ascii="Times New Roman" w:hAnsi="Times New Roman" w:cs="Times New Roman"/>
          <w:lang w:val="af-ZA"/>
        </w:rPr>
      </w:pPr>
      <w:hyperlink r:id="rId783" w:history="1">
        <w:r w:rsidR="005D7CE8" w:rsidRPr="00EF7399">
          <w:rPr>
            <w:rStyle w:val="Hyperlink"/>
            <w:rFonts w:ascii="Times New Roman" w:hAnsi="Times New Roman" w:cs="Times New Roman"/>
            <w:iCs/>
            <w:lang w:val="af-ZA"/>
          </w:rPr>
          <w:t>Mesut Yıldız and Others</w:t>
        </w:r>
        <w:r w:rsidR="00873234" w:rsidRPr="00EF7399">
          <w:rPr>
            <w:rStyle w:val="Hyperlink"/>
            <w:rFonts w:ascii="Times New Roman" w:hAnsi="Times New Roman" w:cs="Times New Roman"/>
            <w:iCs/>
            <w:lang w:val="af-ZA"/>
          </w:rPr>
          <w:t xml:space="preserve"> v. </w:t>
        </w:r>
        <w:r w:rsidR="005D7CE8" w:rsidRPr="00EF7399">
          <w:rPr>
            <w:rStyle w:val="Hyperlink"/>
            <w:rFonts w:ascii="Times New Roman" w:hAnsi="Times New Roman" w:cs="Times New Roman"/>
            <w:iCs/>
            <w:lang w:val="af-ZA"/>
          </w:rPr>
          <w:t>Turkey</w:t>
        </w:r>
      </w:hyperlink>
      <w:r w:rsidR="005D7CE8" w:rsidRPr="00EF7399">
        <w:rPr>
          <w:rFonts w:ascii="Times New Roman" w:hAnsi="Times New Roman" w:cs="Times New Roman"/>
          <w:lang w:val="af-ZA" w:eastAsia="en-GB"/>
        </w:rPr>
        <w:t xml:space="preserve">, no. </w:t>
      </w:r>
      <w:r w:rsidR="005D7CE8" w:rsidRPr="00EF7399">
        <w:rPr>
          <w:rFonts w:ascii="Times New Roman" w:hAnsi="Times New Roman" w:cs="Times New Roman"/>
          <w:lang w:val="af-ZA"/>
        </w:rPr>
        <w:t>8157/10</w:t>
      </w:r>
      <w:r w:rsidR="005D7CE8" w:rsidRPr="00EF7399">
        <w:rPr>
          <w:rFonts w:ascii="Times New Roman" w:hAnsi="Times New Roman" w:cs="Times New Roman"/>
          <w:lang w:val="af-ZA" w:eastAsia="en-GB"/>
        </w:rPr>
        <w:t xml:space="preserve">, </w:t>
      </w:r>
      <w:r w:rsidR="005D7CE8" w:rsidRPr="00EF7399">
        <w:rPr>
          <w:rFonts w:ascii="Times New Roman" w:hAnsi="Times New Roman" w:cs="Times New Roman"/>
          <w:lang w:val="af-ZA"/>
        </w:rPr>
        <w:t>18 July 2017</w:t>
      </w:r>
    </w:p>
    <w:p w14:paraId="530ECD93" w14:textId="7FA4787B" w:rsidR="00395611" w:rsidRPr="00EF7399" w:rsidRDefault="00000000" w:rsidP="004C3976">
      <w:pPr>
        <w:pStyle w:val="ECHRParaHanging"/>
        <w:rPr>
          <w:rFonts w:ascii="Times New Roman" w:hAnsi="Times New Roman" w:cs="Times New Roman"/>
          <w:lang w:val="af-ZA"/>
        </w:rPr>
      </w:pPr>
      <w:hyperlink r:id="rId784" w:history="1">
        <w:r w:rsidR="00395611" w:rsidRPr="00EF7399">
          <w:rPr>
            <w:rStyle w:val="Hyperlink"/>
            <w:rFonts w:ascii="Times New Roman" w:hAnsi="Times New Roman" w:cs="Times New Roman"/>
            <w:lang w:val="af-ZA"/>
          </w:rPr>
          <w:t>Metin Turan</w:t>
        </w:r>
        <w:r w:rsidR="00873234" w:rsidRPr="00EF7399">
          <w:rPr>
            <w:rStyle w:val="Hyperlink"/>
            <w:rFonts w:ascii="Times New Roman" w:hAnsi="Times New Roman" w:cs="Times New Roman"/>
            <w:lang w:val="af-ZA"/>
          </w:rPr>
          <w:t xml:space="preserve"> v. </w:t>
        </w:r>
        <w:r w:rsidR="00395611" w:rsidRPr="00EF7399">
          <w:rPr>
            <w:rStyle w:val="Hyperlink"/>
            <w:rFonts w:ascii="Times New Roman" w:hAnsi="Times New Roman" w:cs="Times New Roman"/>
            <w:lang w:val="af-ZA"/>
          </w:rPr>
          <w:t>Turkey</w:t>
        </w:r>
      </w:hyperlink>
      <w:r w:rsidR="00395611" w:rsidRPr="00EF7399">
        <w:rPr>
          <w:rFonts w:ascii="Times New Roman" w:hAnsi="Times New Roman" w:cs="Times New Roman"/>
          <w:lang w:val="af-ZA"/>
        </w:rPr>
        <w:t>, no. 20868/02, 14 November 2006</w:t>
      </w:r>
    </w:p>
    <w:p w14:paraId="79F1713E" w14:textId="63AF0589" w:rsidR="00184326" w:rsidRPr="00EF7399" w:rsidRDefault="00000000" w:rsidP="00184326">
      <w:pPr>
        <w:pStyle w:val="ECHRParaHanging"/>
        <w:rPr>
          <w:rFonts w:ascii="Times New Roman" w:hAnsi="Times New Roman" w:cs="Times New Roman"/>
          <w:lang w:val="af-ZA"/>
        </w:rPr>
      </w:pPr>
      <w:hyperlink r:id="rId785" w:history="1">
        <w:r w:rsidR="00184326" w:rsidRPr="00EF7399">
          <w:rPr>
            <w:rStyle w:val="Hyperlink"/>
            <w:rFonts w:ascii="Times New Roman" w:hAnsi="Times New Roman" w:cs="Times New Roman"/>
            <w:iCs/>
            <w:lang w:val="af-ZA"/>
          </w:rPr>
          <w:t>Metodiev and Others</w:t>
        </w:r>
        <w:r w:rsidR="00873234" w:rsidRPr="00EF7399">
          <w:rPr>
            <w:rStyle w:val="Hyperlink"/>
            <w:rFonts w:ascii="Times New Roman" w:hAnsi="Times New Roman" w:cs="Times New Roman"/>
            <w:iCs/>
            <w:lang w:val="af-ZA"/>
          </w:rPr>
          <w:t xml:space="preserve"> v. </w:t>
        </w:r>
        <w:r w:rsidR="00184326" w:rsidRPr="00EF7399">
          <w:rPr>
            <w:rStyle w:val="Hyperlink"/>
            <w:rFonts w:ascii="Times New Roman" w:hAnsi="Times New Roman" w:cs="Times New Roman"/>
            <w:iCs/>
            <w:lang w:val="af-ZA"/>
          </w:rPr>
          <w:t>Bulgaria</w:t>
        </w:r>
      </w:hyperlink>
      <w:r w:rsidR="00184326" w:rsidRPr="00EF7399">
        <w:rPr>
          <w:rFonts w:ascii="Times New Roman" w:hAnsi="Times New Roman" w:cs="Times New Roman"/>
          <w:lang w:val="af-ZA"/>
        </w:rPr>
        <w:t>, no. 58088/08, 15 June 2017</w:t>
      </w:r>
    </w:p>
    <w:p w14:paraId="3E92467E" w14:textId="4C74468A" w:rsidR="00D405CB" w:rsidRPr="00EF7399" w:rsidRDefault="00000000" w:rsidP="00D405CB">
      <w:pPr>
        <w:pStyle w:val="ECHRParaHanging"/>
        <w:rPr>
          <w:rFonts w:ascii="Times New Roman" w:hAnsi="Times New Roman" w:cs="Times New Roman"/>
          <w:lang w:val="af-ZA"/>
        </w:rPr>
      </w:pPr>
      <w:hyperlink r:id="rId786" w:history="1">
        <w:r w:rsidR="00DC2FE2" w:rsidRPr="00EF7399">
          <w:rPr>
            <w:rStyle w:val="Hyperlink"/>
            <w:rFonts w:ascii="Times New Roman" w:hAnsi="Times New Roman" w:cs="Times New Roman"/>
            <w:iCs/>
            <w:lang w:val="af-ZA"/>
          </w:rPr>
          <w:t>MİHR Foundation</w:t>
        </w:r>
        <w:r w:rsidR="00873234" w:rsidRPr="00EF7399">
          <w:rPr>
            <w:rStyle w:val="Hyperlink"/>
            <w:rFonts w:ascii="Times New Roman" w:hAnsi="Times New Roman" w:cs="Times New Roman"/>
            <w:iCs/>
            <w:lang w:val="af-ZA"/>
          </w:rPr>
          <w:t xml:space="preserve"> v. </w:t>
        </w:r>
        <w:r w:rsidR="00DC2FE2" w:rsidRPr="00EF7399">
          <w:rPr>
            <w:rStyle w:val="Hyperlink"/>
            <w:rFonts w:ascii="Times New Roman" w:hAnsi="Times New Roman" w:cs="Times New Roman"/>
            <w:iCs/>
            <w:lang w:val="af-ZA"/>
          </w:rPr>
          <w:t>Turkey</w:t>
        </w:r>
      </w:hyperlink>
      <w:r w:rsidR="00D405CB" w:rsidRPr="00EF7399">
        <w:rPr>
          <w:rFonts w:ascii="Times New Roman" w:hAnsi="Times New Roman" w:cs="Times New Roman"/>
          <w:lang w:val="af-ZA"/>
        </w:rPr>
        <w:t>,</w:t>
      </w:r>
      <w:r w:rsidR="00D405CB" w:rsidRPr="00EF7399">
        <w:rPr>
          <w:rFonts w:ascii="Times New Roman" w:hAnsi="Times New Roman" w:cs="Times New Roman"/>
          <w:b/>
          <w:i/>
          <w:lang w:val="af-ZA"/>
        </w:rPr>
        <w:t xml:space="preserve"> </w:t>
      </w:r>
      <w:r w:rsidR="00D405CB" w:rsidRPr="00EF7399">
        <w:rPr>
          <w:rFonts w:ascii="Times New Roman" w:hAnsi="Times New Roman" w:cs="Times New Roman"/>
          <w:lang w:val="af-ZA"/>
        </w:rPr>
        <w:t>no. 10814/07, 7 May 2019</w:t>
      </w:r>
    </w:p>
    <w:p w14:paraId="0CA72A11" w14:textId="23C2F9F2" w:rsidR="004C3976" w:rsidRPr="00EF7399" w:rsidRDefault="00000000" w:rsidP="004C3976">
      <w:pPr>
        <w:pStyle w:val="ECHRParaHanging"/>
        <w:rPr>
          <w:rFonts w:ascii="Times New Roman" w:hAnsi="Times New Roman" w:cs="Times New Roman"/>
          <w:lang w:val="af-ZA"/>
        </w:rPr>
      </w:pPr>
      <w:hyperlink r:id="rId787" w:history="1">
        <w:r w:rsidR="004C3976" w:rsidRPr="00EF7399">
          <w:rPr>
            <w:rStyle w:val="Hyperlink"/>
            <w:rFonts w:ascii="Times New Roman" w:hAnsi="Times New Roman" w:cs="Times New Roman"/>
            <w:lang w:val="af-ZA"/>
          </w:rPr>
          <w:t>Moscow Branch of the Salvation Army</w:t>
        </w:r>
        <w:r w:rsidR="00873234" w:rsidRPr="00EF7399">
          <w:rPr>
            <w:rStyle w:val="Hyperlink"/>
            <w:rFonts w:ascii="Times New Roman" w:hAnsi="Times New Roman" w:cs="Times New Roman"/>
            <w:lang w:val="af-ZA"/>
          </w:rPr>
          <w:t xml:space="preserve"> v. </w:t>
        </w:r>
        <w:r w:rsidR="004C3976" w:rsidRPr="00EF7399">
          <w:rPr>
            <w:rStyle w:val="Hyperlink"/>
            <w:rFonts w:ascii="Times New Roman" w:hAnsi="Times New Roman" w:cs="Times New Roman"/>
            <w:lang w:val="af-ZA"/>
          </w:rPr>
          <w:t>Russia</w:t>
        </w:r>
      </w:hyperlink>
      <w:r w:rsidR="004C3976" w:rsidRPr="00EF7399">
        <w:rPr>
          <w:rFonts w:ascii="Times New Roman" w:hAnsi="Times New Roman" w:cs="Times New Roman"/>
          <w:lang w:val="af-ZA"/>
        </w:rPr>
        <w:t>, no. 72881/01, ECHR 2006</w:t>
      </w:r>
      <w:r w:rsidR="004C3976" w:rsidRPr="00EF7399">
        <w:rPr>
          <w:rFonts w:ascii="Times New Roman" w:hAnsi="Times New Roman" w:cs="Times New Roman"/>
          <w:lang w:val="af-ZA"/>
        </w:rPr>
        <w:noBreakHyphen/>
        <w:t>XI</w:t>
      </w:r>
    </w:p>
    <w:p w14:paraId="04057CEF" w14:textId="09FB7C47" w:rsidR="009120C7" w:rsidRPr="00EF7399" w:rsidRDefault="00000000" w:rsidP="004C3976">
      <w:pPr>
        <w:pStyle w:val="ECHRParaHanging"/>
        <w:rPr>
          <w:rFonts w:ascii="Times New Roman" w:hAnsi="Times New Roman" w:cs="Times New Roman"/>
          <w:lang w:val="af-ZA"/>
        </w:rPr>
      </w:pPr>
      <w:hyperlink r:id="rId788" w:history="1">
        <w:r w:rsidR="009120C7" w:rsidRPr="00EF7399">
          <w:rPr>
            <w:rStyle w:val="Hyperlink"/>
            <w:rFonts w:ascii="Times New Roman" w:hAnsi="Times New Roman" w:cs="Times New Roman"/>
            <w:lang w:val="af-ZA"/>
          </w:rPr>
          <w:t>Movement for Democratic Kingdom</w:t>
        </w:r>
        <w:r w:rsidR="00873234" w:rsidRPr="00EF7399">
          <w:rPr>
            <w:rStyle w:val="Hyperlink"/>
            <w:rFonts w:ascii="Times New Roman" w:hAnsi="Times New Roman" w:cs="Times New Roman"/>
            <w:lang w:val="af-ZA"/>
          </w:rPr>
          <w:t xml:space="preserve"> v. </w:t>
        </w:r>
        <w:r w:rsidR="009120C7" w:rsidRPr="00EF7399">
          <w:rPr>
            <w:rStyle w:val="Hyperlink"/>
            <w:rFonts w:ascii="Times New Roman" w:hAnsi="Times New Roman" w:cs="Times New Roman"/>
            <w:lang w:val="af-ZA"/>
          </w:rPr>
          <w:t>Bulgaria</w:t>
        </w:r>
      </w:hyperlink>
      <w:r w:rsidR="009120C7" w:rsidRPr="00EF7399">
        <w:rPr>
          <w:rFonts w:ascii="Times New Roman" w:hAnsi="Times New Roman" w:cs="Times New Roman"/>
          <w:lang w:val="af-ZA"/>
        </w:rPr>
        <w:t>, no. 27608/95, Commission decision of 29 November 1995, unpublished</w:t>
      </w:r>
    </w:p>
    <w:p w14:paraId="3626E37C" w14:textId="0FDB6E96" w:rsidR="008A2CE0" w:rsidRPr="00EF7399" w:rsidRDefault="00000000" w:rsidP="004C3976">
      <w:pPr>
        <w:pStyle w:val="ECHRParaHanging"/>
        <w:rPr>
          <w:rFonts w:ascii="Times New Roman" w:hAnsi="Times New Roman" w:cs="Times New Roman"/>
          <w:lang w:val="af-ZA"/>
        </w:rPr>
      </w:pPr>
      <w:hyperlink r:id="rId789" w:history="1">
        <w:r w:rsidR="008A2CE0" w:rsidRPr="00EF7399">
          <w:rPr>
            <w:rStyle w:val="Hyperlink"/>
            <w:rFonts w:ascii="Times New Roman" w:hAnsi="Times New Roman" w:cs="Times New Roman"/>
            <w:iCs/>
            <w:lang w:val="af-ZA"/>
          </w:rPr>
          <w:t>Mustafa Hajili and Others v. Azerbaijan</w:t>
        </w:r>
      </w:hyperlink>
      <w:r w:rsidR="008A2CE0" w:rsidRPr="00EF7399">
        <w:rPr>
          <w:rFonts w:ascii="Times New Roman" w:hAnsi="Times New Roman" w:cs="Times New Roman"/>
          <w:lang w:val="af-ZA"/>
        </w:rPr>
        <w:t>, nos. 69483/13 et al., 6 October 2022</w:t>
      </w:r>
    </w:p>
    <w:p w14:paraId="61969D7C" w14:textId="702E2C35" w:rsidR="00C9283C" w:rsidRPr="00EF7399" w:rsidRDefault="00000000" w:rsidP="004C3976">
      <w:pPr>
        <w:pStyle w:val="ECHRParaHanging"/>
        <w:rPr>
          <w:rFonts w:ascii="Times New Roman" w:hAnsi="Times New Roman" w:cs="Times New Roman"/>
          <w:lang w:val="af-ZA"/>
        </w:rPr>
      </w:pPr>
      <w:hyperlink r:id="rId790" w:history="1">
        <w:r w:rsidR="00C9283C" w:rsidRPr="00EF7399">
          <w:rPr>
            <w:rStyle w:val="Hyperlink"/>
            <w:rFonts w:ascii="Times New Roman" w:hAnsi="Times New Roman" w:cs="Times New Roman"/>
            <w:lang w:val="af-ZA"/>
          </w:rPr>
          <w:t>Mytilinaios and Kostakis</w:t>
        </w:r>
        <w:r w:rsidR="00873234" w:rsidRPr="00EF7399">
          <w:rPr>
            <w:rStyle w:val="Hyperlink"/>
            <w:rFonts w:ascii="Times New Roman" w:hAnsi="Times New Roman" w:cs="Times New Roman"/>
            <w:lang w:val="af-ZA"/>
          </w:rPr>
          <w:t xml:space="preserve"> v. </w:t>
        </w:r>
        <w:r w:rsidR="00C9283C" w:rsidRPr="00EF7399">
          <w:rPr>
            <w:rStyle w:val="Hyperlink"/>
            <w:rFonts w:ascii="Times New Roman" w:hAnsi="Times New Roman" w:cs="Times New Roman"/>
            <w:lang w:val="af-ZA"/>
          </w:rPr>
          <w:t>Greece</w:t>
        </w:r>
      </w:hyperlink>
      <w:r w:rsidR="00C9283C" w:rsidRPr="00EF7399">
        <w:rPr>
          <w:rFonts w:ascii="Times New Roman" w:hAnsi="Times New Roman" w:cs="Times New Roman"/>
          <w:lang w:val="af-ZA"/>
        </w:rPr>
        <w:t>, no. 29389/11, 3 December 2015</w:t>
      </w:r>
    </w:p>
    <w:p w14:paraId="6A2494E2" w14:textId="77777777" w:rsidR="006019EB" w:rsidRPr="00EF7399" w:rsidRDefault="006019EB" w:rsidP="006019EB">
      <w:pPr>
        <w:pStyle w:val="ECHRTitleCentre1"/>
        <w:rPr>
          <w:rFonts w:ascii="Times New Roman" w:hAnsi="Times New Roman" w:cs="Times New Roman"/>
          <w:lang w:val="af-ZA"/>
        </w:rPr>
      </w:pPr>
      <w:r w:rsidRPr="00EF7399">
        <w:rPr>
          <w:rFonts w:ascii="Times New Roman" w:hAnsi="Times New Roman" w:cs="Times New Roman"/>
          <w:lang w:val="af-ZA"/>
        </w:rPr>
        <w:t>—N—</w:t>
      </w:r>
    </w:p>
    <w:p w14:paraId="18707F17" w14:textId="3662E48A" w:rsidR="005B31F3" w:rsidRPr="00EF7399" w:rsidRDefault="00000000" w:rsidP="005B31F3">
      <w:pPr>
        <w:pStyle w:val="ECHRParaHanging"/>
        <w:rPr>
          <w:rFonts w:ascii="Times New Roman" w:hAnsi="Times New Roman" w:cs="Times New Roman"/>
          <w:lang w:val="af-ZA"/>
        </w:rPr>
      </w:pPr>
      <w:hyperlink r:id="rId791" w:history="1">
        <w:r w:rsidR="005B31F3" w:rsidRPr="00EF7399">
          <w:rPr>
            <w:rStyle w:val="Hyperlink"/>
            <w:rFonts w:ascii="Times New Roman" w:hAnsi="Times New Roman" w:cs="Times New Roman"/>
            <w:lang w:val="af-ZA"/>
          </w:rPr>
          <w:t>N.F.</w:t>
        </w:r>
        <w:r w:rsidR="00873234" w:rsidRPr="00EF7399">
          <w:rPr>
            <w:rStyle w:val="Hyperlink"/>
            <w:rFonts w:ascii="Times New Roman" w:hAnsi="Times New Roman" w:cs="Times New Roman"/>
            <w:lang w:val="af-ZA"/>
          </w:rPr>
          <w:t xml:space="preserve"> v. </w:t>
        </w:r>
        <w:r w:rsidR="005B31F3" w:rsidRPr="00EF7399">
          <w:rPr>
            <w:rStyle w:val="Hyperlink"/>
            <w:rFonts w:ascii="Times New Roman" w:hAnsi="Times New Roman" w:cs="Times New Roman"/>
            <w:lang w:val="af-ZA"/>
          </w:rPr>
          <w:t>Italy</w:t>
        </w:r>
      </w:hyperlink>
      <w:r w:rsidR="005B31F3" w:rsidRPr="00EF7399">
        <w:rPr>
          <w:rFonts w:ascii="Times New Roman" w:hAnsi="Times New Roman" w:cs="Times New Roman"/>
          <w:lang w:val="af-ZA"/>
        </w:rPr>
        <w:t>, no. 37119/97, ECHR 2001</w:t>
      </w:r>
      <w:r w:rsidR="005B31F3" w:rsidRPr="00EF7399">
        <w:rPr>
          <w:rFonts w:ascii="Times New Roman" w:hAnsi="Times New Roman" w:cs="Times New Roman"/>
          <w:lang w:val="af-ZA"/>
        </w:rPr>
        <w:noBreakHyphen/>
        <w:t>IX</w:t>
      </w:r>
    </w:p>
    <w:p w14:paraId="2EC858CB" w14:textId="0AE66292" w:rsidR="006019EB" w:rsidRPr="00EF7399" w:rsidRDefault="00000000" w:rsidP="006019EB">
      <w:pPr>
        <w:pStyle w:val="ECHRParaHanging"/>
        <w:rPr>
          <w:rFonts w:ascii="Times New Roman" w:hAnsi="Times New Roman" w:cs="Times New Roman"/>
          <w:lang w:val="af-ZA"/>
        </w:rPr>
      </w:pPr>
      <w:hyperlink r:id="rId792" w:history="1">
        <w:r w:rsidR="00FE6087" w:rsidRPr="00EF7399">
          <w:rPr>
            <w:rStyle w:val="Hyperlink"/>
            <w:rFonts w:ascii="Times New Roman" w:hAnsi="Times New Roman" w:cs="Times New Roman"/>
            <w:lang w:val="af-ZA"/>
          </w:rPr>
          <w:t>National Notary Chamber</w:t>
        </w:r>
        <w:r w:rsidR="00873234" w:rsidRPr="00EF7399">
          <w:rPr>
            <w:rStyle w:val="Hyperlink"/>
            <w:rFonts w:ascii="Times New Roman" w:hAnsi="Times New Roman" w:cs="Times New Roman"/>
            <w:lang w:val="af-ZA"/>
          </w:rPr>
          <w:t xml:space="preserve"> v. </w:t>
        </w:r>
        <w:r w:rsidR="00FE6087" w:rsidRPr="00EF7399">
          <w:rPr>
            <w:rStyle w:val="Hyperlink"/>
            <w:rFonts w:ascii="Times New Roman" w:hAnsi="Times New Roman" w:cs="Times New Roman"/>
            <w:lang w:val="af-ZA"/>
          </w:rPr>
          <w:t>Albania</w:t>
        </w:r>
      </w:hyperlink>
      <w:r w:rsidR="00FE6087" w:rsidRPr="00EF7399">
        <w:rPr>
          <w:rFonts w:ascii="Times New Roman" w:hAnsi="Times New Roman" w:cs="Times New Roman"/>
          <w:lang w:val="af-ZA"/>
        </w:rPr>
        <w:t xml:space="preserve"> (dec.), no. 17029/05, 6 May 2008</w:t>
      </w:r>
    </w:p>
    <w:p w14:paraId="57032981" w14:textId="436025C0" w:rsidR="00FD4BDF" w:rsidRPr="00EF7399" w:rsidRDefault="00000000" w:rsidP="00FD4BDF">
      <w:pPr>
        <w:pStyle w:val="ECHRParaHanging"/>
        <w:rPr>
          <w:rFonts w:ascii="Times New Roman" w:hAnsi="Times New Roman" w:cs="Times New Roman"/>
          <w:iCs/>
          <w:lang w:val="af-ZA"/>
        </w:rPr>
      </w:pPr>
      <w:hyperlink r:id="rId793" w:history="1">
        <w:r w:rsidR="00FD4BDF" w:rsidRPr="00EF7399">
          <w:rPr>
            <w:rStyle w:val="Hyperlink"/>
            <w:rFonts w:ascii="Times New Roman" w:hAnsi="Times New Roman" w:cs="Times New Roman"/>
            <w:iCs/>
            <w:lang w:val="af-ZA"/>
          </w:rPr>
          <w:t>National Union of Belgian Police</w:t>
        </w:r>
        <w:r w:rsidR="00873234" w:rsidRPr="00EF7399">
          <w:rPr>
            <w:rStyle w:val="Hyperlink"/>
            <w:rFonts w:ascii="Times New Roman" w:hAnsi="Times New Roman" w:cs="Times New Roman"/>
            <w:iCs/>
            <w:lang w:val="af-ZA"/>
          </w:rPr>
          <w:t xml:space="preserve"> v. </w:t>
        </w:r>
        <w:r w:rsidR="00FD4BDF" w:rsidRPr="00EF7399">
          <w:rPr>
            <w:rStyle w:val="Hyperlink"/>
            <w:rFonts w:ascii="Times New Roman" w:hAnsi="Times New Roman" w:cs="Times New Roman"/>
            <w:iCs/>
            <w:lang w:val="af-ZA"/>
          </w:rPr>
          <w:t>Belgium</w:t>
        </w:r>
      </w:hyperlink>
      <w:r w:rsidR="00FD4BDF" w:rsidRPr="00EF7399">
        <w:rPr>
          <w:rFonts w:ascii="Times New Roman" w:hAnsi="Times New Roman" w:cs="Times New Roman"/>
          <w:iCs/>
          <w:lang w:val="af-ZA"/>
        </w:rPr>
        <w:t>, 27 October 1975, Series A no. 19</w:t>
      </w:r>
    </w:p>
    <w:p w14:paraId="2F5C17D3" w14:textId="5A94FEC1" w:rsidR="0069284A" w:rsidRPr="00EF7399" w:rsidRDefault="00000000" w:rsidP="0069284A">
      <w:pPr>
        <w:pStyle w:val="ECHRParaHanging"/>
        <w:rPr>
          <w:rFonts w:ascii="Times New Roman" w:hAnsi="Times New Roman" w:cs="Times New Roman"/>
          <w:iCs/>
          <w:lang w:val="af-ZA"/>
        </w:rPr>
      </w:pPr>
      <w:hyperlink r:id="rId794" w:history="1">
        <w:r w:rsidR="0069284A" w:rsidRPr="00EF7399">
          <w:rPr>
            <w:rStyle w:val="Hyperlink"/>
            <w:rFonts w:ascii="Times New Roman" w:hAnsi="Times New Roman" w:cs="Times New Roman"/>
            <w:iCs/>
            <w:lang w:val="af-ZA"/>
          </w:rPr>
          <w:t>National Union of Rail, Maritime and Transport Workers</w:t>
        </w:r>
        <w:r w:rsidR="00873234" w:rsidRPr="00EF7399">
          <w:rPr>
            <w:rStyle w:val="Hyperlink"/>
            <w:rFonts w:ascii="Times New Roman" w:hAnsi="Times New Roman" w:cs="Times New Roman"/>
            <w:iCs/>
            <w:lang w:val="af-ZA"/>
          </w:rPr>
          <w:t xml:space="preserve"> v. </w:t>
        </w:r>
        <w:r w:rsidR="0069284A" w:rsidRPr="00EF7399">
          <w:rPr>
            <w:rStyle w:val="Hyperlink"/>
            <w:rFonts w:ascii="Times New Roman" w:hAnsi="Times New Roman" w:cs="Times New Roman"/>
            <w:iCs/>
            <w:lang w:val="af-ZA"/>
          </w:rPr>
          <w:t>the United Kingdom</w:t>
        </w:r>
      </w:hyperlink>
      <w:r w:rsidR="0069284A" w:rsidRPr="00EF7399">
        <w:rPr>
          <w:rFonts w:ascii="Times New Roman" w:hAnsi="Times New Roman" w:cs="Times New Roman"/>
          <w:iCs/>
          <w:lang w:val="af-ZA"/>
        </w:rPr>
        <w:t>, no. 31045/10, ECHR 2014</w:t>
      </w:r>
    </w:p>
    <w:p w14:paraId="7B0ACAF2" w14:textId="20FE214F" w:rsidR="00ED2E0E" w:rsidRPr="00EF7399" w:rsidRDefault="00000000" w:rsidP="006019EB">
      <w:pPr>
        <w:pStyle w:val="ECHRParaHanging"/>
        <w:rPr>
          <w:rFonts w:ascii="Times New Roman" w:hAnsi="Times New Roman" w:cs="Times New Roman"/>
          <w:lang w:val="af-ZA"/>
        </w:rPr>
      </w:pPr>
      <w:hyperlink r:id="rId795" w:history="1">
        <w:r w:rsidR="00ED2E0E" w:rsidRPr="00EF7399">
          <w:rPr>
            <w:rStyle w:val="Hyperlink"/>
            <w:rFonts w:ascii="Times New Roman" w:hAnsi="Times New Roman" w:cs="Times New Roman"/>
            <w:iCs/>
            <w:lang w:val="af-ZA"/>
          </w:rPr>
          <w:t>National Turkish Union Kungyun</w:t>
        </w:r>
        <w:r w:rsidR="00873234" w:rsidRPr="00EF7399">
          <w:rPr>
            <w:rStyle w:val="Hyperlink"/>
            <w:rFonts w:ascii="Times New Roman" w:hAnsi="Times New Roman" w:cs="Times New Roman"/>
            <w:iCs/>
            <w:lang w:val="af-ZA"/>
          </w:rPr>
          <w:t xml:space="preserve"> v. </w:t>
        </w:r>
        <w:r w:rsidR="00ED2E0E" w:rsidRPr="00EF7399">
          <w:rPr>
            <w:rStyle w:val="Hyperlink"/>
            <w:rFonts w:ascii="Times New Roman" w:hAnsi="Times New Roman" w:cs="Times New Roman"/>
            <w:iCs/>
            <w:lang w:val="af-ZA"/>
          </w:rPr>
          <w:t>Bulgaria</w:t>
        </w:r>
      </w:hyperlink>
      <w:r w:rsidR="00ED2E0E" w:rsidRPr="00EF7399">
        <w:rPr>
          <w:rFonts w:ascii="Times New Roman" w:hAnsi="Times New Roman" w:cs="Times New Roman"/>
          <w:lang w:val="af-ZA"/>
        </w:rPr>
        <w:t>, no. 4776/08, 8 June 2017</w:t>
      </w:r>
    </w:p>
    <w:p w14:paraId="6818A930" w14:textId="50509C74" w:rsidR="009832A9" w:rsidRPr="00EF7399" w:rsidRDefault="00000000" w:rsidP="009832A9">
      <w:pPr>
        <w:pStyle w:val="ECHRParaHanging"/>
        <w:rPr>
          <w:rFonts w:ascii="Times New Roman" w:hAnsi="Times New Roman" w:cs="Times New Roman"/>
          <w:lang w:val="af-ZA"/>
        </w:rPr>
      </w:pPr>
      <w:hyperlink r:id="rId796" w:history="1">
        <w:r w:rsidR="009832A9" w:rsidRPr="00EF7399">
          <w:rPr>
            <w:rStyle w:val="Hyperlink"/>
            <w:rFonts w:ascii="Times New Roman" w:hAnsi="Times New Roman" w:cs="Times New Roman"/>
            <w:lang w:val="af-ZA"/>
          </w:rPr>
          <w:t>Navalnyy</w:t>
        </w:r>
        <w:r w:rsidR="00873234" w:rsidRPr="00EF7399">
          <w:rPr>
            <w:rStyle w:val="Hyperlink"/>
            <w:rFonts w:ascii="Times New Roman" w:hAnsi="Times New Roman" w:cs="Times New Roman"/>
            <w:lang w:val="af-ZA"/>
          </w:rPr>
          <w:t xml:space="preserve"> v. </w:t>
        </w:r>
        <w:r w:rsidR="009832A9" w:rsidRPr="00EF7399">
          <w:rPr>
            <w:rStyle w:val="Hyperlink"/>
            <w:rFonts w:ascii="Times New Roman" w:hAnsi="Times New Roman" w:cs="Times New Roman"/>
            <w:lang w:val="af-ZA"/>
          </w:rPr>
          <w:t>Russia</w:t>
        </w:r>
      </w:hyperlink>
      <w:r w:rsidR="009832A9" w:rsidRPr="00EF7399">
        <w:rPr>
          <w:rFonts w:ascii="Times New Roman" w:hAnsi="Times New Roman" w:cs="Times New Roman"/>
          <w:i/>
          <w:lang w:val="af-ZA"/>
        </w:rPr>
        <w:t xml:space="preserve"> </w:t>
      </w:r>
      <w:r w:rsidR="009832A9" w:rsidRPr="00EF7399">
        <w:rPr>
          <w:rFonts w:ascii="Times New Roman" w:hAnsi="Times New Roman" w:cs="Times New Roman"/>
          <w:lang w:val="af-ZA"/>
        </w:rPr>
        <w:t>[GC], nos. 29580/12 and 4 others, 15 November 2018</w:t>
      </w:r>
    </w:p>
    <w:p w14:paraId="151F7945" w14:textId="3F8EF64B" w:rsidR="00E51D7B" w:rsidRPr="00EF7399" w:rsidRDefault="00000000" w:rsidP="009832A9">
      <w:pPr>
        <w:pStyle w:val="ECHRParaHanging"/>
        <w:rPr>
          <w:rFonts w:ascii="Times New Roman" w:hAnsi="Times New Roman" w:cs="Times New Roman"/>
          <w:lang w:val="af-ZA"/>
        </w:rPr>
      </w:pPr>
      <w:hyperlink r:id="rId797" w:history="1">
        <w:r w:rsidR="00E51D7B" w:rsidRPr="00EF7399">
          <w:rPr>
            <w:rStyle w:val="Hyperlink"/>
            <w:rFonts w:ascii="Times New Roman" w:hAnsi="Times New Roman" w:cs="Times New Roman"/>
            <w:lang w:val="af-ZA" w:eastAsia="fr-FR"/>
          </w:rPr>
          <w:t>Navalnyy and Gunko</w:t>
        </w:r>
        <w:r w:rsidR="00873234" w:rsidRPr="00EF7399">
          <w:rPr>
            <w:rStyle w:val="Hyperlink"/>
            <w:rFonts w:ascii="Times New Roman" w:hAnsi="Times New Roman" w:cs="Times New Roman"/>
            <w:lang w:val="af-ZA" w:eastAsia="fr-FR"/>
          </w:rPr>
          <w:t xml:space="preserve"> v. </w:t>
        </w:r>
        <w:r w:rsidR="00E51D7B" w:rsidRPr="00EF7399">
          <w:rPr>
            <w:rStyle w:val="Hyperlink"/>
            <w:rFonts w:ascii="Times New Roman" w:hAnsi="Times New Roman" w:cs="Times New Roman"/>
            <w:lang w:val="af-ZA" w:eastAsia="fr-FR"/>
          </w:rPr>
          <w:t>Russia</w:t>
        </w:r>
      </w:hyperlink>
      <w:r w:rsidR="00E51D7B" w:rsidRPr="00EF7399">
        <w:rPr>
          <w:rFonts w:ascii="Times New Roman" w:hAnsi="Times New Roman" w:cs="Times New Roman"/>
          <w:color w:val="000000"/>
          <w:lang w:val="af-ZA" w:eastAsia="fr-FR"/>
        </w:rPr>
        <w:t>, no. 75186/12, 10 November 2020</w:t>
      </w:r>
    </w:p>
    <w:p w14:paraId="737C15F1" w14:textId="6A8B6127" w:rsidR="009832A9" w:rsidRPr="00EF7399" w:rsidRDefault="00000000" w:rsidP="009832A9">
      <w:pPr>
        <w:pStyle w:val="ECHRParaHanging"/>
        <w:rPr>
          <w:rFonts w:ascii="Times New Roman" w:hAnsi="Times New Roman" w:cs="Times New Roman"/>
          <w:lang w:val="af-ZA"/>
        </w:rPr>
      </w:pPr>
      <w:hyperlink r:id="rId798" w:history="1">
        <w:r w:rsidR="009832A9" w:rsidRPr="00EF7399">
          <w:rPr>
            <w:rStyle w:val="Hyperlink"/>
            <w:rFonts w:ascii="Times New Roman" w:hAnsi="Times New Roman" w:cs="Times New Roman"/>
            <w:lang w:val="af-ZA"/>
          </w:rPr>
          <w:t>Navalnyy and Yashin</w:t>
        </w:r>
        <w:r w:rsidR="00873234" w:rsidRPr="00EF7399">
          <w:rPr>
            <w:rStyle w:val="Hyperlink"/>
            <w:rFonts w:ascii="Times New Roman" w:hAnsi="Times New Roman" w:cs="Times New Roman"/>
            <w:lang w:val="af-ZA"/>
          </w:rPr>
          <w:t xml:space="preserve"> v. </w:t>
        </w:r>
        <w:r w:rsidR="009832A9" w:rsidRPr="00EF7399">
          <w:rPr>
            <w:rStyle w:val="Hyperlink"/>
            <w:rFonts w:ascii="Times New Roman" w:hAnsi="Times New Roman" w:cs="Times New Roman"/>
            <w:lang w:val="af-ZA"/>
          </w:rPr>
          <w:t>Russia</w:t>
        </w:r>
      </w:hyperlink>
      <w:r w:rsidR="009832A9" w:rsidRPr="00EF7399">
        <w:rPr>
          <w:rFonts w:ascii="Times New Roman" w:hAnsi="Times New Roman" w:cs="Times New Roman"/>
          <w:lang w:val="af-ZA"/>
        </w:rPr>
        <w:t>, no. 76204/11, 4 December 2014</w:t>
      </w:r>
    </w:p>
    <w:p w14:paraId="7A62C27F" w14:textId="001B0112" w:rsidR="004E5A34" w:rsidRPr="00EF7399" w:rsidRDefault="00000000" w:rsidP="006019EB">
      <w:pPr>
        <w:pStyle w:val="ECHRParaHanging"/>
        <w:rPr>
          <w:rFonts w:ascii="Times New Roman" w:hAnsi="Times New Roman" w:cs="Times New Roman"/>
          <w:lang w:val="af-ZA"/>
        </w:rPr>
      </w:pPr>
      <w:hyperlink r:id="rId799" w:history="1">
        <w:r w:rsidR="004E5A34" w:rsidRPr="00EF7399">
          <w:rPr>
            <w:rStyle w:val="Hyperlink"/>
            <w:rFonts w:ascii="Times New Roman" w:hAnsi="Times New Roman" w:cs="Times New Roman"/>
            <w:lang w:val="af-ZA"/>
          </w:rPr>
          <w:t>Nemtsov</w:t>
        </w:r>
        <w:r w:rsidR="00873234" w:rsidRPr="00EF7399">
          <w:rPr>
            <w:rStyle w:val="Hyperlink"/>
            <w:rFonts w:ascii="Times New Roman" w:hAnsi="Times New Roman" w:cs="Times New Roman"/>
            <w:lang w:val="af-ZA"/>
          </w:rPr>
          <w:t xml:space="preserve"> v. </w:t>
        </w:r>
        <w:r w:rsidR="004E5A34" w:rsidRPr="00EF7399">
          <w:rPr>
            <w:rStyle w:val="Hyperlink"/>
            <w:rFonts w:ascii="Times New Roman" w:hAnsi="Times New Roman" w:cs="Times New Roman"/>
            <w:lang w:val="af-ZA"/>
          </w:rPr>
          <w:t>Russia</w:t>
        </w:r>
      </w:hyperlink>
      <w:r w:rsidR="004E5A34" w:rsidRPr="00EF7399">
        <w:rPr>
          <w:rFonts w:ascii="Times New Roman" w:hAnsi="Times New Roman" w:cs="Times New Roman"/>
          <w:lang w:val="af-ZA"/>
        </w:rPr>
        <w:t>, no. 1774/11, 31 July 2014</w:t>
      </w:r>
    </w:p>
    <w:p w14:paraId="02C5C293" w14:textId="2704B23C" w:rsidR="00314385" w:rsidRPr="00EF7399" w:rsidRDefault="00000000" w:rsidP="00314385">
      <w:pPr>
        <w:pStyle w:val="ECHRParaHanging"/>
        <w:rPr>
          <w:rFonts w:ascii="Times New Roman" w:hAnsi="Times New Roman" w:cs="Times New Roman"/>
          <w:lang w:val="af-ZA"/>
        </w:rPr>
      </w:pPr>
      <w:hyperlink r:id="rId800" w:history="1">
        <w:r w:rsidR="00314385" w:rsidRPr="00EF7399">
          <w:rPr>
            <w:rStyle w:val="Hyperlink"/>
            <w:rFonts w:ascii="Times New Roman" w:hAnsi="Times New Roman" w:cs="Times New Roman"/>
            <w:lang w:val="af-ZA"/>
          </w:rPr>
          <w:t>Norwegian Confederation of Trade Unions (LO) and Norwegian Transport Workers</w:t>
        </w:r>
        <w:r w:rsidR="00DF297D" w:rsidRPr="00EF7399">
          <w:rPr>
            <w:rStyle w:val="Hyperlink"/>
            <w:rFonts w:ascii="Times New Roman" w:hAnsi="Times New Roman" w:cs="Times New Roman"/>
            <w:lang w:val="af-ZA"/>
          </w:rPr>
          <w:t>’</w:t>
        </w:r>
        <w:r w:rsidR="00314385" w:rsidRPr="00EF7399">
          <w:rPr>
            <w:rStyle w:val="Hyperlink"/>
            <w:rFonts w:ascii="Times New Roman" w:hAnsi="Times New Roman" w:cs="Times New Roman"/>
            <w:lang w:val="af-ZA"/>
          </w:rPr>
          <w:t xml:space="preserve"> Union (NTF)</w:t>
        </w:r>
        <w:r w:rsidR="00873234" w:rsidRPr="00EF7399">
          <w:rPr>
            <w:rStyle w:val="Hyperlink"/>
            <w:rFonts w:ascii="Times New Roman" w:hAnsi="Times New Roman" w:cs="Times New Roman"/>
            <w:lang w:val="af-ZA"/>
          </w:rPr>
          <w:t xml:space="preserve"> v. </w:t>
        </w:r>
        <w:r w:rsidR="00314385" w:rsidRPr="00EF7399">
          <w:rPr>
            <w:rStyle w:val="Hyperlink"/>
            <w:rFonts w:ascii="Times New Roman" w:hAnsi="Times New Roman" w:cs="Times New Roman"/>
            <w:lang w:val="af-ZA"/>
          </w:rPr>
          <w:t>Norway</w:t>
        </w:r>
      </w:hyperlink>
      <w:r w:rsidR="00314385" w:rsidRPr="00EF7399">
        <w:rPr>
          <w:rFonts w:ascii="Times New Roman" w:hAnsi="Times New Roman" w:cs="Times New Roman"/>
          <w:lang w:val="af-ZA"/>
        </w:rPr>
        <w:t>, no. 45487/17, 10 June 2021</w:t>
      </w:r>
    </w:p>
    <w:p w14:paraId="39CC7D65" w14:textId="7A365F18" w:rsidR="00A24EA3" w:rsidRPr="00EF7399" w:rsidRDefault="00000000" w:rsidP="006019EB">
      <w:pPr>
        <w:pStyle w:val="ECHRParaHanging"/>
        <w:rPr>
          <w:rFonts w:ascii="Times New Roman" w:hAnsi="Times New Roman" w:cs="Times New Roman"/>
          <w:lang w:val="af-ZA"/>
        </w:rPr>
      </w:pPr>
      <w:hyperlink r:id="rId801" w:history="1">
        <w:r w:rsidR="00A24EA3" w:rsidRPr="00EF7399">
          <w:rPr>
            <w:rStyle w:val="Hyperlink"/>
            <w:rFonts w:ascii="Times New Roman" w:hAnsi="Times New Roman" w:cs="Times New Roman"/>
            <w:lang w:val="af-ZA"/>
          </w:rPr>
          <w:t>Novikova and Others</w:t>
        </w:r>
        <w:r w:rsidR="00873234" w:rsidRPr="00EF7399">
          <w:rPr>
            <w:rStyle w:val="Hyperlink"/>
            <w:rFonts w:ascii="Times New Roman" w:hAnsi="Times New Roman" w:cs="Times New Roman"/>
            <w:lang w:val="af-ZA"/>
          </w:rPr>
          <w:t xml:space="preserve"> v. </w:t>
        </w:r>
        <w:r w:rsidR="00A24EA3" w:rsidRPr="00EF7399">
          <w:rPr>
            <w:rStyle w:val="Hyperlink"/>
            <w:rFonts w:ascii="Times New Roman" w:hAnsi="Times New Roman" w:cs="Times New Roman"/>
            <w:lang w:val="af-ZA"/>
          </w:rPr>
          <w:t>Russia</w:t>
        </w:r>
      </w:hyperlink>
      <w:r w:rsidR="00A24EA3" w:rsidRPr="00EF7399">
        <w:rPr>
          <w:rFonts w:ascii="Times New Roman" w:hAnsi="Times New Roman" w:cs="Times New Roman"/>
          <w:lang w:val="af-ZA"/>
        </w:rPr>
        <w:t>, nos. 25501/07 and 4 others, 26 April 2016</w:t>
      </w:r>
    </w:p>
    <w:p w14:paraId="74F35DE3" w14:textId="12EB05E5" w:rsidR="000D7F2E" w:rsidRPr="00EF7399" w:rsidRDefault="00000000" w:rsidP="000D7F2E">
      <w:pPr>
        <w:pStyle w:val="ECHRParaHanging"/>
        <w:rPr>
          <w:rFonts w:ascii="Times New Roman" w:hAnsi="Times New Roman" w:cs="Times New Roman"/>
          <w:lang w:val="af-ZA"/>
        </w:rPr>
      </w:pPr>
      <w:hyperlink r:id="rId802" w:history="1">
        <w:r w:rsidR="000D7F2E" w:rsidRPr="00EF7399">
          <w:rPr>
            <w:rStyle w:val="Hyperlink"/>
            <w:rFonts w:ascii="Times New Roman" w:hAnsi="Times New Roman" w:cs="Times New Roman"/>
            <w:lang w:val="af-ZA"/>
          </w:rPr>
          <w:t>Nurettin Aldemir and Others</w:t>
        </w:r>
        <w:r w:rsidR="00873234" w:rsidRPr="00EF7399">
          <w:rPr>
            <w:rStyle w:val="Hyperlink"/>
            <w:rFonts w:ascii="Times New Roman" w:hAnsi="Times New Roman" w:cs="Times New Roman"/>
            <w:lang w:val="af-ZA"/>
          </w:rPr>
          <w:t xml:space="preserve"> v. </w:t>
        </w:r>
        <w:r w:rsidR="000D7F2E" w:rsidRPr="00EF7399">
          <w:rPr>
            <w:rStyle w:val="Hyperlink"/>
            <w:rFonts w:ascii="Times New Roman" w:hAnsi="Times New Roman" w:cs="Times New Roman"/>
            <w:lang w:val="af-ZA"/>
          </w:rPr>
          <w:t>Turkey</w:t>
        </w:r>
      </w:hyperlink>
      <w:r w:rsidR="000D7F2E" w:rsidRPr="00EF7399">
        <w:rPr>
          <w:rFonts w:ascii="Times New Roman" w:hAnsi="Times New Roman" w:cs="Times New Roman"/>
          <w:lang w:val="af-ZA"/>
        </w:rPr>
        <w:t>, nos. 32124/02 and 6 others, 18 December 2007</w:t>
      </w:r>
    </w:p>
    <w:p w14:paraId="3765B145" w14:textId="77777777" w:rsidR="006019EB" w:rsidRPr="00EF7399" w:rsidRDefault="006019EB" w:rsidP="006019EB">
      <w:pPr>
        <w:pStyle w:val="ECHRTitleCentre1"/>
        <w:rPr>
          <w:rFonts w:ascii="Times New Roman" w:hAnsi="Times New Roman" w:cs="Times New Roman"/>
          <w:lang w:val="af-ZA"/>
        </w:rPr>
      </w:pPr>
      <w:r w:rsidRPr="00EF7399">
        <w:rPr>
          <w:rFonts w:ascii="Times New Roman" w:hAnsi="Times New Roman" w:cs="Times New Roman"/>
          <w:lang w:val="af-ZA"/>
        </w:rPr>
        <w:lastRenderedPageBreak/>
        <w:t>—O—</w:t>
      </w:r>
    </w:p>
    <w:p w14:paraId="534E7BCE" w14:textId="5D4DE480" w:rsidR="006170CE" w:rsidRPr="00EF7399" w:rsidRDefault="00000000" w:rsidP="00D405CB">
      <w:pPr>
        <w:pStyle w:val="ECHRParaHanging"/>
        <w:rPr>
          <w:rFonts w:ascii="Times New Roman" w:hAnsi="Times New Roman" w:cs="Times New Roman"/>
          <w:lang w:val="af-ZA"/>
        </w:rPr>
      </w:pPr>
      <w:hyperlink r:id="rId803" w:history="1">
        <w:r w:rsidR="006170CE" w:rsidRPr="00EF7399">
          <w:rPr>
            <w:rStyle w:val="Hyperlink"/>
            <w:rFonts w:ascii="Times New Roman" w:hAnsi="Times New Roman" w:cs="Times New Roman"/>
            <w:iCs/>
            <w:lang w:val="af-ZA"/>
          </w:rPr>
          <w:t>Obote</w:t>
        </w:r>
        <w:r w:rsidR="00873234" w:rsidRPr="00EF7399">
          <w:rPr>
            <w:rStyle w:val="Hyperlink"/>
            <w:rFonts w:ascii="Times New Roman" w:hAnsi="Times New Roman" w:cs="Times New Roman"/>
            <w:iCs/>
            <w:lang w:val="af-ZA"/>
          </w:rPr>
          <w:t xml:space="preserve"> v. </w:t>
        </w:r>
        <w:r w:rsidR="006170CE" w:rsidRPr="00EF7399">
          <w:rPr>
            <w:rStyle w:val="Hyperlink"/>
            <w:rFonts w:ascii="Times New Roman" w:hAnsi="Times New Roman" w:cs="Times New Roman"/>
            <w:iCs/>
            <w:lang w:val="af-ZA"/>
          </w:rPr>
          <w:t>Russia</w:t>
        </w:r>
      </w:hyperlink>
      <w:r w:rsidR="006170CE" w:rsidRPr="00EF7399">
        <w:rPr>
          <w:rFonts w:ascii="Times New Roman" w:hAnsi="Times New Roman" w:cs="Times New Roman"/>
          <w:color w:val="000000"/>
          <w:lang w:val="af-ZA"/>
        </w:rPr>
        <w:t>, no. 58954/09, 19 November 2019</w:t>
      </w:r>
    </w:p>
    <w:p w14:paraId="04F08294" w14:textId="1043F931" w:rsidR="00D405CB" w:rsidRPr="00EF7399" w:rsidRDefault="00000000" w:rsidP="00D405CB">
      <w:pPr>
        <w:pStyle w:val="ECHRParaHanging"/>
        <w:rPr>
          <w:rFonts w:ascii="Times New Roman" w:hAnsi="Times New Roman" w:cs="Times New Roman"/>
          <w:iCs/>
          <w:lang w:val="af-ZA"/>
        </w:rPr>
      </w:pPr>
      <w:hyperlink r:id="rId804" w:history="1">
        <w:r w:rsidR="00D405CB" w:rsidRPr="00EF7399">
          <w:rPr>
            <w:rStyle w:val="Hyperlink"/>
            <w:rFonts w:ascii="Times New Roman" w:hAnsi="Times New Roman" w:cs="Times New Roman"/>
            <w:iCs/>
            <w:lang w:val="af-ZA"/>
          </w:rPr>
          <w:t>Ognevenko</w:t>
        </w:r>
        <w:r w:rsidR="00873234" w:rsidRPr="00EF7399">
          <w:rPr>
            <w:rStyle w:val="Hyperlink"/>
            <w:rFonts w:ascii="Times New Roman" w:hAnsi="Times New Roman" w:cs="Times New Roman"/>
            <w:iCs/>
            <w:lang w:val="af-ZA"/>
          </w:rPr>
          <w:t xml:space="preserve"> v. </w:t>
        </w:r>
        <w:r w:rsidR="00D405CB" w:rsidRPr="00EF7399">
          <w:rPr>
            <w:rStyle w:val="Hyperlink"/>
            <w:rFonts w:ascii="Times New Roman" w:hAnsi="Times New Roman" w:cs="Times New Roman"/>
            <w:iCs/>
            <w:lang w:val="af-ZA"/>
          </w:rPr>
          <w:t>Russia</w:t>
        </w:r>
      </w:hyperlink>
      <w:r w:rsidR="00D405CB" w:rsidRPr="00EF7399">
        <w:rPr>
          <w:rFonts w:ascii="Times New Roman" w:hAnsi="Times New Roman" w:cs="Times New Roman"/>
          <w:iCs/>
          <w:lang w:val="af-ZA"/>
        </w:rPr>
        <w:t>, no. 44873/09, 20 November 2018</w:t>
      </w:r>
    </w:p>
    <w:p w14:paraId="19CE1B18" w14:textId="1ABB757D" w:rsidR="00A24EA3" w:rsidRPr="00EF7399" w:rsidRDefault="00000000" w:rsidP="00D405CB">
      <w:pPr>
        <w:pStyle w:val="ECHRParaHanging"/>
        <w:rPr>
          <w:rFonts w:ascii="Times New Roman" w:hAnsi="Times New Roman" w:cs="Times New Roman"/>
          <w:iCs/>
          <w:lang w:val="af-ZA"/>
        </w:rPr>
      </w:pPr>
      <w:hyperlink r:id="rId805" w:history="1">
        <w:r w:rsidR="00A24EA3" w:rsidRPr="00EF7399">
          <w:rPr>
            <w:rStyle w:val="Hyperlink"/>
            <w:rFonts w:ascii="Times New Roman" w:hAnsi="Times New Roman" w:cs="Times New Roman"/>
            <w:iCs/>
            <w:lang w:val="af-ZA"/>
          </w:rPr>
          <w:t>Öğrü</w:t>
        </w:r>
        <w:r w:rsidR="00873234" w:rsidRPr="00EF7399">
          <w:rPr>
            <w:rStyle w:val="Hyperlink"/>
            <w:rFonts w:ascii="Times New Roman" w:hAnsi="Times New Roman" w:cs="Times New Roman"/>
            <w:iCs/>
            <w:lang w:val="af-ZA"/>
          </w:rPr>
          <w:t xml:space="preserve"> v. </w:t>
        </w:r>
        <w:r w:rsidR="00A24EA3" w:rsidRPr="00EF7399">
          <w:rPr>
            <w:rStyle w:val="Hyperlink"/>
            <w:rFonts w:ascii="Times New Roman" w:hAnsi="Times New Roman" w:cs="Times New Roman"/>
            <w:iCs/>
            <w:lang w:val="af-ZA"/>
          </w:rPr>
          <w:t>Turkey</w:t>
        </w:r>
      </w:hyperlink>
      <w:r w:rsidR="00A24EA3" w:rsidRPr="00EF7399">
        <w:rPr>
          <w:rFonts w:ascii="Times New Roman" w:hAnsi="Times New Roman" w:cs="Times New Roman"/>
          <w:iCs/>
          <w:lang w:val="af-ZA"/>
        </w:rPr>
        <w:t>, no. 19631/12, 17 October 2017</w:t>
      </w:r>
    </w:p>
    <w:bookmarkStart w:id="112" w:name="_Hlk70522078"/>
    <w:p w14:paraId="27644A12" w14:textId="24970817" w:rsidR="00376FF2" w:rsidRPr="00EF7399" w:rsidRDefault="00376FF2" w:rsidP="00376FF2">
      <w:pPr>
        <w:pStyle w:val="ECHRParaHanging"/>
        <w:rPr>
          <w:rFonts w:ascii="Times New Roman" w:hAnsi="Times New Roman" w:cs="Times New Roman"/>
          <w:lang w:val="af-ZA"/>
        </w:rPr>
      </w:pPr>
      <w:r w:rsidRPr="00EF7399">
        <w:rPr>
          <w:rFonts w:ascii="Times New Roman" w:hAnsi="Times New Roman" w:cs="Times New Roman"/>
          <w:i/>
          <w:lang w:val="af-ZA"/>
        </w:rPr>
        <w:fldChar w:fldCharType="begin"/>
      </w:r>
      <w:r w:rsidRPr="00EF7399">
        <w:rPr>
          <w:rFonts w:ascii="Times New Roman" w:hAnsi="Times New Roman" w:cs="Times New Roman"/>
          <w:i/>
          <w:lang w:val="af-ZA"/>
        </w:rPr>
        <w:instrText xml:space="preserve"> HYPERLINK "http://hudoc.echr.coe.int/eng?i=001-209029" </w:instrText>
      </w:r>
      <w:r w:rsidRPr="00EF7399">
        <w:rPr>
          <w:rFonts w:ascii="Times New Roman" w:hAnsi="Times New Roman" w:cs="Times New Roman"/>
          <w:i/>
          <w:lang w:val="af-ZA"/>
        </w:rPr>
      </w:r>
      <w:r w:rsidRPr="00EF7399">
        <w:rPr>
          <w:rFonts w:ascii="Times New Roman" w:hAnsi="Times New Roman" w:cs="Times New Roman"/>
          <w:i/>
          <w:lang w:val="af-ZA"/>
        </w:rPr>
        <w:fldChar w:fldCharType="separate"/>
      </w:r>
      <w:r w:rsidRPr="00EF7399">
        <w:rPr>
          <w:rStyle w:val="Hyperlink"/>
          <w:rFonts w:ascii="Times New Roman" w:hAnsi="Times New Roman" w:cs="Times New Roman"/>
          <w:lang w:val="af-ZA"/>
        </w:rPr>
        <w:t>Olga Kudrina</w:t>
      </w:r>
      <w:r w:rsidR="00873234" w:rsidRPr="00EF7399">
        <w:rPr>
          <w:rStyle w:val="Hyperlink"/>
          <w:rFonts w:ascii="Times New Roman" w:hAnsi="Times New Roman" w:cs="Times New Roman"/>
          <w:lang w:val="af-ZA"/>
        </w:rPr>
        <w:t xml:space="preserve"> v. </w:t>
      </w:r>
      <w:r w:rsidRPr="00EF7399">
        <w:rPr>
          <w:rStyle w:val="Hyperlink"/>
          <w:rFonts w:ascii="Times New Roman" w:hAnsi="Times New Roman" w:cs="Times New Roman"/>
          <w:lang w:val="af-ZA"/>
        </w:rPr>
        <w:t>Russia</w:t>
      </w:r>
      <w:r w:rsidRPr="00EF7399">
        <w:rPr>
          <w:rFonts w:ascii="Times New Roman" w:hAnsi="Times New Roman" w:cs="Times New Roman"/>
          <w:i/>
          <w:lang w:val="af-ZA"/>
        </w:rPr>
        <w:fldChar w:fldCharType="end"/>
      </w:r>
      <w:r w:rsidRPr="00EF7399">
        <w:rPr>
          <w:rFonts w:ascii="Times New Roman" w:hAnsi="Times New Roman" w:cs="Times New Roman"/>
          <w:lang w:val="af-ZA"/>
        </w:rPr>
        <w:t>, no. 34313/06, 6 April 2021</w:t>
      </w:r>
      <w:bookmarkEnd w:id="112"/>
    </w:p>
    <w:p w14:paraId="12F22B75" w14:textId="7BDBCF50" w:rsidR="00A24EA3" w:rsidRPr="00EF7399" w:rsidRDefault="00000000" w:rsidP="00D405CB">
      <w:pPr>
        <w:pStyle w:val="ECHRParaHanging"/>
        <w:rPr>
          <w:rFonts w:ascii="Times New Roman" w:hAnsi="Times New Roman" w:cs="Times New Roman"/>
          <w:i/>
          <w:iCs/>
          <w:lang w:val="af-ZA"/>
        </w:rPr>
      </w:pPr>
      <w:hyperlink r:id="rId806" w:history="1">
        <w:r w:rsidR="00A24EA3" w:rsidRPr="00EF7399">
          <w:rPr>
            <w:rStyle w:val="Hyperlink"/>
            <w:rFonts w:ascii="Times New Roman" w:hAnsi="Times New Roman" w:cs="Times New Roman"/>
            <w:iCs/>
            <w:lang w:val="af-ZA"/>
          </w:rPr>
          <w:t>Öllinger</w:t>
        </w:r>
        <w:r w:rsidR="00873234" w:rsidRPr="00EF7399">
          <w:rPr>
            <w:rStyle w:val="Hyperlink"/>
            <w:rFonts w:ascii="Times New Roman" w:hAnsi="Times New Roman" w:cs="Times New Roman"/>
            <w:iCs/>
            <w:lang w:val="af-ZA"/>
          </w:rPr>
          <w:t xml:space="preserve"> v. </w:t>
        </w:r>
        <w:r w:rsidR="00A24EA3" w:rsidRPr="00EF7399">
          <w:rPr>
            <w:rStyle w:val="Hyperlink"/>
            <w:rFonts w:ascii="Times New Roman" w:hAnsi="Times New Roman" w:cs="Times New Roman"/>
            <w:iCs/>
            <w:lang w:val="af-ZA"/>
          </w:rPr>
          <w:t>Austria</w:t>
        </w:r>
      </w:hyperlink>
      <w:r w:rsidR="00A24EA3" w:rsidRPr="00EF7399">
        <w:rPr>
          <w:rFonts w:ascii="Times New Roman" w:hAnsi="Times New Roman" w:cs="Times New Roman"/>
          <w:iCs/>
          <w:lang w:val="af-ZA"/>
        </w:rPr>
        <w:t>, no. 76900/01, 2006-IX</w:t>
      </w:r>
    </w:p>
    <w:p w14:paraId="6F79E2C5" w14:textId="3AAD24E0" w:rsidR="00184326" w:rsidRPr="00EF7399" w:rsidRDefault="00000000" w:rsidP="00184326">
      <w:pPr>
        <w:pStyle w:val="ECHRParaHanging"/>
        <w:rPr>
          <w:rFonts w:ascii="Times New Roman" w:hAnsi="Times New Roman" w:cs="Times New Roman"/>
          <w:lang w:val="af-ZA"/>
        </w:rPr>
      </w:pPr>
      <w:hyperlink r:id="rId807" w:history="1">
        <w:r w:rsidR="00184326" w:rsidRPr="00EF7399">
          <w:rPr>
            <w:rStyle w:val="Hyperlink"/>
            <w:rFonts w:ascii="Times New Roman" w:hAnsi="Times New Roman" w:cs="Times New Roman"/>
            <w:iCs/>
            <w:lang w:val="af-ZA"/>
          </w:rPr>
          <w:t>“Orthodox Ohrid Archdiocese (Greek-Orthodox Ohrid Archdiocese of the Peć Patriarchy)”</w:t>
        </w:r>
        <w:r w:rsidR="00873234" w:rsidRPr="00EF7399">
          <w:rPr>
            <w:rStyle w:val="Hyperlink"/>
            <w:rFonts w:ascii="Times New Roman" w:hAnsi="Times New Roman" w:cs="Times New Roman"/>
            <w:iCs/>
            <w:lang w:val="af-ZA"/>
          </w:rPr>
          <w:t xml:space="preserve"> v. </w:t>
        </w:r>
        <w:r w:rsidR="00184326" w:rsidRPr="00EF7399">
          <w:rPr>
            <w:rStyle w:val="Hyperlink"/>
            <w:rFonts w:ascii="Times New Roman" w:hAnsi="Times New Roman" w:cs="Times New Roman"/>
            <w:iCs/>
            <w:lang w:val="af-ZA"/>
          </w:rPr>
          <w:t>the former Yugoslav Republic of Macedonia</w:t>
        </w:r>
      </w:hyperlink>
      <w:r w:rsidR="00184326" w:rsidRPr="00EF7399">
        <w:rPr>
          <w:rFonts w:ascii="Times New Roman" w:hAnsi="Times New Roman" w:cs="Times New Roman"/>
          <w:lang w:val="af-ZA"/>
        </w:rPr>
        <w:t>, no. 3532/07, 16 November 2017</w:t>
      </w:r>
    </w:p>
    <w:p w14:paraId="31FD9368" w14:textId="1F6C861C" w:rsidR="009832A9" w:rsidRPr="00EF7399" w:rsidRDefault="00000000" w:rsidP="009832A9">
      <w:pPr>
        <w:pStyle w:val="ECHRParaHanging"/>
        <w:rPr>
          <w:rFonts w:ascii="Times New Roman" w:hAnsi="Times New Roman" w:cs="Times New Roman"/>
          <w:i/>
          <w:lang w:val="af-ZA"/>
        </w:rPr>
      </w:pPr>
      <w:hyperlink r:id="rId808" w:history="1">
        <w:r w:rsidR="009832A9" w:rsidRPr="00EF7399">
          <w:rPr>
            <w:rStyle w:val="Hyperlink"/>
            <w:rFonts w:ascii="Times New Roman" w:hAnsi="Times New Roman" w:cs="Times New Roman"/>
            <w:lang w:val="af-ZA"/>
          </w:rPr>
          <w:t>Osmani and Others</w:t>
        </w:r>
        <w:r w:rsidR="00873234" w:rsidRPr="00EF7399">
          <w:rPr>
            <w:rStyle w:val="Hyperlink"/>
            <w:rFonts w:ascii="Times New Roman" w:hAnsi="Times New Roman" w:cs="Times New Roman"/>
            <w:lang w:val="af-ZA"/>
          </w:rPr>
          <w:t xml:space="preserve"> v. </w:t>
        </w:r>
        <w:r w:rsidR="009832A9" w:rsidRPr="00EF7399">
          <w:rPr>
            <w:rStyle w:val="Hyperlink"/>
            <w:rFonts w:ascii="Times New Roman" w:hAnsi="Times New Roman" w:cs="Times New Roman"/>
            <w:lang w:val="af-ZA"/>
          </w:rPr>
          <w:t>“the former Yugoslav Republic of Macedonia”</w:t>
        </w:r>
      </w:hyperlink>
      <w:r w:rsidR="009832A9" w:rsidRPr="00EF7399">
        <w:rPr>
          <w:rFonts w:ascii="Times New Roman" w:hAnsi="Times New Roman" w:cs="Times New Roman"/>
          <w:i/>
          <w:lang w:val="af-ZA"/>
        </w:rPr>
        <w:t xml:space="preserve"> </w:t>
      </w:r>
      <w:r w:rsidR="009832A9" w:rsidRPr="00EF7399">
        <w:rPr>
          <w:rFonts w:ascii="Times New Roman" w:hAnsi="Times New Roman" w:cs="Times New Roman"/>
          <w:lang w:val="af-ZA"/>
        </w:rPr>
        <w:t>(dec.), no. 50841/99, ECHR 2001-X</w:t>
      </w:r>
    </w:p>
    <w:p w14:paraId="680CCFBA" w14:textId="2161A6C2" w:rsidR="001B33DF" w:rsidRPr="00EF7399" w:rsidRDefault="00000000" w:rsidP="006019EB">
      <w:pPr>
        <w:pStyle w:val="ECHRParaHanging"/>
        <w:rPr>
          <w:rFonts w:ascii="Times New Roman" w:hAnsi="Times New Roman" w:cs="Times New Roman"/>
          <w:lang w:val="af-ZA"/>
        </w:rPr>
      </w:pPr>
      <w:hyperlink r:id="rId809" w:history="1">
        <w:r w:rsidR="001B33DF" w:rsidRPr="00EF7399">
          <w:rPr>
            <w:rStyle w:val="Hyperlink"/>
            <w:rFonts w:ascii="Times New Roman" w:hAnsi="Times New Roman" w:cs="Times New Roman"/>
            <w:lang w:val="af-ZA"/>
          </w:rPr>
          <w:t>Ouranio Toxo and Others</w:t>
        </w:r>
        <w:r w:rsidR="00873234" w:rsidRPr="00EF7399">
          <w:rPr>
            <w:rStyle w:val="Hyperlink"/>
            <w:rFonts w:ascii="Times New Roman" w:hAnsi="Times New Roman" w:cs="Times New Roman"/>
            <w:lang w:val="af-ZA"/>
          </w:rPr>
          <w:t xml:space="preserve"> v. </w:t>
        </w:r>
        <w:r w:rsidR="001B33DF" w:rsidRPr="00EF7399">
          <w:rPr>
            <w:rStyle w:val="Hyperlink"/>
            <w:rFonts w:ascii="Times New Roman" w:hAnsi="Times New Roman" w:cs="Times New Roman"/>
            <w:lang w:val="af-ZA"/>
          </w:rPr>
          <w:t>Greece</w:t>
        </w:r>
      </w:hyperlink>
      <w:r w:rsidR="001B33DF" w:rsidRPr="00EF7399">
        <w:rPr>
          <w:rFonts w:ascii="Times New Roman" w:hAnsi="Times New Roman" w:cs="Times New Roman"/>
          <w:lang w:val="af-ZA"/>
        </w:rPr>
        <w:t>, no. 74</w:t>
      </w:r>
      <w:r w:rsidR="00A24EA3" w:rsidRPr="00EF7399">
        <w:rPr>
          <w:rFonts w:ascii="Times New Roman" w:hAnsi="Times New Roman" w:cs="Times New Roman"/>
          <w:lang w:val="af-ZA"/>
        </w:rPr>
        <w:t>989/01, ECHR 2005</w:t>
      </w:r>
      <w:r w:rsidR="00A24EA3" w:rsidRPr="00EF7399">
        <w:rPr>
          <w:rFonts w:ascii="Times New Roman" w:hAnsi="Times New Roman" w:cs="Times New Roman"/>
          <w:lang w:val="af-ZA"/>
        </w:rPr>
        <w:noBreakHyphen/>
        <w:t>X (extracts)</w:t>
      </w:r>
    </w:p>
    <w:p w14:paraId="4E89EF55" w14:textId="3A471800" w:rsidR="006019EB" w:rsidRPr="00EF7399" w:rsidRDefault="00000000" w:rsidP="006019EB">
      <w:pPr>
        <w:pStyle w:val="ECHRParaHanging"/>
        <w:rPr>
          <w:rFonts w:ascii="Times New Roman" w:hAnsi="Times New Roman" w:cs="Times New Roman"/>
          <w:lang w:val="af-ZA"/>
        </w:rPr>
      </w:pPr>
      <w:hyperlink r:id="rId810" w:history="1">
        <w:r w:rsidR="00FE6087" w:rsidRPr="00EF7399">
          <w:rPr>
            <w:rStyle w:val="Hyperlink"/>
            <w:rFonts w:ascii="Times New Roman" w:hAnsi="Times New Roman" w:cs="Times New Roman"/>
            <w:lang w:val="af-ZA"/>
          </w:rPr>
          <w:t>O.V.R.</w:t>
        </w:r>
        <w:r w:rsidR="00873234" w:rsidRPr="00EF7399">
          <w:rPr>
            <w:rStyle w:val="Hyperlink"/>
            <w:rFonts w:ascii="Times New Roman" w:hAnsi="Times New Roman" w:cs="Times New Roman"/>
            <w:lang w:val="af-ZA"/>
          </w:rPr>
          <w:t xml:space="preserve"> v. </w:t>
        </w:r>
        <w:r w:rsidR="00FE6087" w:rsidRPr="00EF7399">
          <w:rPr>
            <w:rStyle w:val="Hyperlink"/>
            <w:rFonts w:ascii="Times New Roman" w:hAnsi="Times New Roman" w:cs="Times New Roman"/>
            <w:lang w:val="af-ZA"/>
          </w:rPr>
          <w:t>Russia</w:t>
        </w:r>
      </w:hyperlink>
      <w:r w:rsidR="00FE6087" w:rsidRPr="00EF7399">
        <w:rPr>
          <w:rFonts w:ascii="Times New Roman" w:hAnsi="Times New Roman" w:cs="Times New Roman"/>
          <w:lang w:val="af-ZA"/>
        </w:rPr>
        <w:t xml:space="preserve"> (dec.), no. 44319/98, ECHR 2001</w:t>
      </w:r>
      <w:r w:rsidR="00FE6087" w:rsidRPr="00EF7399">
        <w:rPr>
          <w:rFonts w:ascii="Times New Roman" w:hAnsi="Times New Roman" w:cs="Times New Roman"/>
          <w:lang w:val="af-ZA"/>
        </w:rPr>
        <w:noBreakHyphen/>
        <w:t>V</w:t>
      </w:r>
    </w:p>
    <w:p w14:paraId="1CAF64C6" w14:textId="54708254" w:rsidR="00A24EA3" w:rsidRPr="00EF7399" w:rsidRDefault="00000000" w:rsidP="006019EB">
      <w:pPr>
        <w:pStyle w:val="ECHRParaHanging"/>
        <w:rPr>
          <w:rFonts w:ascii="Times New Roman" w:hAnsi="Times New Roman" w:cs="Times New Roman"/>
          <w:lang w:val="af-ZA"/>
        </w:rPr>
      </w:pPr>
      <w:hyperlink r:id="rId811" w:history="1">
        <w:r w:rsidR="00A24EA3" w:rsidRPr="00EF7399">
          <w:rPr>
            <w:rStyle w:val="Hyperlink"/>
            <w:rFonts w:ascii="Times New Roman" w:hAnsi="Times New Roman" w:cs="Times New Roman"/>
            <w:lang w:val="af-ZA"/>
          </w:rPr>
          <w:t>Oya Ataman</w:t>
        </w:r>
        <w:r w:rsidR="00873234" w:rsidRPr="00EF7399">
          <w:rPr>
            <w:rStyle w:val="Hyperlink"/>
            <w:rFonts w:ascii="Times New Roman" w:hAnsi="Times New Roman" w:cs="Times New Roman"/>
            <w:lang w:val="af-ZA"/>
          </w:rPr>
          <w:t xml:space="preserve"> v. </w:t>
        </w:r>
        <w:r w:rsidR="00A24EA3" w:rsidRPr="00EF7399">
          <w:rPr>
            <w:rStyle w:val="Hyperlink"/>
            <w:rFonts w:ascii="Times New Roman" w:hAnsi="Times New Roman" w:cs="Times New Roman"/>
            <w:lang w:val="af-ZA"/>
          </w:rPr>
          <w:t>Turkey</w:t>
        </w:r>
      </w:hyperlink>
      <w:r w:rsidR="00A24EA3" w:rsidRPr="00EF7399">
        <w:rPr>
          <w:rFonts w:ascii="Times New Roman" w:hAnsi="Times New Roman" w:cs="Times New Roman"/>
          <w:lang w:val="af-ZA"/>
        </w:rPr>
        <w:t>, no. 74552/01, 2006-XIII</w:t>
      </w:r>
    </w:p>
    <w:p w14:paraId="0FB9D20E" w14:textId="7B44B18B" w:rsidR="00F02FCE" w:rsidRPr="00EF7399" w:rsidRDefault="00000000" w:rsidP="006019EB">
      <w:pPr>
        <w:pStyle w:val="ECHRParaHanging"/>
        <w:rPr>
          <w:rFonts w:ascii="Times New Roman" w:hAnsi="Times New Roman" w:cs="Times New Roman"/>
          <w:lang w:val="af-ZA"/>
        </w:rPr>
      </w:pPr>
      <w:hyperlink r:id="rId812" w:history="1">
        <w:r w:rsidR="00F02FCE" w:rsidRPr="00EF7399">
          <w:rPr>
            <w:rStyle w:val="Hyperlink"/>
            <w:rFonts w:ascii="Times New Roman" w:hAnsi="Times New Roman" w:cs="Times New Roman"/>
            <w:lang w:val="af-ZA"/>
          </w:rPr>
          <w:t>Özbek and Others</w:t>
        </w:r>
        <w:r w:rsidR="00873234" w:rsidRPr="00EF7399">
          <w:rPr>
            <w:rStyle w:val="Hyperlink"/>
            <w:rFonts w:ascii="Times New Roman" w:hAnsi="Times New Roman" w:cs="Times New Roman"/>
            <w:lang w:val="af-ZA"/>
          </w:rPr>
          <w:t xml:space="preserve"> v. </w:t>
        </w:r>
        <w:r w:rsidR="00F02FCE" w:rsidRPr="00EF7399">
          <w:rPr>
            <w:rStyle w:val="Hyperlink"/>
            <w:rFonts w:ascii="Times New Roman" w:hAnsi="Times New Roman" w:cs="Times New Roman"/>
            <w:lang w:val="af-ZA"/>
          </w:rPr>
          <w:t>Turkey</w:t>
        </w:r>
      </w:hyperlink>
      <w:r w:rsidR="00F02FCE" w:rsidRPr="00EF7399">
        <w:rPr>
          <w:rFonts w:ascii="Times New Roman" w:hAnsi="Times New Roman" w:cs="Times New Roman"/>
          <w:lang w:val="af-ZA"/>
        </w:rPr>
        <w:t>, no. 35570/02, 6 October 2009</w:t>
      </w:r>
    </w:p>
    <w:p w14:paraId="66BC198F" w14:textId="77777777" w:rsidR="006019EB" w:rsidRPr="00EF7399" w:rsidRDefault="006019EB" w:rsidP="006019EB">
      <w:pPr>
        <w:pStyle w:val="ECHRTitleCentre1"/>
        <w:rPr>
          <w:rFonts w:ascii="Times New Roman" w:hAnsi="Times New Roman" w:cs="Times New Roman"/>
          <w:lang w:val="af-ZA"/>
        </w:rPr>
      </w:pPr>
      <w:r w:rsidRPr="00EF7399">
        <w:rPr>
          <w:rFonts w:ascii="Times New Roman" w:hAnsi="Times New Roman" w:cs="Times New Roman"/>
          <w:lang w:val="af-ZA"/>
        </w:rPr>
        <w:t>—P—</w:t>
      </w:r>
    </w:p>
    <w:p w14:paraId="592D5ECF" w14:textId="155C2A51" w:rsidR="007C754D" w:rsidRPr="00EF7399" w:rsidRDefault="00000000" w:rsidP="007C754D">
      <w:pPr>
        <w:pStyle w:val="ECHRParaHanging"/>
        <w:rPr>
          <w:rFonts w:ascii="Times New Roman" w:hAnsi="Times New Roman" w:cs="Times New Roman"/>
          <w:lang w:val="af-ZA"/>
        </w:rPr>
      </w:pPr>
      <w:hyperlink r:id="rId813" w:history="1">
        <w:r w:rsidR="007C754D" w:rsidRPr="00EF7399">
          <w:rPr>
            <w:rStyle w:val="Hyperlink"/>
            <w:rFonts w:ascii="Times New Roman" w:hAnsi="Times New Roman" w:cs="Times New Roman"/>
            <w:lang w:val="af-ZA"/>
          </w:rPr>
          <w:t>Partidul Comunistilor (Nepeceristi) and Ungureanu</w:t>
        </w:r>
        <w:r w:rsidR="00873234" w:rsidRPr="00EF7399">
          <w:rPr>
            <w:rStyle w:val="Hyperlink"/>
            <w:rFonts w:ascii="Times New Roman" w:hAnsi="Times New Roman" w:cs="Times New Roman"/>
            <w:lang w:val="af-ZA"/>
          </w:rPr>
          <w:t xml:space="preserve"> v. </w:t>
        </w:r>
        <w:r w:rsidR="007C754D" w:rsidRPr="00EF7399">
          <w:rPr>
            <w:rStyle w:val="Hyperlink"/>
            <w:rFonts w:ascii="Times New Roman" w:hAnsi="Times New Roman" w:cs="Times New Roman"/>
            <w:lang w:val="af-ZA"/>
          </w:rPr>
          <w:t>Romania</w:t>
        </w:r>
      </w:hyperlink>
      <w:r w:rsidR="007C754D" w:rsidRPr="00EF7399">
        <w:rPr>
          <w:rFonts w:ascii="Times New Roman" w:hAnsi="Times New Roman" w:cs="Times New Roman"/>
          <w:lang w:val="af-ZA"/>
        </w:rPr>
        <w:t>, no. 46626/99, ECHR 2005</w:t>
      </w:r>
      <w:r w:rsidR="007C754D" w:rsidRPr="00EF7399">
        <w:rPr>
          <w:rFonts w:ascii="Times New Roman" w:hAnsi="Times New Roman" w:cs="Times New Roman"/>
          <w:lang w:val="af-ZA"/>
        </w:rPr>
        <w:noBreakHyphen/>
        <w:t>I (extracts)</w:t>
      </w:r>
    </w:p>
    <w:p w14:paraId="3C9B1F90" w14:textId="0BD032FB" w:rsidR="005E2301" w:rsidRPr="00EF7399" w:rsidRDefault="00000000" w:rsidP="007C754D">
      <w:pPr>
        <w:pStyle w:val="ECHRParaHanging"/>
        <w:rPr>
          <w:rFonts w:ascii="Times New Roman" w:hAnsi="Times New Roman" w:cs="Times New Roman"/>
          <w:lang w:val="af-ZA"/>
        </w:rPr>
      </w:pPr>
      <w:hyperlink r:id="rId814" w:history="1">
        <w:r w:rsidR="005E2301" w:rsidRPr="00EF7399">
          <w:rPr>
            <w:rStyle w:val="Hyperlink"/>
            <w:rFonts w:ascii="Times New Roman" w:hAnsi="Times New Roman" w:cs="Times New Roman"/>
            <w:bCs/>
            <w:lang w:val="af-ZA"/>
          </w:rPr>
          <w:t>Parti nationaliste basque – Organisation régionale d</w:t>
        </w:r>
        <w:r w:rsidR="00DF297D" w:rsidRPr="00EF7399">
          <w:rPr>
            <w:rStyle w:val="Hyperlink"/>
            <w:rFonts w:ascii="Times New Roman" w:hAnsi="Times New Roman" w:cs="Times New Roman"/>
            <w:bCs/>
            <w:lang w:val="af-ZA"/>
          </w:rPr>
          <w:t>’</w:t>
        </w:r>
        <w:r w:rsidR="005E2301" w:rsidRPr="00EF7399">
          <w:rPr>
            <w:rStyle w:val="Hyperlink"/>
            <w:rFonts w:ascii="Times New Roman" w:hAnsi="Times New Roman" w:cs="Times New Roman"/>
            <w:bCs/>
            <w:lang w:val="af-ZA"/>
          </w:rPr>
          <w:t>Iparralde</w:t>
        </w:r>
        <w:r w:rsidR="00873234" w:rsidRPr="00EF7399">
          <w:rPr>
            <w:rStyle w:val="Hyperlink"/>
            <w:rFonts w:ascii="Times New Roman" w:hAnsi="Times New Roman" w:cs="Times New Roman"/>
            <w:bCs/>
            <w:lang w:val="af-ZA"/>
          </w:rPr>
          <w:t xml:space="preserve"> v. </w:t>
        </w:r>
        <w:r w:rsidR="005E2301" w:rsidRPr="00EF7399">
          <w:rPr>
            <w:rStyle w:val="Hyperlink"/>
            <w:rFonts w:ascii="Times New Roman" w:hAnsi="Times New Roman" w:cs="Times New Roman"/>
            <w:lang w:val="af-ZA"/>
          </w:rPr>
          <w:t>France</w:t>
        </w:r>
      </w:hyperlink>
      <w:r w:rsidR="005E2301" w:rsidRPr="00EF7399">
        <w:rPr>
          <w:rFonts w:ascii="Times New Roman" w:hAnsi="Times New Roman" w:cs="Times New Roman"/>
          <w:lang w:val="af-ZA"/>
        </w:rPr>
        <w:t>, no. 71251/01, ECHR 2007</w:t>
      </w:r>
      <w:r w:rsidR="005E2301" w:rsidRPr="00EF7399">
        <w:rPr>
          <w:rFonts w:ascii="Times New Roman" w:hAnsi="Times New Roman" w:cs="Times New Roman"/>
          <w:lang w:val="af-ZA"/>
        </w:rPr>
        <w:noBreakHyphen/>
        <w:t>II</w:t>
      </w:r>
    </w:p>
    <w:p w14:paraId="2616B486" w14:textId="4D407A95" w:rsidR="00D410EB" w:rsidRPr="00EF7399" w:rsidRDefault="00000000" w:rsidP="007C64D6">
      <w:pPr>
        <w:pStyle w:val="ECHRParaHanging"/>
        <w:rPr>
          <w:rFonts w:ascii="Times New Roman" w:hAnsi="Times New Roman" w:cs="Times New Roman"/>
          <w:lang w:val="af-ZA"/>
        </w:rPr>
      </w:pPr>
      <w:hyperlink r:id="rId815" w:history="1">
        <w:r w:rsidR="00D410EB" w:rsidRPr="00EF7399">
          <w:rPr>
            <w:rStyle w:val="Hyperlink"/>
            <w:rFonts w:ascii="Times New Roman" w:hAnsi="Times New Roman" w:cs="Times New Roman"/>
            <w:lang w:val="af-ZA"/>
          </w:rPr>
          <w:t>Party for a Democratic Society (DTP) and Others</w:t>
        </w:r>
        <w:r w:rsidR="00873234" w:rsidRPr="00EF7399">
          <w:rPr>
            <w:rStyle w:val="Hyperlink"/>
            <w:rFonts w:ascii="Times New Roman" w:hAnsi="Times New Roman" w:cs="Times New Roman"/>
            <w:lang w:val="af-ZA"/>
          </w:rPr>
          <w:t xml:space="preserve"> v. </w:t>
        </w:r>
        <w:r w:rsidR="00D410EB" w:rsidRPr="00EF7399">
          <w:rPr>
            <w:rStyle w:val="Hyperlink"/>
            <w:rFonts w:ascii="Times New Roman" w:hAnsi="Times New Roman" w:cs="Times New Roman"/>
            <w:lang w:val="af-ZA"/>
          </w:rPr>
          <w:t>Turkey</w:t>
        </w:r>
      </w:hyperlink>
      <w:r w:rsidR="00D410EB" w:rsidRPr="00EF7399">
        <w:rPr>
          <w:rFonts w:ascii="Times New Roman" w:hAnsi="Times New Roman" w:cs="Times New Roman"/>
          <w:lang w:val="af-ZA"/>
        </w:rPr>
        <w:t xml:space="preserve">, </w:t>
      </w:r>
      <w:r w:rsidR="007C64D6" w:rsidRPr="00EF7399">
        <w:rPr>
          <w:rFonts w:ascii="Times New Roman" w:hAnsi="Times New Roman" w:cs="Times New Roman"/>
          <w:lang w:val="af-ZA"/>
        </w:rPr>
        <w:t xml:space="preserve">nos. 3840/10 and 6 others, 12 January </w:t>
      </w:r>
      <w:r w:rsidR="00D410EB" w:rsidRPr="00EF7399">
        <w:rPr>
          <w:rFonts w:ascii="Times New Roman" w:hAnsi="Times New Roman" w:cs="Times New Roman"/>
          <w:lang w:val="af-ZA"/>
        </w:rPr>
        <w:t>2016</w:t>
      </w:r>
    </w:p>
    <w:p w14:paraId="7C89EE9C" w14:textId="3DAB9732" w:rsidR="00FB162D" w:rsidRDefault="00000000" w:rsidP="007C64D6">
      <w:pPr>
        <w:pStyle w:val="ECHRParaHanging"/>
        <w:rPr>
          <w:rFonts w:ascii="Times New Roman" w:hAnsi="Times New Roman" w:cs="Times New Roman"/>
          <w:lang w:val="af-ZA"/>
        </w:rPr>
      </w:pPr>
      <w:hyperlink r:id="rId816" w:history="1">
        <w:r w:rsidR="00FB162D" w:rsidRPr="00EF7399">
          <w:rPr>
            <w:rStyle w:val="Hyperlink"/>
            <w:rFonts w:ascii="Times New Roman" w:hAnsi="Times New Roman" w:cs="Times New Roman"/>
            <w:lang w:val="af-ZA"/>
          </w:rPr>
          <w:t>Peradze and Others v. Georgia</w:t>
        </w:r>
      </w:hyperlink>
      <w:r w:rsidR="00FB162D" w:rsidRPr="00EF7399">
        <w:rPr>
          <w:rFonts w:ascii="Times New Roman" w:hAnsi="Times New Roman" w:cs="Times New Roman"/>
          <w:lang w:val="af-ZA"/>
        </w:rPr>
        <w:t>, no. 5631/16, 15 December 2022</w:t>
      </w:r>
    </w:p>
    <w:p w14:paraId="018CAA9A" w14:textId="29CC9F3F" w:rsidR="003F385B" w:rsidRPr="00EF7399" w:rsidRDefault="00000000" w:rsidP="003F385B">
      <w:pPr>
        <w:pStyle w:val="ECHRParaHanging"/>
        <w:rPr>
          <w:rFonts w:ascii="Times New Roman" w:hAnsi="Times New Roman" w:cs="Times New Roman"/>
          <w:lang w:val="af-ZA"/>
        </w:rPr>
      </w:pPr>
      <w:hyperlink r:id="rId817" w:history="1">
        <w:r w:rsidR="003F385B" w:rsidRPr="00AE3D02">
          <w:rPr>
            <w:rStyle w:val="Hyperlink"/>
            <w:rFonts w:ascii="Times New Roman" w:hAnsi="Times New Roman" w:cs="Times New Roman"/>
            <w:lang w:val="af-ZA"/>
          </w:rPr>
          <w:t>Pivkina and Others v. Russia (dec.)</w:t>
        </w:r>
      </w:hyperlink>
      <w:r w:rsidR="003F385B" w:rsidRPr="00AE3D02">
        <w:rPr>
          <w:rFonts w:ascii="Times New Roman" w:hAnsi="Times New Roman" w:cs="Times New Roman"/>
          <w:lang w:val="af-ZA"/>
        </w:rPr>
        <w:t>, nos. 2134/23 and 6 others, 6 June 2023</w:t>
      </w:r>
    </w:p>
    <w:p w14:paraId="50185105" w14:textId="7AD436AC" w:rsidR="00A24EA3" w:rsidRPr="00EF7399" w:rsidRDefault="00000000" w:rsidP="007C64D6">
      <w:pPr>
        <w:pStyle w:val="ECHRParaHanging"/>
        <w:rPr>
          <w:rFonts w:ascii="Times New Roman" w:hAnsi="Times New Roman" w:cs="Times New Roman"/>
          <w:lang w:val="af-ZA"/>
        </w:rPr>
      </w:pPr>
      <w:hyperlink r:id="rId818" w:history="1">
        <w:r w:rsidR="00A24EA3" w:rsidRPr="00EF7399">
          <w:rPr>
            <w:rStyle w:val="Hyperlink"/>
            <w:rFonts w:ascii="Times New Roman" w:hAnsi="Times New Roman" w:cs="Times New Roman"/>
            <w:lang w:val="af-ZA"/>
          </w:rPr>
          <w:t>Plattform “Ärzte für das Leben”</w:t>
        </w:r>
        <w:r w:rsidR="00873234" w:rsidRPr="00EF7399">
          <w:rPr>
            <w:rStyle w:val="Hyperlink"/>
            <w:rFonts w:ascii="Times New Roman" w:hAnsi="Times New Roman" w:cs="Times New Roman"/>
            <w:lang w:val="af-ZA"/>
          </w:rPr>
          <w:t xml:space="preserve"> v. </w:t>
        </w:r>
        <w:r w:rsidR="00A24EA3" w:rsidRPr="00EF7399">
          <w:rPr>
            <w:rStyle w:val="Hyperlink"/>
            <w:rFonts w:ascii="Times New Roman" w:hAnsi="Times New Roman" w:cs="Times New Roman"/>
            <w:lang w:val="af-ZA"/>
          </w:rPr>
          <w:t>Austria</w:t>
        </w:r>
      </w:hyperlink>
      <w:r w:rsidR="00A24EA3" w:rsidRPr="00EF7399">
        <w:rPr>
          <w:rFonts w:ascii="Times New Roman" w:hAnsi="Times New Roman" w:cs="Times New Roman"/>
          <w:lang w:val="af-ZA"/>
        </w:rPr>
        <w:t>, 21 June 1988, Series A no. 139</w:t>
      </w:r>
    </w:p>
    <w:p w14:paraId="4FE90C93" w14:textId="3A4258B3" w:rsidR="006019EB" w:rsidRPr="00EF7399" w:rsidRDefault="00000000" w:rsidP="006019EB">
      <w:pPr>
        <w:pStyle w:val="ECHRParaHanging"/>
        <w:rPr>
          <w:rFonts w:ascii="Times New Roman" w:hAnsi="Times New Roman" w:cs="Times New Roman"/>
          <w:lang w:val="af-ZA"/>
        </w:rPr>
      </w:pPr>
      <w:hyperlink r:id="rId819" w:history="1">
        <w:r w:rsidR="009A215E" w:rsidRPr="00EF7399">
          <w:rPr>
            <w:rStyle w:val="Hyperlink"/>
            <w:rFonts w:ascii="Times New Roman" w:hAnsi="Times New Roman" w:cs="Times New Roman"/>
            <w:lang w:val="af-ZA"/>
          </w:rPr>
          <w:t>Popov and Others</w:t>
        </w:r>
        <w:r w:rsidR="00873234" w:rsidRPr="00EF7399">
          <w:rPr>
            <w:rStyle w:val="Hyperlink"/>
            <w:rFonts w:ascii="Times New Roman" w:hAnsi="Times New Roman" w:cs="Times New Roman"/>
            <w:lang w:val="af-ZA"/>
          </w:rPr>
          <w:t xml:space="preserve"> v. </w:t>
        </w:r>
        <w:r w:rsidR="009A215E" w:rsidRPr="00EF7399">
          <w:rPr>
            <w:rStyle w:val="Hyperlink"/>
            <w:rFonts w:ascii="Times New Roman" w:hAnsi="Times New Roman" w:cs="Times New Roman"/>
            <w:lang w:val="af-ZA"/>
          </w:rPr>
          <w:t>Bulgaria</w:t>
        </w:r>
      </w:hyperlink>
      <w:r w:rsidR="009A215E" w:rsidRPr="00EF7399">
        <w:rPr>
          <w:rFonts w:ascii="Times New Roman" w:hAnsi="Times New Roman" w:cs="Times New Roman"/>
          <w:lang w:val="af-ZA"/>
        </w:rPr>
        <w:t xml:space="preserve"> (dec.), no. 48047/99, 6 November 2003</w:t>
      </w:r>
    </w:p>
    <w:p w14:paraId="3A94427D" w14:textId="1E519A61" w:rsidR="00A24EA3" w:rsidRPr="00EF7399" w:rsidRDefault="00000000" w:rsidP="006019EB">
      <w:pPr>
        <w:pStyle w:val="ECHRParaHanging"/>
        <w:rPr>
          <w:rFonts w:ascii="Times New Roman" w:hAnsi="Times New Roman" w:cs="Times New Roman"/>
          <w:lang w:val="af-ZA"/>
        </w:rPr>
      </w:pPr>
      <w:hyperlink r:id="rId820" w:history="1">
        <w:r w:rsidR="00A24EA3" w:rsidRPr="00EF7399">
          <w:rPr>
            <w:rStyle w:val="Hyperlink"/>
            <w:rFonts w:ascii="Times New Roman" w:hAnsi="Times New Roman" w:cs="Times New Roman"/>
            <w:lang w:val="af-ZA"/>
          </w:rPr>
          <w:t>Primov and Others</w:t>
        </w:r>
        <w:r w:rsidR="00873234" w:rsidRPr="00EF7399">
          <w:rPr>
            <w:rStyle w:val="Hyperlink"/>
            <w:rFonts w:ascii="Times New Roman" w:hAnsi="Times New Roman" w:cs="Times New Roman"/>
            <w:lang w:val="af-ZA"/>
          </w:rPr>
          <w:t xml:space="preserve"> v. </w:t>
        </w:r>
        <w:r w:rsidR="00A24EA3" w:rsidRPr="00EF7399">
          <w:rPr>
            <w:rStyle w:val="Hyperlink"/>
            <w:rFonts w:ascii="Times New Roman" w:hAnsi="Times New Roman" w:cs="Times New Roman"/>
            <w:lang w:val="af-ZA"/>
          </w:rPr>
          <w:t>Russia</w:t>
        </w:r>
      </w:hyperlink>
      <w:r w:rsidR="00A24EA3" w:rsidRPr="00EF7399">
        <w:rPr>
          <w:rFonts w:ascii="Times New Roman" w:hAnsi="Times New Roman" w:cs="Times New Roman"/>
          <w:lang w:val="af-ZA"/>
        </w:rPr>
        <w:t>, no. 17391/06, 12 June 2014</w:t>
      </w:r>
    </w:p>
    <w:p w14:paraId="64C77C24" w14:textId="3B9C3C6D" w:rsidR="00B04B2E" w:rsidRPr="00EF7399" w:rsidRDefault="00000000" w:rsidP="009832A9">
      <w:pPr>
        <w:pStyle w:val="ECHRParaHanging"/>
        <w:rPr>
          <w:rFonts w:ascii="Times New Roman" w:hAnsi="Times New Roman" w:cs="Times New Roman"/>
          <w:lang w:val="af-ZA"/>
        </w:rPr>
      </w:pPr>
      <w:hyperlink r:id="rId821" w:history="1">
        <w:r w:rsidR="009832A9" w:rsidRPr="00EF7399">
          <w:rPr>
            <w:rStyle w:val="Hyperlink"/>
            <w:rFonts w:ascii="Times New Roman" w:hAnsi="Times New Roman" w:cs="Times New Roman"/>
            <w:lang w:val="af-ZA"/>
          </w:rPr>
          <w:t>Protopapa</w:t>
        </w:r>
        <w:r w:rsidR="00873234" w:rsidRPr="00EF7399">
          <w:rPr>
            <w:rStyle w:val="Hyperlink"/>
            <w:rFonts w:ascii="Times New Roman" w:hAnsi="Times New Roman" w:cs="Times New Roman"/>
            <w:lang w:val="af-ZA"/>
          </w:rPr>
          <w:t xml:space="preserve"> v. </w:t>
        </w:r>
        <w:r w:rsidR="009832A9" w:rsidRPr="00EF7399">
          <w:rPr>
            <w:rStyle w:val="Hyperlink"/>
            <w:rFonts w:ascii="Times New Roman" w:hAnsi="Times New Roman" w:cs="Times New Roman"/>
            <w:lang w:val="af-ZA"/>
          </w:rPr>
          <w:t>Turkey</w:t>
        </w:r>
      </w:hyperlink>
      <w:r w:rsidR="009832A9" w:rsidRPr="00EF7399">
        <w:rPr>
          <w:rFonts w:ascii="Times New Roman" w:hAnsi="Times New Roman" w:cs="Times New Roman"/>
          <w:lang w:val="af-ZA"/>
        </w:rPr>
        <w:t>, no. 16084/90, 24 February 2009</w:t>
      </w:r>
    </w:p>
    <w:p w14:paraId="53F25CE6" w14:textId="77777777" w:rsidR="006019EB" w:rsidRPr="00EF7399" w:rsidRDefault="006019EB" w:rsidP="006019EB">
      <w:pPr>
        <w:pStyle w:val="ECHRTitleCentre1"/>
        <w:rPr>
          <w:rFonts w:ascii="Times New Roman" w:hAnsi="Times New Roman" w:cs="Times New Roman"/>
          <w:lang w:val="af-ZA"/>
        </w:rPr>
      </w:pPr>
      <w:r w:rsidRPr="00EF7399">
        <w:rPr>
          <w:rFonts w:ascii="Times New Roman" w:hAnsi="Times New Roman" w:cs="Times New Roman"/>
          <w:lang w:val="af-ZA"/>
        </w:rPr>
        <w:t>—R—</w:t>
      </w:r>
    </w:p>
    <w:p w14:paraId="13E2CC02" w14:textId="73C6FC7C" w:rsidR="009832A9" w:rsidRPr="00EF7399" w:rsidRDefault="00000000" w:rsidP="009832A9">
      <w:pPr>
        <w:pStyle w:val="ECHRParaHanging"/>
        <w:rPr>
          <w:rFonts w:ascii="Times New Roman" w:hAnsi="Times New Roman" w:cs="Times New Roman"/>
          <w:lang w:val="af-ZA"/>
        </w:rPr>
      </w:pPr>
      <w:hyperlink r:id="rId822" w:history="1">
        <w:r w:rsidR="009832A9" w:rsidRPr="00EF7399">
          <w:rPr>
            <w:rStyle w:val="Hyperlink"/>
            <w:rFonts w:ascii="Times New Roman" w:hAnsi="Times New Roman" w:cs="Times New Roman"/>
            <w:lang w:val="af-ZA"/>
          </w:rPr>
          <w:t>Rai and Evans</w:t>
        </w:r>
        <w:r w:rsidR="00873234" w:rsidRPr="00EF7399">
          <w:rPr>
            <w:rStyle w:val="Hyperlink"/>
            <w:rFonts w:ascii="Times New Roman" w:hAnsi="Times New Roman" w:cs="Times New Roman"/>
            <w:lang w:val="af-ZA"/>
          </w:rPr>
          <w:t xml:space="preserve"> v. </w:t>
        </w:r>
        <w:r w:rsidR="009832A9" w:rsidRPr="00EF7399">
          <w:rPr>
            <w:rStyle w:val="Hyperlink"/>
            <w:rFonts w:ascii="Times New Roman" w:hAnsi="Times New Roman" w:cs="Times New Roman"/>
            <w:lang w:val="af-ZA"/>
          </w:rPr>
          <w:t>the United Kingdom</w:t>
        </w:r>
      </w:hyperlink>
      <w:r w:rsidR="009832A9" w:rsidRPr="00EF7399">
        <w:rPr>
          <w:rFonts w:ascii="Times New Roman" w:hAnsi="Times New Roman" w:cs="Times New Roman"/>
          <w:i/>
          <w:lang w:val="af-ZA"/>
        </w:rPr>
        <w:t xml:space="preserve"> </w:t>
      </w:r>
      <w:r w:rsidR="009832A9" w:rsidRPr="00EF7399">
        <w:rPr>
          <w:rFonts w:ascii="Times New Roman" w:hAnsi="Times New Roman" w:cs="Times New Roman"/>
          <w:lang w:val="af-ZA"/>
        </w:rPr>
        <w:t>(dec.), nos. 26258/07 and 26255/07, 17 November 2009</w:t>
      </w:r>
    </w:p>
    <w:p w14:paraId="7EB92424" w14:textId="33D1078D" w:rsidR="005E132B" w:rsidRPr="00EF7399" w:rsidRDefault="00000000" w:rsidP="00555E5A">
      <w:pPr>
        <w:pStyle w:val="ECHRParaHanging"/>
        <w:rPr>
          <w:rFonts w:ascii="Times New Roman" w:hAnsi="Times New Roman" w:cs="Times New Roman"/>
          <w:lang w:val="af-ZA"/>
        </w:rPr>
      </w:pPr>
      <w:hyperlink r:id="rId823" w:history="1">
        <w:r w:rsidR="005E132B" w:rsidRPr="00EF7399">
          <w:rPr>
            <w:rStyle w:val="Hyperlink"/>
            <w:rFonts w:ascii="Times New Roman" w:hAnsi="Times New Roman" w:cs="Times New Roman"/>
            <w:lang w:val="af-ZA"/>
          </w:rPr>
          <w:t>Ramazanova and Others</w:t>
        </w:r>
        <w:r w:rsidR="00873234" w:rsidRPr="00EF7399">
          <w:rPr>
            <w:rStyle w:val="Hyperlink"/>
            <w:rFonts w:ascii="Times New Roman" w:hAnsi="Times New Roman" w:cs="Times New Roman"/>
            <w:lang w:val="af-ZA"/>
          </w:rPr>
          <w:t xml:space="preserve"> v. </w:t>
        </w:r>
        <w:r w:rsidR="005E132B" w:rsidRPr="00EF7399">
          <w:rPr>
            <w:rStyle w:val="Hyperlink"/>
            <w:rFonts w:ascii="Times New Roman" w:hAnsi="Times New Roman" w:cs="Times New Roman"/>
            <w:lang w:val="af-ZA"/>
          </w:rPr>
          <w:t>Azerbaijan</w:t>
        </w:r>
      </w:hyperlink>
      <w:r w:rsidR="005E132B" w:rsidRPr="00EF7399">
        <w:rPr>
          <w:rFonts w:ascii="Times New Roman" w:hAnsi="Times New Roman" w:cs="Times New Roman"/>
          <w:lang w:val="af-ZA"/>
        </w:rPr>
        <w:t>, no. 44363/02, 1 February 2007</w:t>
      </w:r>
    </w:p>
    <w:p w14:paraId="1FAC7ADB" w14:textId="751B7247" w:rsidR="006170CE" w:rsidRPr="00EF7399" w:rsidRDefault="00000000" w:rsidP="00576721">
      <w:pPr>
        <w:ind w:left="567" w:hanging="567"/>
        <w:rPr>
          <w:rFonts w:ascii="Times New Roman" w:hAnsi="Times New Roman" w:cs="Times New Roman"/>
        </w:rPr>
      </w:pPr>
      <w:hyperlink r:id="rId824" w:history="1">
        <w:r w:rsidR="006170CE" w:rsidRPr="00EF7399">
          <w:rPr>
            <w:rStyle w:val="Hyperlink"/>
            <w:rFonts w:ascii="Times New Roman" w:hAnsi="Times New Roman" w:cs="Times New Roman"/>
            <w:iCs/>
            <w:lang w:val="af-ZA"/>
          </w:rPr>
          <w:t>Razvozzhayev</w:t>
        </w:r>
        <w:r w:rsidR="00873234" w:rsidRPr="00EF7399">
          <w:rPr>
            <w:rStyle w:val="Hyperlink"/>
            <w:rFonts w:ascii="Times New Roman" w:hAnsi="Times New Roman" w:cs="Times New Roman"/>
            <w:iCs/>
            <w:lang w:val="af-ZA"/>
          </w:rPr>
          <w:t xml:space="preserve"> v. </w:t>
        </w:r>
        <w:r w:rsidR="006170CE" w:rsidRPr="00EF7399">
          <w:rPr>
            <w:rStyle w:val="Hyperlink"/>
            <w:rFonts w:ascii="Times New Roman" w:hAnsi="Times New Roman" w:cs="Times New Roman"/>
            <w:iCs/>
            <w:lang w:val="af-ZA"/>
          </w:rPr>
          <w:t>Russia and Ukraine and Udaltsov</w:t>
        </w:r>
        <w:r w:rsidR="00873234" w:rsidRPr="00EF7399">
          <w:rPr>
            <w:rStyle w:val="Hyperlink"/>
            <w:rFonts w:ascii="Times New Roman" w:hAnsi="Times New Roman" w:cs="Times New Roman"/>
            <w:iCs/>
            <w:lang w:val="af-ZA"/>
          </w:rPr>
          <w:t xml:space="preserve"> v. </w:t>
        </w:r>
        <w:r w:rsidR="006170CE" w:rsidRPr="00EF7399">
          <w:rPr>
            <w:rStyle w:val="Hyperlink"/>
            <w:rFonts w:ascii="Times New Roman" w:hAnsi="Times New Roman" w:cs="Times New Roman"/>
            <w:iCs/>
            <w:lang w:val="af-ZA"/>
          </w:rPr>
          <w:t>Russia</w:t>
        </w:r>
      </w:hyperlink>
      <w:r w:rsidR="006170CE" w:rsidRPr="00EF7399">
        <w:rPr>
          <w:rStyle w:val="s7d2086b4"/>
          <w:rFonts w:ascii="Times New Roman" w:hAnsi="Times New Roman" w:cs="Times New Roman"/>
        </w:rPr>
        <w:t xml:space="preserve">, </w:t>
      </w:r>
      <w:r w:rsidR="006170CE" w:rsidRPr="00EF7399">
        <w:rPr>
          <w:rFonts w:ascii="Times New Roman" w:hAnsi="Times New Roman" w:cs="Times New Roman"/>
        </w:rPr>
        <w:t>nos. 75734/12</w:t>
      </w:r>
      <w:r w:rsidR="00576721" w:rsidRPr="00EF7399">
        <w:rPr>
          <w:rFonts w:ascii="Times New Roman" w:hAnsi="Times New Roman" w:cs="Times New Roman"/>
        </w:rPr>
        <w:t xml:space="preserve"> and 2 others, 19 </w:t>
      </w:r>
      <w:r w:rsidR="006170CE" w:rsidRPr="00EF7399">
        <w:rPr>
          <w:rFonts w:ascii="Times New Roman" w:hAnsi="Times New Roman" w:cs="Times New Roman"/>
        </w:rPr>
        <w:t>November 2019</w:t>
      </w:r>
    </w:p>
    <w:p w14:paraId="36F1EE1D" w14:textId="38FC07A1" w:rsidR="00535E5C" w:rsidRPr="00EF7399" w:rsidRDefault="00000000" w:rsidP="00555E5A">
      <w:pPr>
        <w:pStyle w:val="ECHRParaHanging"/>
        <w:rPr>
          <w:rFonts w:ascii="Times New Roman" w:hAnsi="Times New Roman" w:cs="Times New Roman"/>
          <w:lang w:val="af-ZA"/>
        </w:rPr>
      </w:pPr>
      <w:hyperlink r:id="rId825" w:history="1">
        <w:r w:rsidR="004C3976" w:rsidRPr="00EF7399">
          <w:rPr>
            <w:rStyle w:val="Hyperlink"/>
            <w:rFonts w:ascii="Times New Roman" w:hAnsi="Times New Roman" w:cs="Times New Roman"/>
            <w:lang w:val="af-ZA"/>
          </w:rPr>
          <w:t>Redfearn</w:t>
        </w:r>
        <w:r w:rsidR="00873234" w:rsidRPr="00EF7399">
          <w:rPr>
            <w:rStyle w:val="Hyperlink"/>
            <w:rFonts w:ascii="Times New Roman" w:hAnsi="Times New Roman" w:cs="Times New Roman"/>
            <w:lang w:val="af-ZA"/>
          </w:rPr>
          <w:t xml:space="preserve"> v. </w:t>
        </w:r>
        <w:r w:rsidR="004C3976" w:rsidRPr="00EF7399">
          <w:rPr>
            <w:rStyle w:val="Hyperlink"/>
            <w:rFonts w:ascii="Times New Roman" w:hAnsi="Times New Roman" w:cs="Times New Roman"/>
            <w:lang w:val="af-ZA"/>
          </w:rPr>
          <w:t>the United Kingdom</w:t>
        </w:r>
      </w:hyperlink>
      <w:r w:rsidR="004C3976" w:rsidRPr="00EF7399">
        <w:rPr>
          <w:rFonts w:ascii="Times New Roman" w:hAnsi="Times New Roman" w:cs="Times New Roman"/>
          <w:lang w:val="af-ZA"/>
        </w:rPr>
        <w:t>, no. 47335/06, 6 November 2012</w:t>
      </w:r>
    </w:p>
    <w:p w14:paraId="7A489E1B" w14:textId="37BD6C74" w:rsidR="00555E5A" w:rsidRPr="00EF7399" w:rsidRDefault="00000000" w:rsidP="00555E5A">
      <w:pPr>
        <w:pStyle w:val="ECHRParaHanging"/>
        <w:rPr>
          <w:rFonts w:ascii="Times New Roman" w:hAnsi="Times New Roman" w:cs="Times New Roman"/>
          <w:lang w:val="af-ZA"/>
        </w:rPr>
      </w:pPr>
      <w:hyperlink r:id="rId826" w:history="1">
        <w:r w:rsidR="00555E5A" w:rsidRPr="00EF7399">
          <w:rPr>
            <w:rStyle w:val="Hyperlink"/>
            <w:rFonts w:ascii="Times New Roman" w:hAnsi="Times New Roman" w:cs="Times New Roman"/>
            <w:lang w:val="af-ZA"/>
          </w:rPr>
          <w:t>Refah Partisi (the Welfare Party) and Others</w:t>
        </w:r>
        <w:r w:rsidR="00873234" w:rsidRPr="00EF7399">
          <w:rPr>
            <w:rStyle w:val="Hyperlink"/>
            <w:rFonts w:ascii="Times New Roman" w:hAnsi="Times New Roman" w:cs="Times New Roman"/>
            <w:lang w:val="af-ZA"/>
          </w:rPr>
          <w:t xml:space="preserve"> v. </w:t>
        </w:r>
        <w:r w:rsidR="00555E5A" w:rsidRPr="00EF7399">
          <w:rPr>
            <w:rStyle w:val="Hyperlink"/>
            <w:rFonts w:ascii="Times New Roman" w:hAnsi="Times New Roman" w:cs="Times New Roman"/>
            <w:lang w:val="af-ZA"/>
          </w:rPr>
          <w:t>Turkey</w:t>
        </w:r>
      </w:hyperlink>
      <w:r w:rsidR="00555E5A" w:rsidRPr="00EF7399">
        <w:rPr>
          <w:rFonts w:ascii="Times New Roman" w:hAnsi="Times New Roman" w:cs="Times New Roman"/>
          <w:lang w:val="af-ZA"/>
        </w:rPr>
        <w:t xml:space="preserve"> [GC], nos. 41340/98 and 3 others, ECHR 2003</w:t>
      </w:r>
      <w:r w:rsidR="00555E5A" w:rsidRPr="00EF7399">
        <w:rPr>
          <w:rFonts w:ascii="Times New Roman" w:hAnsi="Times New Roman" w:cs="Times New Roman"/>
          <w:lang w:val="af-ZA"/>
        </w:rPr>
        <w:noBreakHyphen/>
        <w:t>II</w:t>
      </w:r>
    </w:p>
    <w:p w14:paraId="4EE66E44" w14:textId="78F6641F" w:rsidR="004D5DB2" w:rsidRPr="00EF7399" w:rsidRDefault="00000000" w:rsidP="00555E5A">
      <w:pPr>
        <w:pStyle w:val="ECHRParaHanging"/>
        <w:rPr>
          <w:rFonts w:ascii="Times New Roman" w:hAnsi="Times New Roman" w:cs="Times New Roman"/>
          <w:lang w:val="af-ZA"/>
        </w:rPr>
      </w:pPr>
      <w:hyperlink r:id="rId827" w:history="1">
        <w:r w:rsidR="004D5DB2" w:rsidRPr="00EF7399">
          <w:rPr>
            <w:rStyle w:val="Hyperlink"/>
            <w:rFonts w:ascii="Times New Roman" w:hAnsi="Times New Roman" w:cs="Times New Roman"/>
            <w:lang w:val="af-ZA"/>
          </w:rPr>
          <w:t>Rekvényi</w:t>
        </w:r>
        <w:r w:rsidR="00873234" w:rsidRPr="00EF7399">
          <w:rPr>
            <w:rStyle w:val="Hyperlink"/>
            <w:rFonts w:ascii="Times New Roman" w:hAnsi="Times New Roman" w:cs="Times New Roman"/>
            <w:lang w:val="af-ZA"/>
          </w:rPr>
          <w:t xml:space="preserve"> v. </w:t>
        </w:r>
        <w:r w:rsidR="004D5DB2" w:rsidRPr="00EF7399">
          <w:rPr>
            <w:rStyle w:val="Hyperlink"/>
            <w:rFonts w:ascii="Times New Roman" w:hAnsi="Times New Roman" w:cs="Times New Roman"/>
            <w:lang w:val="af-ZA"/>
          </w:rPr>
          <w:t>Hungary</w:t>
        </w:r>
      </w:hyperlink>
      <w:r w:rsidR="004D5DB2" w:rsidRPr="00EF7399">
        <w:rPr>
          <w:rFonts w:ascii="Times New Roman" w:hAnsi="Times New Roman" w:cs="Times New Roman"/>
          <w:lang w:val="af-ZA"/>
        </w:rPr>
        <w:t xml:space="preserve"> [GC], no. 25390/94, ECHR 1999-III</w:t>
      </w:r>
    </w:p>
    <w:p w14:paraId="7920F54D" w14:textId="1F6BEC21" w:rsidR="00FA659C" w:rsidRPr="00EF7399" w:rsidRDefault="00000000" w:rsidP="00FA659C">
      <w:pPr>
        <w:pStyle w:val="ECHRParaHanging"/>
        <w:rPr>
          <w:rFonts w:ascii="Times New Roman" w:hAnsi="Times New Roman" w:cs="Times New Roman"/>
          <w:lang w:val="af-ZA"/>
        </w:rPr>
      </w:pPr>
      <w:hyperlink r:id="rId828" w:history="1">
        <w:r w:rsidR="00FA659C" w:rsidRPr="00EF7399">
          <w:rPr>
            <w:rStyle w:val="Hyperlink"/>
            <w:rFonts w:ascii="Times New Roman" w:hAnsi="Times New Roman" w:cs="Times New Roman"/>
            <w:lang w:val="af-ZA"/>
          </w:rPr>
          <w:t>Religionsgemeinschaft der Zeugen Jehovas and Others</w:t>
        </w:r>
        <w:r w:rsidR="00873234" w:rsidRPr="00EF7399">
          <w:rPr>
            <w:rStyle w:val="Hyperlink"/>
            <w:rFonts w:ascii="Times New Roman" w:hAnsi="Times New Roman" w:cs="Times New Roman"/>
            <w:lang w:val="af-ZA"/>
          </w:rPr>
          <w:t xml:space="preserve"> v. </w:t>
        </w:r>
        <w:r w:rsidR="00FA659C" w:rsidRPr="00EF7399">
          <w:rPr>
            <w:rStyle w:val="Hyperlink"/>
            <w:rFonts w:ascii="Times New Roman" w:hAnsi="Times New Roman" w:cs="Times New Roman"/>
            <w:lang w:val="af-ZA"/>
          </w:rPr>
          <w:t>Austria</w:t>
        </w:r>
      </w:hyperlink>
      <w:r w:rsidR="00FA659C" w:rsidRPr="00EF7399">
        <w:rPr>
          <w:rFonts w:ascii="Times New Roman" w:hAnsi="Times New Roman" w:cs="Times New Roman"/>
          <w:lang w:val="af-ZA"/>
        </w:rPr>
        <w:t>, no. 40825/98, 31 July 2008</w:t>
      </w:r>
    </w:p>
    <w:p w14:paraId="006F7992" w14:textId="0A4E7300" w:rsidR="00D331E4" w:rsidRPr="00EF7399" w:rsidRDefault="00000000" w:rsidP="00FA659C">
      <w:pPr>
        <w:pStyle w:val="ECHRParaHanging"/>
        <w:rPr>
          <w:rFonts w:ascii="Times New Roman" w:hAnsi="Times New Roman" w:cs="Times New Roman"/>
          <w:lang w:val="af-ZA"/>
        </w:rPr>
      </w:pPr>
      <w:hyperlink r:id="rId829" w:history="1">
        <w:r w:rsidR="00D331E4" w:rsidRPr="00EF7399">
          <w:rPr>
            <w:rStyle w:val="Hyperlink"/>
            <w:rFonts w:ascii="Times New Roman" w:hAnsi="Times New Roman" w:cs="Times New Roman"/>
            <w:lang w:val="af-ZA"/>
          </w:rPr>
          <w:t>The Religious Denomination of Jehovah</w:t>
        </w:r>
        <w:r w:rsidR="00DF297D" w:rsidRPr="00EF7399">
          <w:rPr>
            <w:rStyle w:val="Hyperlink"/>
            <w:rFonts w:ascii="Times New Roman" w:hAnsi="Times New Roman" w:cs="Times New Roman"/>
            <w:lang w:val="af-ZA"/>
          </w:rPr>
          <w:t>’</w:t>
        </w:r>
        <w:r w:rsidR="00D331E4" w:rsidRPr="00EF7399">
          <w:rPr>
            <w:rStyle w:val="Hyperlink"/>
            <w:rFonts w:ascii="Times New Roman" w:hAnsi="Times New Roman" w:cs="Times New Roman"/>
            <w:lang w:val="af-ZA"/>
          </w:rPr>
          <w:t>s Witnesses in Bulgaria</w:t>
        </w:r>
        <w:r w:rsidR="00873234" w:rsidRPr="00EF7399">
          <w:rPr>
            <w:rStyle w:val="Hyperlink"/>
            <w:rFonts w:ascii="Times New Roman" w:hAnsi="Times New Roman" w:cs="Times New Roman"/>
            <w:lang w:val="af-ZA"/>
          </w:rPr>
          <w:t xml:space="preserve"> v. </w:t>
        </w:r>
        <w:r w:rsidR="00D331E4" w:rsidRPr="00EF7399">
          <w:rPr>
            <w:rStyle w:val="Hyperlink"/>
            <w:rFonts w:ascii="Times New Roman" w:hAnsi="Times New Roman" w:cs="Times New Roman"/>
            <w:lang w:val="af-ZA"/>
          </w:rPr>
          <w:t>Bulgaria</w:t>
        </w:r>
      </w:hyperlink>
      <w:r w:rsidR="00D331E4" w:rsidRPr="00EF7399">
        <w:rPr>
          <w:rFonts w:ascii="Times New Roman" w:hAnsi="Times New Roman" w:cs="Times New Roman"/>
          <w:lang w:val="af-ZA"/>
        </w:rPr>
        <w:t>, no</w:t>
      </w:r>
      <w:r w:rsidR="00D331E4" w:rsidRPr="00EF7399">
        <w:rPr>
          <w:rFonts w:ascii="Times New Roman" w:hAnsi="Times New Roman" w:cs="Times New Roman"/>
          <w:i/>
          <w:lang w:val="af-ZA"/>
        </w:rPr>
        <w:t>. </w:t>
      </w:r>
      <w:r w:rsidR="00D331E4" w:rsidRPr="00EF7399">
        <w:rPr>
          <w:rFonts w:ascii="Times New Roman" w:hAnsi="Times New Roman" w:cs="Times New Roman"/>
          <w:lang w:val="af-ZA"/>
        </w:rPr>
        <w:t>5301/11, 10</w:t>
      </w:r>
      <w:r w:rsidR="001D02B7" w:rsidRPr="00EF7399">
        <w:rPr>
          <w:rFonts w:ascii="Times New Roman" w:hAnsi="Times New Roman" w:cs="Times New Roman"/>
          <w:lang w:val="af-ZA"/>
        </w:rPr>
        <w:t> </w:t>
      </w:r>
      <w:r w:rsidR="00D331E4" w:rsidRPr="00EF7399">
        <w:rPr>
          <w:rFonts w:ascii="Times New Roman" w:hAnsi="Times New Roman" w:cs="Times New Roman"/>
          <w:lang w:val="af-ZA"/>
        </w:rPr>
        <w:t>November 2020</w:t>
      </w:r>
    </w:p>
    <w:p w14:paraId="4F978D69" w14:textId="7E9E85A3" w:rsidR="00ED2E0E" w:rsidRPr="00EF7399" w:rsidRDefault="00000000" w:rsidP="00555E5A">
      <w:pPr>
        <w:pStyle w:val="ECHRParaHanging"/>
        <w:rPr>
          <w:rFonts w:ascii="Times New Roman" w:hAnsi="Times New Roman" w:cs="Times New Roman"/>
          <w:lang w:val="af-ZA"/>
        </w:rPr>
      </w:pPr>
      <w:hyperlink r:id="rId830" w:history="1">
        <w:r w:rsidR="00ED2E0E" w:rsidRPr="00EF7399">
          <w:rPr>
            <w:rStyle w:val="Hyperlink"/>
            <w:rFonts w:ascii="Times New Roman" w:hAnsi="Times New Roman" w:cs="Times New Roman"/>
            <w:lang w:val="af-ZA"/>
          </w:rPr>
          <w:t>Republican Party of Russia</w:t>
        </w:r>
        <w:r w:rsidR="00873234" w:rsidRPr="00EF7399">
          <w:rPr>
            <w:rStyle w:val="Hyperlink"/>
            <w:rFonts w:ascii="Times New Roman" w:hAnsi="Times New Roman" w:cs="Times New Roman"/>
            <w:lang w:val="af-ZA"/>
          </w:rPr>
          <w:t xml:space="preserve"> v. </w:t>
        </w:r>
        <w:r w:rsidR="00ED2E0E" w:rsidRPr="00EF7399">
          <w:rPr>
            <w:rStyle w:val="Hyperlink"/>
            <w:rFonts w:ascii="Times New Roman" w:hAnsi="Times New Roman" w:cs="Times New Roman"/>
            <w:lang w:val="af-ZA"/>
          </w:rPr>
          <w:t>Russia</w:t>
        </w:r>
      </w:hyperlink>
      <w:r w:rsidR="00ED2E0E" w:rsidRPr="00EF7399">
        <w:rPr>
          <w:rFonts w:ascii="Times New Roman" w:hAnsi="Times New Roman" w:cs="Times New Roman"/>
          <w:lang w:val="af-ZA"/>
        </w:rPr>
        <w:t>, no. 12976/07, 12 April 2011</w:t>
      </w:r>
    </w:p>
    <w:p w14:paraId="0418D7E8" w14:textId="2279B8BA" w:rsidR="009A215E" w:rsidRPr="00EF7399" w:rsidRDefault="00000000" w:rsidP="00555E5A">
      <w:pPr>
        <w:pStyle w:val="ECHRParaHanging"/>
        <w:rPr>
          <w:rFonts w:ascii="Times New Roman" w:hAnsi="Times New Roman" w:cs="Times New Roman"/>
          <w:lang w:val="af-ZA"/>
        </w:rPr>
      </w:pPr>
      <w:hyperlink r:id="rId831" w:history="1">
        <w:r w:rsidR="009A215E" w:rsidRPr="00EF7399">
          <w:rPr>
            <w:rStyle w:val="Hyperlink"/>
            <w:rFonts w:ascii="Times New Roman" w:hAnsi="Times New Roman" w:cs="Times New Roman"/>
            <w:lang w:val="af-ZA"/>
          </w:rPr>
          <w:t>Revert and Legallais</w:t>
        </w:r>
        <w:r w:rsidR="00873234" w:rsidRPr="00EF7399">
          <w:rPr>
            <w:rStyle w:val="Hyperlink"/>
            <w:rFonts w:ascii="Times New Roman" w:hAnsi="Times New Roman" w:cs="Times New Roman"/>
            <w:lang w:val="af-ZA"/>
          </w:rPr>
          <w:t xml:space="preserve"> v. </w:t>
        </w:r>
        <w:r w:rsidR="009A215E" w:rsidRPr="00EF7399">
          <w:rPr>
            <w:rStyle w:val="Hyperlink"/>
            <w:rFonts w:ascii="Times New Roman" w:hAnsi="Times New Roman" w:cs="Times New Roman"/>
            <w:lang w:val="af-ZA"/>
          </w:rPr>
          <w:t>France</w:t>
        </w:r>
      </w:hyperlink>
      <w:r w:rsidR="009A215E" w:rsidRPr="00EF7399">
        <w:rPr>
          <w:rFonts w:ascii="Times New Roman" w:hAnsi="Times New Roman" w:cs="Times New Roman"/>
          <w:lang w:val="af-ZA"/>
        </w:rPr>
        <w:t>, nos. 14331/88 and 14332/88, Commission decision of 8 September 1989,</w:t>
      </w:r>
      <w:r w:rsidR="00FE6087" w:rsidRPr="00EF7399">
        <w:rPr>
          <w:rFonts w:ascii="Times New Roman" w:hAnsi="Times New Roman" w:cs="Times New Roman"/>
          <w:lang w:val="af-ZA"/>
        </w:rPr>
        <w:t xml:space="preserve"> Decisions and Reports</w:t>
      </w:r>
      <w:r w:rsidR="009A215E" w:rsidRPr="00EF7399">
        <w:rPr>
          <w:rFonts w:ascii="Times New Roman" w:hAnsi="Times New Roman" w:cs="Times New Roman"/>
          <w:lang w:val="af-ZA"/>
        </w:rPr>
        <w:t xml:space="preserve"> 62, p. 309</w:t>
      </w:r>
    </w:p>
    <w:p w14:paraId="481F874B" w14:textId="77777777" w:rsidR="006019EB" w:rsidRPr="00EF7399" w:rsidRDefault="006019EB" w:rsidP="006019EB">
      <w:pPr>
        <w:pStyle w:val="ECHRTitleCentre1"/>
        <w:rPr>
          <w:rFonts w:ascii="Times New Roman" w:hAnsi="Times New Roman" w:cs="Times New Roman"/>
          <w:lang w:val="af-ZA"/>
        </w:rPr>
      </w:pPr>
      <w:r w:rsidRPr="00EF7399">
        <w:rPr>
          <w:rFonts w:ascii="Times New Roman" w:hAnsi="Times New Roman" w:cs="Times New Roman"/>
          <w:lang w:val="af-ZA"/>
        </w:rPr>
        <w:t>—S—</w:t>
      </w:r>
    </w:p>
    <w:p w14:paraId="7C9621EF" w14:textId="32B06A73" w:rsidR="0069284A" w:rsidRPr="00EF7399" w:rsidRDefault="00000000" w:rsidP="0069284A">
      <w:pPr>
        <w:pStyle w:val="ECHRParaHanging"/>
        <w:rPr>
          <w:rFonts w:ascii="Times New Roman" w:hAnsi="Times New Roman" w:cs="Times New Roman"/>
          <w:lang w:val="af-ZA"/>
        </w:rPr>
      </w:pPr>
      <w:hyperlink r:id="rId832" w:history="1">
        <w:r w:rsidR="0069284A" w:rsidRPr="00EF7399">
          <w:rPr>
            <w:rStyle w:val="Hyperlink"/>
            <w:rFonts w:ascii="Times New Roman" w:hAnsi="Times New Roman" w:cs="Times New Roman"/>
            <w:lang w:val="af-ZA"/>
          </w:rPr>
          <w:t>Sanchez Navajas</w:t>
        </w:r>
        <w:r w:rsidR="00873234" w:rsidRPr="00EF7399">
          <w:rPr>
            <w:rStyle w:val="Hyperlink"/>
            <w:rFonts w:ascii="Times New Roman" w:hAnsi="Times New Roman" w:cs="Times New Roman"/>
            <w:lang w:val="af-ZA"/>
          </w:rPr>
          <w:t xml:space="preserve"> v. </w:t>
        </w:r>
        <w:r w:rsidR="0069284A" w:rsidRPr="00EF7399">
          <w:rPr>
            <w:rStyle w:val="Hyperlink"/>
            <w:rFonts w:ascii="Times New Roman" w:hAnsi="Times New Roman" w:cs="Times New Roman"/>
            <w:lang w:val="af-ZA"/>
          </w:rPr>
          <w:t>Spain</w:t>
        </w:r>
      </w:hyperlink>
      <w:r w:rsidR="0069284A" w:rsidRPr="00EF7399">
        <w:rPr>
          <w:rFonts w:ascii="Times New Roman" w:hAnsi="Times New Roman" w:cs="Times New Roman"/>
          <w:i/>
          <w:lang w:val="af-ZA"/>
        </w:rPr>
        <w:t xml:space="preserve"> </w:t>
      </w:r>
      <w:r w:rsidR="0069284A" w:rsidRPr="00EF7399">
        <w:rPr>
          <w:rFonts w:ascii="Times New Roman" w:hAnsi="Times New Roman" w:cs="Times New Roman"/>
          <w:lang w:val="af-ZA"/>
        </w:rPr>
        <w:t>(dec.), no. 57442/00, ECHR 2001</w:t>
      </w:r>
      <w:r w:rsidR="0069284A" w:rsidRPr="00EF7399">
        <w:rPr>
          <w:rFonts w:ascii="Times New Roman" w:hAnsi="Times New Roman" w:cs="Times New Roman"/>
          <w:lang w:val="af-ZA"/>
        </w:rPr>
        <w:noBreakHyphen/>
        <w:t>VI</w:t>
      </w:r>
    </w:p>
    <w:p w14:paraId="26A0B7ED" w14:textId="34F07E11" w:rsidR="009832A9" w:rsidRPr="00EF7399" w:rsidRDefault="00000000" w:rsidP="009832A9">
      <w:pPr>
        <w:pStyle w:val="ECHRParaHanging"/>
        <w:rPr>
          <w:rFonts w:ascii="Times New Roman" w:hAnsi="Times New Roman" w:cs="Times New Roman"/>
          <w:lang w:val="af-ZA"/>
        </w:rPr>
      </w:pPr>
      <w:hyperlink r:id="rId833" w:history="1">
        <w:r w:rsidR="009832A9" w:rsidRPr="00EF7399">
          <w:rPr>
            <w:rStyle w:val="Hyperlink"/>
            <w:rFonts w:ascii="Times New Roman" w:hAnsi="Times New Roman" w:cs="Times New Roman"/>
            <w:lang w:val="af-ZA"/>
          </w:rPr>
          <w:t>Sáska</w:t>
        </w:r>
        <w:r w:rsidR="00873234" w:rsidRPr="00EF7399">
          <w:rPr>
            <w:rStyle w:val="Hyperlink"/>
            <w:rFonts w:ascii="Times New Roman" w:hAnsi="Times New Roman" w:cs="Times New Roman"/>
            <w:lang w:val="af-ZA"/>
          </w:rPr>
          <w:t xml:space="preserve"> v. </w:t>
        </w:r>
        <w:r w:rsidR="009832A9" w:rsidRPr="00EF7399">
          <w:rPr>
            <w:rStyle w:val="Hyperlink"/>
            <w:rFonts w:ascii="Times New Roman" w:hAnsi="Times New Roman" w:cs="Times New Roman"/>
            <w:lang w:val="af-ZA"/>
          </w:rPr>
          <w:t>Hungary</w:t>
        </w:r>
      </w:hyperlink>
      <w:r w:rsidR="009832A9" w:rsidRPr="00EF7399">
        <w:rPr>
          <w:rFonts w:ascii="Times New Roman" w:hAnsi="Times New Roman" w:cs="Times New Roman"/>
          <w:lang w:val="af-ZA"/>
        </w:rPr>
        <w:t>, no. 58050/08, 27 November 2012</w:t>
      </w:r>
    </w:p>
    <w:bookmarkStart w:id="113" w:name="_Hlk90886874"/>
    <w:p w14:paraId="732506C9" w14:textId="0921262D" w:rsidR="008479EF" w:rsidRPr="00EF7399" w:rsidRDefault="00C22AFC" w:rsidP="009832A9">
      <w:pPr>
        <w:pStyle w:val="ECHRParaHanging"/>
        <w:rPr>
          <w:rFonts w:ascii="Times New Roman" w:hAnsi="Times New Roman" w:cs="Times New Roman"/>
          <w:lang w:val="af-ZA"/>
        </w:rPr>
      </w:pPr>
      <w:r w:rsidRPr="00EF7399">
        <w:lastRenderedPageBreak/>
        <w:fldChar w:fldCharType="begin"/>
      </w:r>
      <w:r w:rsidRPr="00EF7399">
        <w:rPr>
          <w:rFonts w:ascii="Times New Roman" w:hAnsi="Times New Roman" w:cs="Times New Roman"/>
          <w:lang w:val="af-ZA"/>
        </w:rPr>
        <w:instrText xml:space="preserve"> HYPERLINK "https://hudoc.echr.coe.int/eng?i=001-211785" </w:instrText>
      </w:r>
      <w:r w:rsidRPr="00EF7399">
        <w:fldChar w:fldCharType="separate"/>
      </w:r>
      <w:r w:rsidR="008479EF" w:rsidRPr="00EF7399">
        <w:rPr>
          <w:rStyle w:val="Hyperlink"/>
          <w:rFonts w:ascii="Times New Roman" w:hAnsi="Times New Roman" w:cs="Times New Roman"/>
          <w:lang w:val="af-ZA"/>
        </w:rPr>
        <w:t>Savenko and Others</w:t>
      </w:r>
      <w:r w:rsidR="00873234" w:rsidRPr="00EF7399">
        <w:rPr>
          <w:rStyle w:val="Hyperlink"/>
          <w:rFonts w:ascii="Times New Roman" w:hAnsi="Times New Roman" w:cs="Times New Roman"/>
          <w:lang w:val="af-ZA"/>
        </w:rPr>
        <w:t xml:space="preserve"> v. </w:t>
      </w:r>
      <w:r w:rsidR="008479EF" w:rsidRPr="00EF7399">
        <w:rPr>
          <w:rStyle w:val="Hyperlink"/>
          <w:rFonts w:ascii="Times New Roman" w:hAnsi="Times New Roman" w:cs="Times New Roman"/>
          <w:lang w:val="af-ZA"/>
        </w:rPr>
        <w:t>Russia</w:t>
      </w:r>
      <w:r w:rsidRPr="00EF7399">
        <w:rPr>
          <w:rStyle w:val="Hyperlink"/>
          <w:rFonts w:ascii="Times New Roman" w:hAnsi="Times New Roman" w:cs="Times New Roman"/>
          <w:lang w:val="af-ZA"/>
        </w:rPr>
        <w:fldChar w:fldCharType="end"/>
      </w:r>
      <w:r w:rsidR="008479EF" w:rsidRPr="00EF7399">
        <w:rPr>
          <w:rFonts w:ascii="Times New Roman" w:hAnsi="Times New Roman" w:cs="Times New Roman"/>
          <w:lang w:val="af-ZA"/>
        </w:rPr>
        <w:t>,</w:t>
      </w:r>
      <w:bookmarkEnd w:id="113"/>
      <w:r w:rsidR="008479EF" w:rsidRPr="00EF7399">
        <w:rPr>
          <w:rFonts w:ascii="Times New Roman" w:hAnsi="Times New Roman" w:cs="Times New Roman"/>
          <w:lang w:val="af-ZA"/>
        </w:rPr>
        <w:t xml:space="preserve"> no. 13918/06, 14 September 2021</w:t>
      </w:r>
    </w:p>
    <w:p w14:paraId="7EBCBA5D" w14:textId="204549E5" w:rsidR="00144D67" w:rsidRPr="00EF7399" w:rsidRDefault="00000000" w:rsidP="00144D67">
      <w:pPr>
        <w:pStyle w:val="ECHRParaHanging"/>
        <w:rPr>
          <w:rFonts w:ascii="Times New Roman" w:hAnsi="Times New Roman" w:cs="Times New Roman"/>
          <w:lang w:val="af-ZA"/>
        </w:rPr>
      </w:pPr>
      <w:hyperlink r:id="rId834" w:history="1">
        <w:r w:rsidR="00144D67" w:rsidRPr="00EF7399">
          <w:rPr>
            <w:rStyle w:val="Hyperlink"/>
            <w:rFonts w:ascii="Times New Roman" w:hAnsi="Times New Roman" w:cs="Times New Roman"/>
            <w:lang w:val="af-ZA"/>
          </w:rPr>
          <w:t>Schmidt and Dahlström</w:t>
        </w:r>
        <w:r w:rsidR="00873234" w:rsidRPr="00EF7399">
          <w:rPr>
            <w:rStyle w:val="Hyperlink"/>
            <w:rFonts w:ascii="Times New Roman" w:hAnsi="Times New Roman" w:cs="Times New Roman"/>
            <w:lang w:val="af-ZA"/>
          </w:rPr>
          <w:t xml:space="preserve"> v. </w:t>
        </w:r>
        <w:r w:rsidR="00144D67" w:rsidRPr="00EF7399">
          <w:rPr>
            <w:rStyle w:val="Hyperlink"/>
            <w:rFonts w:ascii="Times New Roman" w:hAnsi="Times New Roman" w:cs="Times New Roman"/>
            <w:lang w:val="af-ZA"/>
          </w:rPr>
          <w:t>Sweden</w:t>
        </w:r>
      </w:hyperlink>
      <w:r w:rsidR="00144D67" w:rsidRPr="00EF7399">
        <w:rPr>
          <w:rFonts w:ascii="Times New Roman" w:hAnsi="Times New Roman" w:cs="Times New Roman"/>
          <w:lang w:val="af-ZA"/>
        </w:rPr>
        <w:t>, 6 February 1976, Series A no. 21</w:t>
      </w:r>
    </w:p>
    <w:p w14:paraId="294675A0" w14:textId="1D309968" w:rsidR="00624C46" w:rsidRPr="00EF7399" w:rsidRDefault="00000000" w:rsidP="00624C46">
      <w:pPr>
        <w:pStyle w:val="ECHRParaHanging"/>
        <w:rPr>
          <w:rFonts w:ascii="Times New Roman" w:hAnsi="Times New Roman" w:cs="Times New Roman"/>
          <w:lang w:val="af-ZA"/>
        </w:rPr>
      </w:pPr>
      <w:hyperlink r:id="rId835" w:history="1">
        <w:r w:rsidR="00624C46" w:rsidRPr="00EF7399">
          <w:rPr>
            <w:rStyle w:val="Hyperlink"/>
            <w:rFonts w:ascii="Times New Roman" w:hAnsi="Times New Roman" w:cs="Times New Roman"/>
            <w:lang w:val="af-ZA"/>
          </w:rPr>
          <w:t>Schneider</w:t>
        </w:r>
        <w:r w:rsidR="00873234" w:rsidRPr="00EF7399">
          <w:rPr>
            <w:rStyle w:val="Hyperlink"/>
            <w:rFonts w:ascii="Times New Roman" w:hAnsi="Times New Roman" w:cs="Times New Roman"/>
            <w:lang w:val="af-ZA"/>
          </w:rPr>
          <w:t xml:space="preserve"> v. </w:t>
        </w:r>
        <w:r w:rsidR="00624C46" w:rsidRPr="00EF7399">
          <w:rPr>
            <w:rStyle w:val="Hyperlink"/>
            <w:rFonts w:ascii="Times New Roman" w:hAnsi="Times New Roman" w:cs="Times New Roman"/>
            <w:lang w:val="af-ZA"/>
          </w:rPr>
          <w:t>Luxembourg</w:t>
        </w:r>
      </w:hyperlink>
      <w:r w:rsidR="00624C46" w:rsidRPr="00EF7399">
        <w:rPr>
          <w:rFonts w:ascii="Times New Roman" w:hAnsi="Times New Roman" w:cs="Times New Roman"/>
          <w:i/>
          <w:lang w:val="af-ZA"/>
        </w:rPr>
        <w:t>,</w:t>
      </w:r>
      <w:r w:rsidR="00624C46" w:rsidRPr="00EF7399">
        <w:rPr>
          <w:rFonts w:ascii="Times New Roman" w:hAnsi="Times New Roman" w:cs="Times New Roman"/>
          <w:lang w:val="af-ZA"/>
        </w:rPr>
        <w:t xml:space="preserve"> no. 2113/04, 10 July 2007</w:t>
      </w:r>
    </w:p>
    <w:p w14:paraId="0F1B4E13" w14:textId="6C79DBA2" w:rsidR="009832A9" w:rsidRPr="00EF7399" w:rsidRDefault="00000000" w:rsidP="009832A9">
      <w:pPr>
        <w:pStyle w:val="ECHRParaHanging"/>
        <w:rPr>
          <w:rFonts w:ascii="Times New Roman" w:hAnsi="Times New Roman" w:cs="Times New Roman"/>
          <w:lang w:val="af-ZA"/>
        </w:rPr>
      </w:pPr>
      <w:hyperlink r:id="rId836" w:history="1">
        <w:r w:rsidR="009832A9" w:rsidRPr="00EF7399">
          <w:rPr>
            <w:rStyle w:val="Hyperlink"/>
            <w:rFonts w:ascii="Times New Roman" w:hAnsi="Times New Roman" w:cs="Times New Roman"/>
            <w:lang w:val="af-ZA"/>
          </w:rPr>
          <w:t>Schwabe and M.G.</w:t>
        </w:r>
        <w:r w:rsidR="00873234" w:rsidRPr="00EF7399">
          <w:rPr>
            <w:rStyle w:val="Hyperlink"/>
            <w:rFonts w:ascii="Times New Roman" w:hAnsi="Times New Roman" w:cs="Times New Roman"/>
            <w:lang w:val="af-ZA"/>
          </w:rPr>
          <w:t xml:space="preserve"> v. </w:t>
        </w:r>
        <w:r w:rsidR="009832A9" w:rsidRPr="00EF7399">
          <w:rPr>
            <w:rStyle w:val="Hyperlink"/>
            <w:rFonts w:ascii="Times New Roman" w:hAnsi="Times New Roman" w:cs="Times New Roman"/>
            <w:lang w:val="af-ZA"/>
          </w:rPr>
          <w:t>Germany</w:t>
        </w:r>
      </w:hyperlink>
      <w:r w:rsidR="009832A9" w:rsidRPr="00EF7399">
        <w:rPr>
          <w:rFonts w:ascii="Times New Roman" w:hAnsi="Times New Roman" w:cs="Times New Roman"/>
          <w:lang w:val="af-ZA"/>
        </w:rPr>
        <w:t>, nos. 8080/08 and 8577/08, ECHR 2011-VI (extracts)</w:t>
      </w:r>
    </w:p>
    <w:p w14:paraId="258EE54D" w14:textId="19EBC02D" w:rsidR="00A24EA3" w:rsidRPr="00EF7399" w:rsidRDefault="00000000" w:rsidP="00624C46">
      <w:pPr>
        <w:pStyle w:val="ECHRParaHanging"/>
        <w:rPr>
          <w:rFonts w:ascii="Times New Roman" w:hAnsi="Times New Roman" w:cs="Times New Roman"/>
          <w:lang w:val="af-ZA"/>
        </w:rPr>
      </w:pPr>
      <w:hyperlink r:id="rId837" w:history="1">
        <w:r w:rsidR="00A24EA3" w:rsidRPr="00EF7399">
          <w:rPr>
            <w:rStyle w:val="Hyperlink"/>
            <w:rFonts w:ascii="Times New Roman" w:hAnsi="Times New Roman" w:cs="Times New Roman"/>
            <w:lang w:val="af-ZA"/>
          </w:rPr>
          <w:t>Sergey Kuznetsov</w:t>
        </w:r>
        <w:r w:rsidR="00873234" w:rsidRPr="00EF7399">
          <w:rPr>
            <w:rStyle w:val="Hyperlink"/>
            <w:rFonts w:ascii="Times New Roman" w:hAnsi="Times New Roman" w:cs="Times New Roman"/>
            <w:lang w:val="af-ZA"/>
          </w:rPr>
          <w:t xml:space="preserve"> v. </w:t>
        </w:r>
        <w:r w:rsidR="00A24EA3" w:rsidRPr="00EF7399">
          <w:rPr>
            <w:rStyle w:val="Hyperlink"/>
            <w:rFonts w:ascii="Times New Roman" w:hAnsi="Times New Roman" w:cs="Times New Roman"/>
            <w:lang w:val="af-ZA"/>
          </w:rPr>
          <w:t>Russia</w:t>
        </w:r>
      </w:hyperlink>
      <w:r w:rsidR="00A24EA3" w:rsidRPr="00EF7399">
        <w:rPr>
          <w:rFonts w:ascii="Times New Roman" w:hAnsi="Times New Roman" w:cs="Times New Roman"/>
          <w:lang w:val="af-ZA"/>
        </w:rPr>
        <w:t>, no. 10877/04, 23 October 2008</w:t>
      </w:r>
    </w:p>
    <w:p w14:paraId="08CC3BF2" w14:textId="04384E9A" w:rsidR="00376FF2" w:rsidRPr="00EF7399" w:rsidRDefault="00000000" w:rsidP="00376FF2">
      <w:pPr>
        <w:pStyle w:val="ECHRParaHanging"/>
        <w:rPr>
          <w:rFonts w:ascii="Times New Roman" w:hAnsi="Times New Roman" w:cs="Times New Roman"/>
          <w:lang w:val="af-ZA"/>
        </w:rPr>
      </w:pPr>
      <w:hyperlink r:id="rId838" w:history="1">
        <w:r w:rsidR="00376FF2" w:rsidRPr="00EF7399">
          <w:rPr>
            <w:rStyle w:val="Hyperlink"/>
            <w:rFonts w:ascii="Times New Roman" w:hAnsi="Times New Roman" w:cs="Times New Roman"/>
            <w:iCs/>
            <w:lang w:val="af-ZA"/>
          </w:rPr>
          <w:t>Shmorgunov and Others</w:t>
        </w:r>
        <w:r w:rsidR="00873234" w:rsidRPr="00EF7399">
          <w:rPr>
            <w:rStyle w:val="Hyperlink"/>
            <w:rFonts w:ascii="Times New Roman" w:hAnsi="Times New Roman" w:cs="Times New Roman"/>
            <w:iCs/>
            <w:lang w:val="af-ZA"/>
          </w:rPr>
          <w:t xml:space="preserve"> v. </w:t>
        </w:r>
        <w:r w:rsidR="00376FF2" w:rsidRPr="00EF7399">
          <w:rPr>
            <w:rStyle w:val="Hyperlink"/>
            <w:rFonts w:ascii="Times New Roman" w:hAnsi="Times New Roman" w:cs="Times New Roman"/>
            <w:iCs/>
            <w:lang w:val="af-ZA"/>
          </w:rPr>
          <w:t>Ukraine</w:t>
        </w:r>
      </w:hyperlink>
      <w:r w:rsidR="00376FF2" w:rsidRPr="00EF7399">
        <w:rPr>
          <w:rFonts w:ascii="Times New Roman" w:hAnsi="Times New Roman" w:cs="Times New Roman"/>
          <w:lang w:val="af-ZA"/>
        </w:rPr>
        <w:t>, nos. 15367/14 and 13 others, 21 January 2021</w:t>
      </w:r>
    </w:p>
    <w:p w14:paraId="75FF8FDD" w14:textId="7F2C0BA9" w:rsidR="004C3976" w:rsidRPr="00EF7399" w:rsidRDefault="00000000" w:rsidP="004C3976">
      <w:pPr>
        <w:pStyle w:val="ECHRParaHanging"/>
        <w:rPr>
          <w:rFonts w:ascii="Times New Roman" w:hAnsi="Times New Roman" w:cs="Times New Roman"/>
          <w:lang w:val="af-ZA"/>
        </w:rPr>
      </w:pPr>
      <w:hyperlink r:id="rId839" w:history="1">
        <w:r w:rsidR="004C3976" w:rsidRPr="00EF7399">
          <w:rPr>
            <w:rStyle w:val="Hyperlink"/>
            <w:rFonts w:ascii="Times New Roman" w:hAnsi="Times New Roman" w:cs="Times New Roman"/>
            <w:lang w:val="af-ZA"/>
          </w:rPr>
          <w:t>Sidiropoulos and Others</w:t>
        </w:r>
        <w:r w:rsidR="00873234" w:rsidRPr="00EF7399">
          <w:rPr>
            <w:rStyle w:val="Hyperlink"/>
            <w:rFonts w:ascii="Times New Roman" w:hAnsi="Times New Roman" w:cs="Times New Roman"/>
            <w:lang w:val="af-ZA"/>
          </w:rPr>
          <w:t xml:space="preserve"> v. </w:t>
        </w:r>
        <w:r w:rsidR="004C3976" w:rsidRPr="00EF7399">
          <w:rPr>
            <w:rStyle w:val="Hyperlink"/>
            <w:rFonts w:ascii="Times New Roman" w:hAnsi="Times New Roman" w:cs="Times New Roman"/>
            <w:lang w:val="af-ZA"/>
          </w:rPr>
          <w:t>Greece</w:t>
        </w:r>
      </w:hyperlink>
      <w:r w:rsidR="004C3976" w:rsidRPr="00EF7399">
        <w:rPr>
          <w:rFonts w:ascii="Times New Roman" w:hAnsi="Times New Roman" w:cs="Times New Roman"/>
          <w:lang w:val="af-ZA"/>
        </w:rPr>
        <w:t xml:space="preserve">, 10 July 1998, </w:t>
      </w:r>
      <w:r w:rsidR="004C3976" w:rsidRPr="00EF7399">
        <w:rPr>
          <w:rFonts w:ascii="Times New Roman" w:hAnsi="Times New Roman" w:cs="Times New Roman"/>
          <w:i/>
          <w:lang w:val="af-ZA"/>
        </w:rPr>
        <w:t>Reports of Judgments and Decisions</w:t>
      </w:r>
      <w:r w:rsidR="004C3976" w:rsidRPr="00EF7399">
        <w:rPr>
          <w:rFonts w:ascii="Times New Roman" w:hAnsi="Times New Roman" w:cs="Times New Roman"/>
          <w:lang w:val="af-ZA"/>
        </w:rPr>
        <w:t xml:space="preserve"> 1998</w:t>
      </w:r>
      <w:r w:rsidR="004C3976" w:rsidRPr="00EF7399">
        <w:rPr>
          <w:rFonts w:ascii="Times New Roman" w:hAnsi="Times New Roman" w:cs="Times New Roman"/>
          <w:lang w:val="af-ZA"/>
        </w:rPr>
        <w:noBreakHyphen/>
        <w:t>IV</w:t>
      </w:r>
    </w:p>
    <w:p w14:paraId="343B7316" w14:textId="57C8488E" w:rsidR="00705669" w:rsidRPr="00EF7399" w:rsidRDefault="00000000" w:rsidP="00705669">
      <w:pPr>
        <w:pStyle w:val="ECHRParaHanging"/>
        <w:rPr>
          <w:rFonts w:ascii="Times New Roman" w:hAnsi="Times New Roman" w:cs="Times New Roman"/>
          <w:lang w:val="af-ZA"/>
        </w:rPr>
      </w:pPr>
      <w:hyperlink r:id="rId840" w:history="1">
        <w:r w:rsidR="00624C46" w:rsidRPr="00EF7399">
          <w:rPr>
            <w:rStyle w:val="Hyperlink"/>
            <w:rFonts w:ascii="Times New Roman" w:hAnsi="Times New Roman" w:cs="Times New Roman"/>
            <w:lang w:val="af-ZA"/>
          </w:rPr>
          <w:t>Sigurður A. Sigurjónsson</w:t>
        </w:r>
        <w:r w:rsidR="00873234" w:rsidRPr="00EF7399">
          <w:rPr>
            <w:rStyle w:val="Hyperlink"/>
            <w:rFonts w:ascii="Times New Roman" w:hAnsi="Times New Roman" w:cs="Times New Roman"/>
            <w:lang w:val="af-ZA"/>
          </w:rPr>
          <w:t xml:space="preserve"> v. </w:t>
        </w:r>
        <w:r w:rsidR="00624C46" w:rsidRPr="00EF7399">
          <w:rPr>
            <w:rStyle w:val="Hyperlink"/>
            <w:rFonts w:ascii="Times New Roman" w:hAnsi="Times New Roman" w:cs="Times New Roman"/>
            <w:lang w:val="af-ZA"/>
          </w:rPr>
          <w:t>Iceland</w:t>
        </w:r>
      </w:hyperlink>
      <w:r w:rsidR="00624C46" w:rsidRPr="00EF7399">
        <w:rPr>
          <w:rFonts w:ascii="Times New Roman" w:hAnsi="Times New Roman" w:cs="Times New Roman"/>
          <w:i/>
          <w:lang w:val="af-ZA"/>
        </w:rPr>
        <w:t>,</w:t>
      </w:r>
      <w:r w:rsidR="00624C46" w:rsidRPr="00EF7399">
        <w:rPr>
          <w:rFonts w:ascii="Times New Roman" w:hAnsi="Times New Roman" w:cs="Times New Roman"/>
          <w:lang w:val="af-ZA"/>
        </w:rPr>
        <w:t xml:space="preserve"> 30 June 1993, Series A no. 264</w:t>
      </w:r>
    </w:p>
    <w:p w14:paraId="44E4DCC5" w14:textId="39945AA9" w:rsidR="00705669" w:rsidRPr="00EF7399" w:rsidRDefault="00000000" w:rsidP="004C3976">
      <w:pPr>
        <w:pStyle w:val="ECHRParaHanging"/>
        <w:rPr>
          <w:rFonts w:ascii="Times New Roman" w:hAnsi="Times New Roman" w:cs="Times New Roman"/>
          <w:lang w:val="af-ZA"/>
        </w:rPr>
      </w:pPr>
      <w:hyperlink r:id="rId841" w:history="1">
        <w:r w:rsidR="00705669" w:rsidRPr="00EF7399">
          <w:rPr>
            <w:rStyle w:val="Hyperlink"/>
            <w:rFonts w:ascii="Times New Roman" w:hAnsi="Times New Roman" w:cs="Times New Roman"/>
            <w:lang w:val="af-ZA"/>
          </w:rPr>
          <w:t>Silgir</w:t>
        </w:r>
        <w:r w:rsidR="00873234" w:rsidRPr="00EF7399">
          <w:rPr>
            <w:rStyle w:val="Hyperlink"/>
            <w:rFonts w:ascii="Times New Roman" w:hAnsi="Times New Roman" w:cs="Times New Roman"/>
            <w:lang w:val="af-ZA"/>
          </w:rPr>
          <w:t xml:space="preserve"> v. </w:t>
        </w:r>
        <w:r w:rsidR="00705669" w:rsidRPr="00EF7399">
          <w:rPr>
            <w:rStyle w:val="Hyperlink"/>
            <w:rFonts w:ascii="Times New Roman" w:hAnsi="Times New Roman" w:cs="Times New Roman"/>
            <w:lang w:val="af-ZA"/>
          </w:rPr>
          <w:t>Turkey</w:t>
        </w:r>
      </w:hyperlink>
      <w:r w:rsidR="00705669" w:rsidRPr="00EF7399">
        <w:rPr>
          <w:rFonts w:ascii="Times New Roman" w:hAnsi="Times New Roman" w:cs="Times New Roman"/>
          <w:lang w:val="af-ZA"/>
        </w:rPr>
        <w:t xml:space="preserve">, </w:t>
      </w:r>
      <w:r w:rsidR="00705669" w:rsidRPr="00EF7399">
        <w:rPr>
          <w:rFonts w:ascii="Times New Roman" w:hAnsi="Times New Roman" w:cs="Times New Roman"/>
          <w:color w:val="000000"/>
          <w:lang w:val="af-ZA" w:eastAsia="fr-FR"/>
        </w:rPr>
        <w:t>no. 60389/10, 3 May 2022</w:t>
      </w:r>
    </w:p>
    <w:p w14:paraId="5566A767" w14:textId="0B66CE87" w:rsidR="00FD4BDF" w:rsidRPr="00EF7399" w:rsidRDefault="00000000" w:rsidP="00FD4BDF">
      <w:pPr>
        <w:pStyle w:val="ECHRParaHanging"/>
        <w:rPr>
          <w:rFonts w:ascii="Times New Roman" w:hAnsi="Times New Roman" w:cs="Times New Roman"/>
          <w:lang w:val="af-ZA"/>
        </w:rPr>
      </w:pPr>
      <w:hyperlink r:id="rId842" w:history="1">
        <w:r w:rsidR="00FD4BDF" w:rsidRPr="00EF7399">
          <w:rPr>
            <w:rStyle w:val="Hyperlink"/>
            <w:rFonts w:ascii="Times New Roman" w:hAnsi="Times New Roman" w:cs="Times New Roman"/>
            <w:lang w:val="af-ZA"/>
          </w:rPr>
          <w:t>Sindicatul “Păstorul cel Bun”</w:t>
        </w:r>
        <w:r w:rsidR="00873234" w:rsidRPr="00EF7399">
          <w:rPr>
            <w:rStyle w:val="Hyperlink"/>
            <w:rFonts w:ascii="Times New Roman" w:hAnsi="Times New Roman" w:cs="Times New Roman"/>
            <w:lang w:val="af-ZA"/>
          </w:rPr>
          <w:t xml:space="preserve"> v. </w:t>
        </w:r>
        <w:r w:rsidR="00FD4BDF" w:rsidRPr="00EF7399">
          <w:rPr>
            <w:rStyle w:val="Hyperlink"/>
            <w:rFonts w:ascii="Times New Roman" w:hAnsi="Times New Roman" w:cs="Times New Roman"/>
            <w:lang w:val="af-ZA"/>
          </w:rPr>
          <w:t>Romania</w:t>
        </w:r>
      </w:hyperlink>
      <w:r w:rsidR="00FD4BDF" w:rsidRPr="00EF7399">
        <w:rPr>
          <w:rFonts w:ascii="Times New Roman" w:hAnsi="Times New Roman" w:cs="Times New Roman"/>
          <w:i/>
          <w:lang w:val="af-ZA"/>
        </w:rPr>
        <w:t xml:space="preserve"> </w:t>
      </w:r>
      <w:r w:rsidR="00FD4BDF" w:rsidRPr="00EF7399">
        <w:rPr>
          <w:rFonts w:ascii="Times New Roman" w:hAnsi="Times New Roman" w:cs="Times New Roman"/>
          <w:lang w:val="af-ZA"/>
        </w:rPr>
        <w:t>[GC], no. 2330/09, ECHR 2013 (extracts)</w:t>
      </w:r>
    </w:p>
    <w:p w14:paraId="5E30F647" w14:textId="020DCF50" w:rsidR="00395611" w:rsidRPr="00EF7399" w:rsidRDefault="00000000" w:rsidP="00FD4BDF">
      <w:pPr>
        <w:pStyle w:val="ECHRParaHanging"/>
        <w:rPr>
          <w:rFonts w:ascii="Times New Roman" w:hAnsi="Times New Roman" w:cs="Times New Roman"/>
          <w:lang w:val="af-ZA"/>
        </w:rPr>
      </w:pPr>
      <w:hyperlink r:id="rId843" w:history="1">
        <w:r w:rsidR="00395611" w:rsidRPr="00EF7399">
          <w:rPr>
            <w:rStyle w:val="Hyperlink"/>
            <w:rFonts w:ascii="Times New Roman" w:hAnsi="Times New Roman" w:cs="Times New Roman"/>
            <w:lang w:val="af-ZA"/>
          </w:rPr>
          <w:t>Siveri and Chiellini</w:t>
        </w:r>
        <w:r w:rsidR="00873234" w:rsidRPr="00EF7399">
          <w:rPr>
            <w:rStyle w:val="Hyperlink"/>
            <w:rFonts w:ascii="Times New Roman" w:hAnsi="Times New Roman" w:cs="Times New Roman"/>
            <w:lang w:val="af-ZA"/>
          </w:rPr>
          <w:t xml:space="preserve"> v. </w:t>
        </w:r>
        <w:r w:rsidR="00395611" w:rsidRPr="00EF7399">
          <w:rPr>
            <w:rStyle w:val="Hyperlink"/>
            <w:rFonts w:ascii="Times New Roman" w:hAnsi="Times New Roman" w:cs="Times New Roman"/>
            <w:lang w:val="af-ZA"/>
          </w:rPr>
          <w:t>Italy</w:t>
        </w:r>
      </w:hyperlink>
      <w:r w:rsidR="00395611" w:rsidRPr="00EF7399">
        <w:rPr>
          <w:rFonts w:ascii="Times New Roman" w:hAnsi="Times New Roman" w:cs="Times New Roman"/>
          <w:lang w:val="af-ZA"/>
        </w:rPr>
        <w:t xml:space="preserve"> (dec.), no. 13148/04, 3 June 2008</w:t>
      </w:r>
    </w:p>
    <w:p w14:paraId="1764F629" w14:textId="66D6E15D" w:rsidR="00E26627" w:rsidRPr="00EF7399" w:rsidRDefault="00000000" w:rsidP="004C3976">
      <w:pPr>
        <w:pStyle w:val="ECHRParaHanging"/>
        <w:rPr>
          <w:rFonts w:ascii="Times New Roman" w:hAnsi="Times New Roman" w:cs="Times New Roman"/>
          <w:lang w:val="af-ZA"/>
        </w:rPr>
      </w:pPr>
      <w:hyperlink r:id="rId844" w:history="1">
        <w:r w:rsidR="00E26627" w:rsidRPr="00EF7399">
          <w:rPr>
            <w:rStyle w:val="Hyperlink"/>
            <w:rFonts w:ascii="Times New Roman" w:hAnsi="Times New Roman" w:cs="Times New Roman"/>
            <w:lang w:val="af-ZA"/>
          </w:rPr>
          <w:t>Slavic University in Bulgaria and Others</w:t>
        </w:r>
        <w:r w:rsidR="00873234" w:rsidRPr="00EF7399">
          <w:rPr>
            <w:rStyle w:val="Hyperlink"/>
            <w:rFonts w:ascii="Times New Roman" w:hAnsi="Times New Roman" w:cs="Times New Roman"/>
            <w:lang w:val="af-ZA"/>
          </w:rPr>
          <w:t xml:space="preserve"> v. </w:t>
        </w:r>
        <w:r w:rsidR="00E26627" w:rsidRPr="00EF7399">
          <w:rPr>
            <w:rStyle w:val="Hyperlink"/>
            <w:rFonts w:ascii="Times New Roman" w:hAnsi="Times New Roman" w:cs="Times New Roman"/>
            <w:lang w:val="af-ZA"/>
          </w:rPr>
          <w:t>Bulgaria</w:t>
        </w:r>
      </w:hyperlink>
      <w:r w:rsidR="00E26627" w:rsidRPr="00EF7399">
        <w:rPr>
          <w:rFonts w:ascii="Times New Roman" w:hAnsi="Times New Roman" w:cs="Times New Roman"/>
          <w:lang w:val="af-ZA"/>
        </w:rPr>
        <w:t xml:space="preserve"> (dec.), no. 60781/00, 18 November 2004</w:t>
      </w:r>
    </w:p>
    <w:p w14:paraId="174439BF" w14:textId="5C909A8E" w:rsidR="009832A9" w:rsidRPr="00EF7399" w:rsidRDefault="00000000" w:rsidP="009832A9">
      <w:pPr>
        <w:pStyle w:val="ECHRParaHanging"/>
        <w:rPr>
          <w:rFonts w:ascii="Times New Roman" w:hAnsi="Times New Roman" w:cs="Times New Roman"/>
          <w:lang w:val="af-ZA"/>
        </w:rPr>
      </w:pPr>
      <w:hyperlink r:id="rId845" w:history="1">
        <w:r w:rsidR="009832A9" w:rsidRPr="00EF7399">
          <w:rPr>
            <w:rStyle w:val="Hyperlink"/>
            <w:rFonts w:ascii="Times New Roman" w:hAnsi="Times New Roman" w:cs="Times New Roman"/>
            <w:lang w:val="af-ZA"/>
          </w:rPr>
          <w:t>Sørensen and Rasmussen</w:t>
        </w:r>
        <w:r w:rsidR="00873234" w:rsidRPr="00EF7399">
          <w:rPr>
            <w:rStyle w:val="Hyperlink"/>
            <w:rFonts w:ascii="Times New Roman" w:hAnsi="Times New Roman" w:cs="Times New Roman"/>
            <w:lang w:val="af-ZA"/>
          </w:rPr>
          <w:t xml:space="preserve"> v. </w:t>
        </w:r>
        <w:r w:rsidR="009832A9" w:rsidRPr="00EF7399">
          <w:rPr>
            <w:rStyle w:val="Hyperlink"/>
            <w:rFonts w:ascii="Times New Roman" w:hAnsi="Times New Roman" w:cs="Times New Roman"/>
            <w:lang w:val="af-ZA"/>
          </w:rPr>
          <w:t>Denmark</w:t>
        </w:r>
      </w:hyperlink>
      <w:r w:rsidR="009832A9" w:rsidRPr="00EF7399">
        <w:rPr>
          <w:rFonts w:ascii="Times New Roman" w:hAnsi="Times New Roman" w:cs="Times New Roman"/>
          <w:i/>
          <w:lang w:val="af-ZA"/>
        </w:rPr>
        <w:t xml:space="preserve"> </w:t>
      </w:r>
      <w:r w:rsidR="009832A9" w:rsidRPr="00EF7399">
        <w:rPr>
          <w:rFonts w:ascii="Times New Roman" w:hAnsi="Times New Roman" w:cs="Times New Roman"/>
          <w:lang w:val="af-ZA"/>
        </w:rPr>
        <w:t>[GC], nos. 52562/99 and 52620/99, ECHR 2006</w:t>
      </w:r>
      <w:r w:rsidR="009832A9" w:rsidRPr="00EF7399">
        <w:rPr>
          <w:rFonts w:ascii="Times New Roman" w:hAnsi="Times New Roman" w:cs="Times New Roman"/>
          <w:lang w:val="af-ZA"/>
        </w:rPr>
        <w:noBreakHyphen/>
        <w:t>I</w:t>
      </w:r>
    </w:p>
    <w:p w14:paraId="2F68065D" w14:textId="32862E66" w:rsidR="005B7C9A" w:rsidRPr="00EF7399" w:rsidRDefault="00000000" w:rsidP="005B7C9A">
      <w:pPr>
        <w:pStyle w:val="ECHRParaHanging"/>
        <w:rPr>
          <w:rFonts w:ascii="Times New Roman" w:hAnsi="Times New Roman" w:cs="Times New Roman"/>
          <w:lang w:val="af-ZA"/>
        </w:rPr>
      </w:pPr>
      <w:hyperlink r:id="rId846" w:history="1">
        <w:r w:rsidR="005B7C9A" w:rsidRPr="00EF7399">
          <w:rPr>
            <w:rStyle w:val="Hyperlink"/>
            <w:rFonts w:ascii="Times New Roman" w:hAnsi="Times New Roman" w:cs="Times New Roman"/>
            <w:lang w:val="af-ZA"/>
          </w:rPr>
          <w:t>Socialist Party and Others</w:t>
        </w:r>
        <w:r w:rsidR="00873234" w:rsidRPr="00EF7399">
          <w:rPr>
            <w:rStyle w:val="Hyperlink"/>
            <w:rFonts w:ascii="Times New Roman" w:hAnsi="Times New Roman" w:cs="Times New Roman"/>
            <w:lang w:val="af-ZA"/>
          </w:rPr>
          <w:t xml:space="preserve"> v. </w:t>
        </w:r>
        <w:r w:rsidR="005B7C9A" w:rsidRPr="00EF7399">
          <w:rPr>
            <w:rStyle w:val="Hyperlink"/>
            <w:rFonts w:ascii="Times New Roman" w:hAnsi="Times New Roman" w:cs="Times New Roman"/>
            <w:lang w:val="af-ZA"/>
          </w:rPr>
          <w:t>Turkey</w:t>
        </w:r>
      </w:hyperlink>
      <w:r w:rsidR="005B7C9A" w:rsidRPr="00EF7399">
        <w:rPr>
          <w:rFonts w:ascii="Times New Roman" w:hAnsi="Times New Roman" w:cs="Times New Roman"/>
          <w:lang w:val="af-ZA"/>
        </w:rPr>
        <w:t xml:space="preserve">, 25 May 1998, </w:t>
      </w:r>
      <w:r w:rsidR="005B7C9A" w:rsidRPr="00EF7399">
        <w:rPr>
          <w:rFonts w:ascii="Times New Roman" w:hAnsi="Times New Roman" w:cs="Times New Roman"/>
          <w:i/>
          <w:lang w:val="af-ZA"/>
        </w:rPr>
        <w:t>Reports of Judgments and Decisions</w:t>
      </w:r>
      <w:r w:rsidR="005B7C9A" w:rsidRPr="00EF7399">
        <w:rPr>
          <w:rFonts w:ascii="Times New Roman" w:hAnsi="Times New Roman" w:cs="Times New Roman"/>
          <w:lang w:val="af-ZA"/>
        </w:rPr>
        <w:t xml:space="preserve"> 1998</w:t>
      </w:r>
      <w:r w:rsidR="005B7C9A" w:rsidRPr="00EF7399">
        <w:rPr>
          <w:rFonts w:ascii="Times New Roman" w:hAnsi="Times New Roman" w:cs="Times New Roman"/>
          <w:lang w:val="af-ZA"/>
        </w:rPr>
        <w:noBreakHyphen/>
        <w:t>III</w:t>
      </w:r>
    </w:p>
    <w:p w14:paraId="44C8FD8B" w14:textId="60AEDFB6" w:rsidR="00A24EA3" w:rsidRPr="00EF7399" w:rsidRDefault="00000000" w:rsidP="005B7C9A">
      <w:pPr>
        <w:pStyle w:val="ECHRParaHanging"/>
        <w:rPr>
          <w:rFonts w:ascii="Times New Roman" w:hAnsi="Times New Roman" w:cs="Times New Roman"/>
          <w:lang w:val="af-ZA"/>
        </w:rPr>
      </w:pPr>
      <w:hyperlink r:id="rId847" w:history="1">
        <w:r w:rsidR="00A24EA3" w:rsidRPr="00EF7399">
          <w:rPr>
            <w:rStyle w:val="Hyperlink"/>
            <w:rFonts w:ascii="Times New Roman" w:hAnsi="Times New Roman" w:cs="Times New Roman"/>
            <w:lang w:val="af-ZA"/>
          </w:rPr>
          <w:t>Şolari</w:t>
        </w:r>
        <w:r w:rsidR="00873234" w:rsidRPr="00EF7399">
          <w:rPr>
            <w:rStyle w:val="Hyperlink"/>
            <w:rFonts w:ascii="Times New Roman" w:hAnsi="Times New Roman" w:cs="Times New Roman"/>
            <w:lang w:val="af-ZA"/>
          </w:rPr>
          <w:t xml:space="preserve"> v. </w:t>
        </w:r>
        <w:r w:rsidR="00A24EA3" w:rsidRPr="00EF7399">
          <w:rPr>
            <w:rStyle w:val="Hyperlink"/>
            <w:rFonts w:ascii="Times New Roman" w:hAnsi="Times New Roman" w:cs="Times New Roman"/>
            <w:lang w:val="af-ZA"/>
          </w:rPr>
          <w:t>the Republic of Moldova</w:t>
        </w:r>
      </w:hyperlink>
      <w:r w:rsidR="00A24EA3" w:rsidRPr="00EF7399">
        <w:rPr>
          <w:rFonts w:ascii="Times New Roman" w:hAnsi="Times New Roman" w:cs="Times New Roman"/>
          <w:lang w:val="af-ZA"/>
        </w:rPr>
        <w:t>, no. 42878/05, 28 March 2017</w:t>
      </w:r>
    </w:p>
    <w:p w14:paraId="6DB39C94" w14:textId="2FC92F19" w:rsidR="00A24EA3" w:rsidRPr="00EF7399" w:rsidRDefault="00000000" w:rsidP="005B7C9A">
      <w:pPr>
        <w:pStyle w:val="ECHRParaHanging"/>
        <w:rPr>
          <w:rFonts w:ascii="Times New Roman" w:hAnsi="Times New Roman" w:cs="Times New Roman"/>
          <w:lang w:val="af-ZA"/>
        </w:rPr>
      </w:pPr>
      <w:hyperlink r:id="rId848" w:history="1">
        <w:r w:rsidR="00A24EA3" w:rsidRPr="00EF7399">
          <w:rPr>
            <w:rStyle w:val="Hyperlink"/>
            <w:rFonts w:ascii="Times New Roman" w:hAnsi="Times New Roman" w:cs="Times New Roman"/>
            <w:lang w:val="af-ZA"/>
          </w:rPr>
          <w:t>Stankov and the United Macedonian Organisation Ilinden</w:t>
        </w:r>
        <w:r w:rsidR="00873234" w:rsidRPr="00EF7399">
          <w:rPr>
            <w:rStyle w:val="Hyperlink"/>
            <w:rFonts w:ascii="Times New Roman" w:hAnsi="Times New Roman" w:cs="Times New Roman"/>
            <w:lang w:val="af-ZA"/>
          </w:rPr>
          <w:t xml:space="preserve"> v. </w:t>
        </w:r>
        <w:r w:rsidR="00A24EA3" w:rsidRPr="00EF7399">
          <w:rPr>
            <w:rStyle w:val="Hyperlink"/>
            <w:rFonts w:ascii="Times New Roman" w:hAnsi="Times New Roman" w:cs="Times New Roman"/>
            <w:lang w:val="af-ZA"/>
          </w:rPr>
          <w:t>Bulgaria</w:t>
        </w:r>
      </w:hyperlink>
      <w:r w:rsidR="00A24EA3" w:rsidRPr="00EF7399">
        <w:rPr>
          <w:rFonts w:ascii="Times New Roman" w:hAnsi="Times New Roman" w:cs="Times New Roman"/>
          <w:lang w:val="af-ZA"/>
        </w:rPr>
        <w:t>, nos. 29221/95 and 29225/95, ECHR 2001-IX</w:t>
      </w:r>
    </w:p>
    <w:p w14:paraId="1E8AC6DD" w14:textId="54208DB9" w:rsidR="00A24EA3" w:rsidRPr="00EF7399" w:rsidRDefault="00000000" w:rsidP="005B7C9A">
      <w:pPr>
        <w:pStyle w:val="ECHRParaHanging"/>
        <w:rPr>
          <w:rFonts w:ascii="Times New Roman" w:hAnsi="Times New Roman" w:cs="Times New Roman"/>
          <w:lang w:val="af-ZA"/>
        </w:rPr>
      </w:pPr>
      <w:hyperlink r:id="rId849" w:history="1">
        <w:r w:rsidR="00A24EA3" w:rsidRPr="00EF7399">
          <w:rPr>
            <w:rStyle w:val="Hyperlink"/>
            <w:rFonts w:ascii="Times New Roman" w:hAnsi="Times New Roman" w:cs="Times New Roman"/>
            <w:lang w:val="af-ZA"/>
          </w:rPr>
          <w:t>Steel and Others</w:t>
        </w:r>
        <w:r w:rsidR="00873234" w:rsidRPr="00EF7399">
          <w:rPr>
            <w:rStyle w:val="Hyperlink"/>
            <w:rFonts w:ascii="Times New Roman" w:hAnsi="Times New Roman" w:cs="Times New Roman"/>
            <w:lang w:val="af-ZA"/>
          </w:rPr>
          <w:t xml:space="preserve"> v. </w:t>
        </w:r>
        <w:r w:rsidR="00A24EA3" w:rsidRPr="00EF7399">
          <w:rPr>
            <w:rStyle w:val="Hyperlink"/>
            <w:rFonts w:ascii="Times New Roman" w:hAnsi="Times New Roman" w:cs="Times New Roman"/>
            <w:lang w:val="af-ZA"/>
          </w:rPr>
          <w:t>the United Kingdom</w:t>
        </w:r>
      </w:hyperlink>
      <w:r w:rsidR="00A24EA3" w:rsidRPr="00EF7399">
        <w:rPr>
          <w:rFonts w:ascii="Times New Roman" w:hAnsi="Times New Roman" w:cs="Times New Roman"/>
          <w:lang w:val="af-ZA"/>
        </w:rPr>
        <w:t xml:space="preserve">, 23 September 1998, </w:t>
      </w:r>
      <w:r w:rsidR="00A24EA3" w:rsidRPr="00EF7399">
        <w:rPr>
          <w:rFonts w:ascii="Times New Roman" w:hAnsi="Times New Roman" w:cs="Times New Roman"/>
          <w:i/>
          <w:lang w:val="af-ZA"/>
        </w:rPr>
        <w:t>Reports of Judgments and Decisions</w:t>
      </w:r>
      <w:r w:rsidR="00A24EA3" w:rsidRPr="00EF7399">
        <w:rPr>
          <w:rFonts w:ascii="Times New Roman" w:hAnsi="Times New Roman" w:cs="Times New Roman"/>
          <w:lang w:val="af-ZA"/>
        </w:rPr>
        <w:t xml:space="preserve"> 1998-VII</w:t>
      </w:r>
    </w:p>
    <w:p w14:paraId="4E70A87B" w14:textId="7FE9E285" w:rsidR="00021516" w:rsidRPr="00EF7399" w:rsidRDefault="00000000" w:rsidP="005B7C9A">
      <w:pPr>
        <w:pStyle w:val="ECHRParaHanging"/>
        <w:rPr>
          <w:rFonts w:ascii="Times New Roman" w:hAnsi="Times New Roman" w:cs="Times New Roman"/>
          <w:lang w:val="af-ZA"/>
        </w:rPr>
      </w:pPr>
      <w:hyperlink r:id="rId850" w:history="1">
        <w:r w:rsidR="00021516" w:rsidRPr="00EF7399">
          <w:rPr>
            <w:rStyle w:val="Hyperlink"/>
            <w:rFonts w:ascii="Times New Roman" w:hAnsi="Times New Roman" w:cs="Times New Roman"/>
            <w:lang w:val="af-ZA"/>
          </w:rPr>
          <w:t>Straume</w:t>
        </w:r>
        <w:r w:rsidR="00873234" w:rsidRPr="00EF7399">
          <w:rPr>
            <w:rStyle w:val="Hyperlink"/>
            <w:rFonts w:ascii="Times New Roman" w:hAnsi="Times New Roman" w:cs="Times New Roman"/>
            <w:lang w:val="af-ZA"/>
          </w:rPr>
          <w:t xml:space="preserve"> v. </w:t>
        </w:r>
        <w:r w:rsidR="00021516" w:rsidRPr="00EF7399">
          <w:rPr>
            <w:rStyle w:val="Hyperlink"/>
            <w:rFonts w:ascii="Times New Roman" w:hAnsi="Times New Roman" w:cs="Times New Roman"/>
            <w:lang w:val="af-ZA"/>
          </w:rPr>
          <w:t>Latvia</w:t>
        </w:r>
      </w:hyperlink>
      <w:r w:rsidR="00021516" w:rsidRPr="00EF7399">
        <w:rPr>
          <w:rFonts w:ascii="Times New Roman" w:hAnsi="Times New Roman" w:cs="Times New Roman"/>
          <w:lang w:val="af-ZA"/>
        </w:rPr>
        <w:t>, no. 59402/14, 2 June 2022</w:t>
      </w:r>
    </w:p>
    <w:p w14:paraId="4CFBD1BE" w14:textId="4AA4133C" w:rsidR="00C47449" w:rsidRPr="00EF7399" w:rsidRDefault="00000000" w:rsidP="005B7C9A">
      <w:pPr>
        <w:pStyle w:val="ECHRParaHanging"/>
        <w:rPr>
          <w:rFonts w:ascii="Times New Roman" w:hAnsi="Times New Roman" w:cs="Times New Roman"/>
          <w:lang w:val="af-ZA"/>
        </w:rPr>
      </w:pPr>
      <w:hyperlink r:id="rId851" w:history="1">
        <w:r w:rsidR="00C47449" w:rsidRPr="00EF7399">
          <w:rPr>
            <w:rStyle w:val="Hyperlink"/>
            <w:rFonts w:ascii="Times New Roman" w:hAnsi="Times New Roman" w:cs="Times New Roman"/>
            <w:lang w:val="af-ZA"/>
          </w:rPr>
          <w:t>Süleyman Çelebi and Others</w:t>
        </w:r>
        <w:r w:rsidR="00873234" w:rsidRPr="00EF7399">
          <w:rPr>
            <w:rStyle w:val="Hyperlink"/>
            <w:rFonts w:ascii="Times New Roman" w:hAnsi="Times New Roman" w:cs="Times New Roman"/>
            <w:lang w:val="af-ZA"/>
          </w:rPr>
          <w:t xml:space="preserve"> v. </w:t>
        </w:r>
        <w:r w:rsidR="00C47449" w:rsidRPr="00EF7399">
          <w:rPr>
            <w:rStyle w:val="Hyperlink"/>
            <w:rFonts w:ascii="Times New Roman" w:hAnsi="Times New Roman" w:cs="Times New Roman"/>
            <w:lang w:val="af-ZA"/>
          </w:rPr>
          <w:t>Turkey (no. 2)</w:t>
        </w:r>
      </w:hyperlink>
      <w:r w:rsidR="00C47449" w:rsidRPr="00EF7399">
        <w:rPr>
          <w:rFonts w:ascii="Times New Roman" w:hAnsi="Times New Roman" w:cs="Times New Roman"/>
          <w:lang w:val="af-ZA"/>
        </w:rPr>
        <w:t>, nos. 22729/08 and 10581/09, 12 December 2017</w:t>
      </w:r>
    </w:p>
    <w:p w14:paraId="73AA4E78" w14:textId="1382B5A6" w:rsidR="00FD4BDF" w:rsidRPr="00EF7399" w:rsidRDefault="00000000" w:rsidP="00FD4BDF">
      <w:pPr>
        <w:pStyle w:val="ECHRParaHanging"/>
        <w:rPr>
          <w:rFonts w:ascii="Times New Roman" w:hAnsi="Times New Roman" w:cs="Times New Roman"/>
          <w:lang w:val="af-ZA"/>
        </w:rPr>
      </w:pPr>
      <w:hyperlink r:id="rId852" w:history="1">
        <w:r w:rsidR="00FD4BDF" w:rsidRPr="00EF7399">
          <w:rPr>
            <w:rStyle w:val="Hyperlink"/>
            <w:rFonts w:ascii="Times New Roman" w:hAnsi="Times New Roman" w:cs="Times New Roman"/>
            <w:lang w:val="af-ZA"/>
          </w:rPr>
          <w:t>Swedish Engine Drivers</w:t>
        </w:r>
        <w:r w:rsidR="00DF297D" w:rsidRPr="00EF7399">
          <w:rPr>
            <w:rStyle w:val="Hyperlink"/>
            <w:rFonts w:ascii="Times New Roman" w:hAnsi="Times New Roman" w:cs="Times New Roman"/>
            <w:lang w:val="af-ZA"/>
          </w:rPr>
          <w:t>’</w:t>
        </w:r>
        <w:r w:rsidR="00FD4BDF" w:rsidRPr="00EF7399">
          <w:rPr>
            <w:rStyle w:val="Hyperlink"/>
            <w:rFonts w:ascii="Times New Roman" w:hAnsi="Times New Roman" w:cs="Times New Roman"/>
            <w:lang w:val="af-ZA"/>
          </w:rPr>
          <w:t xml:space="preserve"> Union</w:t>
        </w:r>
        <w:r w:rsidR="00873234" w:rsidRPr="00EF7399">
          <w:rPr>
            <w:rStyle w:val="Hyperlink"/>
            <w:rFonts w:ascii="Times New Roman" w:hAnsi="Times New Roman" w:cs="Times New Roman"/>
            <w:lang w:val="af-ZA"/>
          </w:rPr>
          <w:t xml:space="preserve"> v. </w:t>
        </w:r>
        <w:r w:rsidR="00FD4BDF" w:rsidRPr="00EF7399">
          <w:rPr>
            <w:rStyle w:val="Hyperlink"/>
            <w:rFonts w:ascii="Times New Roman" w:hAnsi="Times New Roman" w:cs="Times New Roman"/>
            <w:lang w:val="af-ZA"/>
          </w:rPr>
          <w:t>Sweden</w:t>
        </w:r>
      </w:hyperlink>
      <w:r w:rsidR="00FD4BDF" w:rsidRPr="00EF7399">
        <w:rPr>
          <w:rFonts w:ascii="Times New Roman" w:hAnsi="Times New Roman" w:cs="Times New Roman"/>
          <w:lang w:val="af-ZA"/>
        </w:rPr>
        <w:t>, 6 February 1976, Series A no. 20</w:t>
      </w:r>
    </w:p>
    <w:p w14:paraId="679159BD" w14:textId="187F5469" w:rsidR="00CF3CD5" w:rsidRPr="00EF7399" w:rsidRDefault="00000000" w:rsidP="00FD4BDF">
      <w:pPr>
        <w:pStyle w:val="ECHRParaHanging"/>
        <w:rPr>
          <w:rFonts w:ascii="Times New Roman" w:hAnsi="Times New Roman" w:cs="Times New Roman"/>
          <w:lang w:val="af-ZA"/>
        </w:rPr>
      </w:pPr>
      <w:hyperlink r:id="rId853" w:history="1">
        <w:r w:rsidR="00CF3CD5" w:rsidRPr="00EF7399">
          <w:rPr>
            <w:rStyle w:val="Hyperlink"/>
            <w:rFonts w:ascii="Times New Roman" w:hAnsi="Times New Roman" w:cs="Times New Roman"/>
            <w:iCs/>
            <w:lang w:val="af-ZA"/>
          </w:rPr>
          <w:t>Swedish Transport Workers Union</w:t>
        </w:r>
        <w:r w:rsidR="00873234" w:rsidRPr="00EF7399">
          <w:rPr>
            <w:rStyle w:val="Hyperlink"/>
            <w:rFonts w:ascii="Times New Roman" w:hAnsi="Times New Roman" w:cs="Times New Roman"/>
            <w:iCs/>
            <w:lang w:val="af-ZA"/>
          </w:rPr>
          <w:t xml:space="preserve"> v. </w:t>
        </w:r>
        <w:r w:rsidR="00CF3CD5" w:rsidRPr="00EF7399">
          <w:rPr>
            <w:rStyle w:val="Hyperlink"/>
            <w:rFonts w:ascii="Times New Roman" w:hAnsi="Times New Roman" w:cs="Times New Roman"/>
            <w:iCs/>
            <w:lang w:val="af-ZA"/>
          </w:rPr>
          <w:t>Sweden</w:t>
        </w:r>
      </w:hyperlink>
      <w:r w:rsidR="00CF3CD5" w:rsidRPr="00EF7399">
        <w:rPr>
          <w:rFonts w:ascii="Times New Roman" w:hAnsi="Times New Roman" w:cs="Times New Roman"/>
          <w:i/>
          <w:iCs/>
          <w:lang w:val="af-ZA"/>
        </w:rPr>
        <w:t xml:space="preserve"> </w:t>
      </w:r>
      <w:r w:rsidR="00CF3CD5" w:rsidRPr="00EF7399">
        <w:rPr>
          <w:rFonts w:ascii="Times New Roman" w:hAnsi="Times New Roman" w:cs="Times New Roman"/>
          <w:iCs/>
          <w:lang w:val="af-ZA"/>
        </w:rPr>
        <w:t>(dec.), no. 53507/99, ECHR 2004</w:t>
      </w:r>
      <w:r w:rsidR="00CF3CD5" w:rsidRPr="00EF7399">
        <w:rPr>
          <w:rFonts w:ascii="Times New Roman" w:hAnsi="Times New Roman" w:cs="Times New Roman"/>
          <w:iCs/>
          <w:lang w:val="af-ZA"/>
        </w:rPr>
        <w:noBreakHyphen/>
        <w:t>XII (extracts)</w:t>
      </w:r>
    </w:p>
    <w:p w14:paraId="4E2C8326" w14:textId="557F9EA6" w:rsidR="006019EB" w:rsidRPr="00EF7399" w:rsidRDefault="006019EB" w:rsidP="006019EB">
      <w:pPr>
        <w:pStyle w:val="ECHRTitleCentre1"/>
        <w:rPr>
          <w:rFonts w:ascii="Times New Roman" w:hAnsi="Times New Roman" w:cs="Times New Roman"/>
          <w:lang w:val="af-ZA"/>
        </w:rPr>
      </w:pPr>
      <w:r w:rsidRPr="00EF7399">
        <w:rPr>
          <w:rFonts w:ascii="Times New Roman" w:hAnsi="Times New Roman" w:cs="Times New Roman"/>
          <w:lang w:val="af-ZA"/>
        </w:rPr>
        <w:t>—T—</w:t>
      </w:r>
    </w:p>
    <w:p w14:paraId="1BF63653" w14:textId="67D5EEF9" w:rsidR="005244E7" w:rsidRPr="00EF7399" w:rsidRDefault="00000000" w:rsidP="005244E7">
      <w:pPr>
        <w:pStyle w:val="ECHRPara"/>
        <w:rPr>
          <w:rFonts w:ascii="Times New Roman" w:hAnsi="Times New Roman" w:cs="Times New Roman"/>
        </w:rPr>
      </w:pPr>
      <w:hyperlink r:id="rId854" w:history="1">
        <w:r w:rsidR="005244E7" w:rsidRPr="00EF7399">
          <w:rPr>
            <w:rStyle w:val="Hyperlink"/>
            <w:rFonts w:ascii="Times New Roman" w:hAnsi="Times New Roman" w:cs="Times New Roman"/>
            <w:iCs/>
            <w:lang w:val="af-ZA"/>
          </w:rPr>
          <w:t>Taganrog LRO and Others</w:t>
        </w:r>
        <w:r w:rsidR="00873234" w:rsidRPr="00EF7399">
          <w:rPr>
            <w:rStyle w:val="Hyperlink"/>
            <w:rFonts w:ascii="Times New Roman" w:hAnsi="Times New Roman" w:cs="Times New Roman"/>
            <w:iCs/>
            <w:lang w:val="af-ZA"/>
          </w:rPr>
          <w:t xml:space="preserve"> v. </w:t>
        </w:r>
        <w:r w:rsidR="005244E7" w:rsidRPr="00EF7399">
          <w:rPr>
            <w:rStyle w:val="Hyperlink"/>
            <w:rFonts w:ascii="Times New Roman" w:hAnsi="Times New Roman" w:cs="Times New Roman"/>
            <w:iCs/>
            <w:lang w:val="af-ZA"/>
          </w:rPr>
          <w:t>Russia</w:t>
        </w:r>
      </w:hyperlink>
      <w:r w:rsidR="005244E7" w:rsidRPr="00EF7399">
        <w:rPr>
          <w:rFonts w:ascii="Times New Roman" w:hAnsi="Times New Roman" w:cs="Times New Roman"/>
        </w:rPr>
        <w:t>, nos. 32401/10 and 19 others, 7 June 2022</w:t>
      </w:r>
    </w:p>
    <w:p w14:paraId="1CB01A54" w14:textId="153DB474" w:rsidR="00C47449" w:rsidRPr="00EF7399" w:rsidRDefault="00000000" w:rsidP="005244E7">
      <w:pPr>
        <w:pStyle w:val="ECHRPara"/>
        <w:rPr>
          <w:rFonts w:ascii="Times New Roman" w:hAnsi="Times New Roman" w:cs="Times New Roman"/>
        </w:rPr>
      </w:pPr>
      <w:hyperlink r:id="rId855" w:history="1">
        <w:r w:rsidR="00C47449" w:rsidRPr="00EF7399">
          <w:rPr>
            <w:rStyle w:val="Hyperlink"/>
            <w:rFonts w:ascii="Times New Roman" w:hAnsi="Times New Roman" w:cs="Times New Roman"/>
            <w:lang w:val="af-ZA"/>
          </w:rPr>
          <w:t>Taranenko</w:t>
        </w:r>
        <w:r w:rsidR="00873234" w:rsidRPr="00EF7399">
          <w:rPr>
            <w:rStyle w:val="Hyperlink"/>
            <w:rFonts w:ascii="Times New Roman" w:hAnsi="Times New Roman" w:cs="Times New Roman"/>
            <w:lang w:val="af-ZA"/>
          </w:rPr>
          <w:t xml:space="preserve"> v. </w:t>
        </w:r>
        <w:r w:rsidR="00C47449" w:rsidRPr="00EF7399">
          <w:rPr>
            <w:rStyle w:val="Hyperlink"/>
            <w:rFonts w:ascii="Times New Roman" w:hAnsi="Times New Roman" w:cs="Times New Roman"/>
            <w:lang w:val="af-ZA"/>
          </w:rPr>
          <w:t>Russia</w:t>
        </w:r>
      </w:hyperlink>
      <w:r w:rsidR="00C47449" w:rsidRPr="00EF7399">
        <w:rPr>
          <w:rFonts w:ascii="Times New Roman" w:hAnsi="Times New Roman" w:cs="Times New Roman"/>
        </w:rPr>
        <w:t>, no. 19554/05, 15 May 2014</w:t>
      </w:r>
    </w:p>
    <w:p w14:paraId="2AEED3F8" w14:textId="7B40927D" w:rsidR="004145CA" w:rsidRPr="00EF7399" w:rsidRDefault="00000000" w:rsidP="004145CA">
      <w:pPr>
        <w:pStyle w:val="ECHRParaHanging"/>
        <w:rPr>
          <w:rFonts w:ascii="Times New Roman" w:hAnsi="Times New Roman" w:cs="Times New Roman"/>
          <w:lang w:val="af-ZA"/>
        </w:rPr>
      </w:pPr>
      <w:hyperlink r:id="rId856" w:history="1">
        <w:r w:rsidR="004145CA" w:rsidRPr="00EF7399">
          <w:rPr>
            <w:rStyle w:val="Hyperlink"/>
            <w:rFonts w:ascii="Times New Roman" w:hAnsi="Times New Roman" w:cs="Times New Roman"/>
            <w:lang w:val="af-ZA"/>
          </w:rPr>
          <w:t>Tebieti Mühafize Cemiyyeti and Israfilov</w:t>
        </w:r>
        <w:r w:rsidR="00873234" w:rsidRPr="00EF7399">
          <w:rPr>
            <w:rStyle w:val="Hyperlink"/>
            <w:rFonts w:ascii="Times New Roman" w:hAnsi="Times New Roman" w:cs="Times New Roman"/>
            <w:lang w:val="af-ZA"/>
          </w:rPr>
          <w:t xml:space="preserve"> v. </w:t>
        </w:r>
        <w:r w:rsidR="004145CA" w:rsidRPr="00EF7399">
          <w:rPr>
            <w:rStyle w:val="Hyperlink"/>
            <w:rFonts w:ascii="Times New Roman" w:hAnsi="Times New Roman" w:cs="Times New Roman"/>
            <w:lang w:val="af-ZA"/>
          </w:rPr>
          <w:t>Azerbaijan</w:t>
        </w:r>
      </w:hyperlink>
      <w:r w:rsidR="004145CA" w:rsidRPr="00EF7399">
        <w:rPr>
          <w:rFonts w:ascii="Times New Roman" w:hAnsi="Times New Roman" w:cs="Times New Roman"/>
          <w:lang w:val="af-ZA"/>
        </w:rPr>
        <w:t>, no. 37083/03, ECHR 2009</w:t>
      </w:r>
    </w:p>
    <w:p w14:paraId="2746A790" w14:textId="7740C922" w:rsidR="00082A0D" w:rsidRPr="00EF7399" w:rsidRDefault="00000000" w:rsidP="00082A0D">
      <w:pPr>
        <w:pStyle w:val="ECHRParaHanging"/>
        <w:rPr>
          <w:rFonts w:ascii="Times New Roman" w:hAnsi="Times New Roman" w:cs="Times New Roman"/>
          <w:lang w:val="af-ZA"/>
        </w:rPr>
      </w:pPr>
      <w:hyperlink r:id="rId857" w:history="1">
        <w:r w:rsidR="00082A0D" w:rsidRPr="00EF7399">
          <w:rPr>
            <w:rStyle w:val="Hyperlink"/>
            <w:rFonts w:ascii="Times New Roman" w:hAnsi="Times New Roman" w:cs="Times New Roman"/>
            <w:lang w:val="af-ZA"/>
          </w:rPr>
          <w:t>Tek Gıda İş Sendikası</w:t>
        </w:r>
        <w:r w:rsidR="00873234" w:rsidRPr="00EF7399">
          <w:rPr>
            <w:rStyle w:val="Hyperlink"/>
            <w:rFonts w:ascii="Times New Roman" w:hAnsi="Times New Roman" w:cs="Times New Roman"/>
            <w:lang w:val="af-ZA"/>
          </w:rPr>
          <w:t xml:space="preserve"> v. </w:t>
        </w:r>
        <w:r w:rsidR="00082A0D" w:rsidRPr="00EF7399">
          <w:rPr>
            <w:rStyle w:val="Hyperlink"/>
            <w:rFonts w:ascii="Times New Roman" w:hAnsi="Times New Roman" w:cs="Times New Roman"/>
            <w:lang w:val="af-ZA"/>
          </w:rPr>
          <w:t>Turkey</w:t>
        </w:r>
      </w:hyperlink>
      <w:r w:rsidR="00082A0D" w:rsidRPr="00EF7399">
        <w:rPr>
          <w:rFonts w:ascii="Times New Roman" w:hAnsi="Times New Roman" w:cs="Times New Roman"/>
          <w:lang w:val="af-ZA"/>
        </w:rPr>
        <w:t>, no. 35009/05, 4 April 2017</w:t>
      </w:r>
    </w:p>
    <w:p w14:paraId="5C970A50" w14:textId="0B7103C8" w:rsidR="003C365D" w:rsidRPr="00EF7399" w:rsidRDefault="00000000" w:rsidP="003C365D">
      <w:pPr>
        <w:pStyle w:val="ECHRParaHanging"/>
        <w:rPr>
          <w:rFonts w:ascii="Times New Roman" w:hAnsi="Times New Roman" w:cs="Times New Roman"/>
          <w:lang w:val="af-ZA"/>
        </w:rPr>
      </w:pPr>
      <w:hyperlink r:id="rId858" w:history="1">
        <w:r w:rsidR="003C365D" w:rsidRPr="00EF7399">
          <w:rPr>
            <w:rStyle w:val="Hyperlink"/>
            <w:rFonts w:ascii="Times New Roman" w:hAnsi="Times New Roman" w:cs="Times New Roman"/>
            <w:lang w:val="af-ZA"/>
          </w:rPr>
          <w:t>The Gypsy Council and Others</w:t>
        </w:r>
        <w:r w:rsidR="00873234" w:rsidRPr="00EF7399">
          <w:rPr>
            <w:rStyle w:val="Hyperlink"/>
            <w:rFonts w:ascii="Times New Roman" w:hAnsi="Times New Roman" w:cs="Times New Roman"/>
            <w:lang w:val="af-ZA"/>
          </w:rPr>
          <w:t xml:space="preserve"> v. </w:t>
        </w:r>
        <w:r w:rsidR="003C365D" w:rsidRPr="00EF7399">
          <w:rPr>
            <w:rStyle w:val="Hyperlink"/>
            <w:rFonts w:ascii="Times New Roman" w:hAnsi="Times New Roman" w:cs="Times New Roman"/>
            <w:lang w:val="af-ZA"/>
          </w:rPr>
          <w:t>the United Kingdom</w:t>
        </w:r>
      </w:hyperlink>
      <w:r w:rsidR="003C365D" w:rsidRPr="00EF7399">
        <w:rPr>
          <w:rFonts w:ascii="Times New Roman" w:hAnsi="Times New Roman" w:cs="Times New Roman"/>
          <w:lang w:val="af-ZA"/>
        </w:rPr>
        <w:t xml:space="preserve"> (dec.), no. 66336/01, 14 May 2002</w:t>
      </w:r>
    </w:p>
    <w:p w14:paraId="29739873" w14:textId="09AACED3" w:rsidR="00C47449" w:rsidRPr="00EF7399" w:rsidRDefault="00000000" w:rsidP="00082A0D">
      <w:pPr>
        <w:pStyle w:val="ECHRParaHanging"/>
        <w:rPr>
          <w:rFonts w:ascii="Times New Roman" w:hAnsi="Times New Roman" w:cs="Times New Roman"/>
          <w:lang w:val="af-ZA"/>
        </w:rPr>
      </w:pPr>
      <w:hyperlink r:id="rId859" w:history="1">
        <w:r w:rsidR="00C47449" w:rsidRPr="00EF7399">
          <w:rPr>
            <w:rStyle w:val="Hyperlink"/>
            <w:rFonts w:ascii="Times New Roman" w:hAnsi="Times New Roman" w:cs="Times New Roman"/>
            <w:lang w:val="af-ZA"/>
          </w:rPr>
          <w:t>The United Macedonian Organisation Ilinden and Ivanov</w:t>
        </w:r>
        <w:r w:rsidR="00873234" w:rsidRPr="00EF7399">
          <w:rPr>
            <w:rStyle w:val="Hyperlink"/>
            <w:rFonts w:ascii="Times New Roman" w:hAnsi="Times New Roman" w:cs="Times New Roman"/>
            <w:lang w:val="af-ZA"/>
          </w:rPr>
          <w:t xml:space="preserve"> v. </w:t>
        </w:r>
        <w:r w:rsidR="00C47449" w:rsidRPr="00EF7399">
          <w:rPr>
            <w:rStyle w:val="Hyperlink"/>
            <w:rFonts w:ascii="Times New Roman" w:hAnsi="Times New Roman" w:cs="Times New Roman"/>
            <w:lang w:val="af-ZA"/>
          </w:rPr>
          <w:t>Bulgaria</w:t>
        </w:r>
      </w:hyperlink>
      <w:r w:rsidR="00C47449" w:rsidRPr="00EF7399">
        <w:rPr>
          <w:rFonts w:ascii="Times New Roman" w:hAnsi="Times New Roman" w:cs="Times New Roman"/>
          <w:lang w:val="af-ZA"/>
        </w:rPr>
        <w:t>, no. 44079/98, 20 October 2005</w:t>
      </w:r>
    </w:p>
    <w:p w14:paraId="52AC3125" w14:textId="78CD2CD8" w:rsidR="006C2A4C" w:rsidRPr="00EF7399" w:rsidRDefault="00000000" w:rsidP="006C2A4C">
      <w:pPr>
        <w:pStyle w:val="ECHRParaHanging"/>
        <w:rPr>
          <w:rFonts w:ascii="Times New Roman" w:hAnsi="Times New Roman" w:cs="Times New Roman"/>
          <w:lang w:val="af-ZA"/>
        </w:rPr>
      </w:pPr>
      <w:hyperlink r:id="rId860" w:history="1">
        <w:r w:rsidR="006C2A4C" w:rsidRPr="00EF7399">
          <w:rPr>
            <w:rStyle w:val="Hyperlink"/>
            <w:rFonts w:ascii="Times New Roman" w:hAnsi="Times New Roman" w:cs="Times New Roman"/>
            <w:lang w:val="af-ZA"/>
          </w:rPr>
          <w:t>The United Macedonian Organisation Ilinden and Others</w:t>
        </w:r>
        <w:r w:rsidR="00873234" w:rsidRPr="00EF7399">
          <w:rPr>
            <w:rStyle w:val="Hyperlink"/>
            <w:rFonts w:ascii="Times New Roman" w:hAnsi="Times New Roman" w:cs="Times New Roman"/>
            <w:lang w:val="af-ZA"/>
          </w:rPr>
          <w:t xml:space="preserve"> v. </w:t>
        </w:r>
        <w:r w:rsidR="006C2A4C" w:rsidRPr="00EF7399">
          <w:rPr>
            <w:rStyle w:val="Hyperlink"/>
            <w:rFonts w:ascii="Times New Roman" w:hAnsi="Times New Roman" w:cs="Times New Roman"/>
            <w:lang w:val="af-ZA"/>
          </w:rPr>
          <w:t>Bulgaria</w:t>
        </w:r>
      </w:hyperlink>
      <w:r w:rsidR="006C2A4C" w:rsidRPr="00EF7399">
        <w:rPr>
          <w:rFonts w:ascii="Times New Roman" w:hAnsi="Times New Roman" w:cs="Times New Roman"/>
          <w:lang w:val="af-ZA"/>
        </w:rPr>
        <w:t>, no. 59491/00, 19 January 2006</w:t>
      </w:r>
    </w:p>
    <w:p w14:paraId="32E62937" w14:textId="723E6383" w:rsidR="006C2A4C" w:rsidRPr="00EF7399" w:rsidRDefault="00000000" w:rsidP="006C2A4C">
      <w:pPr>
        <w:pStyle w:val="ECHRParaHanging"/>
        <w:rPr>
          <w:rFonts w:ascii="Times New Roman" w:hAnsi="Times New Roman" w:cs="Times New Roman"/>
          <w:lang w:val="af-ZA"/>
        </w:rPr>
      </w:pPr>
      <w:hyperlink r:id="rId861" w:history="1">
        <w:r w:rsidR="006C2A4C" w:rsidRPr="00EF7399">
          <w:rPr>
            <w:rStyle w:val="Hyperlink"/>
            <w:rFonts w:ascii="Times New Roman" w:hAnsi="Times New Roman" w:cs="Times New Roman"/>
            <w:lang w:val="af-ZA"/>
          </w:rPr>
          <w:t>The United Macedonian Organisation Ilinden and Others</w:t>
        </w:r>
        <w:r w:rsidR="00873234" w:rsidRPr="00EF7399">
          <w:rPr>
            <w:rStyle w:val="Hyperlink"/>
            <w:rFonts w:ascii="Times New Roman" w:hAnsi="Times New Roman" w:cs="Times New Roman"/>
            <w:lang w:val="af-ZA"/>
          </w:rPr>
          <w:t xml:space="preserve"> v. </w:t>
        </w:r>
        <w:r w:rsidR="006C2A4C" w:rsidRPr="00EF7399">
          <w:rPr>
            <w:rStyle w:val="Hyperlink"/>
            <w:rFonts w:ascii="Times New Roman" w:hAnsi="Times New Roman" w:cs="Times New Roman"/>
            <w:lang w:val="af-ZA"/>
          </w:rPr>
          <w:t>Bulgaria (no. 2)</w:t>
        </w:r>
      </w:hyperlink>
      <w:r w:rsidR="006C2A4C" w:rsidRPr="00EF7399">
        <w:rPr>
          <w:rFonts w:ascii="Times New Roman" w:hAnsi="Times New Roman" w:cs="Times New Roman"/>
          <w:lang w:val="af-ZA"/>
        </w:rPr>
        <w:t>, no. 34960/04</w:t>
      </w:r>
      <w:r w:rsidR="0093363D" w:rsidRPr="00EF7399">
        <w:rPr>
          <w:rFonts w:ascii="Times New Roman" w:hAnsi="Times New Roman" w:cs="Times New Roman"/>
          <w:lang w:val="af-ZA"/>
        </w:rPr>
        <w:t>, 18 </w:t>
      </w:r>
      <w:r w:rsidR="006C2A4C" w:rsidRPr="00EF7399">
        <w:rPr>
          <w:rFonts w:ascii="Times New Roman" w:hAnsi="Times New Roman" w:cs="Times New Roman"/>
          <w:lang w:val="af-ZA"/>
        </w:rPr>
        <w:t>October 2011</w:t>
      </w:r>
    </w:p>
    <w:p w14:paraId="42C7F57A" w14:textId="5E7C7AF8" w:rsidR="003C365D" w:rsidRPr="00EF7399" w:rsidRDefault="00000000" w:rsidP="003C365D">
      <w:pPr>
        <w:pStyle w:val="ECHRParaHanging"/>
        <w:rPr>
          <w:rFonts w:ascii="Times New Roman" w:hAnsi="Times New Roman" w:cs="Times New Roman"/>
          <w:lang w:val="af-ZA"/>
        </w:rPr>
      </w:pPr>
      <w:hyperlink r:id="rId862" w:history="1">
        <w:r w:rsidR="003C365D" w:rsidRPr="00EF7399">
          <w:rPr>
            <w:rStyle w:val="Hyperlink"/>
            <w:rFonts w:ascii="Times New Roman" w:hAnsi="Times New Roman" w:cs="Times New Roman"/>
            <w:lang w:val="af-ZA"/>
          </w:rPr>
          <w:t>The United Macedonian Organisation Ilinden – PIRIN and Others</w:t>
        </w:r>
        <w:r w:rsidR="00873234" w:rsidRPr="00EF7399">
          <w:rPr>
            <w:rStyle w:val="Hyperlink"/>
            <w:rFonts w:ascii="Times New Roman" w:hAnsi="Times New Roman" w:cs="Times New Roman"/>
            <w:lang w:val="af-ZA"/>
          </w:rPr>
          <w:t xml:space="preserve"> v. </w:t>
        </w:r>
        <w:r w:rsidR="003C365D" w:rsidRPr="00EF7399">
          <w:rPr>
            <w:rStyle w:val="Hyperlink"/>
            <w:rFonts w:ascii="Times New Roman" w:hAnsi="Times New Roman" w:cs="Times New Roman"/>
            <w:lang w:val="af-ZA"/>
          </w:rPr>
          <w:t>Bulgaria</w:t>
        </w:r>
      </w:hyperlink>
      <w:r w:rsidR="003C365D" w:rsidRPr="00EF7399">
        <w:rPr>
          <w:rFonts w:ascii="Times New Roman" w:hAnsi="Times New Roman" w:cs="Times New Roman"/>
          <w:lang w:val="af-ZA"/>
        </w:rPr>
        <w:t>, no. 59489/00, 20 October 2005</w:t>
      </w:r>
    </w:p>
    <w:p w14:paraId="0C2122A3" w14:textId="688668F6" w:rsidR="003C365D" w:rsidRPr="00EF7399" w:rsidRDefault="00000000" w:rsidP="003C365D">
      <w:pPr>
        <w:pStyle w:val="ECHRParaHanging"/>
        <w:rPr>
          <w:rFonts w:ascii="Times New Roman" w:hAnsi="Times New Roman" w:cs="Times New Roman"/>
          <w:lang w:val="af-ZA"/>
        </w:rPr>
      </w:pPr>
      <w:hyperlink r:id="rId863" w:history="1">
        <w:r w:rsidR="003C365D" w:rsidRPr="00EF7399">
          <w:rPr>
            <w:rStyle w:val="Hyperlink"/>
            <w:rFonts w:ascii="Times New Roman" w:hAnsi="Times New Roman" w:cs="Times New Roman"/>
            <w:lang w:val="af-ZA"/>
          </w:rPr>
          <w:t>The United Macedonian Organisation Ilinden – PIRIN and Others</w:t>
        </w:r>
        <w:r w:rsidR="00873234" w:rsidRPr="00EF7399">
          <w:rPr>
            <w:rStyle w:val="Hyperlink"/>
            <w:rFonts w:ascii="Times New Roman" w:hAnsi="Times New Roman" w:cs="Times New Roman"/>
            <w:lang w:val="af-ZA"/>
          </w:rPr>
          <w:t xml:space="preserve"> v. </w:t>
        </w:r>
        <w:r w:rsidR="003C365D" w:rsidRPr="00EF7399">
          <w:rPr>
            <w:rStyle w:val="Hyperlink"/>
            <w:rFonts w:ascii="Times New Roman" w:hAnsi="Times New Roman" w:cs="Times New Roman"/>
            <w:lang w:val="af-ZA"/>
          </w:rPr>
          <w:t>Bulgaria (no. 2)</w:t>
        </w:r>
      </w:hyperlink>
      <w:r w:rsidR="003C365D" w:rsidRPr="00EF7399">
        <w:rPr>
          <w:rFonts w:ascii="Times New Roman" w:hAnsi="Times New Roman" w:cs="Times New Roman"/>
          <w:lang w:val="af-ZA"/>
        </w:rPr>
        <w:t>, nos. 41561/07 and 20972/08, 18 October 2011</w:t>
      </w:r>
    </w:p>
    <w:p w14:paraId="6E3A8E78" w14:textId="0775A2A7" w:rsidR="005B7C9A" w:rsidRPr="00EF7399" w:rsidRDefault="00000000" w:rsidP="004145CA">
      <w:pPr>
        <w:pStyle w:val="ECHRParaHanging"/>
        <w:rPr>
          <w:rFonts w:ascii="Times New Roman" w:hAnsi="Times New Roman" w:cs="Times New Roman"/>
          <w:lang w:val="af-ZA"/>
        </w:rPr>
      </w:pPr>
      <w:hyperlink r:id="rId864" w:history="1">
        <w:r w:rsidR="00F527B3" w:rsidRPr="00EF7399">
          <w:rPr>
            <w:rStyle w:val="Hyperlink"/>
            <w:rFonts w:ascii="Times New Roman" w:hAnsi="Times New Roman" w:cs="Times New Roman"/>
            <w:lang w:val="af-ZA"/>
          </w:rPr>
          <w:t>Tourkiki Enosi Xanthis and Others</w:t>
        </w:r>
        <w:r w:rsidR="00873234" w:rsidRPr="00EF7399">
          <w:rPr>
            <w:rStyle w:val="Hyperlink"/>
            <w:rFonts w:ascii="Times New Roman" w:hAnsi="Times New Roman" w:cs="Times New Roman"/>
            <w:lang w:val="af-ZA"/>
          </w:rPr>
          <w:t xml:space="preserve"> v. </w:t>
        </w:r>
        <w:r w:rsidR="00F527B3" w:rsidRPr="00EF7399">
          <w:rPr>
            <w:rStyle w:val="Hyperlink"/>
            <w:rFonts w:ascii="Times New Roman" w:hAnsi="Times New Roman" w:cs="Times New Roman"/>
            <w:lang w:val="af-ZA"/>
          </w:rPr>
          <w:t>Greece</w:t>
        </w:r>
      </w:hyperlink>
      <w:r w:rsidR="00F527B3" w:rsidRPr="00EF7399">
        <w:rPr>
          <w:rFonts w:ascii="Times New Roman" w:hAnsi="Times New Roman" w:cs="Times New Roman"/>
          <w:lang w:val="af-ZA"/>
        </w:rPr>
        <w:t>, no. 26698/05, 27 March 2008</w:t>
      </w:r>
    </w:p>
    <w:p w14:paraId="577887D4" w14:textId="46ED88C1" w:rsidR="00395611" w:rsidRPr="00EF7399" w:rsidRDefault="00000000" w:rsidP="00395611">
      <w:pPr>
        <w:pStyle w:val="ECHRParaHanging"/>
        <w:rPr>
          <w:rFonts w:ascii="Times New Roman" w:hAnsi="Times New Roman" w:cs="Times New Roman"/>
          <w:lang w:val="af-ZA"/>
        </w:rPr>
      </w:pPr>
      <w:hyperlink r:id="rId865" w:history="1">
        <w:r w:rsidR="00395611" w:rsidRPr="00EF7399">
          <w:rPr>
            <w:rStyle w:val="Hyperlink"/>
            <w:rFonts w:ascii="Times New Roman" w:hAnsi="Times New Roman" w:cs="Times New Roman"/>
            <w:lang w:val="af-ZA"/>
          </w:rPr>
          <w:t>Trade Union of the Police in the Slovak Republic and Others</w:t>
        </w:r>
        <w:r w:rsidR="00873234" w:rsidRPr="00EF7399">
          <w:rPr>
            <w:rStyle w:val="Hyperlink"/>
            <w:rFonts w:ascii="Times New Roman" w:hAnsi="Times New Roman" w:cs="Times New Roman"/>
            <w:lang w:val="af-ZA"/>
          </w:rPr>
          <w:t xml:space="preserve"> v. </w:t>
        </w:r>
        <w:r w:rsidR="00395611" w:rsidRPr="00EF7399">
          <w:rPr>
            <w:rStyle w:val="Hyperlink"/>
            <w:rFonts w:ascii="Times New Roman" w:hAnsi="Times New Roman" w:cs="Times New Roman"/>
            <w:lang w:val="af-ZA"/>
          </w:rPr>
          <w:t>Slovakia</w:t>
        </w:r>
      </w:hyperlink>
      <w:r w:rsidR="00395611" w:rsidRPr="00EF7399">
        <w:rPr>
          <w:rFonts w:ascii="Times New Roman" w:hAnsi="Times New Roman" w:cs="Times New Roman"/>
          <w:lang w:val="af-ZA"/>
        </w:rPr>
        <w:t>, no. 11828/08, 25 September 2012</w:t>
      </w:r>
    </w:p>
    <w:p w14:paraId="45FFC222" w14:textId="21A434C6" w:rsidR="00F51892" w:rsidRPr="00EF7399" w:rsidRDefault="00000000" w:rsidP="00395611">
      <w:pPr>
        <w:pStyle w:val="ECHRParaHanging"/>
        <w:rPr>
          <w:rFonts w:ascii="Times New Roman" w:hAnsi="Times New Roman" w:cs="Times New Roman"/>
          <w:lang w:val="af-ZA"/>
        </w:rPr>
      </w:pPr>
      <w:hyperlink r:id="rId866" w:history="1">
        <w:r w:rsidR="00F51892" w:rsidRPr="00EF7399">
          <w:rPr>
            <w:rStyle w:val="Hyperlink"/>
            <w:rFonts w:ascii="Times New Roman" w:hAnsi="Times New Roman" w:cs="Times New Roman"/>
            <w:lang w:val="af-ZA"/>
          </w:rPr>
          <w:t>Tsonev</w:t>
        </w:r>
        <w:r w:rsidR="00873234" w:rsidRPr="00EF7399">
          <w:rPr>
            <w:rStyle w:val="Hyperlink"/>
            <w:rFonts w:ascii="Times New Roman" w:hAnsi="Times New Roman" w:cs="Times New Roman"/>
            <w:lang w:val="af-ZA"/>
          </w:rPr>
          <w:t xml:space="preserve"> v. </w:t>
        </w:r>
        <w:r w:rsidR="00F51892" w:rsidRPr="00EF7399">
          <w:rPr>
            <w:rStyle w:val="Hyperlink"/>
            <w:rFonts w:ascii="Times New Roman" w:hAnsi="Times New Roman" w:cs="Times New Roman"/>
            <w:lang w:val="af-ZA"/>
          </w:rPr>
          <w:t>Bulgaria</w:t>
        </w:r>
      </w:hyperlink>
      <w:r w:rsidR="00F51892" w:rsidRPr="00EF7399">
        <w:rPr>
          <w:rFonts w:ascii="Times New Roman" w:hAnsi="Times New Roman" w:cs="Times New Roman"/>
          <w:lang w:val="af-ZA"/>
        </w:rPr>
        <w:t>, no. 45963/99, 13 April 2006</w:t>
      </w:r>
    </w:p>
    <w:p w14:paraId="7FC75E53" w14:textId="33894F8B" w:rsidR="00FD4BDF" w:rsidRPr="00EF7399" w:rsidRDefault="00000000" w:rsidP="00FD4BDF">
      <w:pPr>
        <w:pStyle w:val="ECHRParaHanging"/>
        <w:rPr>
          <w:rFonts w:ascii="Times New Roman" w:hAnsi="Times New Roman" w:cs="Times New Roman"/>
          <w:lang w:val="af-ZA"/>
        </w:rPr>
      </w:pPr>
      <w:hyperlink r:id="rId867" w:history="1">
        <w:r w:rsidR="00FD4BDF" w:rsidRPr="00EF7399">
          <w:rPr>
            <w:rStyle w:val="Hyperlink"/>
            <w:rFonts w:ascii="Times New Roman" w:hAnsi="Times New Roman" w:cs="Times New Roman"/>
            <w:lang w:val="af-ZA"/>
          </w:rPr>
          <w:t>Tüm Haber Sen and Çınar</w:t>
        </w:r>
        <w:r w:rsidR="00873234" w:rsidRPr="00EF7399">
          <w:rPr>
            <w:rStyle w:val="Hyperlink"/>
            <w:rFonts w:ascii="Times New Roman" w:hAnsi="Times New Roman" w:cs="Times New Roman"/>
            <w:lang w:val="af-ZA"/>
          </w:rPr>
          <w:t xml:space="preserve"> v. </w:t>
        </w:r>
        <w:r w:rsidR="00FD4BDF" w:rsidRPr="00EF7399">
          <w:rPr>
            <w:rStyle w:val="Hyperlink"/>
            <w:rFonts w:ascii="Times New Roman" w:hAnsi="Times New Roman" w:cs="Times New Roman"/>
            <w:lang w:val="af-ZA"/>
          </w:rPr>
          <w:t>Turkey</w:t>
        </w:r>
      </w:hyperlink>
      <w:r w:rsidR="00FD4BDF" w:rsidRPr="00EF7399">
        <w:rPr>
          <w:rFonts w:ascii="Times New Roman" w:hAnsi="Times New Roman" w:cs="Times New Roman"/>
          <w:lang w:val="af-ZA"/>
        </w:rPr>
        <w:t>, no. 28602/95, ECHR 2006</w:t>
      </w:r>
      <w:r w:rsidR="00FD4BDF" w:rsidRPr="00EF7399">
        <w:rPr>
          <w:rFonts w:ascii="Times New Roman" w:hAnsi="Times New Roman" w:cs="Times New Roman"/>
          <w:lang w:val="af-ZA"/>
        </w:rPr>
        <w:noBreakHyphen/>
        <w:t>II</w:t>
      </w:r>
    </w:p>
    <w:p w14:paraId="1E7A9D66" w14:textId="35BD6981" w:rsidR="00FD4BDF" w:rsidRPr="00EF7399" w:rsidRDefault="00000000" w:rsidP="003C365D">
      <w:pPr>
        <w:pStyle w:val="ECHRParaHanging"/>
        <w:rPr>
          <w:rFonts w:ascii="Times New Roman" w:hAnsi="Times New Roman" w:cs="Times New Roman"/>
          <w:lang w:val="af-ZA"/>
        </w:rPr>
      </w:pPr>
      <w:hyperlink r:id="rId868" w:history="1">
        <w:r w:rsidR="003C365D" w:rsidRPr="00EF7399">
          <w:rPr>
            <w:rStyle w:val="Hyperlink"/>
            <w:rFonts w:ascii="Times New Roman" w:hAnsi="Times New Roman" w:cs="Times New Roman"/>
            <w:lang w:val="af-ZA"/>
          </w:rPr>
          <w:t>Tuskia and Others</w:t>
        </w:r>
        <w:r w:rsidR="00873234" w:rsidRPr="00EF7399">
          <w:rPr>
            <w:rStyle w:val="Hyperlink"/>
            <w:rFonts w:ascii="Times New Roman" w:hAnsi="Times New Roman" w:cs="Times New Roman"/>
            <w:lang w:val="af-ZA"/>
          </w:rPr>
          <w:t xml:space="preserve"> v. </w:t>
        </w:r>
        <w:r w:rsidR="003C365D" w:rsidRPr="00EF7399">
          <w:rPr>
            <w:rStyle w:val="Hyperlink"/>
            <w:rFonts w:ascii="Times New Roman" w:hAnsi="Times New Roman" w:cs="Times New Roman"/>
            <w:lang w:val="af-ZA"/>
          </w:rPr>
          <w:t>Georgia</w:t>
        </w:r>
      </w:hyperlink>
      <w:r w:rsidR="003C365D" w:rsidRPr="00EF7399">
        <w:rPr>
          <w:rFonts w:ascii="Times New Roman" w:hAnsi="Times New Roman" w:cs="Times New Roman"/>
          <w:lang w:val="af-ZA"/>
        </w:rPr>
        <w:t>, no. 14237/07, 11 October 2018</w:t>
      </w:r>
    </w:p>
    <w:p w14:paraId="60F526A6" w14:textId="77777777" w:rsidR="006019EB" w:rsidRPr="00EF7399" w:rsidRDefault="006019EB" w:rsidP="006019EB">
      <w:pPr>
        <w:pStyle w:val="ECHRTitleCentre1"/>
        <w:rPr>
          <w:rFonts w:ascii="Times New Roman" w:hAnsi="Times New Roman" w:cs="Times New Roman"/>
          <w:lang w:val="af-ZA"/>
        </w:rPr>
      </w:pPr>
      <w:r w:rsidRPr="00EF7399">
        <w:rPr>
          <w:rFonts w:ascii="Times New Roman" w:hAnsi="Times New Roman" w:cs="Times New Roman"/>
          <w:lang w:val="af-ZA"/>
        </w:rPr>
        <w:t>—U—</w:t>
      </w:r>
    </w:p>
    <w:p w14:paraId="37D88AEB" w14:textId="3E8543D1" w:rsidR="00AF0285" w:rsidRPr="00EF7399" w:rsidRDefault="00000000" w:rsidP="00AF0285">
      <w:pPr>
        <w:pStyle w:val="ECHRParaHanging"/>
        <w:rPr>
          <w:rFonts w:ascii="Times New Roman" w:hAnsi="Times New Roman" w:cs="Times New Roman"/>
          <w:lang w:val="af-ZA"/>
        </w:rPr>
      </w:pPr>
      <w:hyperlink r:id="rId869" w:history="1">
        <w:r w:rsidR="00AF0285" w:rsidRPr="00EF7399">
          <w:rPr>
            <w:rStyle w:val="Hyperlink"/>
            <w:rFonts w:ascii="Times New Roman" w:hAnsi="Times New Roman" w:cs="Times New Roman"/>
            <w:lang w:val="af-ZA"/>
          </w:rPr>
          <w:t>UNISON</w:t>
        </w:r>
        <w:r w:rsidR="00873234" w:rsidRPr="00EF7399">
          <w:rPr>
            <w:rStyle w:val="Hyperlink"/>
            <w:rFonts w:ascii="Times New Roman" w:hAnsi="Times New Roman" w:cs="Times New Roman"/>
            <w:lang w:val="af-ZA"/>
          </w:rPr>
          <w:t xml:space="preserve"> v. </w:t>
        </w:r>
        <w:r w:rsidR="00AF0285" w:rsidRPr="00EF7399">
          <w:rPr>
            <w:rStyle w:val="Hyperlink"/>
            <w:rFonts w:ascii="Times New Roman" w:hAnsi="Times New Roman" w:cs="Times New Roman"/>
            <w:lang w:val="af-ZA"/>
          </w:rPr>
          <w:t>the United Kingdom</w:t>
        </w:r>
      </w:hyperlink>
      <w:r w:rsidR="00AF0285" w:rsidRPr="00EF7399">
        <w:rPr>
          <w:rFonts w:ascii="Times New Roman" w:hAnsi="Times New Roman" w:cs="Times New Roman"/>
          <w:lang w:val="af-ZA"/>
        </w:rPr>
        <w:t xml:space="preserve"> (dec.), no. 53574/99, ECHR 2002</w:t>
      </w:r>
      <w:r w:rsidR="00AF0285" w:rsidRPr="00EF7399">
        <w:rPr>
          <w:rFonts w:ascii="Times New Roman" w:hAnsi="Times New Roman" w:cs="Times New Roman"/>
          <w:lang w:val="af-ZA"/>
        </w:rPr>
        <w:noBreakHyphen/>
        <w:t>I</w:t>
      </w:r>
    </w:p>
    <w:p w14:paraId="09562055" w14:textId="19878D7B" w:rsidR="004C3976" w:rsidRPr="00EF7399" w:rsidRDefault="00000000" w:rsidP="004C3976">
      <w:pPr>
        <w:pStyle w:val="ECHRParaHanging"/>
        <w:rPr>
          <w:rFonts w:ascii="Times New Roman" w:hAnsi="Times New Roman" w:cs="Times New Roman"/>
          <w:lang w:val="af-ZA"/>
        </w:rPr>
      </w:pPr>
      <w:hyperlink r:id="rId870" w:history="1">
        <w:r w:rsidR="004C3976" w:rsidRPr="00EF7399">
          <w:rPr>
            <w:rStyle w:val="Hyperlink"/>
            <w:rFonts w:ascii="Times New Roman" w:hAnsi="Times New Roman" w:cs="Times New Roman"/>
            <w:lang w:val="af-ZA"/>
          </w:rPr>
          <w:t>United Communist Party of Turkey and Others</w:t>
        </w:r>
        <w:r w:rsidR="00873234" w:rsidRPr="00EF7399">
          <w:rPr>
            <w:rStyle w:val="Hyperlink"/>
            <w:rFonts w:ascii="Times New Roman" w:hAnsi="Times New Roman" w:cs="Times New Roman"/>
            <w:lang w:val="af-ZA"/>
          </w:rPr>
          <w:t xml:space="preserve"> v. </w:t>
        </w:r>
        <w:r w:rsidR="004C3976" w:rsidRPr="00EF7399">
          <w:rPr>
            <w:rStyle w:val="Hyperlink"/>
            <w:rFonts w:ascii="Times New Roman" w:hAnsi="Times New Roman" w:cs="Times New Roman"/>
            <w:lang w:val="af-ZA"/>
          </w:rPr>
          <w:t>Turkey</w:t>
        </w:r>
      </w:hyperlink>
      <w:r w:rsidR="004C3976" w:rsidRPr="00EF7399">
        <w:rPr>
          <w:rFonts w:ascii="Times New Roman" w:hAnsi="Times New Roman" w:cs="Times New Roman"/>
          <w:lang w:val="af-ZA"/>
        </w:rPr>
        <w:t xml:space="preserve">, 30 January 1998, </w:t>
      </w:r>
      <w:r w:rsidR="004C3976" w:rsidRPr="00EF7399">
        <w:rPr>
          <w:rFonts w:ascii="Times New Roman" w:hAnsi="Times New Roman" w:cs="Times New Roman"/>
          <w:i/>
          <w:lang w:val="af-ZA"/>
        </w:rPr>
        <w:t>Reports of Judgments and Decisions</w:t>
      </w:r>
      <w:r w:rsidR="004C3976" w:rsidRPr="00EF7399">
        <w:rPr>
          <w:rFonts w:ascii="Times New Roman" w:hAnsi="Times New Roman" w:cs="Times New Roman"/>
          <w:lang w:val="af-ZA"/>
        </w:rPr>
        <w:t xml:space="preserve"> 1998</w:t>
      </w:r>
      <w:r w:rsidR="004C3976" w:rsidRPr="00EF7399">
        <w:rPr>
          <w:rFonts w:ascii="Times New Roman" w:hAnsi="Times New Roman" w:cs="Times New Roman"/>
          <w:lang w:val="af-ZA"/>
        </w:rPr>
        <w:noBreakHyphen/>
        <w:t>I</w:t>
      </w:r>
    </w:p>
    <w:p w14:paraId="482310E1" w14:textId="004B7863" w:rsidR="00AF0285" w:rsidRPr="00EF7399" w:rsidRDefault="00000000" w:rsidP="004C3976">
      <w:pPr>
        <w:pStyle w:val="ECHRParaHanging"/>
        <w:rPr>
          <w:rFonts w:ascii="Times New Roman" w:hAnsi="Times New Roman" w:cs="Times New Roman"/>
          <w:iCs/>
          <w:lang w:val="af-ZA"/>
        </w:rPr>
      </w:pPr>
      <w:hyperlink r:id="rId871" w:history="1">
        <w:r w:rsidR="00AF0285" w:rsidRPr="00EF7399">
          <w:rPr>
            <w:rStyle w:val="Hyperlink"/>
            <w:rFonts w:ascii="Times New Roman" w:hAnsi="Times New Roman" w:cs="Times New Roman"/>
            <w:iCs/>
            <w:lang w:val="af-ZA"/>
          </w:rPr>
          <w:t>Unite the Union</w:t>
        </w:r>
        <w:r w:rsidR="00873234" w:rsidRPr="00EF7399">
          <w:rPr>
            <w:rStyle w:val="Hyperlink"/>
            <w:rFonts w:ascii="Times New Roman" w:hAnsi="Times New Roman" w:cs="Times New Roman"/>
            <w:iCs/>
            <w:lang w:val="af-ZA"/>
          </w:rPr>
          <w:t xml:space="preserve"> v. </w:t>
        </w:r>
        <w:r w:rsidR="00AF0285" w:rsidRPr="00EF7399">
          <w:rPr>
            <w:rStyle w:val="Hyperlink"/>
            <w:rFonts w:ascii="Times New Roman" w:hAnsi="Times New Roman" w:cs="Times New Roman"/>
            <w:iCs/>
            <w:lang w:val="af-ZA"/>
          </w:rPr>
          <w:t>the United Kingdom</w:t>
        </w:r>
      </w:hyperlink>
      <w:r w:rsidR="00AF0285" w:rsidRPr="00EF7399">
        <w:rPr>
          <w:rFonts w:ascii="Times New Roman" w:hAnsi="Times New Roman" w:cs="Times New Roman"/>
          <w:i/>
          <w:iCs/>
          <w:lang w:val="af-ZA"/>
        </w:rPr>
        <w:t xml:space="preserve"> </w:t>
      </w:r>
      <w:r w:rsidR="00AF0285" w:rsidRPr="00EF7399">
        <w:rPr>
          <w:rFonts w:ascii="Times New Roman" w:hAnsi="Times New Roman" w:cs="Times New Roman"/>
          <w:iCs/>
          <w:lang w:val="af-ZA"/>
        </w:rPr>
        <w:t>(dec.), no. 65397/13, 3 May 2016</w:t>
      </w:r>
    </w:p>
    <w:p w14:paraId="044B63D4" w14:textId="6A561321" w:rsidR="003D07F2" w:rsidRPr="00EF7399" w:rsidRDefault="00000000" w:rsidP="003D07F2">
      <w:pPr>
        <w:pStyle w:val="ECHRParaHanging"/>
        <w:rPr>
          <w:rFonts w:ascii="Times New Roman" w:hAnsi="Times New Roman" w:cs="Times New Roman"/>
          <w:iCs/>
          <w:lang w:val="af-ZA"/>
        </w:rPr>
      </w:pPr>
      <w:hyperlink r:id="rId872" w:history="1">
        <w:r w:rsidR="003D07F2" w:rsidRPr="00EF7399">
          <w:rPr>
            <w:rStyle w:val="Hyperlink"/>
            <w:rFonts w:ascii="Times New Roman" w:hAnsi="Times New Roman" w:cs="Times New Roman"/>
            <w:iCs/>
            <w:lang w:val="af-ZA"/>
          </w:rPr>
          <w:t>Urcan and Others</w:t>
        </w:r>
        <w:r w:rsidR="00873234" w:rsidRPr="00EF7399">
          <w:rPr>
            <w:rStyle w:val="Hyperlink"/>
            <w:rFonts w:ascii="Times New Roman" w:hAnsi="Times New Roman" w:cs="Times New Roman"/>
            <w:iCs/>
            <w:lang w:val="af-ZA"/>
          </w:rPr>
          <w:t xml:space="preserve"> v. </w:t>
        </w:r>
        <w:r w:rsidR="003D07F2" w:rsidRPr="00EF7399">
          <w:rPr>
            <w:rStyle w:val="Hyperlink"/>
            <w:rFonts w:ascii="Times New Roman" w:hAnsi="Times New Roman" w:cs="Times New Roman"/>
            <w:iCs/>
            <w:lang w:val="af-ZA"/>
          </w:rPr>
          <w:t>Turkey</w:t>
        </w:r>
      </w:hyperlink>
      <w:r w:rsidR="003D07F2" w:rsidRPr="00EF7399">
        <w:rPr>
          <w:rFonts w:ascii="Times New Roman" w:hAnsi="Times New Roman" w:cs="Times New Roman"/>
          <w:iCs/>
          <w:lang w:val="af-ZA"/>
        </w:rPr>
        <w:t>, nos. 23018/04 and 10 others, 17 July 2008</w:t>
      </w:r>
    </w:p>
    <w:p w14:paraId="5B41788E" w14:textId="77777777" w:rsidR="006019EB" w:rsidRPr="00EF7399" w:rsidRDefault="006019EB" w:rsidP="006019EB">
      <w:pPr>
        <w:pStyle w:val="ECHRTitleCentre1"/>
        <w:rPr>
          <w:rFonts w:ascii="Times New Roman" w:hAnsi="Times New Roman" w:cs="Times New Roman"/>
          <w:lang w:val="af-ZA"/>
        </w:rPr>
      </w:pPr>
      <w:r w:rsidRPr="00EF7399">
        <w:rPr>
          <w:rFonts w:ascii="Times New Roman" w:hAnsi="Times New Roman" w:cs="Times New Roman"/>
          <w:lang w:val="af-ZA"/>
        </w:rPr>
        <w:lastRenderedPageBreak/>
        <w:t>—V—</w:t>
      </w:r>
    </w:p>
    <w:p w14:paraId="79BAD6CB" w14:textId="0328B66E" w:rsidR="002265D1" w:rsidRPr="00EF7399" w:rsidRDefault="00000000" w:rsidP="002265D1">
      <w:pPr>
        <w:pStyle w:val="ECHRParaHanging"/>
        <w:rPr>
          <w:rFonts w:ascii="Times New Roman" w:hAnsi="Times New Roman" w:cs="Times New Roman"/>
          <w:lang w:val="af-ZA"/>
        </w:rPr>
      </w:pPr>
      <w:hyperlink r:id="rId873" w:history="1">
        <w:r w:rsidR="002265D1" w:rsidRPr="00EF7399">
          <w:rPr>
            <w:rStyle w:val="Hyperlink"/>
            <w:rFonts w:ascii="Times New Roman" w:hAnsi="Times New Roman" w:cs="Times New Roman"/>
            <w:lang w:val="af-ZA"/>
          </w:rPr>
          <w:t>Veniamin Tymoshenko and Others</w:t>
        </w:r>
        <w:r w:rsidR="00873234" w:rsidRPr="00EF7399">
          <w:rPr>
            <w:rStyle w:val="Hyperlink"/>
            <w:rFonts w:ascii="Times New Roman" w:hAnsi="Times New Roman" w:cs="Times New Roman"/>
            <w:lang w:val="af-ZA"/>
          </w:rPr>
          <w:t xml:space="preserve"> v. </w:t>
        </w:r>
        <w:r w:rsidR="002265D1" w:rsidRPr="00EF7399">
          <w:rPr>
            <w:rStyle w:val="Hyperlink"/>
            <w:rFonts w:ascii="Times New Roman" w:hAnsi="Times New Roman" w:cs="Times New Roman"/>
            <w:lang w:val="af-ZA"/>
          </w:rPr>
          <w:t>Ukraine</w:t>
        </w:r>
      </w:hyperlink>
      <w:r w:rsidR="002265D1" w:rsidRPr="00EF7399">
        <w:rPr>
          <w:rFonts w:ascii="Times New Roman" w:hAnsi="Times New Roman" w:cs="Times New Roman"/>
          <w:lang w:val="af-ZA"/>
        </w:rPr>
        <w:t>, no. 48408/12, 2 October 2014</w:t>
      </w:r>
    </w:p>
    <w:p w14:paraId="0FCF2994" w14:textId="4BEB48DE" w:rsidR="009A215E" w:rsidRPr="00EF7399" w:rsidRDefault="00000000" w:rsidP="004C3976">
      <w:pPr>
        <w:pStyle w:val="ECHRParaHanging"/>
        <w:rPr>
          <w:rFonts w:ascii="Times New Roman" w:hAnsi="Times New Roman" w:cs="Times New Roman"/>
          <w:lang w:val="af-ZA"/>
        </w:rPr>
      </w:pPr>
      <w:hyperlink r:id="rId874" w:history="1">
        <w:r w:rsidR="009A215E" w:rsidRPr="00EF7399">
          <w:rPr>
            <w:rStyle w:val="Hyperlink"/>
            <w:rFonts w:ascii="Times New Roman" w:hAnsi="Times New Roman" w:cs="Times New Roman"/>
            <w:lang w:val="af-ZA"/>
          </w:rPr>
          <w:t>Vialas Simón</w:t>
        </w:r>
        <w:r w:rsidR="00873234" w:rsidRPr="00EF7399">
          <w:rPr>
            <w:rStyle w:val="Hyperlink"/>
            <w:rFonts w:ascii="Times New Roman" w:hAnsi="Times New Roman" w:cs="Times New Roman"/>
            <w:lang w:val="af-ZA"/>
          </w:rPr>
          <w:t xml:space="preserve"> v. </w:t>
        </w:r>
        <w:r w:rsidR="009A215E" w:rsidRPr="00EF7399">
          <w:rPr>
            <w:rStyle w:val="Hyperlink"/>
            <w:rFonts w:ascii="Times New Roman" w:hAnsi="Times New Roman" w:cs="Times New Roman"/>
            <w:lang w:val="af-ZA"/>
          </w:rPr>
          <w:t>Spain</w:t>
        </w:r>
      </w:hyperlink>
      <w:r w:rsidR="009A215E" w:rsidRPr="00EF7399">
        <w:rPr>
          <w:rFonts w:ascii="Times New Roman" w:hAnsi="Times New Roman" w:cs="Times New Roman"/>
          <w:lang w:val="af-ZA"/>
        </w:rPr>
        <w:t>, no. 16685/90, Commission decision of 8 July 1992</w:t>
      </w:r>
      <w:r w:rsidR="00FE6087" w:rsidRPr="00EF7399">
        <w:rPr>
          <w:rFonts w:ascii="Times New Roman" w:hAnsi="Times New Roman" w:cs="Times New Roman"/>
          <w:lang w:val="af-ZA"/>
        </w:rPr>
        <w:t>, unreported</w:t>
      </w:r>
    </w:p>
    <w:p w14:paraId="197AC1C0" w14:textId="1C573B41" w:rsidR="004D5DB2" w:rsidRPr="00EF7399" w:rsidRDefault="00000000" w:rsidP="004C3976">
      <w:pPr>
        <w:pStyle w:val="ECHRParaHanging"/>
        <w:rPr>
          <w:rFonts w:ascii="Times New Roman" w:hAnsi="Times New Roman" w:cs="Times New Roman"/>
          <w:lang w:val="af-ZA"/>
        </w:rPr>
      </w:pPr>
      <w:hyperlink r:id="rId875" w:history="1">
        <w:r w:rsidR="004D5DB2" w:rsidRPr="00EF7399">
          <w:rPr>
            <w:rStyle w:val="Hyperlink"/>
            <w:rFonts w:ascii="Times New Roman" w:hAnsi="Times New Roman" w:cs="Times New Roman"/>
            <w:lang w:val="af-ZA"/>
          </w:rPr>
          <w:t>Vogt</w:t>
        </w:r>
        <w:r w:rsidR="00873234" w:rsidRPr="00EF7399">
          <w:rPr>
            <w:rStyle w:val="Hyperlink"/>
            <w:rFonts w:ascii="Times New Roman" w:hAnsi="Times New Roman" w:cs="Times New Roman"/>
            <w:lang w:val="af-ZA"/>
          </w:rPr>
          <w:t xml:space="preserve"> v. </w:t>
        </w:r>
        <w:r w:rsidR="004D5DB2" w:rsidRPr="00EF7399">
          <w:rPr>
            <w:rStyle w:val="Hyperlink"/>
            <w:rFonts w:ascii="Times New Roman" w:hAnsi="Times New Roman" w:cs="Times New Roman"/>
            <w:lang w:val="af-ZA"/>
          </w:rPr>
          <w:t>Germany</w:t>
        </w:r>
      </w:hyperlink>
      <w:r w:rsidR="004D5DB2" w:rsidRPr="00EF7399">
        <w:rPr>
          <w:rFonts w:ascii="Times New Roman" w:hAnsi="Times New Roman" w:cs="Times New Roman"/>
          <w:lang w:val="af-ZA"/>
        </w:rPr>
        <w:t>, 26 September 1995, Series A no. 323</w:t>
      </w:r>
    </w:p>
    <w:p w14:paraId="5B47A09B" w14:textId="5988E57C" w:rsidR="001D11C9" w:rsidRPr="00EF7399" w:rsidRDefault="00000000" w:rsidP="004C3976">
      <w:pPr>
        <w:pStyle w:val="ECHRParaHanging"/>
        <w:rPr>
          <w:rFonts w:ascii="Times New Roman" w:hAnsi="Times New Roman" w:cs="Times New Roman"/>
          <w:lang w:val="af-ZA"/>
        </w:rPr>
      </w:pPr>
      <w:hyperlink r:id="rId876" w:history="1">
        <w:r w:rsidR="001D11C9" w:rsidRPr="00EF7399">
          <w:rPr>
            <w:rStyle w:val="Hyperlink"/>
            <w:rFonts w:ascii="Times New Roman" w:hAnsi="Times New Roman" w:cs="Times New Roman"/>
            <w:iCs/>
            <w:lang w:val="af-ZA"/>
          </w:rPr>
          <w:t>Vlahov</w:t>
        </w:r>
        <w:r w:rsidR="00873234" w:rsidRPr="00EF7399">
          <w:rPr>
            <w:rStyle w:val="Hyperlink"/>
            <w:rFonts w:ascii="Times New Roman" w:hAnsi="Times New Roman" w:cs="Times New Roman"/>
            <w:iCs/>
            <w:lang w:val="af-ZA"/>
          </w:rPr>
          <w:t xml:space="preserve"> v. </w:t>
        </w:r>
        <w:r w:rsidR="001D11C9" w:rsidRPr="00EF7399">
          <w:rPr>
            <w:rStyle w:val="Hyperlink"/>
            <w:rFonts w:ascii="Times New Roman" w:hAnsi="Times New Roman" w:cs="Times New Roman"/>
            <w:iCs/>
            <w:lang w:val="af-ZA"/>
          </w:rPr>
          <w:t>Croatia</w:t>
        </w:r>
      </w:hyperlink>
      <w:r w:rsidR="001D11C9" w:rsidRPr="00EF7399">
        <w:rPr>
          <w:rFonts w:ascii="Times New Roman" w:hAnsi="Times New Roman" w:cs="Times New Roman"/>
          <w:lang w:val="af-ZA"/>
        </w:rPr>
        <w:t>, no. 31163/13, 5 May 2022</w:t>
      </w:r>
    </w:p>
    <w:p w14:paraId="156791F5" w14:textId="73D89AB7" w:rsidR="004C3976" w:rsidRPr="00EF7399" w:rsidRDefault="00000000" w:rsidP="004C3976">
      <w:pPr>
        <w:pStyle w:val="ECHRParaHanging"/>
        <w:rPr>
          <w:rFonts w:ascii="Times New Roman" w:hAnsi="Times New Roman" w:cs="Times New Roman"/>
          <w:lang w:val="af-ZA"/>
        </w:rPr>
      </w:pPr>
      <w:hyperlink r:id="rId877" w:history="1">
        <w:r w:rsidR="004C3976" w:rsidRPr="00EF7399">
          <w:rPr>
            <w:rStyle w:val="Hyperlink"/>
            <w:rFonts w:ascii="Times New Roman" w:hAnsi="Times New Roman" w:cs="Times New Roman"/>
            <w:lang w:val="af-ZA"/>
          </w:rPr>
          <w:t>Vona</w:t>
        </w:r>
        <w:r w:rsidR="00873234" w:rsidRPr="00EF7399">
          <w:rPr>
            <w:rStyle w:val="Hyperlink"/>
            <w:rFonts w:ascii="Times New Roman" w:hAnsi="Times New Roman" w:cs="Times New Roman"/>
            <w:lang w:val="af-ZA"/>
          </w:rPr>
          <w:t xml:space="preserve"> v. </w:t>
        </w:r>
        <w:r w:rsidR="004C3976" w:rsidRPr="00EF7399">
          <w:rPr>
            <w:rStyle w:val="Hyperlink"/>
            <w:rFonts w:ascii="Times New Roman" w:hAnsi="Times New Roman" w:cs="Times New Roman"/>
            <w:lang w:val="af-ZA"/>
          </w:rPr>
          <w:t>Hungary</w:t>
        </w:r>
      </w:hyperlink>
      <w:r w:rsidR="004C3976" w:rsidRPr="00EF7399">
        <w:rPr>
          <w:rFonts w:ascii="Times New Roman" w:hAnsi="Times New Roman" w:cs="Times New Roman"/>
          <w:lang w:val="af-ZA"/>
        </w:rPr>
        <w:t>, no. 35943/10, ECHR 2013</w:t>
      </w:r>
    </w:p>
    <w:p w14:paraId="4157281D" w14:textId="57B4420F" w:rsidR="004C3976" w:rsidRPr="00EF7399" w:rsidRDefault="00000000" w:rsidP="004C3976">
      <w:pPr>
        <w:pStyle w:val="ECHRParaHanging"/>
        <w:rPr>
          <w:rFonts w:ascii="Times New Roman" w:hAnsi="Times New Roman" w:cs="Times New Roman"/>
          <w:lang w:val="af-ZA"/>
        </w:rPr>
      </w:pPr>
      <w:hyperlink r:id="rId878" w:history="1">
        <w:r w:rsidR="004C3976" w:rsidRPr="00EF7399">
          <w:rPr>
            <w:rStyle w:val="Hyperlink"/>
            <w:rFonts w:ascii="Times New Roman" w:hAnsi="Times New Roman" w:cs="Times New Roman"/>
            <w:lang w:val="af-ZA"/>
          </w:rPr>
          <w:t>Vörður Ólafsson</w:t>
        </w:r>
        <w:r w:rsidR="00873234" w:rsidRPr="00EF7399">
          <w:rPr>
            <w:rStyle w:val="Hyperlink"/>
            <w:rFonts w:ascii="Times New Roman" w:hAnsi="Times New Roman" w:cs="Times New Roman"/>
            <w:lang w:val="af-ZA"/>
          </w:rPr>
          <w:t xml:space="preserve"> v. </w:t>
        </w:r>
        <w:r w:rsidR="004C3976" w:rsidRPr="00EF7399">
          <w:rPr>
            <w:rStyle w:val="Hyperlink"/>
            <w:rFonts w:ascii="Times New Roman" w:hAnsi="Times New Roman" w:cs="Times New Roman"/>
            <w:lang w:val="af-ZA"/>
          </w:rPr>
          <w:t>Iceland</w:t>
        </w:r>
      </w:hyperlink>
      <w:r w:rsidR="004C3976" w:rsidRPr="00EF7399">
        <w:rPr>
          <w:rFonts w:ascii="Times New Roman" w:hAnsi="Times New Roman" w:cs="Times New Roman"/>
          <w:lang w:val="af-ZA"/>
        </w:rPr>
        <w:t>, no. 20161/06, ECHR 2010</w:t>
      </w:r>
    </w:p>
    <w:p w14:paraId="47AABEA5" w14:textId="395722B9" w:rsidR="0014001A" w:rsidRPr="00EF7399" w:rsidRDefault="00000000" w:rsidP="004C3976">
      <w:pPr>
        <w:pStyle w:val="ECHRParaHanging"/>
        <w:rPr>
          <w:rFonts w:ascii="Times New Roman" w:hAnsi="Times New Roman" w:cs="Times New Roman"/>
          <w:lang w:val="af-ZA"/>
        </w:rPr>
      </w:pPr>
      <w:hyperlink r:id="rId879" w:history="1">
        <w:r w:rsidR="0014001A" w:rsidRPr="00EF7399">
          <w:rPr>
            <w:rStyle w:val="Hyperlink"/>
            <w:rFonts w:ascii="Times New Roman" w:hAnsi="Times New Roman" w:cs="Times New Roman"/>
            <w:lang w:val="af-ZA"/>
          </w:rPr>
          <w:t>Vyerentsov</w:t>
        </w:r>
        <w:r w:rsidR="00873234" w:rsidRPr="00EF7399">
          <w:rPr>
            <w:rStyle w:val="Hyperlink"/>
            <w:rFonts w:ascii="Times New Roman" w:hAnsi="Times New Roman" w:cs="Times New Roman"/>
            <w:lang w:val="af-ZA"/>
          </w:rPr>
          <w:t xml:space="preserve"> v. </w:t>
        </w:r>
        <w:r w:rsidR="0014001A" w:rsidRPr="00EF7399">
          <w:rPr>
            <w:rStyle w:val="Hyperlink"/>
            <w:rFonts w:ascii="Times New Roman" w:hAnsi="Times New Roman" w:cs="Times New Roman"/>
            <w:lang w:val="af-ZA"/>
          </w:rPr>
          <w:t>Ukraine</w:t>
        </w:r>
      </w:hyperlink>
      <w:r w:rsidR="0014001A" w:rsidRPr="00EF7399">
        <w:rPr>
          <w:rFonts w:ascii="Times New Roman" w:hAnsi="Times New Roman" w:cs="Times New Roman"/>
          <w:lang w:val="af-ZA"/>
        </w:rPr>
        <w:t>, no. 20372/11, 11 April 2013</w:t>
      </w:r>
    </w:p>
    <w:p w14:paraId="7C609F2C" w14:textId="77777777" w:rsidR="006019EB" w:rsidRPr="00EF7399" w:rsidRDefault="006019EB" w:rsidP="006019EB">
      <w:pPr>
        <w:pStyle w:val="ECHRTitleCentre1"/>
        <w:rPr>
          <w:rFonts w:ascii="Times New Roman" w:hAnsi="Times New Roman" w:cs="Times New Roman"/>
          <w:lang w:val="af-ZA"/>
        </w:rPr>
      </w:pPr>
      <w:r w:rsidRPr="00EF7399">
        <w:rPr>
          <w:rFonts w:ascii="Times New Roman" w:hAnsi="Times New Roman" w:cs="Times New Roman"/>
          <w:lang w:val="af-ZA"/>
        </w:rPr>
        <w:t>—W—</w:t>
      </w:r>
    </w:p>
    <w:p w14:paraId="21C75605" w14:textId="5EDBF4E9" w:rsidR="00EC61FF" w:rsidRPr="00EF7399" w:rsidRDefault="00000000" w:rsidP="006019EB">
      <w:pPr>
        <w:pStyle w:val="ECHRParaHanging"/>
        <w:rPr>
          <w:rFonts w:ascii="Times New Roman" w:hAnsi="Times New Roman" w:cs="Times New Roman"/>
          <w:lang w:val="af-ZA"/>
        </w:rPr>
      </w:pPr>
      <w:hyperlink r:id="rId880" w:history="1">
        <w:r w:rsidR="00EC61FF" w:rsidRPr="00EF7399">
          <w:rPr>
            <w:rStyle w:val="Hyperlink"/>
            <w:rFonts w:ascii="Times New Roman" w:hAnsi="Times New Roman" w:cs="Times New Roman"/>
            <w:lang w:val="af-ZA"/>
          </w:rPr>
          <w:t>Weiss</w:t>
        </w:r>
        <w:r w:rsidR="00873234" w:rsidRPr="00EF7399">
          <w:rPr>
            <w:rStyle w:val="Hyperlink"/>
            <w:rFonts w:ascii="Times New Roman" w:hAnsi="Times New Roman" w:cs="Times New Roman"/>
            <w:lang w:val="af-ZA"/>
          </w:rPr>
          <w:t xml:space="preserve"> v. </w:t>
        </w:r>
        <w:r w:rsidR="00EC61FF" w:rsidRPr="00EF7399">
          <w:rPr>
            <w:rStyle w:val="Hyperlink"/>
            <w:rFonts w:ascii="Times New Roman" w:hAnsi="Times New Roman" w:cs="Times New Roman"/>
            <w:lang w:val="af-ZA"/>
          </w:rPr>
          <w:t>Austria</w:t>
        </w:r>
      </w:hyperlink>
      <w:r w:rsidR="00EC61FF" w:rsidRPr="00EF7399">
        <w:rPr>
          <w:rFonts w:ascii="Times New Roman" w:hAnsi="Times New Roman" w:cs="Times New Roman"/>
          <w:lang w:val="af-ZA"/>
        </w:rPr>
        <w:t>, no. 14596/89, Commission decision of 10 July 1991, unpublished</w:t>
      </w:r>
    </w:p>
    <w:p w14:paraId="773BBB2E" w14:textId="374F8974" w:rsidR="004669F4" w:rsidRPr="00EF7399" w:rsidRDefault="00000000" w:rsidP="004669F4">
      <w:pPr>
        <w:pStyle w:val="ECHRParaHanging"/>
        <w:rPr>
          <w:rFonts w:ascii="Times New Roman" w:hAnsi="Times New Roman" w:cs="Times New Roman"/>
          <w:lang w:val="af-ZA"/>
        </w:rPr>
      </w:pPr>
      <w:hyperlink r:id="rId881" w:history="1">
        <w:r w:rsidR="004669F4" w:rsidRPr="00EF7399">
          <w:rPr>
            <w:rStyle w:val="Hyperlink"/>
            <w:rFonts w:ascii="Times New Roman" w:hAnsi="Times New Roman" w:cs="Times New Roman"/>
            <w:lang w:val="af-ZA"/>
          </w:rPr>
          <w:t>Wilson, National Union of Journalists and Others</w:t>
        </w:r>
        <w:r w:rsidR="00873234" w:rsidRPr="00EF7399">
          <w:rPr>
            <w:rStyle w:val="Hyperlink"/>
            <w:rFonts w:ascii="Times New Roman" w:hAnsi="Times New Roman" w:cs="Times New Roman"/>
            <w:lang w:val="af-ZA"/>
          </w:rPr>
          <w:t xml:space="preserve"> v. </w:t>
        </w:r>
        <w:r w:rsidR="004669F4" w:rsidRPr="00EF7399">
          <w:rPr>
            <w:rStyle w:val="Hyperlink"/>
            <w:rFonts w:ascii="Times New Roman" w:hAnsi="Times New Roman" w:cs="Times New Roman"/>
            <w:lang w:val="af-ZA"/>
          </w:rPr>
          <w:t>the United Kingdom</w:t>
        </w:r>
      </w:hyperlink>
      <w:r w:rsidR="004669F4" w:rsidRPr="00EF7399">
        <w:rPr>
          <w:rFonts w:ascii="Times New Roman" w:hAnsi="Times New Roman" w:cs="Times New Roman"/>
          <w:lang w:val="af-ZA"/>
        </w:rPr>
        <w:t>, nos. 30668/96 and 2 others, ECHR 2002</w:t>
      </w:r>
      <w:r w:rsidR="004669F4" w:rsidRPr="00EF7399">
        <w:rPr>
          <w:rFonts w:ascii="Times New Roman" w:hAnsi="Times New Roman" w:cs="Times New Roman"/>
          <w:lang w:val="af-ZA"/>
        </w:rPr>
        <w:noBreakHyphen/>
        <w:t>V</w:t>
      </w:r>
    </w:p>
    <w:p w14:paraId="4988CAD9" w14:textId="0158F5D2" w:rsidR="000D7F2E" w:rsidRPr="00EF7399" w:rsidRDefault="00000000" w:rsidP="000D7F2E">
      <w:pPr>
        <w:pStyle w:val="ECHRParaHanging"/>
        <w:rPr>
          <w:rFonts w:ascii="Times New Roman" w:hAnsi="Times New Roman" w:cs="Times New Roman"/>
          <w:lang w:val="af-ZA"/>
        </w:rPr>
      </w:pPr>
      <w:hyperlink r:id="rId882" w:history="1">
        <w:r w:rsidR="000D7F2E" w:rsidRPr="00EF7399">
          <w:rPr>
            <w:rStyle w:val="Hyperlink"/>
            <w:rFonts w:ascii="Times New Roman" w:hAnsi="Times New Roman" w:cs="Times New Roman"/>
            <w:lang w:val="af-ZA"/>
          </w:rPr>
          <w:t>Women On Waves and Others</w:t>
        </w:r>
        <w:r w:rsidR="00873234" w:rsidRPr="00EF7399">
          <w:rPr>
            <w:rStyle w:val="Hyperlink"/>
            <w:rFonts w:ascii="Times New Roman" w:hAnsi="Times New Roman" w:cs="Times New Roman"/>
            <w:lang w:val="af-ZA"/>
          </w:rPr>
          <w:t xml:space="preserve"> v. </w:t>
        </w:r>
        <w:r w:rsidR="000D7F2E" w:rsidRPr="00EF7399">
          <w:rPr>
            <w:rStyle w:val="Hyperlink"/>
            <w:rFonts w:ascii="Times New Roman" w:hAnsi="Times New Roman" w:cs="Times New Roman"/>
            <w:lang w:val="af-ZA"/>
          </w:rPr>
          <w:t>Portugal</w:t>
        </w:r>
      </w:hyperlink>
      <w:r w:rsidR="000D7F2E" w:rsidRPr="00EF7399">
        <w:rPr>
          <w:rFonts w:ascii="Times New Roman" w:hAnsi="Times New Roman" w:cs="Times New Roman"/>
          <w:lang w:val="af-ZA"/>
        </w:rPr>
        <w:t>, no. 31276/05, 3 February 2009</w:t>
      </w:r>
    </w:p>
    <w:p w14:paraId="1FDAB97B" w14:textId="4CDB2220" w:rsidR="006019EB" w:rsidRPr="00EF7399" w:rsidRDefault="00000000" w:rsidP="006019EB">
      <w:pPr>
        <w:pStyle w:val="ECHRParaHanging"/>
        <w:rPr>
          <w:rFonts w:ascii="Times New Roman" w:hAnsi="Times New Roman" w:cs="Times New Roman"/>
          <w:lang w:val="af-ZA"/>
        </w:rPr>
      </w:pPr>
      <w:hyperlink r:id="rId883" w:history="1">
        <w:r w:rsidR="00EA2229" w:rsidRPr="00EF7399">
          <w:rPr>
            <w:rStyle w:val="Hyperlink"/>
            <w:rFonts w:ascii="Times New Roman" w:hAnsi="Times New Roman" w:cs="Times New Roman"/>
            <w:lang w:val="af-ZA"/>
          </w:rPr>
          <w:t>W.P. and Others</w:t>
        </w:r>
        <w:r w:rsidR="00873234" w:rsidRPr="00EF7399">
          <w:rPr>
            <w:rStyle w:val="Hyperlink"/>
            <w:rFonts w:ascii="Times New Roman" w:hAnsi="Times New Roman" w:cs="Times New Roman"/>
            <w:lang w:val="af-ZA"/>
          </w:rPr>
          <w:t xml:space="preserve"> v. </w:t>
        </w:r>
        <w:r w:rsidR="00EA2229" w:rsidRPr="00EF7399">
          <w:rPr>
            <w:rStyle w:val="Hyperlink"/>
            <w:rFonts w:ascii="Times New Roman" w:hAnsi="Times New Roman" w:cs="Times New Roman"/>
            <w:lang w:val="af-ZA"/>
          </w:rPr>
          <w:t>Poland</w:t>
        </w:r>
      </w:hyperlink>
      <w:r w:rsidR="00EA2229" w:rsidRPr="00EF7399">
        <w:rPr>
          <w:rFonts w:ascii="Times New Roman" w:hAnsi="Times New Roman" w:cs="Times New Roman"/>
          <w:lang w:val="af-ZA"/>
        </w:rPr>
        <w:t xml:space="preserve"> (dec.), no. 42264/98, ECHR 2004-VII</w:t>
      </w:r>
    </w:p>
    <w:p w14:paraId="250A6493" w14:textId="77777777" w:rsidR="006019EB" w:rsidRPr="00EF7399" w:rsidRDefault="006019EB" w:rsidP="006019EB">
      <w:pPr>
        <w:pStyle w:val="ECHRTitleCentre1"/>
        <w:rPr>
          <w:rFonts w:ascii="Times New Roman" w:hAnsi="Times New Roman" w:cs="Times New Roman"/>
          <w:lang w:val="af-ZA"/>
        </w:rPr>
      </w:pPr>
      <w:r w:rsidRPr="00EF7399">
        <w:rPr>
          <w:rFonts w:ascii="Times New Roman" w:hAnsi="Times New Roman" w:cs="Times New Roman"/>
          <w:lang w:val="af-ZA"/>
        </w:rPr>
        <w:t>—Y</w:t>
      </w:r>
      <w:bookmarkStart w:id="114" w:name="_Hlk90626925"/>
      <w:r w:rsidRPr="00EF7399">
        <w:rPr>
          <w:rFonts w:ascii="Times New Roman" w:hAnsi="Times New Roman" w:cs="Times New Roman"/>
          <w:lang w:val="af-ZA"/>
        </w:rPr>
        <w:t>—</w:t>
      </w:r>
    </w:p>
    <w:p w14:paraId="30DD0E00" w14:textId="0DB8FF3E" w:rsidR="000334B1" w:rsidRPr="00EF7399" w:rsidRDefault="00000000" w:rsidP="00B63CAB">
      <w:pPr>
        <w:pStyle w:val="ECHRParaHanging"/>
        <w:rPr>
          <w:rFonts w:ascii="Times New Roman" w:hAnsi="Times New Roman" w:cs="Times New Roman"/>
          <w:lang w:val="af-ZA"/>
        </w:rPr>
      </w:pPr>
      <w:hyperlink r:id="rId884" w:history="1">
        <w:r w:rsidR="000334B1" w:rsidRPr="00EF7399">
          <w:rPr>
            <w:rStyle w:val="Hyperlink"/>
            <w:rFonts w:ascii="Times New Roman" w:hAnsi="Times New Roman" w:cs="Times New Roman"/>
            <w:iCs/>
            <w:lang w:val="af-ZA"/>
          </w:rPr>
          <w:t>Yakut Republican Trade-Union Federation</w:t>
        </w:r>
        <w:r w:rsidR="00873234" w:rsidRPr="00EF7399">
          <w:rPr>
            <w:rStyle w:val="Hyperlink"/>
            <w:rFonts w:ascii="Times New Roman" w:hAnsi="Times New Roman" w:cs="Times New Roman"/>
            <w:iCs/>
            <w:lang w:val="af-ZA"/>
          </w:rPr>
          <w:t xml:space="preserve"> v. </w:t>
        </w:r>
        <w:r w:rsidR="000334B1" w:rsidRPr="00EF7399">
          <w:rPr>
            <w:rStyle w:val="Hyperlink"/>
            <w:rFonts w:ascii="Times New Roman" w:hAnsi="Times New Roman" w:cs="Times New Roman"/>
            <w:iCs/>
            <w:lang w:val="af-ZA"/>
          </w:rPr>
          <w:t>Russia</w:t>
        </w:r>
      </w:hyperlink>
      <w:bookmarkEnd w:id="114"/>
      <w:r w:rsidR="000334B1" w:rsidRPr="00EF7399">
        <w:rPr>
          <w:rFonts w:ascii="Times New Roman" w:hAnsi="Times New Roman" w:cs="Times New Roman"/>
          <w:lang w:val="af-ZA"/>
        </w:rPr>
        <w:t>, no. 29582/09, 7 December 2021</w:t>
      </w:r>
    </w:p>
    <w:p w14:paraId="1AC11A6B" w14:textId="5DD5F26A" w:rsidR="00B63CAB" w:rsidRPr="00EF7399" w:rsidRDefault="00000000" w:rsidP="00B63CAB">
      <w:pPr>
        <w:pStyle w:val="ECHRParaHanging"/>
        <w:rPr>
          <w:rFonts w:ascii="Times New Roman" w:hAnsi="Times New Roman" w:cs="Times New Roman"/>
          <w:lang w:val="af-ZA"/>
        </w:rPr>
      </w:pPr>
      <w:hyperlink r:id="rId885" w:history="1">
        <w:r w:rsidR="00B63CAB" w:rsidRPr="00EF7399">
          <w:rPr>
            <w:rStyle w:val="Hyperlink"/>
            <w:rFonts w:ascii="Times New Roman" w:hAnsi="Times New Roman" w:cs="Times New Roman"/>
            <w:lang w:val="af-ZA"/>
          </w:rPr>
          <w:t>Yaroslav Belousov</w:t>
        </w:r>
        <w:r w:rsidR="00873234" w:rsidRPr="00EF7399">
          <w:rPr>
            <w:rStyle w:val="Hyperlink"/>
            <w:rFonts w:ascii="Times New Roman" w:hAnsi="Times New Roman" w:cs="Times New Roman"/>
            <w:lang w:val="af-ZA"/>
          </w:rPr>
          <w:t xml:space="preserve"> v. </w:t>
        </w:r>
        <w:r w:rsidR="00B63CAB" w:rsidRPr="00EF7399">
          <w:rPr>
            <w:rStyle w:val="Hyperlink"/>
            <w:rFonts w:ascii="Times New Roman" w:hAnsi="Times New Roman" w:cs="Times New Roman"/>
            <w:lang w:val="af-ZA"/>
          </w:rPr>
          <w:t>Russia</w:t>
        </w:r>
      </w:hyperlink>
      <w:r w:rsidR="00B63CAB" w:rsidRPr="00EF7399">
        <w:rPr>
          <w:rFonts w:ascii="Times New Roman" w:hAnsi="Times New Roman" w:cs="Times New Roman"/>
          <w:lang w:val="af-ZA"/>
        </w:rPr>
        <w:t>, nos. 2653/13 and 60980/14, 4 October 2016</w:t>
      </w:r>
    </w:p>
    <w:p w14:paraId="7D1F4B7E" w14:textId="73C1B46E" w:rsidR="00D46A57" w:rsidRPr="00EF7399" w:rsidRDefault="00000000" w:rsidP="00D46A57">
      <w:pPr>
        <w:pStyle w:val="ECHRParaHanging"/>
        <w:rPr>
          <w:rFonts w:ascii="Times New Roman" w:hAnsi="Times New Roman" w:cs="Times New Roman"/>
          <w:lang w:val="af-ZA"/>
        </w:rPr>
      </w:pPr>
      <w:hyperlink r:id="rId886" w:history="1">
        <w:r w:rsidR="00D46A57" w:rsidRPr="00EF7399">
          <w:rPr>
            <w:rStyle w:val="Hyperlink"/>
            <w:rFonts w:ascii="Times New Roman" w:hAnsi="Times New Roman" w:cs="Times New Roman"/>
            <w:lang w:val="af-ZA"/>
          </w:rPr>
          <w:t>Yazar and Others</w:t>
        </w:r>
        <w:r w:rsidR="00873234" w:rsidRPr="00EF7399">
          <w:rPr>
            <w:rStyle w:val="Hyperlink"/>
            <w:rFonts w:ascii="Times New Roman" w:hAnsi="Times New Roman" w:cs="Times New Roman"/>
            <w:lang w:val="af-ZA"/>
          </w:rPr>
          <w:t xml:space="preserve"> v. </w:t>
        </w:r>
        <w:r w:rsidR="00D46A57" w:rsidRPr="00EF7399">
          <w:rPr>
            <w:rStyle w:val="Hyperlink"/>
            <w:rFonts w:ascii="Times New Roman" w:hAnsi="Times New Roman" w:cs="Times New Roman"/>
            <w:lang w:val="af-ZA"/>
          </w:rPr>
          <w:t>Turkey</w:t>
        </w:r>
      </w:hyperlink>
      <w:r w:rsidR="00D46A57" w:rsidRPr="00EF7399">
        <w:rPr>
          <w:rFonts w:ascii="Times New Roman" w:hAnsi="Times New Roman" w:cs="Times New Roman"/>
          <w:lang w:val="af-ZA"/>
        </w:rPr>
        <w:t>, nos. 22723/93 and 2 others, ECHR 2002</w:t>
      </w:r>
      <w:r w:rsidR="00D46A57" w:rsidRPr="00EF7399">
        <w:rPr>
          <w:rFonts w:ascii="Times New Roman" w:hAnsi="Times New Roman" w:cs="Times New Roman"/>
          <w:lang w:val="af-ZA"/>
        </w:rPr>
        <w:noBreakHyphen/>
        <w:t>II</w:t>
      </w:r>
    </w:p>
    <w:p w14:paraId="4099B68A" w14:textId="6933DDB0" w:rsidR="00262E0D" w:rsidRPr="00EF7399" w:rsidRDefault="00000000" w:rsidP="00D46A57">
      <w:pPr>
        <w:pStyle w:val="ECHRParaHanging"/>
        <w:rPr>
          <w:rFonts w:ascii="Times New Roman" w:hAnsi="Times New Roman" w:cs="Times New Roman"/>
          <w:lang w:val="af-ZA"/>
        </w:rPr>
      </w:pPr>
      <w:hyperlink r:id="rId887" w:history="1">
        <w:r w:rsidR="00262E0D" w:rsidRPr="00EF7399">
          <w:rPr>
            <w:rStyle w:val="Hyperlink"/>
            <w:rFonts w:ascii="Times New Roman" w:hAnsi="Times New Roman" w:cs="Times New Roman"/>
            <w:lang w:val="af-ZA"/>
          </w:rPr>
          <w:t>Yefimov and Youth Human Rights Group</w:t>
        </w:r>
        <w:r w:rsidR="00873234" w:rsidRPr="00EF7399">
          <w:rPr>
            <w:rStyle w:val="Hyperlink"/>
            <w:rFonts w:ascii="Times New Roman" w:hAnsi="Times New Roman" w:cs="Times New Roman"/>
            <w:lang w:val="af-ZA"/>
          </w:rPr>
          <w:t xml:space="preserve"> v. </w:t>
        </w:r>
        <w:r w:rsidR="00262E0D" w:rsidRPr="00EF7399">
          <w:rPr>
            <w:rStyle w:val="Hyperlink"/>
            <w:rFonts w:ascii="Times New Roman" w:hAnsi="Times New Roman" w:cs="Times New Roman"/>
            <w:lang w:val="af-ZA"/>
          </w:rPr>
          <w:t>Russia</w:t>
        </w:r>
      </w:hyperlink>
      <w:r w:rsidR="00262E0D" w:rsidRPr="00EF7399">
        <w:rPr>
          <w:rFonts w:ascii="Times New Roman" w:hAnsi="Times New Roman" w:cs="Times New Roman"/>
          <w:lang w:val="af-ZA"/>
        </w:rPr>
        <w:t>, nos. 12385/15 and 51619/15, 7 December 2021</w:t>
      </w:r>
    </w:p>
    <w:p w14:paraId="0401723D" w14:textId="05CCA15A" w:rsidR="00E759F9" w:rsidRPr="00EF7399" w:rsidRDefault="00000000" w:rsidP="00D46A57">
      <w:pPr>
        <w:pStyle w:val="ECHRParaHanging"/>
        <w:rPr>
          <w:rFonts w:ascii="Times New Roman" w:hAnsi="Times New Roman" w:cs="Times New Roman"/>
          <w:lang w:val="af-ZA"/>
        </w:rPr>
      </w:pPr>
      <w:hyperlink r:id="rId888" w:history="1">
        <w:r w:rsidR="00E759F9" w:rsidRPr="00EF7399">
          <w:rPr>
            <w:rStyle w:val="Hyperlink"/>
            <w:rFonts w:ascii="Times New Roman" w:hAnsi="Times New Roman" w:cs="Times New Roman"/>
            <w:lang w:val="af-ZA"/>
          </w:rPr>
          <w:t>Yeşiller ve Sol Gelecek Partisi</w:t>
        </w:r>
        <w:r w:rsidR="00873234" w:rsidRPr="00EF7399">
          <w:rPr>
            <w:rStyle w:val="Hyperlink"/>
            <w:rFonts w:ascii="Times New Roman" w:hAnsi="Times New Roman" w:cs="Times New Roman"/>
            <w:lang w:val="af-ZA"/>
          </w:rPr>
          <w:t xml:space="preserve"> v. </w:t>
        </w:r>
        <w:r w:rsidR="00E759F9" w:rsidRPr="00EF7399">
          <w:rPr>
            <w:rStyle w:val="Hyperlink"/>
            <w:rFonts w:ascii="Times New Roman" w:hAnsi="Times New Roman" w:cs="Times New Roman"/>
            <w:lang w:val="af-ZA"/>
          </w:rPr>
          <w:t>Turkey</w:t>
        </w:r>
      </w:hyperlink>
      <w:r w:rsidR="00E759F9" w:rsidRPr="00EF7399">
        <w:rPr>
          <w:rFonts w:ascii="Times New Roman" w:hAnsi="Times New Roman" w:cs="Times New Roman"/>
          <w:lang w:val="af-ZA"/>
        </w:rPr>
        <w:t>, no. 41955/14, 10 May 2022</w:t>
      </w:r>
    </w:p>
    <w:p w14:paraId="33FC8508" w14:textId="1656A934" w:rsidR="00E27464" w:rsidRPr="00EF7399" w:rsidRDefault="00000000" w:rsidP="00061A89">
      <w:pPr>
        <w:pStyle w:val="JuPara"/>
        <w:ind w:firstLine="0"/>
        <w:rPr>
          <w:rFonts w:ascii="Times New Roman" w:hAnsi="Times New Roman" w:cs="Times New Roman"/>
          <w:iCs/>
          <w:sz w:val="22"/>
          <w:szCs w:val="22"/>
          <w:lang w:val="af-ZA"/>
        </w:rPr>
      </w:pPr>
      <w:hyperlink r:id="rId889" w:history="1">
        <w:r w:rsidR="00E27464" w:rsidRPr="00EF7399">
          <w:rPr>
            <w:rStyle w:val="Hyperlink"/>
            <w:rFonts w:ascii="Times New Roman" w:hAnsi="Times New Roman" w:cs="Times New Roman"/>
            <w:sz w:val="22"/>
            <w:szCs w:val="22"/>
            <w:lang w:val="af-ZA"/>
          </w:rPr>
          <w:t>Yezhov and Others</w:t>
        </w:r>
        <w:r w:rsidR="00873234" w:rsidRPr="00EF7399">
          <w:rPr>
            <w:rStyle w:val="Hyperlink"/>
            <w:rFonts w:ascii="Times New Roman" w:hAnsi="Times New Roman" w:cs="Times New Roman"/>
            <w:sz w:val="22"/>
            <w:szCs w:val="22"/>
            <w:lang w:val="af-ZA"/>
          </w:rPr>
          <w:t xml:space="preserve"> v. </w:t>
        </w:r>
        <w:r w:rsidR="00E27464" w:rsidRPr="00EF7399">
          <w:rPr>
            <w:rStyle w:val="Hyperlink"/>
            <w:rFonts w:ascii="Times New Roman" w:hAnsi="Times New Roman" w:cs="Times New Roman"/>
            <w:sz w:val="22"/>
            <w:szCs w:val="22"/>
            <w:lang w:val="af-ZA"/>
          </w:rPr>
          <w:t>Russia</w:t>
        </w:r>
      </w:hyperlink>
      <w:r w:rsidR="00E27464" w:rsidRPr="00EF7399">
        <w:rPr>
          <w:rFonts w:ascii="Times New Roman" w:hAnsi="Times New Roman" w:cs="Times New Roman"/>
          <w:iCs/>
          <w:sz w:val="22"/>
          <w:szCs w:val="22"/>
          <w:lang w:val="af-ZA"/>
        </w:rPr>
        <w:t>,</w:t>
      </w:r>
      <w:r w:rsidR="008479EF" w:rsidRPr="00EF7399">
        <w:rPr>
          <w:rFonts w:ascii="Times New Roman" w:hAnsi="Times New Roman" w:cs="Times New Roman"/>
          <w:iCs/>
          <w:sz w:val="22"/>
          <w:szCs w:val="22"/>
          <w:lang w:val="af-ZA"/>
        </w:rPr>
        <w:t xml:space="preserve"> </w:t>
      </w:r>
      <w:r w:rsidR="00E27464" w:rsidRPr="00EF7399">
        <w:rPr>
          <w:rFonts w:ascii="Times New Roman" w:hAnsi="Times New Roman" w:cs="Times New Roman"/>
          <w:iCs/>
          <w:sz w:val="22"/>
          <w:szCs w:val="22"/>
          <w:lang w:val="af-ZA"/>
        </w:rPr>
        <w:t>no. 22051/05, 29 June 2021</w:t>
      </w:r>
    </w:p>
    <w:p w14:paraId="34A00BB2" w14:textId="15A5E983" w:rsidR="00061A89" w:rsidRPr="00EF7399" w:rsidRDefault="00000000" w:rsidP="00061A89">
      <w:pPr>
        <w:pStyle w:val="JuPara"/>
        <w:ind w:firstLine="0"/>
        <w:rPr>
          <w:rFonts w:ascii="Times New Roman" w:hAnsi="Times New Roman" w:cs="Times New Roman"/>
          <w:iCs/>
          <w:sz w:val="22"/>
          <w:szCs w:val="22"/>
          <w:lang w:val="af-ZA"/>
        </w:rPr>
      </w:pPr>
      <w:hyperlink r:id="rId890" w:history="1">
        <w:r w:rsidR="00061A89" w:rsidRPr="00EF7399">
          <w:rPr>
            <w:rStyle w:val="Hyperlink"/>
            <w:rFonts w:ascii="Times New Roman" w:hAnsi="Times New Roman" w:cs="Times New Roman"/>
            <w:sz w:val="22"/>
            <w:szCs w:val="22"/>
            <w:lang w:val="af-ZA"/>
          </w:rPr>
          <w:t>Yordanovi</w:t>
        </w:r>
        <w:r w:rsidR="00873234" w:rsidRPr="00EF7399">
          <w:rPr>
            <w:rStyle w:val="Hyperlink"/>
            <w:rFonts w:ascii="Times New Roman" w:hAnsi="Times New Roman" w:cs="Times New Roman"/>
            <w:sz w:val="22"/>
            <w:szCs w:val="22"/>
            <w:lang w:val="af-ZA"/>
          </w:rPr>
          <w:t xml:space="preserve"> v. </w:t>
        </w:r>
        <w:r w:rsidR="00061A89" w:rsidRPr="00EF7399">
          <w:rPr>
            <w:rStyle w:val="Hyperlink"/>
            <w:rFonts w:ascii="Times New Roman" w:hAnsi="Times New Roman" w:cs="Times New Roman"/>
            <w:sz w:val="22"/>
            <w:szCs w:val="22"/>
            <w:lang w:val="af-ZA"/>
          </w:rPr>
          <w:t>Bulgaria</w:t>
        </w:r>
      </w:hyperlink>
      <w:r w:rsidR="00061A89" w:rsidRPr="00EF7399">
        <w:rPr>
          <w:rFonts w:ascii="Times New Roman" w:hAnsi="Times New Roman" w:cs="Times New Roman"/>
          <w:sz w:val="22"/>
          <w:szCs w:val="22"/>
          <w:lang w:val="af-ZA"/>
        </w:rPr>
        <w:t>, no. 11157/11, 3 September 2020</w:t>
      </w:r>
    </w:p>
    <w:p w14:paraId="7AED8D4B" w14:textId="18FC1438" w:rsidR="004C3976" w:rsidRPr="00EF7399" w:rsidRDefault="00000000" w:rsidP="004C3976">
      <w:pPr>
        <w:pStyle w:val="ECHRParaHanging"/>
        <w:rPr>
          <w:rFonts w:ascii="Times New Roman" w:hAnsi="Times New Roman" w:cs="Times New Roman"/>
          <w:lang w:val="af-ZA"/>
        </w:rPr>
      </w:pPr>
      <w:hyperlink r:id="rId891" w:history="1">
        <w:r w:rsidR="004C3976" w:rsidRPr="00EF7399">
          <w:rPr>
            <w:rStyle w:val="Hyperlink"/>
            <w:rFonts w:ascii="Times New Roman" w:hAnsi="Times New Roman" w:cs="Times New Roman"/>
            <w:lang w:val="af-ZA"/>
          </w:rPr>
          <w:t>Young, James and Webster</w:t>
        </w:r>
        <w:r w:rsidR="00873234" w:rsidRPr="00EF7399">
          <w:rPr>
            <w:rStyle w:val="Hyperlink"/>
            <w:rFonts w:ascii="Times New Roman" w:hAnsi="Times New Roman" w:cs="Times New Roman"/>
            <w:lang w:val="af-ZA"/>
          </w:rPr>
          <w:t xml:space="preserve"> v. </w:t>
        </w:r>
        <w:r w:rsidR="004C3976" w:rsidRPr="00EF7399">
          <w:rPr>
            <w:rStyle w:val="Hyperlink"/>
            <w:rFonts w:ascii="Times New Roman" w:hAnsi="Times New Roman" w:cs="Times New Roman"/>
            <w:lang w:val="af-ZA"/>
          </w:rPr>
          <w:t>the United Kingdom</w:t>
        </w:r>
      </w:hyperlink>
      <w:r w:rsidR="004C3976" w:rsidRPr="00EF7399">
        <w:rPr>
          <w:rFonts w:ascii="Times New Roman" w:hAnsi="Times New Roman" w:cs="Times New Roman"/>
          <w:lang w:val="af-ZA"/>
        </w:rPr>
        <w:t>, 13 August 1981, Series A no. 44</w:t>
      </w:r>
    </w:p>
    <w:p w14:paraId="06526A17" w14:textId="19A062B7" w:rsidR="00E26627" w:rsidRPr="00EF7399" w:rsidRDefault="00000000" w:rsidP="004C3976">
      <w:pPr>
        <w:pStyle w:val="ECHRParaHanging"/>
        <w:rPr>
          <w:rFonts w:ascii="Times New Roman" w:hAnsi="Times New Roman" w:cs="Times New Roman"/>
          <w:lang w:val="af-ZA"/>
        </w:rPr>
      </w:pPr>
      <w:hyperlink r:id="rId892" w:history="1">
        <w:r w:rsidR="00E26627" w:rsidRPr="00EF7399">
          <w:rPr>
            <w:rStyle w:val="Hyperlink"/>
            <w:rFonts w:ascii="Times New Roman" w:hAnsi="Times New Roman" w:cs="Times New Roman"/>
            <w:lang w:val="af-ZA"/>
          </w:rPr>
          <w:t>Young, James and Webster</w:t>
        </w:r>
        <w:r w:rsidR="00873234" w:rsidRPr="00EF7399">
          <w:rPr>
            <w:rStyle w:val="Hyperlink"/>
            <w:rFonts w:ascii="Times New Roman" w:hAnsi="Times New Roman" w:cs="Times New Roman"/>
            <w:lang w:val="af-ZA"/>
          </w:rPr>
          <w:t xml:space="preserve"> v. </w:t>
        </w:r>
        <w:r w:rsidR="00E26627" w:rsidRPr="00EF7399">
          <w:rPr>
            <w:rStyle w:val="Hyperlink"/>
            <w:rFonts w:ascii="Times New Roman" w:hAnsi="Times New Roman" w:cs="Times New Roman"/>
            <w:lang w:val="af-ZA"/>
          </w:rPr>
          <w:t>the United Kingdom</w:t>
        </w:r>
      </w:hyperlink>
      <w:r w:rsidR="00E26627" w:rsidRPr="00EF7399">
        <w:rPr>
          <w:rFonts w:ascii="Times New Roman" w:hAnsi="Times New Roman" w:cs="Times New Roman"/>
          <w:lang w:val="af-ZA"/>
        </w:rPr>
        <w:t>, nos. 7601/76 and 7896/77, Commission</w:t>
      </w:r>
      <w:r w:rsidR="00DF297D" w:rsidRPr="00EF7399">
        <w:rPr>
          <w:rFonts w:ascii="Times New Roman" w:hAnsi="Times New Roman" w:cs="Times New Roman"/>
          <w:lang w:val="af-ZA"/>
        </w:rPr>
        <w:t>’</w:t>
      </w:r>
      <w:r w:rsidR="00E26627" w:rsidRPr="00EF7399">
        <w:rPr>
          <w:rFonts w:ascii="Times New Roman" w:hAnsi="Times New Roman" w:cs="Times New Roman"/>
          <w:lang w:val="af-ZA"/>
        </w:rPr>
        <w:t>s report of 14 December 1979, Series B, no. 39, p. 36</w:t>
      </w:r>
    </w:p>
    <w:p w14:paraId="22BCA0F1" w14:textId="3EA1A053" w:rsidR="006019EB" w:rsidRPr="00EF7399" w:rsidRDefault="006019EB" w:rsidP="006019EB">
      <w:pPr>
        <w:pStyle w:val="ECHRTitleCentre1"/>
        <w:rPr>
          <w:rFonts w:ascii="Times New Roman" w:hAnsi="Times New Roman" w:cs="Times New Roman"/>
          <w:lang w:val="af-ZA"/>
        </w:rPr>
      </w:pPr>
      <w:r w:rsidRPr="00EF7399">
        <w:rPr>
          <w:rFonts w:ascii="Times New Roman" w:hAnsi="Times New Roman" w:cs="Times New Roman"/>
          <w:lang w:val="af-ZA"/>
        </w:rPr>
        <w:t>—</w:t>
      </w:r>
      <w:r w:rsidR="00844F3E" w:rsidRPr="00EF7399">
        <w:rPr>
          <w:rFonts w:ascii="Times New Roman" w:hAnsi="Times New Roman" w:cs="Times New Roman"/>
          <w:lang w:val="af-ZA"/>
        </w:rPr>
        <w:t>Z</w:t>
      </w:r>
      <w:r w:rsidRPr="00EF7399">
        <w:rPr>
          <w:rFonts w:ascii="Times New Roman" w:hAnsi="Times New Roman" w:cs="Times New Roman"/>
          <w:lang w:val="af-ZA"/>
        </w:rPr>
        <w:t>—</w:t>
      </w:r>
    </w:p>
    <w:p w14:paraId="261C8D15" w14:textId="38F7CD10" w:rsidR="00923F5A" w:rsidRPr="00EF7399" w:rsidRDefault="00000000" w:rsidP="00923F5A">
      <w:pPr>
        <w:pStyle w:val="ECHRPara"/>
        <w:rPr>
          <w:rFonts w:ascii="Times New Roman" w:hAnsi="Times New Roman" w:cs="Times New Roman"/>
        </w:rPr>
      </w:pPr>
      <w:hyperlink r:id="rId893" w:history="1">
        <w:r w:rsidR="00923F5A" w:rsidRPr="00EF7399">
          <w:rPr>
            <w:rStyle w:val="Hyperlink"/>
            <w:rFonts w:ascii="Times New Roman" w:hAnsi="Times New Roman" w:cs="Times New Roman"/>
            <w:lang w:val="af-ZA"/>
          </w:rPr>
          <w:t>Zakharova and Others</w:t>
        </w:r>
        <w:r w:rsidR="00873234" w:rsidRPr="00EF7399">
          <w:rPr>
            <w:rStyle w:val="Hyperlink"/>
            <w:rFonts w:ascii="Times New Roman" w:hAnsi="Times New Roman" w:cs="Times New Roman"/>
            <w:lang w:val="af-ZA"/>
          </w:rPr>
          <w:t xml:space="preserve"> v. </w:t>
        </w:r>
        <w:r w:rsidR="00923F5A" w:rsidRPr="00EF7399">
          <w:rPr>
            <w:rStyle w:val="Hyperlink"/>
            <w:rFonts w:ascii="Times New Roman" w:hAnsi="Times New Roman" w:cs="Times New Roman"/>
            <w:lang w:val="af-ZA"/>
          </w:rPr>
          <w:t>Russia</w:t>
        </w:r>
      </w:hyperlink>
      <w:r w:rsidR="00923F5A" w:rsidRPr="00EF7399">
        <w:rPr>
          <w:rFonts w:ascii="Times New Roman" w:hAnsi="Times New Roman" w:cs="Times New Roman"/>
        </w:rPr>
        <w:t>, no. 12736/10, 8 March 2022</w:t>
      </w:r>
    </w:p>
    <w:p w14:paraId="7A8A0CD1" w14:textId="1582BCB3" w:rsidR="00923F5A" w:rsidRPr="00EF7399" w:rsidRDefault="00000000" w:rsidP="00923F5A">
      <w:pPr>
        <w:pStyle w:val="ECHRPara"/>
        <w:rPr>
          <w:rFonts w:ascii="Times New Roman" w:hAnsi="Times New Roman" w:cs="Times New Roman"/>
        </w:rPr>
      </w:pPr>
      <w:hyperlink r:id="rId894" w:history="1">
        <w:r w:rsidR="00481003" w:rsidRPr="00EF7399">
          <w:rPr>
            <w:rStyle w:val="Hyperlink"/>
            <w:rFonts w:ascii="Times New Roman" w:hAnsi="Times New Roman" w:cs="Times New Roman"/>
            <w:lang w:val="af-ZA"/>
          </w:rPr>
          <w:t>Zakharov and Varzhabetyan</w:t>
        </w:r>
        <w:r w:rsidR="00873234" w:rsidRPr="00EF7399">
          <w:rPr>
            <w:rStyle w:val="Hyperlink"/>
            <w:rFonts w:ascii="Times New Roman" w:hAnsi="Times New Roman" w:cs="Times New Roman"/>
            <w:lang w:val="af-ZA"/>
          </w:rPr>
          <w:t xml:space="preserve"> v. </w:t>
        </w:r>
        <w:r w:rsidR="00481003" w:rsidRPr="00EF7399">
          <w:rPr>
            <w:rStyle w:val="Hyperlink"/>
            <w:rFonts w:ascii="Times New Roman" w:hAnsi="Times New Roman" w:cs="Times New Roman"/>
            <w:lang w:val="af-ZA"/>
          </w:rPr>
          <w:t>Russia</w:t>
        </w:r>
      </w:hyperlink>
      <w:r w:rsidR="00481003" w:rsidRPr="00EF7399">
        <w:rPr>
          <w:rFonts w:ascii="Times New Roman" w:hAnsi="Times New Roman" w:cs="Times New Roman"/>
        </w:rPr>
        <w:t>, nos. 35880/14 et 75926/17, 13 October 2020</w:t>
      </w:r>
    </w:p>
    <w:p w14:paraId="2379862C" w14:textId="538DE95B" w:rsidR="004C3976" w:rsidRPr="00EF7399" w:rsidRDefault="00000000" w:rsidP="00923F5A">
      <w:pPr>
        <w:pStyle w:val="ECHRPara"/>
        <w:rPr>
          <w:rFonts w:ascii="Times New Roman" w:hAnsi="Times New Roman" w:cs="Times New Roman"/>
        </w:rPr>
      </w:pPr>
      <w:hyperlink r:id="rId895" w:history="1">
        <w:r w:rsidR="004C3976" w:rsidRPr="00EF7399">
          <w:rPr>
            <w:rStyle w:val="Hyperlink"/>
            <w:rFonts w:ascii="Times New Roman" w:hAnsi="Times New Roman" w:cs="Times New Roman"/>
            <w:iCs/>
            <w:lang w:val="af-ZA"/>
          </w:rPr>
          <w:t>Zehra Foundation and Others</w:t>
        </w:r>
        <w:r w:rsidR="00873234" w:rsidRPr="00EF7399">
          <w:rPr>
            <w:rStyle w:val="Hyperlink"/>
            <w:rFonts w:ascii="Times New Roman" w:hAnsi="Times New Roman" w:cs="Times New Roman"/>
            <w:iCs/>
            <w:lang w:val="af-ZA"/>
          </w:rPr>
          <w:t xml:space="preserve"> v. </w:t>
        </w:r>
        <w:r w:rsidR="004C3976" w:rsidRPr="00EF7399">
          <w:rPr>
            <w:rStyle w:val="Hyperlink"/>
            <w:rFonts w:ascii="Times New Roman" w:hAnsi="Times New Roman" w:cs="Times New Roman"/>
            <w:iCs/>
            <w:lang w:val="af-ZA"/>
          </w:rPr>
          <w:t>Turkey</w:t>
        </w:r>
      </w:hyperlink>
      <w:r w:rsidR="004C3976" w:rsidRPr="00EF7399">
        <w:rPr>
          <w:rFonts w:ascii="Times New Roman" w:hAnsi="Times New Roman" w:cs="Times New Roman"/>
        </w:rPr>
        <w:t>, no. 51595/07, 10 July 2018</w:t>
      </w:r>
    </w:p>
    <w:p w14:paraId="081D181C" w14:textId="063E2918" w:rsidR="00350BD4" w:rsidRPr="00EF7399" w:rsidRDefault="00000000" w:rsidP="00923F5A">
      <w:pPr>
        <w:pStyle w:val="ECHRPara"/>
        <w:rPr>
          <w:rFonts w:ascii="Times New Roman" w:hAnsi="Times New Roman" w:cs="Times New Roman"/>
        </w:rPr>
      </w:pPr>
      <w:hyperlink r:id="rId896" w:history="1">
        <w:r w:rsidR="00350BD4" w:rsidRPr="00EF7399">
          <w:rPr>
            <w:rStyle w:val="Hyperlink"/>
            <w:rFonts w:ascii="Times New Roman" w:hAnsi="Times New Roman" w:cs="Times New Roman"/>
            <w:lang w:val="af-ZA"/>
          </w:rPr>
          <w:t>Zhdanov and Others</w:t>
        </w:r>
        <w:r w:rsidR="00873234" w:rsidRPr="00EF7399">
          <w:rPr>
            <w:rStyle w:val="Hyperlink"/>
            <w:rFonts w:ascii="Times New Roman" w:hAnsi="Times New Roman" w:cs="Times New Roman"/>
            <w:lang w:val="af-ZA"/>
          </w:rPr>
          <w:t xml:space="preserve"> v. </w:t>
        </w:r>
        <w:r w:rsidR="00350BD4" w:rsidRPr="00EF7399">
          <w:rPr>
            <w:rStyle w:val="Hyperlink"/>
            <w:rFonts w:ascii="Times New Roman" w:hAnsi="Times New Roman" w:cs="Times New Roman"/>
            <w:lang w:val="af-ZA"/>
          </w:rPr>
          <w:t>Russia</w:t>
        </w:r>
      </w:hyperlink>
      <w:r w:rsidR="00350BD4" w:rsidRPr="00EF7399">
        <w:rPr>
          <w:rFonts w:ascii="Times New Roman" w:hAnsi="Times New Roman" w:cs="Times New Roman"/>
        </w:rPr>
        <w:t>, nos. 12200/08 and 2 Others, 16 July 2019</w:t>
      </w:r>
    </w:p>
    <w:p w14:paraId="5F32A0A5" w14:textId="19BB39D0" w:rsidR="001A1615" w:rsidRPr="00EF7399" w:rsidRDefault="00000000" w:rsidP="001A1615">
      <w:pPr>
        <w:pStyle w:val="ECHRParaHanging"/>
        <w:rPr>
          <w:rFonts w:ascii="Times New Roman" w:hAnsi="Times New Roman" w:cs="Times New Roman"/>
          <w:lang w:val="af-ZA"/>
        </w:rPr>
      </w:pPr>
      <w:hyperlink r:id="rId897" w:history="1">
        <w:r w:rsidR="001A1615" w:rsidRPr="00EF7399">
          <w:rPr>
            <w:rStyle w:val="Hyperlink"/>
            <w:rFonts w:ascii="Times New Roman" w:hAnsi="Times New Roman" w:cs="Times New Roman"/>
            <w:lang w:val="af-ZA"/>
          </w:rPr>
          <w:t>Zhechev</w:t>
        </w:r>
        <w:r w:rsidR="00873234" w:rsidRPr="00EF7399">
          <w:rPr>
            <w:rStyle w:val="Hyperlink"/>
            <w:rFonts w:ascii="Times New Roman" w:hAnsi="Times New Roman" w:cs="Times New Roman"/>
            <w:lang w:val="af-ZA"/>
          </w:rPr>
          <w:t xml:space="preserve"> v. </w:t>
        </w:r>
        <w:r w:rsidR="001A1615" w:rsidRPr="00EF7399">
          <w:rPr>
            <w:rStyle w:val="Hyperlink"/>
            <w:rFonts w:ascii="Times New Roman" w:hAnsi="Times New Roman" w:cs="Times New Roman"/>
            <w:lang w:val="af-ZA"/>
          </w:rPr>
          <w:t>Bulgaria</w:t>
        </w:r>
      </w:hyperlink>
      <w:r w:rsidR="001A1615" w:rsidRPr="00EF7399">
        <w:rPr>
          <w:rFonts w:ascii="Times New Roman" w:hAnsi="Times New Roman" w:cs="Times New Roman"/>
          <w:lang w:val="af-ZA"/>
        </w:rPr>
        <w:t>, no. 57045/00, 21 June 2007</w:t>
      </w:r>
    </w:p>
    <w:p w14:paraId="3449B5CE" w14:textId="3EA5ADF7" w:rsidR="006019EB" w:rsidRPr="00EF7399" w:rsidRDefault="00000000" w:rsidP="006019EB">
      <w:pPr>
        <w:pStyle w:val="ECHRParaHanging"/>
        <w:rPr>
          <w:rFonts w:ascii="Times New Roman" w:hAnsi="Times New Roman" w:cs="Times New Roman"/>
          <w:lang w:val="af-ZA"/>
        </w:rPr>
      </w:pPr>
      <w:hyperlink r:id="rId898" w:history="1">
        <w:r w:rsidR="00C47449" w:rsidRPr="00EF7399">
          <w:rPr>
            <w:rStyle w:val="Hyperlink"/>
            <w:rFonts w:ascii="Times New Roman" w:hAnsi="Times New Roman" w:cs="Times New Roman"/>
            <w:lang w:val="af-ZA"/>
          </w:rPr>
          <w:t>Ziliberberg</w:t>
        </w:r>
        <w:r w:rsidR="00873234" w:rsidRPr="00EF7399">
          <w:rPr>
            <w:rStyle w:val="Hyperlink"/>
            <w:rFonts w:ascii="Times New Roman" w:hAnsi="Times New Roman" w:cs="Times New Roman"/>
            <w:lang w:val="af-ZA"/>
          </w:rPr>
          <w:t xml:space="preserve"> v. </w:t>
        </w:r>
        <w:r w:rsidR="00C47449" w:rsidRPr="00EF7399">
          <w:rPr>
            <w:rStyle w:val="Hyperlink"/>
            <w:rFonts w:ascii="Times New Roman" w:hAnsi="Times New Roman" w:cs="Times New Roman"/>
            <w:lang w:val="af-ZA"/>
          </w:rPr>
          <w:t>Moldova</w:t>
        </w:r>
      </w:hyperlink>
      <w:r w:rsidR="00C47449" w:rsidRPr="00EF7399">
        <w:rPr>
          <w:rFonts w:ascii="Times New Roman" w:hAnsi="Times New Roman" w:cs="Times New Roman"/>
          <w:lang w:val="af-ZA"/>
        </w:rPr>
        <w:t xml:space="preserve"> (dec.), no. 61821/00, 4 May 2004</w:t>
      </w:r>
    </w:p>
    <w:p w14:paraId="0AD06DD7" w14:textId="750FA88E" w:rsidR="00201B4A" w:rsidRPr="00667419" w:rsidRDefault="00000000" w:rsidP="006019EB">
      <w:pPr>
        <w:pStyle w:val="ECHRParaHanging"/>
        <w:rPr>
          <w:rFonts w:ascii="Times New Roman" w:hAnsi="Times New Roman" w:cs="Times New Roman"/>
          <w:lang w:val="af-ZA"/>
        </w:rPr>
      </w:pPr>
      <w:hyperlink r:id="rId899" w:history="1">
        <w:r w:rsidR="00201B4A" w:rsidRPr="00EF7399">
          <w:rPr>
            <w:rStyle w:val="Hyperlink"/>
            <w:rFonts w:ascii="Times New Roman" w:hAnsi="Times New Roman" w:cs="Times New Roman"/>
            <w:lang w:val="af-ZA"/>
          </w:rPr>
          <w:t>Zulkuf Murat Kahraman</w:t>
        </w:r>
        <w:r w:rsidR="00873234" w:rsidRPr="00EF7399">
          <w:rPr>
            <w:rStyle w:val="Hyperlink"/>
            <w:rFonts w:ascii="Times New Roman" w:hAnsi="Times New Roman" w:cs="Times New Roman"/>
            <w:lang w:val="af-ZA"/>
          </w:rPr>
          <w:t xml:space="preserve"> v. </w:t>
        </w:r>
        <w:r w:rsidR="00201B4A" w:rsidRPr="00EF7399">
          <w:rPr>
            <w:rStyle w:val="Hyperlink"/>
            <w:rFonts w:ascii="Times New Roman" w:hAnsi="Times New Roman" w:cs="Times New Roman"/>
            <w:lang w:val="af-ZA"/>
          </w:rPr>
          <w:t>Turkey</w:t>
        </w:r>
      </w:hyperlink>
      <w:r w:rsidR="00201B4A" w:rsidRPr="00EF7399">
        <w:rPr>
          <w:rFonts w:ascii="Times New Roman" w:hAnsi="Times New Roman" w:cs="Times New Roman"/>
          <w:color w:val="000000"/>
          <w:lang w:val="af-ZA"/>
        </w:rPr>
        <w:t>, no. 65808/10, 16 July 2019</w:t>
      </w:r>
    </w:p>
    <w:sectPr w:rsidR="00201B4A" w:rsidRPr="00667419" w:rsidSect="00CE6E2A">
      <w:headerReference w:type="even" r:id="rId900"/>
      <w:headerReference w:type="default" r:id="rId901"/>
      <w:footerReference w:type="even" r:id="rId902"/>
      <w:footerReference w:type="default" r:id="rId903"/>
      <w:headerReference w:type="first" r:id="rId904"/>
      <w:footerReference w:type="first" r:id="rId905"/>
      <w:pgSz w:w="11907" w:h="16840"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F951" w14:textId="77777777" w:rsidR="00CE6E2A" w:rsidRPr="00923E23" w:rsidRDefault="00CE6E2A" w:rsidP="00E255CC">
      <w:pPr>
        <w:rPr>
          <w:lang w:val="en-GB"/>
        </w:rPr>
      </w:pPr>
      <w:r w:rsidRPr="00923E23">
        <w:rPr>
          <w:lang w:val="en-GB"/>
        </w:rPr>
        <w:separator/>
      </w:r>
    </w:p>
  </w:endnote>
  <w:endnote w:type="continuationSeparator" w:id="0">
    <w:p w14:paraId="13AC8E85" w14:textId="77777777" w:rsidR="00CE6E2A" w:rsidRPr="00923E23" w:rsidRDefault="00CE6E2A" w:rsidP="00E255CC">
      <w:pPr>
        <w:rPr>
          <w:lang w:val="en-GB"/>
        </w:rPr>
      </w:pPr>
      <w:r w:rsidRPr="00923E23">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2A9C" w14:textId="77777777" w:rsidR="001C797A" w:rsidRPr="00923E23" w:rsidRDefault="001C797A" w:rsidP="00757E39">
    <w:pPr>
      <w:pStyle w:val="ECHRFooter"/>
    </w:pPr>
    <w:r w:rsidRPr="00923E23">
      <w:fldChar w:fldCharType="begin"/>
    </w:r>
    <w:r w:rsidRPr="00923E23">
      <w:instrText xml:space="preserve"> PAGE </w:instrText>
    </w:r>
    <w:r w:rsidRPr="00923E23">
      <w:fldChar w:fldCharType="separate"/>
    </w:r>
    <w:r>
      <w:t>9</w:t>
    </w:r>
    <w:r w:rsidRPr="00923E23">
      <w:fldChar w:fldCharType="end"/>
    </w:r>
    <w:r w:rsidRPr="00923E23">
      <w:tab/>
      <w:t>© Council of Europe / European Court of Human Rights,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78F2" w14:textId="6187E729" w:rsidR="001C797A" w:rsidRPr="00923E23" w:rsidRDefault="001B2612" w:rsidP="007B1287">
    <w:pPr>
      <w:pStyle w:val="ECHRFooter"/>
      <w:tabs>
        <w:tab w:val="clear" w:pos="4536"/>
        <w:tab w:val="left" w:pos="4253"/>
      </w:tabs>
    </w:pPr>
    <w:r w:rsidRPr="001B2612">
      <w:t>Մարդու իրավունքների եվրոպական դատարան</w:t>
    </w:r>
    <w:r w:rsidR="001C797A" w:rsidRPr="00DF297D">
      <w:tab/>
    </w:r>
    <w:r>
      <w:rPr>
        <w:lang w:val="hy-AM"/>
      </w:rPr>
      <w:t xml:space="preserve">     </w:t>
    </w:r>
    <w:r w:rsidR="001C797A" w:rsidRPr="00DF297D">
      <w:fldChar w:fldCharType="begin"/>
    </w:r>
    <w:r w:rsidR="001C797A" w:rsidRPr="00DF297D">
      <w:instrText xml:space="preserve"> PAGE </w:instrText>
    </w:r>
    <w:r w:rsidR="001C797A" w:rsidRPr="00DF297D">
      <w:fldChar w:fldCharType="separate"/>
    </w:r>
    <w:r w:rsidR="001C797A" w:rsidRPr="00DF297D">
      <w:t>28</w:t>
    </w:r>
    <w:r w:rsidR="001C797A" w:rsidRPr="00DF297D">
      <w:fldChar w:fldCharType="end"/>
    </w:r>
    <w:r w:rsidR="001C797A" w:rsidRPr="00DF297D">
      <w:t>/</w:t>
    </w:r>
    <w:r w:rsidR="001C797A" w:rsidRPr="00DF297D">
      <w:fldChar w:fldCharType="begin"/>
    </w:r>
    <w:r w:rsidR="001C797A" w:rsidRPr="00DF297D">
      <w:instrText xml:space="preserve"> NUMPAGES </w:instrText>
    </w:r>
    <w:r w:rsidR="001C797A" w:rsidRPr="00DF297D">
      <w:fldChar w:fldCharType="separate"/>
    </w:r>
    <w:r w:rsidR="001C797A" w:rsidRPr="00DF297D">
      <w:t>54</w:t>
    </w:r>
    <w:r w:rsidR="001C797A" w:rsidRPr="00DF297D">
      <w:fldChar w:fldCharType="end"/>
    </w:r>
    <w:r w:rsidR="001C797A" w:rsidRPr="00DF297D">
      <w:tab/>
    </w:r>
    <w:r w:rsidRPr="001B2612">
      <w:t>վերջին թարմացման ամսաթիվը՝ 31.08.2023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8D72" w14:textId="2A2BC4AC" w:rsidR="001C797A" w:rsidRPr="004943FA" w:rsidRDefault="001C797A" w:rsidP="004943FA">
    <w:pPr>
      <w:tabs>
        <w:tab w:val="center" w:pos="4500"/>
      </w:tabs>
      <w:jc w:val="center"/>
      <w:rPr>
        <w:sz w:val="4"/>
        <w:szCs w:val="4"/>
      </w:rPr>
    </w:pPr>
    <w:r>
      <w:rPr>
        <w:sz w:val="4"/>
        <w:szCs w:val="4"/>
      </w:rPr>
      <w:drawing>
        <wp:inline distT="0" distB="0" distL="0" distR="0" wp14:anchorId="1D0A42BD" wp14:editId="2DAF0BAD">
          <wp:extent cx="771525" cy="619125"/>
          <wp:effectExtent l="0" t="0" r="9525" b="9525"/>
          <wp:docPr id="16" name="Picture 1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A337" w14:textId="77777777" w:rsidR="00CE6E2A" w:rsidRPr="00923E23" w:rsidRDefault="00CE6E2A" w:rsidP="00E255CC">
      <w:pPr>
        <w:rPr>
          <w:lang w:val="en-GB"/>
        </w:rPr>
      </w:pPr>
      <w:r w:rsidRPr="00923E23">
        <w:rPr>
          <w:lang w:val="en-GB"/>
        </w:rPr>
        <w:separator/>
      </w:r>
    </w:p>
  </w:footnote>
  <w:footnote w:type="continuationSeparator" w:id="0">
    <w:p w14:paraId="6AC03210" w14:textId="77777777" w:rsidR="00CE6E2A" w:rsidRPr="00923E23" w:rsidRDefault="00CE6E2A" w:rsidP="00E255CC">
      <w:pPr>
        <w:rPr>
          <w:lang w:val="en-GB"/>
        </w:rPr>
      </w:pPr>
      <w:r w:rsidRPr="00923E23">
        <w:rPr>
          <w:lang w:val="en-GB"/>
        </w:rPr>
        <w:continuationSeparator/>
      </w:r>
    </w:p>
  </w:footnote>
  <w:footnote w:id="1">
    <w:p w14:paraId="0DA7C7BF" w14:textId="77777777" w:rsidR="007A3F4A" w:rsidRPr="009B16E9" w:rsidRDefault="007A3F4A" w:rsidP="001B2612">
      <w:pPr>
        <w:autoSpaceDE w:val="0"/>
        <w:autoSpaceDN w:val="0"/>
        <w:adjustRightInd w:val="0"/>
        <w:jc w:val="both"/>
        <w:rPr>
          <w:rFonts w:ascii="Times New Roman" w:hAnsi="Times New Roman" w:cs="Times New Roman"/>
          <w:sz w:val="20"/>
          <w:szCs w:val="20"/>
        </w:rPr>
      </w:pPr>
      <w:r w:rsidRPr="009B16E9">
        <w:rPr>
          <w:rStyle w:val="FootnoteReference"/>
          <w:rFonts w:ascii="Times New Roman" w:hAnsi="Times New Roman" w:cs="Times New Roman"/>
          <w:sz w:val="20"/>
          <w:szCs w:val="20"/>
        </w:rPr>
        <w:footnoteRef/>
      </w:r>
      <w:r w:rsidRPr="009B16E9">
        <w:rPr>
          <w:rFonts w:ascii="Times New Roman" w:hAnsi="Times New Roman" w:cs="Times New Roman"/>
          <w:sz w:val="20"/>
          <w:szCs w:val="20"/>
        </w:rPr>
        <w:t xml:space="preserve"> Մեջբերված նախադեպային իրավունքը կարող է լինել Դատարանի և Մարդու իրավունքների եվրոպական հանձնաժողովի պաշտոնական լեզուներից (անգլերեն և ֆրանսերեն) որևէ մեկով կամ միաժամանակ երկուսով: Եթե այլ բան նշված չէ, ապա բոլոր հղումները վերաբերում են Դատարանի պալատի կողմից ըստ էության կայացված վճռին: Հայերեն թարգմանության մեջ «(որոշում)» կամ հղման անգլերեն տարբերակում (dec.) բառը նշանակում է, որ հղում է արվում Դատարանի որոշմանը, իսկ «[ՄՊ]» հապավումը (հղման անգլերեն տարբերակում`[GC]) նշանակում է, որ գործը քննվել է Մեծ պալատի կողմից: Պալատի այն վճիռները, որոնք սույն թարմացումը հրապարակելու պահին դեռևս օրինական ուժի մեջ չեն մտել, նշագրված են աստղանիշով (*)։</w:t>
      </w:r>
    </w:p>
  </w:footnote>
  <w:footnote w:id="2">
    <w:p w14:paraId="2F74D383" w14:textId="7918368C" w:rsidR="001C797A" w:rsidRPr="00535B4D" w:rsidRDefault="001C797A" w:rsidP="00A90E2A">
      <w:pPr>
        <w:pStyle w:val="FootnoteText"/>
        <w:rPr>
          <w:rFonts w:ascii="Times New Roman" w:hAnsi="Times New Roman" w:cs="Times New Roman"/>
          <w:lang w:val="af-ZA"/>
        </w:rPr>
      </w:pPr>
      <w:r w:rsidRPr="009B16E9">
        <w:rPr>
          <w:rStyle w:val="FootnoteReference"/>
          <w:rFonts w:ascii="Times New Roman" w:hAnsi="Times New Roman" w:cs="Times New Roman"/>
          <w:vertAlign w:val="baseline"/>
        </w:rPr>
        <w:footnoteRef/>
      </w:r>
      <w:r w:rsidRPr="00535B4D">
        <w:rPr>
          <w:rFonts w:ascii="Times New Roman" w:hAnsi="Times New Roman" w:cs="Times New Roman"/>
          <w:lang w:val="af-ZA"/>
        </w:rPr>
        <w:t>.  </w:t>
      </w:r>
      <w:r w:rsidR="00850360" w:rsidRPr="009B16E9">
        <w:rPr>
          <w:rFonts w:ascii="Times New Roman" w:hAnsi="Times New Roman" w:cs="Times New Roman"/>
        </w:rPr>
        <w:t>Տե՛ս</w:t>
      </w:r>
      <w:r w:rsidRPr="00535B4D">
        <w:rPr>
          <w:rFonts w:ascii="Times New Roman" w:hAnsi="Times New Roman" w:cs="Times New Roman"/>
          <w:lang w:val="af-ZA"/>
        </w:rPr>
        <w:t xml:space="preserve"> </w:t>
      </w:r>
      <w:hyperlink r:id="rId1" w:history="1">
        <w:r w:rsidR="00850360" w:rsidRPr="00535B4D">
          <w:rPr>
            <w:rStyle w:val="Hyperlink"/>
            <w:rFonts w:ascii="Times New Roman" w:hAnsi="Times New Roman" w:cs="Times New Roman"/>
            <w:lang w:val="af-ZA"/>
          </w:rPr>
          <w:t>9-</w:t>
        </w:r>
        <w:r w:rsidR="00850360" w:rsidRPr="009B16E9">
          <w:rPr>
            <w:rStyle w:val="Hyperlink"/>
            <w:rFonts w:ascii="Times New Roman" w:hAnsi="Times New Roman" w:cs="Times New Roman"/>
          </w:rPr>
          <w:t>րդ</w:t>
        </w:r>
        <w:r w:rsidR="00850360" w:rsidRPr="00535B4D">
          <w:rPr>
            <w:rStyle w:val="Hyperlink"/>
            <w:rFonts w:ascii="Times New Roman" w:hAnsi="Times New Roman" w:cs="Times New Roman"/>
            <w:lang w:val="af-ZA"/>
          </w:rPr>
          <w:t xml:space="preserve"> </w:t>
        </w:r>
        <w:r w:rsidR="00850360" w:rsidRPr="009B16E9">
          <w:rPr>
            <w:rStyle w:val="Hyperlink"/>
            <w:rFonts w:ascii="Times New Roman" w:hAnsi="Times New Roman" w:cs="Times New Roman"/>
          </w:rPr>
          <w:t>հոդվածի</w:t>
        </w:r>
        <w:r w:rsidR="00850360" w:rsidRPr="00535B4D">
          <w:rPr>
            <w:rStyle w:val="Hyperlink"/>
            <w:rFonts w:ascii="Times New Roman" w:hAnsi="Times New Roman" w:cs="Times New Roman"/>
            <w:lang w:val="af-ZA"/>
          </w:rPr>
          <w:t xml:space="preserve"> </w:t>
        </w:r>
        <w:r w:rsidR="00850360" w:rsidRPr="009B16E9">
          <w:rPr>
            <w:rStyle w:val="Hyperlink"/>
            <w:rFonts w:ascii="Times New Roman" w:hAnsi="Times New Roman" w:cs="Times New Roman"/>
          </w:rPr>
          <w:t>վերաբերյալ</w:t>
        </w:r>
        <w:r w:rsidR="00850360" w:rsidRPr="00535B4D">
          <w:rPr>
            <w:rStyle w:val="Hyperlink"/>
            <w:rFonts w:ascii="Times New Roman" w:hAnsi="Times New Roman" w:cs="Times New Roman"/>
            <w:lang w:val="af-ZA"/>
          </w:rPr>
          <w:t xml:space="preserve"> </w:t>
        </w:r>
        <w:r w:rsidR="00850360" w:rsidRPr="009B16E9">
          <w:rPr>
            <w:rStyle w:val="Hyperlink"/>
            <w:rFonts w:ascii="Times New Roman" w:hAnsi="Times New Roman" w:cs="Times New Roman"/>
          </w:rPr>
          <w:t>ուղեցույցը</w:t>
        </w:r>
        <w:r w:rsidR="00850360" w:rsidRPr="00535B4D">
          <w:rPr>
            <w:rStyle w:val="Hyperlink"/>
            <w:rFonts w:ascii="Times New Roman" w:hAnsi="Times New Roman" w:cs="Times New Roman"/>
            <w:lang w:val="af-ZA"/>
          </w:rPr>
          <w:t xml:space="preserve">. </w:t>
        </w:r>
        <w:r w:rsidR="00850360" w:rsidRPr="009B16E9">
          <w:rPr>
            <w:rStyle w:val="Hyperlink"/>
            <w:rFonts w:ascii="Times New Roman" w:hAnsi="Times New Roman" w:cs="Times New Roman"/>
          </w:rPr>
          <w:t>Կրոնի</w:t>
        </w:r>
        <w:r w:rsidR="00850360" w:rsidRPr="00535B4D">
          <w:rPr>
            <w:rStyle w:val="Hyperlink"/>
            <w:rFonts w:ascii="Times New Roman" w:hAnsi="Times New Roman" w:cs="Times New Roman"/>
            <w:lang w:val="af-ZA"/>
          </w:rPr>
          <w:t xml:space="preserve"> </w:t>
        </w:r>
        <w:r w:rsidR="00850360" w:rsidRPr="009B16E9">
          <w:rPr>
            <w:rStyle w:val="Hyperlink"/>
            <w:rFonts w:ascii="Times New Roman" w:hAnsi="Times New Roman" w:cs="Times New Roman"/>
          </w:rPr>
          <w:t>ազատություն</w:t>
        </w:r>
      </w:hyperlink>
      <w:r w:rsidRPr="00535B4D">
        <w:rPr>
          <w:rFonts w:ascii="Times New Roman" w:hAnsi="Times New Roman" w:cs="Times New Roman"/>
          <w:lang w:val="af-ZA"/>
        </w:rPr>
        <w:t xml:space="preserve">, </w:t>
      </w:r>
      <w:r w:rsidR="00850360" w:rsidRPr="009B16E9">
        <w:rPr>
          <w:rFonts w:ascii="Times New Roman" w:hAnsi="Times New Roman" w:cs="Times New Roman"/>
        </w:rPr>
        <w:t>բաժին</w:t>
      </w:r>
      <w:r w:rsidRPr="00535B4D">
        <w:rPr>
          <w:rFonts w:ascii="Times New Roman" w:hAnsi="Times New Roman" w:cs="Times New Roman"/>
          <w:lang w:val="af-ZA"/>
        </w:rPr>
        <w:t xml:space="preserve"> I.E</w:t>
      </w:r>
    </w:p>
  </w:footnote>
  <w:footnote w:id="3">
    <w:p w14:paraId="3AB7BFA2" w14:textId="42E52437" w:rsidR="001C797A" w:rsidRPr="00535B4D" w:rsidRDefault="001C797A" w:rsidP="00A90E2A">
      <w:pPr>
        <w:pStyle w:val="FootnoteText"/>
        <w:rPr>
          <w:rFonts w:ascii="Times New Roman" w:hAnsi="Times New Roman" w:cs="Times New Roman"/>
          <w:lang w:val="af-ZA"/>
        </w:rPr>
      </w:pPr>
      <w:r w:rsidRPr="009B16E9">
        <w:rPr>
          <w:rStyle w:val="FootnoteReference"/>
          <w:rFonts w:ascii="Times New Roman" w:hAnsi="Times New Roman" w:cs="Times New Roman"/>
          <w:vertAlign w:val="baseline"/>
        </w:rPr>
        <w:footnoteRef/>
      </w:r>
      <w:r w:rsidRPr="00535B4D">
        <w:rPr>
          <w:rFonts w:ascii="Times New Roman" w:hAnsi="Times New Roman" w:cs="Times New Roman"/>
          <w:lang w:val="af-ZA"/>
        </w:rPr>
        <w:t>.  </w:t>
      </w:r>
      <w:r w:rsidR="009B16E9">
        <w:rPr>
          <w:rFonts w:ascii="Times New Roman" w:hAnsi="Times New Roman" w:cs="Times New Roman"/>
        </w:rPr>
        <w:t>Տե՛ս</w:t>
      </w:r>
      <w:r w:rsidR="009B16E9" w:rsidRPr="00535B4D">
        <w:rPr>
          <w:rFonts w:ascii="Times New Roman" w:hAnsi="Times New Roman" w:cs="Times New Roman"/>
          <w:lang w:val="af-ZA"/>
        </w:rPr>
        <w:t xml:space="preserve"> </w:t>
      </w:r>
      <w:r w:rsidR="009B16E9">
        <w:rPr>
          <w:rFonts w:ascii="Times New Roman" w:hAnsi="Times New Roman" w:cs="Times New Roman"/>
        </w:rPr>
        <w:t>նաև</w:t>
      </w:r>
      <w:r w:rsidRPr="00535B4D">
        <w:rPr>
          <w:rFonts w:ascii="Times New Roman" w:hAnsi="Times New Roman" w:cs="Times New Roman"/>
          <w:lang w:val="af-ZA"/>
        </w:rPr>
        <w:t xml:space="preserve"> </w:t>
      </w:r>
      <w:hyperlink r:id="rId2" w:history="1">
        <w:r w:rsidRPr="00535B4D">
          <w:rPr>
            <w:rStyle w:val="Hyperlink"/>
            <w:rFonts w:ascii="Times New Roman" w:hAnsi="Times New Roman" w:cs="Times New Roman"/>
            <w:lang w:val="af-ZA"/>
          </w:rPr>
          <w:t>Guide on Mass Protests</w:t>
        </w:r>
      </w:hyperlink>
      <w:r w:rsidRPr="00535B4D">
        <w:rPr>
          <w:rFonts w:ascii="Times New Roman" w:hAnsi="Times New Roman" w:cs="Times New Roman"/>
          <w:lang w:val="af-ZA"/>
        </w:rPr>
        <w:t xml:space="preserve">, </w:t>
      </w:r>
      <w:r w:rsidR="009B16E9">
        <w:rPr>
          <w:rFonts w:ascii="Times New Roman" w:hAnsi="Times New Roman" w:cs="Times New Roman"/>
        </w:rPr>
        <w:t>բաժին</w:t>
      </w:r>
      <w:r w:rsidRPr="00535B4D">
        <w:rPr>
          <w:rFonts w:ascii="Times New Roman" w:hAnsi="Times New Roman" w:cs="Times New Roman"/>
          <w:lang w:val="af-ZA"/>
        </w:rPr>
        <w:t xml:space="preserve"> II.A</w:t>
      </w:r>
    </w:p>
  </w:footnote>
  <w:footnote w:id="4">
    <w:p w14:paraId="2FE30F19" w14:textId="10349E81" w:rsidR="001C797A" w:rsidRPr="009B16E9" w:rsidRDefault="001C797A" w:rsidP="00A90E2A">
      <w:pPr>
        <w:pStyle w:val="FootnoteText"/>
        <w:rPr>
          <w:rFonts w:ascii="Times New Roman" w:hAnsi="Times New Roman" w:cs="Times New Roman"/>
        </w:rPr>
      </w:pPr>
      <w:r w:rsidRPr="009B16E9">
        <w:rPr>
          <w:rFonts w:ascii="Times New Roman" w:hAnsi="Times New Roman" w:cs="Times New Roman"/>
        </w:rPr>
        <w:footnoteRef/>
      </w:r>
      <w:r w:rsidRPr="009B16E9">
        <w:rPr>
          <w:rFonts w:ascii="Times New Roman" w:hAnsi="Times New Roman" w:cs="Times New Roman"/>
        </w:rPr>
        <w:t>.  </w:t>
      </w:r>
      <w:r w:rsidR="00923DE1">
        <w:rPr>
          <w:rFonts w:ascii="Times New Roman" w:hAnsi="Times New Roman" w:cs="Times New Roman"/>
        </w:rPr>
        <w:t>Տե՛ս</w:t>
      </w:r>
      <w:r w:rsidRPr="009B16E9">
        <w:rPr>
          <w:rFonts w:ascii="Times New Roman" w:hAnsi="Times New Roman" w:cs="Times New Roman"/>
        </w:rPr>
        <w:t xml:space="preserve"> </w:t>
      </w:r>
      <w:hyperlink r:id="rId3" w:history="1">
        <w:r w:rsidRPr="009B16E9">
          <w:rPr>
            <w:rStyle w:val="Hyperlink"/>
            <w:rFonts w:ascii="Times New Roman" w:hAnsi="Times New Roman" w:cs="Times New Roman"/>
          </w:rPr>
          <w:t>Guide on Article 18 – Limitation on use of restrictions on rights</w:t>
        </w:r>
      </w:hyperlink>
      <w:r w:rsidRPr="009B16E9">
        <w:rPr>
          <w:rFonts w:ascii="Times New Roman" w:hAnsi="Times New Roman" w:cs="Times New Roman"/>
        </w:rPr>
        <w:t>.</w:t>
      </w:r>
    </w:p>
  </w:footnote>
  <w:footnote w:id="5">
    <w:p w14:paraId="34C70900" w14:textId="4197E7DE" w:rsidR="001C797A" w:rsidRPr="009B16E9" w:rsidRDefault="001C797A" w:rsidP="00A90E2A">
      <w:pPr>
        <w:pStyle w:val="FootnoteText"/>
        <w:rPr>
          <w:rFonts w:ascii="Times New Roman" w:hAnsi="Times New Roman" w:cs="Times New Roman"/>
        </w:rPr>
      </w:pPr>
      <w:r w:rsidRPr="009B16E9">
        <w:rPr>
          <w:rStyle w:val="FootnoteReference"/>
          <w:rFonts w:ascii="Times New Roman" w:hAnsi="Times New Roman" w:cs="Times New Roman"/>
          <w:vertAlign w:val="baseline"/>
        </w:rPr>
        <w:footnoteRef/>
      </w:r>
      <w:r w:rsidRPr="009B16E9">
        <w:rPr>
          <w:rFonts w:ascii="Times New Roman" w:hAnsi="Times New Roman" w:cs="Times New Roman"/>
        </w:rPr>
        <w:t>.  </w:t>
      </w:r>
      <w:r w:rsidR="006141FF">
        <w:rPr>
          <w:rFonts w:ascii="Times New Roman" w:hAnsi="Times New Roman" w:cs="Times New Roman"/>
        </w:rPr>
        <w:t>Տե՛ս</w:t>
      </w:r>
      <w:r w:rsidRPr="009B16E9">
        <w:rPr>
          <w:rFonts w:ascii="Times New Roman" w:hAnsi="Times New Roman" w:cs="Times New Roman"/>
        </w:rPr>
        <w:t xml:space="preserve"> </w:t>
      </w:r>
      <w:hyperlink r:id="rId4" w:history="1">
        <w:r w:rsidRPr="009B16E9">
          <w:rPr>
            <w:rStyle w:val="Hyperlink"/>
            <w:rFonts w:ascii="Times New Roman" w:hAnsi="Times New Roman" w:cs="Times New Roman"/>
          </w:rPr>
          <w:t>Guide on Mass Protests</w:t>
        </w:r>
      </w:hyperlink>
      <w:r w:rsidRPr="009B16E9">
        <w:rPr>
          <w:rFonts w:ascii="Times New Roman" w:hAnsi="Times New Roman" w:cs="Times New Roman"/>
        </w:rPr>
        <w:t xml:space="preserve">, Sections IV.B </w:t>
      </w:r>
      <w:r w:rsidR="006141FF">
        <w:rPr>
          <w:rFonts w:ascii="Times New Roman" w:hAnsi="Times New Roman" w:cs="Times New Roman"/>
        </w:rPr>
        <w:t>և</w:t>
      </w:r>
      <w:r w:rsidRPr="009B16E9">
        <w:rPr>
          <w:rFonts w:ascii="Times New Roman" w:hAnsi="Times New Roman" w:cs="Times New Roman"/>
        </w:rPr>
        <w:t xml:space="preserve"> IV.C</w:t>
      </w:r>
      <w:r w:rsidR="006141FF">
        <w:rPr>
          <w:rFonts w:ascii="Times New Roman" w:hAnsi="Times New Roman" w:cs="Times New Roman"/>
        </w:rPr>
        <w:t>, որոնք առնչվում են 3-րդ հոդվածով սահմանված նյութական իրավունքին և վերաբերելի դատավարական պարտավորությանը:</w:t>
      </w:r>
    </w:p>
  </w:footnote>
  <w:footnote w:id="6">
    <w:p w14:paraId="52B11373" w14:textId="437C6301" w:rsidR="001C797A" w:rsidRPr="009B16E9" w:rsidRDefault="001C797A" w:rsidP="00A90E2A">
      <w:pPr>
        <w:pStyle w:val="FootnoteText"/>
        <w:rPr>
          <w:rFonts w:ascii="Times New Roman" w:hAnsi="Times New Roman" w:cs="Times New Roman"/>
        </w:rPr>
      </w:pPr>
      <w:r w:rsidRPr="009B16E9">
        <w:rPr>
          <w:rFonts w:ascii="Times New Roman" w:hAnsi="Times New Roman" w:cs="Times New Roman"/>
        </w:rPr>
        <w:footnoteRef/>
      </w:r>
      <w:r w:rsidRPr="009B16E9">
        <w:rPr>
          <w:rFonts w:ascii="Times New Roman" w:hAnsi="Times New Roman" w:cs="Times New Roman"/>
        </w:rPr>
        <w:t>.  </w:t>
      </w:r>
      <w:r w:rsidR="00197B91">
        <w:rPr>
          <w:rFonts w:ascii="Times New Roman" w:hAnsi="Times New Roman" w:cs="Times New Roman"/>
        </w:rPr>
        <w:t>Կրոնական միավորումների ճանաչման, գրանցման և լուծարման մանրամասն վերլուծության համար տե՛ս</w:t>
      </w:r>
      <w:r w:rsidRPr="009B16E9">
        <w:rPr>
          <w:rFonts w:ascii="Times New Roman" w:hAnsi="Times New Roman" w:cs="Times New Roman"/>
        </w:rPr>
        <w:t xml:space="preserve"> </w:t>
      </w:r>
      <w:hyperlink r:id="rId5" w:history="1">
        <w:r w:rsidRPr="009B16E9">
          <w:rPr>
            <w:rStyle w:val="Hyperlink"/>
            <w:rFonts w:ascii="Times New Roman" w:hAnsi="Times New Roman" w:cs="Times New Roman"/>
          </w:rPr>
          <w:t>Guide on Article 9 of the Convention</w:t>
        </w:r>
      </w:hyperlink>
      <w:r w:rsidR="00197B91">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9FB5" w14:textId="77777777" w:rsidR="001C797A" w:rsidRPr="00923E23" w:rsidRDefault="001C797A" w:rsidP="00757E39">
    <w:pPr>
      <w:pStyle w:val="ECHRHeader"/>
    </w:pPr>
    <w:r w:rsidRPr="00923E23">
      <w:t>Guide on Article 4 – Prohibition of Slavery and Forced Labour – 4</w:t>
    </w:r>
    <w:r w:rsidRPr="00923E23">
      <w:rPr>
        <w:vertAlign w:val="superscript"/>
      </w:rPr>
      <w:t>th</w:t>
    </w:r>
    <w:r w:rsidRPr="00923E23">
      <w:t xml:space="preserve"> edition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1075" w14:textId="0210B9A4" w:rsidR="001C797A" w:rsidRPr="001B2612" w:rsidRDefault="001B2612" w:rsidP="0010490A">
    <w:pPr>
      <w:pStyle w:val="ECHRHeader"/>
      <w:rPr>
        <w:lang w:val="hy-AM"/>
      </w:rPr>
    </w:pPr>
    <w:r w:rsidRPr="001B2612">
      <w:t xml:space="preserve">Կոնվենցիայի </w:t>
    </w:r>
    <w:r>
      <w:t>11</w:t>
    </w:r>
    <w:r w:rsidRPr="001B2612">
      <w:t>-րդ հոդվածի վերաբերյալ ուղեցույց</w:t>
    </w:r>
    <w:r>
      <w:t xml:space="preserve">. </w:t>
    </w:r>
    <w:r>
      <w:rPr>
        <w:lang w:val="hy-AM"/>
      </w:rPr>
      <w:t>Հավաքների և միավորման ազատություն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47BA" w14:textId="77777777" w:rsidR="001C797A" w:rsidRPr="00C00F0F" w:rsidRDefault="001C797A" w:rsidP="00D01D37">
    <w:pPr>
      <w:pStyle w:val="ECHRTitleCentre1"/>
      <w:rPr>
        <w:sz w:val="4"/>
        <w:szCs w:val="4"/>
      </w:rPr>
    </w:pPr>
    <w:r w:rsidRPr="00D01D37">
      <w:rPr>
        <w:sz w:val="4"/>
        <w:szCs w:val="4"/>
        <w:lang w:val="en-US"/>
      </w:rPr>
      <w:drawing>
        <wp:inline distT="0" distB="0" distL="0" distR="0" wp14:anchorId="188B84B4" wp14:editId="3B6E99AD">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A027413" w14:textId="77777777" w:rsidR="001C797A" w:rsidRPr="00923E23" w:rsidRDefault="001C797A" w:rsidP="00E255CC">
    <w:pPr>
      <w:pStyle w:val="ECHRTitleCentr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30FA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8A7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1A68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AA2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5A4D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6A35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0A5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0C3F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22BE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CCA3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8D47DE"/>
    <w:multiLevelType w:val="multilevel"/>
    <w:tmpl w:val="8012C870"/>
    <w:lvl w:ilvl="0">
      <w:start w:val="1"/>
      <w:numFmt w:val="decimal"/>
      <w:pStyle w:val="ECHRList"/>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16B5801"/>
    <w:multiLevelType w:val="multilevel"/>
    <w:tmpl w:val="B7B05C00"/>
    <w:lvl w:ilvl="0">
      <w:start w:val="1"/>
      <w:numFmt w:val="upperRoman"/>
      <w:pStyle w:val="ECHRHeading1"/>
      <w:suff w:val="nothing"/>
      <w:lvlText w:val="%1.  "/>
      <w:lvlJc w:val="left"/>
      <w:pPr>
        <w:ind w:left="340" w:hanging="340"/>
      </w:pPr>
      <w:rPr>
        <w:rFonts w:hint="default"/>
      </w:rPr>
    </w:lvl>
    <w:lvl w:ilvl="1">
      <w:start w:val="1"/>
      <w:numFmt w:val="upperLetter"/>
      <w:pStyle w:val="ECHRHeading2"/>
      <w:suff w:val="nothing"/>
      <w:lvlText w:val="%2.  "/>
      <w:lvlJc w:val="left"/>
      <w:pPr>
        <w:ind w:left="397" w:hanging="397"/>
      </w:pPr>
      <w:rPr>
        <w:rFonts w:hint="default"/>
      </w:rPr>
    </w:lvl>
    <w:lvl w:ilvl="2">
      <w:start w:val="1"/>
      <w:numFmt w:val="decimal"/>
      <w:pStyle w:val="ECHRHeading3"/>
      <w:suff w:val="nothing"/>
      <w:lvlText w:val="%3.  "/>
      <w:lvlJc w:val="left"/>
      <w:pPr>
        <w:ind w:left="340" w:hanging="340"/>
      </w:pPr>
      <w:rPr>
        <w:rFonts w:hint="default"/>
        <w:sz w:val="28"/>
        <w:szCs w:val="28"/>
      </w:rPr>
    </w:lvl>
    <w:lvl w:ilvl="3">
      <w:start w:val="1"/>
      <w:numFmt w:val="lowerLetter"/>
      <w:pStyle w:val="ECHRHeading4"/>
      <w:suff w:val="nothing"/>
      <w:lvlText w:val="%4.  "/>
      <w:lvlJc w:val="left"/>
      <w:pPr>
        <w:ind w:left="340" w:hanging="340"/>
      </w:pPr>
      <w:rPr>
        <w:rFonts w:hint="default"/>
      </w:rPr>
    </w:lvl>
    <w:lvl w:ilvl="4">
      <w:start w:val="1"/>
      <w:numFmt w:val="lowerRoman"/>
      <w:pStyle w:val="ECHRHeading5"/>
      <w:suff w:val="nothing"/>
      <w:lvlText w:val="%5.  "/>
      <w:lvlJc w:val="left"/>
      <w:pPr>
        <w:ind w:left="227" w:hanging="227"/>
      </w:pPr>
      <w:rPr>
        <w:rFonts w:hint="default"/>
      </w:rPr>
    </w:lvl>
    <w:lvl w:ilvl="5">
      <w:start w:val="1"/>
      <w:numFmt w:val="lowerLetter"/>
      <w:pStyle w:val="ECHRHeading6"/>
      <w:suff w:val="nothing"/>
      <w:lvlText w:val="%6  "/>
      <w:lvlJc w:val="left"/>
      <w:pPr>
        <w:ind w:left="284" w:hanging="284"/>
      </w:pPr>
      <w:rPr>
        <w:rFonts w:ascii="Symbol" w:hAnsi="Symbol" w:hint="default"/>
      </w:rPr>
    </w:lvl>
    <w:lvl w:ilvl="6">
      <w:start w:val="1"/>
      <w:numFmt w:val="bullet"/>
      <w:pStyle w:val="ECHRHeading7"/>
      <w:suff w:val="space"/>
      <w:lvlText w:val=""/>
      <w:lvlJc w:val="left"/>
      <w:pPr>
        <w:ind w:left="170" w:hanging="170"/>
      </w:pPr>
      <w:rPr>
        <w:rFonts w:ascii="Wingdings" w:hAnsi="Wingdings" w:hint="default"/>
        <w:color w:val="474747" w:themeColor="accent5" w:themeShade="BF"/>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3"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num w:numId="1" w16cid:durableId="538205522">
    <w:abstractNumId w:val="12"/>
  </w:num>
  <w:num w:numId="2" w16cid:durableId="462310974">
    <w:abstractNumId w:val="13"/>
  </w:num>
  <w:num w:numId="3" w16cid:durableId="1840385185">
    <w:abstractNumId w:val="12"/>
  </w:num>
  <w:num w:numId="4" w16cid:durableId="1485465391">
    <w:abstractNumId w:val="11"/>
  </w:num>
  <w:num w:numId="5" w16cid:durableId="561867795">
    <w:abstractNumId w:val="10"/>
  </w:num>
  <w:num w:numId="6" w16cid:durableId="1144279172">
    <w:abstractNumId w:val="13"/>
  </w:num>
  <w:num w:numId="7" w16cid:durableId="291054753">
    <w:abstractNumId w:val="12"/>
  </w:num>
  <w:num w:numId="8" w16cid:durableId="1986541885">
    <w:abstractNumId w:val="13"/>
  </w:num>
  <w:num w:numId="9" w16cid:durableId="870800051">
    <w:abstractNumId w:val="12"/>
  </w:num>
  <w:num w:numId="10" w16cid:durableId="573786265">
    <w:abstractNumId w:val="12"/>
  </w:num>
  <w:num w:numId="11" w16cid:durableId="2044212814">
    <w:abstractNumId w:val="12"/>
  </w:num>
  <w:num w:numId="12" w16cid:durableId="121312567">
    <w:abstractNumId w:val="12"/>
  </w:num>
  <w:num w:numId="13" w16cid:durableId="1138571382">
    <w:abstractNumId w:val="11"/>
  </w:num>
  <w:num w:numId="14" w16cid:durableId="471871420">
    <w:abstractNumId w:val="11"/>
  </w:num>
  <w:num w:numId="15" w16cid:durableId="1612087222">
    <w:abstractNumId w:val="11"/>
  </w:num>
  <w:num w:numId="16" w16cid:durableId="2105103409">
    <w:abstractNumId w:val="11"/>
  </w:num>
  <w:num w:numId="17" w16cid:durableId="527833490">
    <w:abstractNumId w:val="11"/>
  </w:num>
  <w:num w:numId="18" w16cid:durableId="1892886164">
    <w:abstractNumId w:val="11"/>
  </w:num>
  <w:num w:numId="19" w16cid:durableId="356348640">
    <w:abstractNumId w:val="11"/>
  </w:num>
  <w:num w:numId="20" w16cid:durableId="1734499818">
    <w:abstractNumId w:val="10"/>
  </w:num>
  <w:num w:numId="21" w16cid:durableId="1652758479">
    <w:abstractNumId w:val="13"/>
  </w:num>
  <w:num w:numId="22" w16cid:durableId="1768424472">
    <w:abstractNumId w:val="13"/>
  </w:num>
  <w:num w:numId="23" w16cid:durableId="1743136501">
    <w:abstractNumId w:val="13"/>
  </w:num>
  <w:num w:numId="24" w16cid:durableId="2140295459">
    <w:abstractNumId w:val="12"/>
  </w:num>
  <w:num w:numId="25" w16cid:durableId="1592008054">
    <w:abstractNumId w:val="13"/>
  </w:num>
  <w:num w:numId="26" w16cid:durableId="118954932">
    <w:abstractNumId w:val="12"/>
  </w:num>
  <w:num w:numId="27" w16cid:durableId="1234463343">
    <w:abstractNumId w:val="12"/>
  </w:num>
  <w:num w:numId="28" w16cid:durableId="41171884">
    <w:abstractNumId w:val="12"/>
  </w:num>
  <w:num w:numId="29" w16cid:durableId="1526480856">
    <w:abstractNumId w:val="12"/>
  </w:num>
  <w:num w:numId="30" w16cid:durableId="320239093">
    <w:abstractNumId w:val="11"/>
  </w:num>
  <w:num w:numId="31" w16cid:durableId="488443738">
    <w:abstractNumId w:val="11"/>
  </w:num>
  <w:num w:numId="32" w16cid:durableId="694429587">
    <w:abstractNumId w:val="11"/>
  </w:num>
  <w:num w:numId="33" w16cid:durableId="815410688">
    <w:abstractNumId w:val="11"/>
  </w:num>
  <w:num w:numId="34" w16cid:durableId="1525482976">
    <w:abstractNumId w:val="11"/>
  </w:num>
  <w:num w:numId="35" w16cid:durableId="1015687532">
    <w:abstractNumId w:val="11"/>
  </w:num>
  <w:num w:numId="36" w16cid:durableId="1588076571">
    <w:abstractNumId w:val="11"/>
  </w:num>
  <w:num w:numId="37" w16cid:durableId="441457971">
    <w:abstractNumId w:val="10"/>
  </w:num>
  <w:num w:numId="38" w16cid:durableId="1883521705">
    <w:abstractNumId w:val="13"/>
  </w:num>
  <w:num w:numId="39" w16cid:durableId="1073360204">
    <w:abstractNumId w:val="13"/>
  </w:num>
  <w:num w:numId="40" w16cid:durableId="1845196163">
    <w:abstractNumId w:val="13"/>
  </w:num>
  <w:num w:numId="41" w16cid:durableId="185871564">
    <w:abstractNumId w:val="9"/>
  </w:num>
  <w:num w:numId="42" w16cid:durableId="1148665979">
    <w:abstractNumId w:val="7"/>
  </w:num>
  <w:num w:numId="43" w16cid:durableId="609894375">
    <w:abstractNumId w:val="6"/>
  </w:num>
  <w:num w:numId="44" w16cid:durableId="1490361088">
    <w:abstractNumId w:val="5"/>
  </w:num>
  <w:num w:numId="45" w16cid:durableId="2141459744">
    <w:abstractNumId w:val="4"/>
  </w:num>
  <w:num w:numId="46" w16cid:durableId="690036163">
    <w:abstractNumId w:val="8"/>
  </w:num>
  <w:num w:numId="47" w16cid:durableId="2055811175">
    <w:abstractNumId w:val="3"/>
  </w:num>
  <w:num w:numId="48" w16cid:durableId="1351447639">
    <w:abstractNumId w:val="2"/>
  </w:num>
  <w:num w:numId="49" w16cid:durableId="1053623884">
    <w:abstractNumId w:val="1"/>
  </w:num>
  <w:num w:numId="50" w16cid:durableId="1727335564">
    <w:abstractNumId w:val="0"/>
  </w:num>
  <w:num w:numId="51" w16cid:durableId="443736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62881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600248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053610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82435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821573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displayBackgroundShape/>
  <w:proofState w:spelling="clean" w:grammar="clean"/>
  <w:stylePaneFormatFilter w:val="9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1"/>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37"/>
    <w:rsid w:val="00002BA1"/>
    <w:rsid w:val="00002C08"/>
    <w:rsid w:val="00003F90"/>
    <w:rsid w:val="00004208"/>
    <w:rsid w:val="000042A8"/>
    <w:rsid w:val="00004308"/>
    <w:rsid w:val="00005707"/>
    <w:rsid w:val="00005BF0"/>
    <w:rsid w:val="000064A6"/>
    <w:rsid w:val="00007154"/>
    <w:rsid w:val="000072ED"/>
    <w:rsid w:val="000077AD"/>
    <w:rsid w:val="000103AE"/>
    <w:rsid w:val="00010F54"/>
    <w:rsid w:val="00011D69"/>
    <w:rsid w:val="00012AD3"/>
    <w:rsid w:val="00014539"/>
    <w:rsid w:val="00015C14"/>
    <w:rsid w:val="00015C2D"/>
    <w:rsid w:val="00015F00"/>
    <w:rsid w:val="0001687E"/>
    <w:rsid w:val="0001731F"/>
    <w:rsid w:val="00017CF1"/>
    <w:rsid w:val="0002018C"/>
    <w:rsid w:val="00021516"/>
    <w:rsid w:val="00021539"/>
    <w:rsid w:val="000217DF"/>
    <w:rsid w:val="00021B93"/>
    <w:rsid w:val="000222C7"/>
    <w:rsid w:val="00022C1D"/>
    <w:rsid w:val="0002437F"/>
    <w:rsid w:val="00024866"/>
    <w:rsid w:val="0002501A"/>
    <w:rsid w:val="00025308"/>
    <w:rsid w:val="00027AB3"/>
    <w:rsid w:val="00027D4B"/>
    <w:rsid w:val="000303C5"/>
    <w:rsid w:val="00030A3B"/>
    <w:rsid w:val="00031672"/>
    <w:rsid w:val="000334B1"/>
    <w:rsid w:val="000334D7"/>
    <w:rsid w:val="00033B1B"/>
    <w:rsid w:val="00033E9E"/>
    <w:rsid w:val="00034489"/>
    <w:rsid w:val="00034987"/>
    <w:rsid w:val="00034A8D"/>
    <w:rsid w:val="00034D5A"/>
    <w:rsid w:val="0003506A"/>
    <w:rsid w:val="00036665"/>
    <w:rsid w:val="00037660"/>
    <w:rsid w:val="000400DB"/>
    <w:rsid w:val="00040D93"/>
    <w:rsid w:val="000416F3"/>
    <w:rsid w:val="00043C88"/>
    <w:rsid w:val="00043E19"/>
    <w:rsid w:val="00044DB3"/>
    <w:rsid w:val="00045E66"/>
    <w:rsid w:val="00046F85"/>
    <w:rsid w:val="0005027A"/>
    <w:rsid w:val="00051AF2"/>
    <w:rsid w:val="00051B54"/>
    <w:rsid w:val="00052186"/>
    <w:rsid w:val="000528DE"/>
    <w:rsid w:val="00053150"/>
    <w:rsid w:val="000537D6"/>
    <w:rsid w:val="000602DF"/>
    <w:rsid w:val="00061A89"/>
    <w:rsid w:val="00061B05"/>
    <w:rsid w:val="0006319A"/>
    <w:rsid w:val="000632D5"/>
    <w:rsid w:val="000644EE"/>
    <w:rsid w:val="000659A0"/>
    <w:rsid w:val="00065DE1"/>
    <w:rsid w:val="00067438"/>
    <w:rsid w:val="0006774E"/>
    <w:rsid w:val="00070A20"/>
    <w:rsid w:val="00070AD7"/>
    <w:rsid w:val="00070DEC"/>
    <w:rsid w:val="00071826"/>
    <w:rsid w:val="0007221E"/>
    <w:rsid w:val="0007368A"/>
    <w:rsid w:val="00074419"/>
    <w:rsid w:val="00074B5A"/>
    <w:rsid w:val="00074E81"/>
    <w:rsid w:val="0007666E"/>
    <w:rsid w:val="00080031"/>
    <w:rsid w:val="00080A39"/>
    <w:rsid w:val="00081DAD"/>
    <w:rsid w:val="00082A0D"/>
    <w:rsid w:val="00083291"/>
    <w:rsid w:val="00083342"/>
    <w:rsid w:val="00083F05"/>
    <w:rsid w:val="00085BB0"/>
    <w:rsid w:val="00085F3D"/>
    <w:rsid w:val="000861D2"/>
    <w:rsid w:val="00087810"/>
    <w:rsid w:val="00087971"/>
    <w:rsid w:val="00090106"/>
    <w:rsid w:val="00090D2B"/>
    <w:rsid w:val="000924FB"/>
    <w:rsid w:val="000925AD"/>
    <w:rsid w:val="00092D90"/>
    <w:rsid w:val="00093025"/>
    <w:rsid w:val="000933FB"/>
    <w:rsid w:val="00093577"/>
    <w:rsid w:val="000936E2"/>
    <w:rsid w:val="000950DC"/>
    <w:rsid w:val="00095D6F"/>
    <w:rsid w:val="00096925"/>
    <w:rsid w:val="0009782A"/>
    <w:rsid w:val="000A1A77"/>
    <w:rsid w:val="000A2013"/>
    <w:rsid w:val="000A2359"/>
    <w:rsid w:val="000A24EB"/>
    <w:rsid w:val="000A256B"/>
    <w:rsid w:val="000A38A8"/>
    <w:rsid w:val="000A47EC"/>
    <w:rsid w:val="000A5BCC"/>
    <w:rsid w:val="000A6038"/>
    <w:rsid w:val="000B1BA0"/>
    <w:rsid w:val="000B24E4"/>
    <w:rsid w:val="000B2B3E"/>
    <w:rsid w:val="000B3926"/>
    <w:rsid w:val="000B405A"/>
    <w:rsid w:val="000B58ED"/>
    <w:rsid w:val="000B5B48"/>
    <w:rsid w:val="000B6923"/>
    <w:rsid w:val="000B72DE"/>
    <w:rsid w:val="000B78A4"/>
    <w:rsid w:val="000C1915"/>
    <w:rsid w:val="000C3020"/>
    <w:rsid w:val="000C3F3C"/>
    <w:rsid w:val="000C41E3"/>
    <w:rsid w:val="000C5F3C"/>
    <w:rsid w:val="000C6C2D"/>
    <w:rsid w:val="000C6DCC"/>
    <w:rsid w:val="000C7A73"/>
    <w:rsid w:val="000D0AB1"/>
    <w:rsid w:val="000D1484"/>
    <w:rsid w:val="000D186A"/>
    <w:rsid w:val="000D205B"/>
    <w:rsid w:val="000D2D55"/>
    <w:rsid w:val="000D3A0D"/>
    <w:rsid w:val="000D4440"/>
    <w:rsid w:val="000D47AA"/>
    <w:rsid w:val="000D48F8"/>
    <w:rsid w:val="000D4A31"/>
    <w:rsid w:val="000D5601"/>
    <w:rsid w:val="000D5CCA"/>
    <w:rsid w:val="000D721F"/>
    <w:rsid w:val="000D7979"/>
    <w:rsid w:val="000D7F2E"/>
    <w:rsid w:val="000E069B"/>
    <w:rsid w:val="000E0E82"/>
    <w:rsid w:val="000E13D5"/>
    <w:rsid w:val="000E1C5D"/>
    <w:rsid w:val="000E1DC5"/>
    <w:rsid w:val="000E223F"/>
    <w:rsid w:val="000E2498"/>
    <w:rsid w:val="000E24F9"/>
    <w:rsid w:val="000E3E48"/>
    <w:rsid w:val="000E4014"/>
    <w:rsid w:val="000E4083"/>
    <w:rsid w:val="000E5456"/>
    <w:rsid w:val="000E589D"/>
    <w:rsid w:val="000E60C7"/>
    <w:rsid w:val="000E7D45"/>
    <w:rsid w:val="000F2678"/>
    <w:rsid w:val="000F2C70"/>
    <w:rsid w:val="000F37D9"/>
    <w:rsid w:val="000F7851"/>
    <w:rsid w:val="000F7913"/>
    <w:rsid w:val="00102C10"/>
    <w:rsid w:val="00102C83"/>
    <w:rsid w:val="001047A0"/>
    <w:rsid w:val="0010490A"/>
    <w:rsid w:val="00104E23"/>
    <w:rsid w:val="0010507C"/>
    <w:rsid w:val="00105571"/>
    <w:rsid w:val="001057FF"/>
    <w:rsid w:val="00105B76"/>
    <w:rsid w:val="0010645C"/>
    <w:rsid w:val="0010719E"/>
    <w:rsid w:val="0010788F"/>
    <w:rsid w:val="00110A9E"/>
    <w:rsid w:val="00110C87"/>
    <w:rsid w:val="00110E38"/>
    <w:rsid w:val="001118F9"/>
    <w:rsid w:val="00111B0C"/>
    <w:rsid w:val="00112C6A"/>
    <w:rsid w:val="001148BF"/>
    <w:rsid w:val="00115CFC"/>
    <w:rsid w:val="00117629"/>
    <w:rsid w:val="00120AA3"/>
    <w:rsid w:val="00120D6C"/>
    <w:rsid w:val="001224F7"/>
    <w:rsid w:val="00122CF1"/>
    <w:rsid w:val="001248FB"/>
    <w:rsid w:val="001250BA"/>
    <w:rsid w:val="00125404"/>
    <w:rsid w:val="001257EC"/>
    <w:rsid w:val="00125A85"/>
    <w:rsid w:val="0012626F"/>
    <w:rsid w:val="001262C7"/>
    <w:rsid w:val="00126C7D"/>
    <w:rsid w:val="00126DEF"/>
    <w:rsid w:val="00126E21"/>
    <w:rsid w:val="001313BE"/>
    <w:rsid w:val="00132718"/>
    <w:rsid w:val="001327F6"/>
    <w:rsid w:val="0013388D"/>
    <w:rsid w:val="0013397C"/>
    <w:rsid w:val="00133D33"/>
    <w:rsid w:val="00134154"/>
    <w:rsid w:val="00134D64"/>
    <w:rsid w:val="00134FBE"/>
    <w:rsid w:val="00135A30"/>
    <w:rsid w:val="00135B8B"/>
    <w:rsid w:val="0013612C"/>
    <w:rsid w:val="00136C77"/>
    <w:rsid w:val="00136F5B"/>
    <w:rsid w:val="00137FF6"/>
    <w:rsid w:val="0014001A"/>
    <w:rsid w:val="0014026F"/>
    <w:rsid w:val="0014072D"/>
    <w:rsid w:val="00141612"/>
    <w:rsid w:val="00141650"/>
    <w:rsid w:val="00142DE2"/>
    <w:rsid w:val="00144D67"/>
    <w:rsid w:val="0014642D"/>
    <w:rsid w:val="00146C36"/>
    <w:rsid w:val="00146D45"/>
    <w:rsid w:val="00150954"/>
    <w:rsid w:val="001527B4"/>
    <w:rsid w:val="001533D4"/>
    <w:rsid w:val="00153421"/>
    <w:rsid w:val="001538C7"/>
    <w:rsid w:val="001541A5"/>
    <w:rsid w:val="00154F8C"/>
    <w:rsid w:val="00155814"/>
    <w:rsid w:val="00157124"/>
    <w:rsid w:val="0016062D"/>
    <w:rsid w:val="00160D95"/>
    <w:rsid w:val="00162A12"/>
    <w:rsid w:val="001646A4"/>
    <w:rsid w:val="00164D38"/>
    <w:rsid w:val="001663C1"/>
    <w:rsid w:val="00166530"/>
    <w:rsid w:val="00171B97"/>
    <w:rsid w:val="001730E1"/>
    <w:rsid w:val="00173337"/>
    <w:rsid w:val="00173F7F"/>
    <w:rsid w:val="00173F8F"/>
    <w:rsid w:val="00174A4D"/>
    <w:rsid w:val="00174B68"/>
    <w:rsid w:val="00174ED0"/>
    <w:rsid w:val="00175C88"/>
    <w:rsid w:val="001769AA"/>
    <w:rsid w:val="00176B00"/>
    <w:rsid w:val="00176F7C"/>
    <w:rsid w:val="001772F8"/>
    <w:rsid w:val="001779F9"/>
    <w:rsid w:val="001821E6"/>
    <w:rsid w:val="001827E4"/>
    <w:rsid w:val="001832BD"/>
    <w:rsid w:val="00184020"/>
    <w:rsid w:val="00184326"/>
    <w:rsid w:val="00184B1D"/>
    <w:rsid w:val="00185849"/>
    <w:rsid w:val="00185B27"/>
    <w:rsid w:val="001877E6"/>
    <w:rsid w:val="00187867"/>
    <w:rsid w:val="0019088C"/>
    <w:rsid w:val="00191352"/>
    <w:rsid w:val="001922C1"/>
    <w:rsid w:val="00192672"/>
    <w:rsid w:val="00193701"/>
    <w:rsid w:val="001943B5"/>
    <w:rsid w:val="00195134"/>
    <w:rsid w:val="00197366"/>
    <w:rsid w:val="001975EB"/>
    <w:rsid w:val="00197B91"/>
    <w:rsid w:val="001A0D43"/>
    <w:rsid w:val="001A145B"/>
    <w:rsid w:val="001A1615"/>
    <w:rsid w:val="001A198C"/>
    <w:rsid w:val="001A1CD5"/>
    <w:rsid w:val="001A3FA7"/>
    <w:rsid w:val="001A5330"/>
    <w:rsid w:val="001A5962"/>
    <w:rsid w:val="001A5C2E"/>
    <w:rsid w:val="001A674C"/>
    <w:rsid w:val="001A6940"/>
    <w:rsid w:val="001B04CE"/>
    <w:rsid w:val="001B0D18"/>
    <w:rsid w:val="001B2612"/>
    <w:rsid w:val="001B276F"/>
    <w:rsid w:val="001B2975"/>
    <w:rsid w:val="001B2B5E"/>
    <w:rsid w:val="001B2DE1"/>
    <w:rsid w:val="001B33DF"/>
    <w:rsid w:val="001B3B24"/>
    <w:rsid w:val="001B3B96"/>
    <w:rsid w:val="001B6DBF"/>
    <w:rsid w:val="001C0DDE"/>
    <w:rsid w:val="001C0F98"/>
    <w:rsid w:val="001C14D1"/>
    <w:rsid w:val="001C277B"/>
    <w:rsid w:val="001C28B6"/>
    <w:rsid w:val="001C2A42"/>
    <w:rsid w:val="001C2D4A"/>
    <w:rsid w:val="001C6A7B"/>
    <w:rsid w:val="001C6F00"/>
    <w:rsid w:val="001C74C8"/>
    <w:rsid w:val="001C7697"/>
    <w:rsid w:val="001C797A"/>
    <w:rsid w:val="001D02B7"/>
    <w:rsid w:val="001D055A"/>
    <w:rsid w:val="001D0C82"/>
    <w:rsid w:val="001D11C9"/>
    <w:rsid w:val="001D305F"/>
    <w:rsid w:val="001D63ED"/>
    <w:rsid w:val="001D6DB7"/>
    <w:rsid w:val="001D7348"/>
    <w:rsid w:val="001D74D0"/>
    <w:rsid w:val="001D7A69"/>
    <w:rsid w:val="001E035B"/>
    <w:rsid w:val="001E0961"/>
    <w:rsid w:val="001E0AEF"/>
    <w:rsid w:val="001E11EE"/>
    <w:rsid w:val="001E15A5"/>
    <w:rsid w:val="001E1620"/>
    <w:rsid w:val="001E21F4"/>
    <w:rsid w:val="001E2A65"/>
    <w:rsid w:val="001E2B25"/>
    <w:rsid w:val="001E3149"/>
    <w:rsid w:val="001E36F2"/>
    <w:rsid w:val="001E3E53"/>
    <w:rsid w:val="001E3EAE"/>
    <w:rsid w:val="001E3F98"/>
    <w:rsid w:val="001E4DA5"/>
    <w:rsid w:val="001E598F"/>
    <w:rsid w:val="001E59F8"/>
    <w:rsid w:val="001E6090"/>
    <w:rsid w:val="001E6789"/>
    <w:rsid w:val="001E6F32"/>
    <w:rsid w:val="001E6F9B"/>
    <w:rsid w:val="001E7B39"/>
    <w:rsid w:val="001F032F"/>
    <w:rsid w:val="001F2145"/>
    <w:rsid w:val="001F244C"/>
    <w:rsid w:val="001F35F9"/>
    <w:rsid w:val="001F46BC"/>
    <w:rsid w:val="001F49A8"/>
    <w:rsid w:val="001F6262"/>
    <w:rsid w:val="001F6583"/>
    <w:rsid w:val="001F67B0"/>
    <w:rsid w:val="001F71CC"/>
    <w:rsid w:val="001F7B3D"/>
    <w:rsid w:val="00200146"/>
    <w:rsid w:val="00200A80"/>
    <w:rsid w:val="00201B4A"/>
    <w:rsid w:val="002039BF"/>
    <w:rsid w:val="0020552A"/>
    <w:rsid w:val="00205539"/>
    <w:rsid w:val="0020587B"/>
    <w:rsid w:val="00205F9F"/>
    <w:rsid w:val="00206897"/>
    <w:rsid w:val="00206C6B"/>
    <w:rsid w:val="00206DC8"/>
    <w:rsid w:val="00207480"/>
    <w:rsid w:val="002102DA"/>
    <w:rsid w:val="00210338"/>
    <w:rsid w:val="002107F8"/>
    <w:rsid w:val="002115FC"/>
    <w:rsid w:val="00212022"/>
    <w:rsid w:val="00212EBB"/>
    <w:rsid w:val="00214E80"/>
    <w:rsid w:val="00214F39"/>
    <w:rsid w:val="00216DBC"/>
    <w:rsid w:val="00217603"/>
    <w:rsid w:val="002214AD"/>
    <w:rsid w:val="00223EC7"/>
    <w:rsid w:val="00224017"/>
    <w:rsid w:val="002265D1"/>
    <w:rsid w:val="002267C8"/>
    <w:rsid w:val="00226AD8"/>
    <w:rsid w:val="00230D00"/>
    <w:rsid w:val="00231DF7"/>
    <w:rsid w:val="00231E51"/>
    <w:rsid w:val="00231FD1"/>
    <w:rsid w:val="00233CF8"/>
    <w:rsid w:val="00233F5F"/>
    <w:rsid w:val="002341E1"/>
    <w:rsid w:val="00234ABC"/>
    <w:rsid w:val="0023575D"/>
    <w:rsid w:val="0023590B"/>
    <w:rsid w:val="00235B72"/>
    <w:rsid w:val="002360ED"/>
    <w:rsid w:val="00237148"/>
    <w:rsid w:val="00240CB4"/>
    <w:rsid w:val="00241173"/>
    <w:rsid w:val="0024222D"/>
    <w:rsid w:val="00242E4E"/>
    <w:rsid w:val="0024302F"/>
    <w:rsid w:val="002435F1"/>
    <w:rsid w:val="0024393F"/>
    <w:rsid w:val="00243DDC"/>
    <w:rsid w:val="00244B0E"/>
    <w:rsid w:val="00244F6C"/>
    <w:rsid w:val="00245514"/>
    <w:rsid w:val="00245563"/>
    <w:rsid w:val="0024570F"/>
    <w:rsid w:val="0024694E"/>
    <w:rsid w:val="002470BD"/>
    <w:rsid w:val="00250D6A"/>
    <w:rsid w:val="00251DF2"/>
    <w:rsid w:val="0025225B"/>
    <w:rsid w:val="00252ED7"/>
    <w:rsid w:val="00253067"/>
    <w:rsid w:val="002532C5"/>
    <w:rsid w:val="00254C0A"/>
    <w:rsid w:val="002554C5"/>
    <w:rsid w:val="00256263"/>
    <w:rsid w:val="00256A30"/>
    <w:rsid w:val="00257765"/>
    <w:rsid w:val="002608D9"/>
    <w:rsid w:val="00260C03"/>
    <w:rsid w:val="00261064"/>
    <w:rsid w:val="00261218"/>
    <w:rsid w:val="00262A5C"/>
    <w:rsid w:val="00262E0D"/>
    <w:rsid w:val="002637D9"/>
    <w:rsid w:val="0026540E"/>
    <w:rsid w:val="002666E2"/>
    <w:rsid w:val="00267676"/>
    <w:rsid w:val="00267A1F"/>
    <w:rsid w:val="00267C7E"/>
    <w:rsid w:val="00270211"/>
    <w:rsid w:val="002708FD"/>
    <w:rsid w:val="00272934"/>
    <w:rsid w:val="00272DE0"/>
    <w:rsid w:val="00273C0F"/>
    <w:rsid w:val="00273DB8"/>
    <w:rsid w:val="00273F15"/>
    <w:rsid w:val="00274064"/>
    <w:rsid w:val="00274397"/>
    <w:rsid w:val="0027480F"/>
    <w:rsid w:val="00274CA9"/>
    <w:rsid w:val="002750F4"/>
    <w:rsid w:val="00275123"/>
    <w:rsid w:val="0027611C"/>
    <w:rsid w:val="002762F8"/>
    <w:rsid w:val="00277407"/>
    <w:rsid w:val="002801F1"/>
    <w:rsid w:val="00282240"/>
    <w:rsid w:val="0028313A"/>
    <w:rsid w:val="0028378B"/>
    <w:rsid w:val="00284565"/>
    <w:rsid w:val="002852FD"/>
    <w:rsid w:val="002866CC"/>
    <w:rsid w:val="00286DBE"/>
    <w:rsid w:val="00287046"/>
    <w:rsid w:val="002903DE"/>
    <w:rsid w:val="002906D3"/>
    <w:rsid w:val="00290FC7"/>
    <w:rsid w:val="002910D4"/>
    <w:rsid w:val="00292C56"/>
    <w:rsid w:val="0029363B"/>
    <w:rsid w:val="0029369F"/>
    <w:rsid w:val="00293F86"/>
    <w:rsid w:val="00294237"/>
    <w:rsid w:val="002948AD"/>
    <w:rsid w:val="002948EC"/>
    <w:rsid w:val="00294E4C"/>
    <w:rsid w:val="0029509E"/>
    <w:rsid w:val="00297FB5"/>
    <w:rsid w:val="002A000B"/>
    <w:rsid w:val="002A01CC"/>
    <w:rsid w:val="002A27A6"/>
    <w:rsid w:val="002A27D6"/>
    <w:rsid w:val="002A2A2E"/>
    <w:rsid w:val="002A3689"/>
    <w:rsid w:val="002A44DD"/>
    <w:rsid w:val="002A53F1"/>
    <w:rsid w:val="002A54E2"/>
    <w:rsid w:val="002A61B1"/>
    <w:rsid w:val="002A663C"/>
    <w:rsid w:val="002A66FC"/>
    <w:rsid w:val="002B05F8"/>
    <w:rsid w:val="002B08F3"/>
    <w:rsid w:val="002B0A0A"/>
    <w:rsid w:val="002B2552"/>
    <w:rsid w:val="002B2B36"/>
    <w:rsid w:val="002B444B"/>
    <w:rsid w:val="002B5280"/>
    <w:rsid w:val="002B583F"/>
    <w:rsid w:val="002B5887"/>
    <w:rsid w:val="002B5DB9"/>
    <w:rsid w:val="002C0C50"/>
    <w:rsid w:val="002C0E27"/>
    <w:rsid w:val="002C1045"/>
    <w:rsid w:val="002C1E14"/>
    <w:rsid w:val="002C20EC"/>
    <w:rsid w:val="002C2927"/>
    <w:rsid w:val="002C3040"/>
    <w:rsid w:val="002C30DA"/>
    <w:rsid w:val="002C3273"/>
    <w:rsid w:val="002C3496"/>
    <w:rsid w:val="002C365A"/>
    <w:rsid w:val="002C39F8"/>
    <w:rsid w:val="002C470F"/>
    <w:rsid w:val="002C64F3"/>
    <w:rsid w:val="002C65C8"/>
    <w:rsid w:val="002C7004"/>
    <w:rsid w:val="002C7DDE"/>
    <w:rsid w:val="002C7FC2"/>
    <w:rsid w:val="002D022D"/>
    <w:rsid w:val="002D141A"/>
    <w:rsid w:val="002D162B"/>
    <w:rsid w:val="002D1C54"/>
    <w:rsid w:val="002D42B6"/>
    <w:rsid w:val="002D4812"/>
    <w:rsid w:val="002D59B1"/>
    <w:rsid w:val="002D5AAE"/>
    <w:rsid w:val="002D7E59"/>
    <w:rsid w:val="002E1308"/>
    <w:rsid w:val="002E1818"/>
    <w:rsid w:val="002E412C"/>
    <w:rsid w:val="002E5D96"/>
    <w:rsid w:val="002E60EF"/>
    <w:rsid w:val="002E6621"/>
    <w:rsid w:val="002E665D"/>
    <w:rsid w:val="002E798C"/>
    <w:rsid w:val="002F0016"/>
    <w:rsid w:val="002F0F86"/>
    <w:rsid w:val="002F16F8"/>
    <w:rsid w:val="002F2AF7"/>
    <w:rsid w:val="002F32C2"/>
    <w:rsid w:val="002F339B"/>
    <w:rsid w:val="002F3B23"/>
    <w:rsid w:val="002F40DF"/>
    <w:rsid w:val="002F42FB"/>
    <w:rsid w:val="002F5C1D"/>
    <w:rsid w:val="002F63FE"/>
    <w:rsid w:val="002F666B"/>
    <w:rsid w:val="002F6A28"/>
    <w:rsid w:val="002F7E1C"/>
    <w:rsid w:val="002F7F41"/>
    <w:rsid w:val="00301A75"/>
    <w:rsid w:val="00302F70"/>
    <w:rsid w:val="0030336F"/>
    <w:rsid w:val="0030375E"/>
    <w:rsid w:val="00303840"/>
    <w:rsid w:val="00304FB9"/>
    <w:rsid w:val="003055FD"/>
    <w:rsid w:val="003060A6"/>
    <w:rsid w:val="003063AE"/>
    <w:rsid w:val="00307F87"/>
    <w:rsid w:val="003101FB"/>
    <w:rsid w:val="003116E5"/>
    <w:rsid w:val="003120FF"/>
    <w:rsid w:val="00312A30"/>
    <w:rsid w:val="00312B28"/>
    <w:rsid w:val="00314385"/>
    <w:rsid w:val="00314DAD"/>
    <w:rsid w:val="00315177"/>
    <w:rsid w:val="003158B1"/>
    <w:rsid w:val="00315E0D"/>
    <w:rsid w:val="00315F36"/>
    <w:rsid w:val="00317629"/>
    <w:rsid w:val="00320CC8"/>
    <w:rsid w:val="00320F72"/>
    <w:rsid w:val="003219F7"/>
    <w:rsid w:val="0032463E"/>
    <w:rsid w:val="00324658"/>
    <w:rsid w:val="003253C5"/>
    <w:rsid w:val="00325711"/>
    <w:rsid w:val="00326224"/>
    <w:rsid w:val="00327CAC"/>
    <w:rsid w:val="00330D65"/>
    <w:rsid w:val="003319CE"/>
    <w:rsid w:val="00333313"/>
    <w:rsid w:val="0033404D"/>
    <w:rsid w:val="00334487"/>
    <w:rsid w:val="00334F2E"/>
    <w:rsid w:val="003359AD"/>
    <w:rsid w:val="00336B19"/>
    <w:rsid w:val="00336C1A"/>
    <w:rsid w:val="00337B36"/>
    <w:rsid w:val="00337EE4"/>
    <w:rsid w:val="00340B04"/>
    <w:rsid w:val="00340F30"/>
    <w:rsid w:val="00340FFD"/>
    <w:rsid w:val="0034172E"/>
    <w:rsid w:val="00341A92"/>
    <w:rsid w:val="00342165"/>
    <w:rsid w:val="003428FD"/>
    <w:rsid w:val="003432B8"/>
    <w:rsid w:val="003447AC"/>
    <w:rsid w:val="0034551D"/>
    <w:rsid w:val="00347862"/>
    <w:rsid w:val="003506B1"/>
    <w:rsid w:val="00350A01"/>
    <w:rsid w:val="00350BD4"/>
    <w:rsid w:val="00350DB2"/>
    <w:rsid w:val="003527B5"/>
    <w:rsid w:val="00353716"/>
    <w:rsid w:val="00356574"/>
    <w:rsid w:val="003565F3"/>
    <w:rsid w:val="00356AC7"/>
    <w:rsid w:val="00360008"/>
    <w:rsid w:val="003609FA"/>
    <w:rsid w:val="0036127C"/>
    <w:rsid w:val="0036347B"/>
    <w:rsid w:val="00364CBA"/>
    <w:rsid w:val="00366504"/>
    <w:rsid w:val="0036651F"/>
    <w:rsid w:val="00367133"/>
    <w:rsid w:val="00367255"/>
    <w:rsid w:val="003710C8"/>
    <w:rsid w:val="003716E6"/>
    <w:rsid w:val="003718F3"/>
    <w:rsid w:val="00371BFF"/>
    <w:rsid w:val="003739D7"/>
    <w:rsid w:val="00373EDE"/>
    <w:rsid w:val="00374957"/>
    <w:rsid w:val="003750BE"/>
    <w:rsid w:val="003761F3"/>
    <w:rsid w:val="00376FF2"/>
    <w:rsid w:val="003775EB"/>
    <w:rsid w:val="00381928"/>
    <w:rsid w:val="00382768"/>
    <w:rsid w:val="0038384F"/>
    <w:rsid w:val="003864EA"/>
    <w:rsid w:val="00386A42"/>
    <w:rsid w:val="00387B9D"/>
    <w:rsid w:val="0039065B"/>
    <w:rsid w:val="00390C13"/>
    <w:rsid w:val="003931FC"/>
    <w:rsid w:val="0039364F"/>
    <w:rsid w:val="00395611"/>
    <w:rsid w:val="003959E3"/>
    <w:rsid w:val="00395D9D"/>
    <w:rsid w:val="00396686"/>
    <w:rsid w:val="0039778E"/>
    <w:rsid w:val="003A16B7"/>
    <w:rsid w:val="003A4449"/>
    <w:rsid w:val="003A4744"/>
    <w:rsid w:val="003A58A2"/>
    <w:rsid w:val="003A5C68"/>
    <w:rsid w:val="003A6774"/>
    <w:rsid w:val="003B0883"/>
    <w:rsid w:val="003B2A49"/>
    <w:rsid w:val="003B319F"/>
    <w:rsid w:val="003B4073"/>
    <w:rsid w:val="003B46F5"/>
    <w:rsid w:val="003B4941"/>
    <w:rsid w:val="003B58BD"/>
    <w:rsid w:val="003B5D34"/>
    <w:rsid w:val="003B5E66"/>
    <w:rsid w:val="003B745E"/>
    <w:rsid w:val="003B797D"/>
    <w:rsid w:val="003C0F56"/>
    <w:rsid w:val="003C1606"/>
    <w:rsid w:val="003C2E48"/>
    <w:rsid w:val="003C2EE8"/>
    <w:rsid w:val="003C2EF4"/>
    <w:rsid w:val="003C35A4"/>
    <w:rsid w:val="003C365D"/>
    <w:rsid w:val="003C3720"/>
    <w:rsid w:val="003C401D"/>
    <w:rsid w:val="003C493B"/>
    <w:rsid w:val="003C4F49"/>
    <w:rsid w:val="003C55D4"/>
    <w:rsid w:val="003C5714"/>
    <w:rsid w:val="003C58CC"/>
    <w:rsid w:val="003C5E34"/>
    <w:rsid w:val="003C673B"/>
    <w:rsid w:val="003C6B9F"/>
    <w:rsid w:val="003C6E2A"/>
    <w:rsid w:val="003C6E57"/>
    <w:rsid w:val="003C704B"/>
    <w:rsid w:val="003D0299"/>
    <w:rsid w:val="003D07F2"/>
    <w:rsid w:val="003D4020"/>
    <w:rsid w:val="003D55C9"/>
    <w:rsid w:val="003D7151"/>
    <w:rsid w:val="003E05EA"/>
    <w:rsid w:val="003E0647"/>
    <w:rsid w:val="003E1C03"/>
    <w:rsid w:val="003E28B2"/>
    <w:rsid w:val="003E36C2"/>
    <w:rsid w:val="003E5A17"/>
    <w:rsid w:val="003E6D5D"/>
    <w:rsid w:val="003E7BF8"/>
    <w:rsid w:val="003F05FA"/>
    <w:rsid w:val="003F1A4E"/>
    <w:rsid w:val="003F1F1D"/>
    <w:rsid w:val="003F23F1"/>
    <w:rsid w:val="003F244A"/>
    <w:rsid w:val="003F30B8"/>
    <w:rsid w:val="003F385B"/>
    <w:rsid w:val="003F3872"/>
    <w:rsid w:val="003F407B"/>
    <w:rsid w:val="003F4C45"/>
    <w:rsid w:val="003F5F7B"/>
    <w:rsid w:val="003F62B9"/>
    <w:rsid w:val="003F7A5C"/>
    <w:rsid w:val="003F7D64"/>
    <w:rsid w:val="00401396"/>
    <w:rsid w:val="00401439"/>
    <w:rsid w:val="00401935"/>
    <w:rsid w:val="00402348"/>
    <w:rsid w:val="004039A9"/>
    <w:rsid w:val="004056BD"/>
    <w:rsid w:val="004060F0"/>
    <w:rsid w:val="00407656"/>
    <w:rsid w:val="00411DBB"/>
    <w:rsid w:val="00411F37"/>
    <w:rsid w:val="004130CE"/>
    <w:rsid w:val="004130F9"/>
    <w:rsid w:val="00413747"/>
    <w:rsid w:val="00414300"/>
    <w:rsid w:val="004145CA"/>
    <w:rsid w:val="0041668D"/>
    <w:rsid w:val="00416828"/>
    <w:rsid w:val="00416C7C"/>
    <w:rsid w:val="004170AF"/>
    <w:rsid w:val="004171AF"/>
    <w:rsid w:val="0042097E"/>
    <w:rsid w:val="00421C6C"/>
    <w:rsid w:val="00421E01"/>
    <w:rsid w:val="00422571"/>
    <w:rsid w:val="00422B7C"/>
    <w:rsid w:val="00423DD8"/>
    <w:rsid w:val="00424C74"/>
    <w:rsid w:val="00425A3F"/>
    <w:rsid w:val="00425C67"/>
    <w:rsid w:val="00426640"/>
    <w:rsid w:val="00426CC9"/>
    <w:rsid w:val="004277F0"/>
    <w:rsid w:val="00427E7A"/>
    <w:rsid w:val="004302DF"/>
    <w:rsid w:val="004302F1"/>
    <w:rsid w:val="00430C0C"/>
    <w:rsid w:val="00431080"/>
    <w:rsid w:val="00432333"/>
    <w:rsid w:val="00433135"/>
    <w:rsid w:val="00433F0C"/>
    <w:rsid w:val="00434165"/>
    <w:rsid w:val="004346DB"/>
    <w:rsid w:val="00436C49"/>
    <w:rsid w:val="00437ED2"/>
    <w:rsid w:val="00440264"/>
    <w:rsid w:val="0044096E"/>
    <w:rsid w:val="0044103D"/>
    <w:rsid w:val="00442543"/>
    <w:rsid w:val="00442811"/>
    <w:rsid w:val="00443DFB"/>
    <w:rsid w:val="0044516F"/>
    <w:rsid w:val="0044517C"/>
    <w:rsid w:val="0044763F"/>
    <w:rsid w:val="00447C10"/>
    <w:rsid w:val="00447F5B"/>
    <w:rsid w:val="00451D94"/>
    <w:rsid w:val="00452613"/>
    <w:rsid w:val="00452E21"/>
    <w:rsid w:val="00455269"/>
    <w:rsid w:val="00455F9C"/>
    <w:rsid w:val="00457FE3"/>
    <w:rsid w:val="004603E3"/>
    <w:rsid w:val="00460F56"/>
    <w:rsid w:val="00461032"/>
    <w:rsid w:val="0046112E"/>
    <w:rsid w:val="00461DB0"/>
    <w:rsid w:val="0046229F"/>
    <w:rsid w:val="00462629"/>
    <w:rsid w:val="0046283B"/>
    <w:rsid w:val="004629C3"/>
    <w:rsid w:val="00463926"/>
    <w:rsid w:val="00464C9A"/>
    <w:rsid w:val="00465114"/>
    <w:rsid w:val="004656CD"/>
    <w:rsid w:val="004669F4"/>
    <w:rsid w:val="00467DC4"/>
    <w:rsid w:val="004706AA"/>
    <w:rsid w:val="004707ED"/>
    <w:rsid w:val="00470AD7"/>
    <w:rsid w:val="004714B5"/>
    <w:rsid w:val="00471FB4"/>
    <w:rsid w:val="004720E0"/>
    <w:rsid w:val="00472483"/>
    <w:rsid w:val="00472E35"/>
    <w:rsid w:val="0047343C"/>
    <w:rsid w:val="004736CE"/>
    <w:rsid w:val="004744CB"/>
    <w:rsid w:val="004745DD"/>
    <w:rsid w:val="00474F3D"/>
    <w:rsid w:val="00475057"/>
    <w:rsid w:val="00475631"/>
    <w:rsid w:val="00475C3E"/>
    <w:rsid w:val="00476E6B"/>
    <w:rsid w:val="00477C1A"/>
    <w:rsid w:val="00477E3A"/>
    <w:rsid w:val="004803CD"/>
    <w:rsid w:val="00480E62"/>
    <w:rsid w:val="00481003"/>
    <w:rsid w:val="004814F3"/>
    <w:rsid w:val="00482D74"/>
    <w:rsid w:val="00483389"/>
    <w:rsid w:val="00483E5F"/>
    <w:rsid w:val="004841AF"/>
    <w:rsid w:val="004846FB"/>
    <w:rsid w:val="00485A0E"/>
    <w:rsid w:val="00485FF9"/>
    <w:rsid w:val="004861AD"/>
    <w:rsid w:val="00486C1F"/>
    <w:rsid w:val="004872D4"/>
    <w:rsid w:val="004907F0"/>
    <w:rsid w:val="00490980"/>
    <w:rsid w:val="00490B47"/>
    <w:rsid w:val="00490C35"/>
    <w:rsid w:val="004911B9"/>
    <w:rsid w:val="004911DA"/>
    <w:rsid w:val="0049140B"/>
    <w:rsid w:val="004923A5"/>
    <w:rsid w:val="00493049"/>
    <w:rsid w:val="0049355E"/>
    <w:rsid w:val="00494139"/>
    <w:rsid w:val="00494163"/>
    <w:rsid w:val="004943FA"/>
    <w:rsid w:val="00495E3E"/>
    <w:rsid w:val="00496BFB"/>
    <w:rsid w:val="004A0D8B"/>
    <w:rsid w:val="004A15C7"/>
    <w:rsid w:val="004A199C"/>
    <w:rsid w:val="004A3CDB"/>
    <w:rsid w:val="004A3D00"/>
    <w:rsid w:val="004A7368"/>
    <w:rsid w:val="004B013B"/>
    <w:rsid w:val="004B070D"/>
    <w:rsid w:val="004B0F1E"/>
    <w:rsid w:val="004B112B"/>
    <w:rsid w:val="004B115C"/>
    <w:rsid w:val="004B116B"/>
    <w:rsid w:val="004B121F"/>
    <w:rsid w:val="004B275E"/>
    <w:rsid w:val="004B337D"/>
    <w:rsid w:val="004B3A67"/>
    <w:rsid w:val="004B4191"/>
    <w:rsid w:val="004B6DE4"/>
    <w:rsid w:val="004B7099"/>
    <w:rsid w:val="004B745F"/>
    <w:rsid w:val="004C01E4"/>
    <w:rsid w:val="004C086C"/>
    <w:rsid w:val="004C0F72"/>
    <w:rsid w:val="004C1F56"/>
    <w:rsid w:val="004C27BC"/>
    <w:rsid w:val="004C3573"/>
    <w:rsid w:val="004C3581"/>
    <w:rsid w:val="004C3976"/>
    <w:rsid w:val="004C73EF"/>
    <w:rsid w:val="004C779A"/>
    <w:rsid w:val="004D15F3"/>
    <w:rsid w:val="004D302E"/>
    <w:rsid w:val="004D4671"/>
    <w:rsid w:val="004D5311"/>
    <w:rsid w:val="004D5CA3"/>
    <w:rsid w:val="004D5DB2"/>
    <w:rsid w:val="004D5DCC"/>
    <w:rsid w:val="004D6454"/>
    <w:rsid w:val="004D6BBC"/>
    <w:rsid w:val="004D6CC3"/>
    <w:rsid w:val="004D77F5"/>
    <w:rsid w:val="004E2572"/>
    <w:rsid w:val="004E38E6"/>
    <w:rsid w:val="004E5A34"/>
    <w:rsid w:val="004E699A"/>
    <w:rsid w:val="004E6D6E"/>
    <w:rsid w:val="004F10AF"/>
    <w:rsid w:val="004F11A4"/>
    <w:rsid w:val="004F227C"/>
    <w:rsid w:val="004F2389"/>
    <w:rsid w:val="004F304D"/>
    <w:rsid w:val="004F350D"/>
    <w:rsid w:val="004F411C"/>
    <w:rsid w:val="004F5608"/>
    <w:rsid w:val="004F57FA"/>
    <w:rsid w:val="004F61BE"/>
    <w:rsid w:val="004F66B1"/>
    <w:rsid w:val="00500098"/>
    <w:rsid w:val="00501381"/>
    <w:rsid w:val="00501BBC"/>
    <w:rsid w:val="00503189"/>
    <w:rsid w:val="00503BDF"/>
    <w:rsid w:val="00504339"/>
    <w:rsid w:val="005059B0"/>
    <w:rsid w:val="00505E7C"/>
    <w:rsid w:val="00507127"/>
    <w:rsid w:val="00507272"/>
    <w:rsid w:val="00511C07"/>
    <w:rsid w:val="00512585"/>
    <w:rsid w:val="005129C1"/>
    <w:rsid w:val="0051401E"/>
    <w:rsid w:val="0051532E"/>
    <w:rsid w:val="00515458"/>
    <w:rsid w:val="0051591E"/>
    <w:rsid w:val="00516984"/>
    <w:rsid w:val="00516DD2"/>
    <w:rsid w:val="005173A6"/>
    <w:rsid w:val="005177EE"/>
    <w:rsid w:val="00517DFE"/>
    <w:rsid w:val="005205ED"/>
    <w:rsid w:val="00520BAA"/>
    <w:rsid w:val="00522240"/>
    <w:rsid w:val="005224EC"/>
    <w:rsid w:val="005229F0"/>
    <w:rsid w:val="00522FD3"/>
    <w:rsid w:val="00523196"/>
    <w:rsid w:val="005231AB"/>
    <w:rsid w:val="00523420"/>
    <w:rsid w:val="0052420B"/>
    <w:rsid w:val="005244E7"/>
    <w:rsid w:val="00525208"/>
    <w:rsid w:val="005257A5"/>
    <w:rsid w:val="005264C0"/>
    <w:rsid w:val="00526590"/>
    <w:rsid w:val="00526A02"/>
    <w:rsid w:val="00526A8A"/>
    <w:rsid w:val="00527A0D"/>
    <w:rsid w:val="0053122D"/>
    <w:rsid w:val="00531DF2"/>
    <w:rsid w:val="00534B0B"/>
    <w:rsid w:val="00534C9E"/>
    <w:rsid w:val="00535380"/>
    <w:rsid w:val="00535381"/>
    <w:rsid w:val="00535B4D"/>
    <w:rsid w:val="00535E5C"/>
    <w:rsid w:val="005362AB"/>
    <w:rsid w:val="00536BCA"/>
    <w:rsid w:val="00536C50"/>
    <w:rsid w:val="005416BB"/>
    <w:rsid w:val="005419FC"/>
    <w:rsid w:val="00542232"/>
    <w:rsid w:val="005435E6"/>
    <w:rsid w:val="005442EE"/>
    <w:rsid w:val="0054573F"/>
    <w:rsid w:val="00545CDC"/>
    <w:rsid w:val="0054694C"/>
    <w:rsid w:val="00547353"/>
    <w:rsid w:val="005474E7"/>
    <w:rsid w:val="00547AED"/>
    <w:rsid w:val="005512A3"/>
    <w:rsid w:val="00552631"/>
    <w:rsid w:val="0055297D"/>
    <w:rsid w:val="00553126"/>
    <w:rsid w:val="00553278"/>
    <w:rsid w:val="005538D1"/>
    <w:rsid w:val="00553D74"/>
    <w:rsid w:val="00554537"/>
    <w:rsid w:val="0055511A"/>
    <w:rsid w:val="005555F8"/>
    <w:rsid w:val="00555E5A"/>
    <w:rsid w:val="00556834"/>
    <w:rsid w:val="005574F2"/>
    <w:rsid w:val="005578CE"/>
    <w:rsid w:val="00560E88"/>
    <w:rsid w:val="00561009"/>
    <w:rsid w:val="00561D87"/>
    <w:rsid w:val="005625C5"/>
    <w:rsid w:val="00562781"/>
    <w:rsid w:val="005642FE"/>
    <w:rsid w:val="00564A79"/>
    <w:rsid w:val="00565500"/>
    <w:rsid w:val="00566167"/>
    <w:rsid w:val="0056674F"/>
    <w:rsid w:val="00567D60"/>
    <w:rsid w:val="005701C0"/>
    <w:rsid w:val="00570322"/>
    <w:rsid w:val="00572845"/>
    <w:rsid w:val="00572C55"/>
    <w:rsid w:val="0057563E"/>
    <w:rsid w:val="00576181"/>
    <w:rsid w:val="00576721"/>
    <w:rsid w:val="00576775"/>
    <w:rsid w:val="00577B86"/>
    <w:rsid w:val="00580670"/>
    <w:rsid w:val="0058131D"/>
    <w:rsid w:val="00581B22"/>
    <w:rsid w:val="00582B80"/>
    <w:rsid w:val="00582FBE"/>
    <w:rsid w:val="005853D9"/>
    <w:rsid w:val="0058654E"/>
    <w:rsid w:val="00590E8C"/>
    <w:rsid w:val="0059127C"/>
    <w:rsid w:val="005915D7"/>
    <w:rsid w:val="00591EBB"/>
    <w:rsid w:val="005924F0"/>
    <w:rsid w:val="00592772"/>
    <w:rsid w:val="005929E3"/>
    <w:rsid w:val="00593153"/>
    <w:rsid w:val="00593610"/>
    <w:rsid w:val="00593909"/>
    <w:rsid w:val="0059455B"/>
    <w:rsid w:val="00594F9D"/>
    <w:rsid w:val="0059519B"/>
    <w:rsid w:val="0059574A"/>
    <w:rsid w:val="00595A4A"/>
    <w:rsid w:val="005977B2"/>
    <w:rsid w:val="005A0F2F"/>
    <w:rsid w:val="005A1B9B"/>
    <w:rsid w:val="005A3118"/>
    <w:rsid w:val="005A3ACE"/>
    <w:rsid w:val="005A3C48"/>
    <w:rsid w:val="005A5018"/>
    <w:rsid w:val="005A6751"/>
    <w:rsid w:val="005A6A08"/>
    <w:rsid w:val="005A7C40"/>
    <w:rsid w:val="005B092E"/>
    <w:rsid w:val="005B152C"/>
    <w:rsid w:val="005B1EE0"/>
    <w:rsid w:val="005B201D"/>
    <w:rsid w:val="005B2B24"/>
    <w:rsid w:val="005B3047"/>
    <w:rsid w:val="005B31F3"/>
    <w:rsid w:val="005B4425"/>
    <w:rsid w:val="005B4B94"/>
    <w:rsid w:val="005B4E45"/>
    <w:rsid w:val="005B5117"/>
    <w:rsid w:val="005B5694"/>
    <w:rsid w:val="005B608E"/>
    <w:rsid w:val="005B6847"/>
    <w:rsid w:val="005B7C9A"/>
    <w:rsid w:val="005B7CE1"/>
    <w:rsid w:val="005C0CAA"/>
    <w:rsid w:val="005C2582"/>
    <w:rsid w:val="005C3EE8"/>
    <w:rsid w:val="005C4DBB"/>
    <w:rsid w:val="005C64C1"/>
    <w:rsid w:val="005C6B5C"/>
    <w:rsid w:val="005C6B67"/>
    <w:rsid w:val="005C7F7C"/>
    <w:rsid w:val="005D09E3"/>
    <w:rsid w:val="005D16BF"/>
    <w:rsid w:val="005D241C"/>
    <w:rsid w:val="005D33F2"/>
    <w:rsid w:val="005D34F9"/>
    <w:rsid w:val="005D4190"/>
    <w:rsid w:val="005D531A"/>
    <w:rsid w:val="005D5B4E"/>
    <w:rsid w:val="005D67A3"/>
    <w:rsid w:val="005D6A69"/>
    <w:rsid w:val="005D7CE8"/>
    <w:rsid w:val="005E132B"/>
    <w:rsid w:val="005E2301"/>
    <w:rsid w:val="005E252F"/>
    <w:rsid w:val="005E2988"/>
    <w:rsid w:val="005E3085"/>
    <w:rsid w:val="005E4C0C"/>
    <w:rsid w:val="005E4C42"/>
    <w:rsid w:val="005E4FE9"/>
    <w:rsid w:val="005E5A81"/>
    <w:rsid w:val="005E73A9"/>
    <w:rsid w:val="005F02A6"/>
    <w:rsid w:val="005F02BF"/>
    <w:rsid w:val="005F0F5C"/>
    <w:rsid w:val="005F110F"/>
    <w:rsid w:val="005F14A3"/>
    <w:rsid w:val="005F181E"/>
    <w:rsid w:val="005F2539"/>
    <w:rsid w:val="005F42B4"/>
    <w:rsid w:val="005F4E94"/>
    <w:rsid w:val="005F51E1"/>
    <w:rsid w:val="005F682F"/>
    <w:rsid w:val="0060145F"/>
    <w:rsid w:val="006016B3"/>
    <w:rsid w:val="006019EB"/>
    <w:rsid w:val="00601B19"/>
    <w:rsid w:val="00602119"/>
    <w:rsid w:val="006070B9"/>
    <w:rsid w:val="00607281"/>
    <w:rsid w:val="00607738"/>
    <w:rsid w:val="00607D91"/>
    <w:rsid w:val="006108A0"/>
    <w:rsid w:val="00611B22"/>
    <w:rsid w:val="00611C80"/>
    <w:rsid w:val="00613AD2"/>
    <w:rsid w:val="006141FF"/>
    <w:rsid w:val="00614240"/>
    <w:rsid w:val="0061468B"/>
    <w:rsid w:val="00614A20"/>
    <w:rsid w:val="00614D29"/>
    <w:rsid w:val="00615667"/>
    <w:rsid w:val="00615A19"/>
    <w:rsid w:val="006170CE"/>
    <w:rsid w:val="006200BD"/>
    <w:rsid w:val="00620692"/>
    <w:rsid w:val="00620AC8"/>
    <w:rsid w:val="006214CB"/>
    <w:rsid w:val="00622B21"/>
    <w:rsid w:val="006238D9"/>
    <w:rsid w:val="006242CA"/>
    <w:rsid w:val="00624C46"/>
    <w:rsid w:val="00625533"/>
    <w:rsid w:val="00627507"/>
    <w:rsid w:val="006276F5"/>
    <w:rsid w:val="006303C3"/>
    <w:rsid w:val="0063058A"/>
    <w:rsid w:val="00633202"/>
    <w:rsid w:val="00633717"/>
    <w:rsid w:val="006340B8"/>
    <w:rsid w:val="006344E1"/>
    <w:rsid w:val="00634D45"/>
    <w:rsid w:val="00637109"/>
    <w:rsid w:val="006377D6"/>
    <w:rsid w:val="00640AF6"/>
    <w:rsid w:val="00641C61"/>
    <w:rsid w:val="00643BCF"/>
    <w:rsid w:val="00644F1E"/>
    <w:rsid w:val="0065153C"/>
    <w:rsid w:val="00651B89"/>
    <w:rsid w:val="00651CCC"/>
    <w:rsid w:val="00651D37"/>
    <w:rsid w:val="00652032"/>
    <w:rsid w:val="0065309B"/>
    <w:rsid w:val="00653E86"/>
    <w:rsid w:val="00653FF9"/>
    <w:rsid w:val="0065456C"/>
    <w:rsid w:val="006545C4"/>
    <w:rsid w:val="00656F07"/>
    <w:rsid w:val="00657EFC"/>
    <w:rsid w:val="00660E93"/>
    <w:rsid w:val="00661971"/>
    <w:rsid w:val="00661C7C"/>
    <w:rsid w:val="00661CE8"/>
    <w:rsid w:val="006623D9"/>
    <w:rsid w:val="006623ED"/>
    <w:rsid w:val="00663C2E"/>
    <w:rsid w:val="00663F49"/>
    <w:rsid w:val="0066442C"/>
    <w:rsid w:val="0066505C"/>
    <w:rsid w:val="0066550C"/>
    <w:rsid w:val="00666246"/>
    <w:rsid w:val="00667074"/>
    <w:rsid w:val="00667419"/>
    <w:rsid w:val="00667F02"/>
    <w:rsid w:val="0067120B"/>
    <w:rsid w:val="006716F2"/>
    <w:rsid w:val="006719A4"/>
    <w:rsid w:val="006730EC"/>
    <w:rsid w:val="006733FC"/>
    <w:rsid w:val="0067680B"/>
    <w:rsid w:val="0067718A"/>
    <w:rsid w:val="006801E5"/>
    <w:rsid w:val="00680B64"/>
    <w:rsid w:val="0068100E"/>
    <w:rsid w:val="00681EC7"/>
    <w:rsid w:val="00682BF2"/>
    <w:rsid w:val="006843A2"/>
    <w:rsid w:val="00684578"/>
    <w:rsid w:val="006859CE"/>
    <w:rsid w:val="00687C92"/>
    <w:rsid w:val="00690D03"/>
    <w:rsid w:val="00691270"/>
    <w:rsid w:val="0069277B"/>
    <w:rsid w:val="0069284A"/>
    <w:rsid w:val="006928C1"/>
    <w:rsid w:val="00693253"/>
    <w:rsid w:val="006932DD"/>
    <w:rsid w:val="00693BF7"/>
    <w:rsid w:val="00694ABE"/>
    <w:rsid w:val="00694BA8"/>
    <w:rsid w:val="00696142"/>
    <w:rsid w:val="0069638C"/>
    <w:rsid w:val="0069677E"/>
    <w:rsid w:val="00696805"/>
    <w:rsid w:val="006A037C"/>
    <w:rsid w:val="006A36F4"/>
    <w:rsid w:val="006A3F05"/>
    <w:rsid w:val="006A406F"/>
    <w:rsid w:val="006A5211"/>
    <w:rsid w:val="006A540D"/>
    <w:rsid w:val="006A56A4"/>
    <w:rsid w:val="006A5D3A"/>
    <w:rsid w:val="006A6C76"/>
    <w:rsid w:val="006A6E07"/>
    <w:rsid w:val="006A7AD0"/>
    <w:rsid w:val="006B1C1A"/>
    <w:rsid w:val="006B31AE"/>
    <w:rsid w:val="006B44D5"/>
    <w:rsid w:val="006B651A"/>
    <w:rsid w:val="006B6FEB"/>
    <w:rsid w:val="006B76C9"/>
    <w:rsid w:val="006B7EA1"/>
    <w:rsid w:val="006C0AC0"/>
    <w:rsid w:val="006C23D4"/>
    <w:rsid w:val="006C288B"/>
    <w:rsid w:val="006C2A4C"/>
    <w:rsid w:val="006C379B"/>
    <w:rsid w:val="006C4A1B"/>
    <w:rsid w:val="006C5598"/>
    <w:rsid w:val="006C69FA"/>
    <w:rsid w:val="006C6C81"/>
    <w:rsid w:val="006C704E"/>
    <w:rsid w:val="006C7BB0"/>
    <w:rsid w:val="006C7CC9"/>
    <w:rsid w:val="006D2DF2"/>
    <w:rsid w:val="006D3237"/>
    <w:rsid w:val="006D44F8"/>
    <w:rsid w:val="006D6611"/>
    <w:rsid w:val="006D6663"/>
    <w:rsid w:val="006D6FA2"/>
    <w:rsid w:val="006E01BA"/>
    <w:rsid w:val="006E17E3"/>
    <w:rsid w:val="006E18F0"/>
    <w:rsid w:val="006E2416"/>
    <w:rsid w:val="006E262E"/>
    <w:rsid w:val="006E28AB"/>
    <w:rsid w:val="006E2E37"/>
    <w:rsid w:val="006E37B3"/>
    <w:rsid w:val="006E3BDA"/>
    <w:rsid w:val="006E3CF1"/>
    <w:rsid w:val="006E4AB4"/>
    <w:rsid w:val="006E50C1"/>
    <w:rsid w:val="006E5CEA"/>
    <w:rsid w:val="006E5CF6"/>
    <w:rsid w:val="006E6EB7"/>
    <w:rsid w:val="006E7E80"/>
    <w:rsid w:val="006F1502"/>
    <w:rsid w:val="006F3593"/>
    <w:rsid w:val="006F413D"/>
    <w:rsid w:val="006F44D6"/>
    <w:rsid w:val="006F48CA"/>
    <w:rsid w:val="006F5BD0"/>
    <w:rsid w:val="006F5EC7"/>
    <w:rsid w:val="006F64DD"/>
    <w:rsid w:val="006F64EF"/>
    <w:rsid w:val="006F6D8B"/>
    <w:rsid w:val="006F77D0"/>
    <w:rsid w:val="00700ECC"/>
    <w:rsid w:val="007025B2"/>
    <w:rsid w:val="00702982"/>
    <w:rsid w:val="00702C0C"/>
    <w:rsid w:val="0070339E"/>
    <w:rsid w:val="007034F2"/>
    <w:rsid w:val="00704033"/>
    <w:rsid w:val="0070517C"/>
    <w:rsid w:val="0070532A"/>
    <w:rsid w:val="00705669"/>
    <w:rsid w:val="00710E4C"/>
    <w:rsid w:val="00711FF3"/>
    <w:rsid w:val="00713135"/>
    <w:rsid w:val="00714308"/>
    <w:rsid w:val="00714DAE"/>
    <w:rsid w:val="00715127"/>
    <w:rsid w:val="00715CC0"/>
    <w:rsid w:val="00715E8E"/>
    <w:rsid w:val="0071667E"/>
    <w:rsid w:val="00716862"/>
    <w:rsid w:val="00716C26"/>
    <w:rsid w:val="00721295"/>
    <w:rsid w:val="00723580"/>
    <w:rsid w:val="00723755"/>
    <w:rsid w:val="00723C02"/>
    <w:rsid w:val="00724217"/>
    <w:rsid w:val="00725341"/>
    <w:rsid w:val="0072672C"/>
    <w:rsid w:val="00726EA6"/>
    <w:rsid w:val="0072795F"/>
    <w:rsid w:val="0073031C"/>
    <w:rsid w:val="00730881"/>
    <w:rsid w:val="0073136C"/>
    <w:rsid w:val="00731F0F"/>
    <w:rsid w:val="00732048"/>
    <w:rsid w:val="00733250"/>
    <w:rsid w:val="007332D0"/>
    <w:rsid w:val="00735087"/>
    <w:rsid w:val="00735AB2"/>
    <w:rsid w:val="0073652D"/>
    <w:rsid w:val="00737066"/>
    <w:rsid w:val="00741315"/>
    <w:rsid w:val="00741404"/>
    <w:rsid w:val="007416F3"/>
    <w:rsid w:val="00743B82"/>
    <w:rsid w:val="007449E5"/>
    <w:rsid w:val="007478B9"/>
    <w:rsid w:val="00747FF0"/>
    <w:rsid w:val="00750DB8"/>
    <w:rsid w:val="00753C95"/>
    <w:rsid w:val="00754097"/>
    <w:rsid w:val="0075496B"/>
    <w:rsid w:val="00754E01"/>
    <w:rsid w:val="007558DE"/>
    <w:rsid w:val="00755BE6"/>
    <w:rsid w:val="0075679C"/>
    <w:rsid w:val="00757AB1"/>
    <w:rsid w:val="00757D92"/>
    <w:rsid w:val="00757E39"/>
    <w:rsid w:val="007609EF"/>
    <w:rsid w:val="00760F0F"/>
    <w:rsid w:val="00760F8F"/>
    <w:rsid w:val="00761611"/>
    <w:rsid w:val="007628EE"/>
    <w:rsid w:val="00762B61"/>
    <w:rsid w:val="00762F74"/>
    <w:rsid w:val="00763875"/>
    <w:rsid w:val="00763D15"/>
    <w:rsid w:val="00763DEE"/>
    <w:rsid w:val="00763E4B"/>
    <w:rsid w:val="00764D4E"/>
    <w:rsid w:val="00765731"/>
    <w:rsid w:val="00765A1F"/>
    <w:rsid w:val="00767DB8"/>
    <w:rsid w:val="00770CB7"/>
    <w:rsid w:val="00771533"/>
    <w:rsid w:val="00771879"/>
    <w:rsid w:val="00771BBB"/>
    <w:rsid w:val="00775B6D"/>
    <w:rsid w:val="00775FD5"/>
    <w:rsid w:val="00776D68"/>
    <w:rsid w:val="00777CDC"/>
    <w:rsid w:val="00781A19"/>
    <w:rsid w:val="007824AE"/>
    <w:rsid w:val="00782F4B"/>
    <w:rsid w:val="007834B8"/>
    <w:rsid w:val="007850EE"/>
    <w:rsid w:val="00785B95"/>
    <w:rsid w:val="00785CF3"/>
    <w:rsid w:val="007861B9"/>
    <w:rsid w:val="007877DD"/>
    <w:rsid w:val="00787A5A"/>
    <w:rsid w:val="00787B42"/>
    <w:rsid w:val="00787BC6"/>
    <w:rsid w:val="00790E96"/>
    <w:rsid w:val="007919B0"/>
    <w:rsid w:val="00791E0B"/>
    <w:rsid w:val="00793366"/>
    <w:rsid w:val="0079545E"/>
    <w:rsid w:val="00796B58"/>
    <w:rsid w:val="00797405"/>
    <w:rsid w:val="007A1568"/>
    <w:rsid w:val="007A24D4"/>
    <w:rsid w:val="007A2C9D"/>
    <w:rsid w:val="007A338B"/>
    <w:rsid w:val="007A343F"/>
    <w:rsid w:val="007A38BA"/>
    <w:rsid w:val="007A3F4A"/>
    <w:rsid w:val="007A5F15"/>
    <w:rsid w:val="007A605B"/>
    <w:rsid w:val="007A6954"/>
    <w:rsid w:val="007A69BB"/>
    <w:rsid w:val="007A6C28"/>
    <w:rsid w:val="007A716F"/>
    <w:rsid w:val="007A7766"/>
    <w:rsid w:val="007B0A35"/>
    <w:rsid w:val="007B11CC"/>
    <w:rsid w:val="007B1287"/>
    <w:rsid w:val="007B270A"/>
    <w:rsid w:val="007B28E4"/>
    <w:rsid w:val="007B347C"/>
    <w:rsid w:val="007B37DE"/>
    <w:rsid w:val="007B38AC"/>
    <w:rsid w:val="007B44C8"/>
    <w:rsid w:val="007B4C2A"/>
    <w:rsid w:val="007B4D16"/>
    <w:rsid w:val="007B4F5E"/>
    <w:rsid w:val="007B5750"/>
    <w:rsid w:val="007B6809"/>
    <w:rsid w:val="007B753F"/>
    <w:rsid w:val="007B7988"/>
    <w:rsid w:val="007B7E43"/>
    <w:rsid w:val="007C0695"/>
    <w:rsid w:val="007C21FC"/>
    <w:rsid w:val="007C2790"/>
    <w:rsid w:val="007C3C57"/>
    <w:rsid w:val="007C3FF6"/>
    <w:rsid w:val="007C419A"/>
    <w:rsid w:val="007C4CC8"/>
    <w:rsid w:val="007C5426"/>
    <w:rsid w:val="007C5798"/>
    <w:rsid w:val="007C5B16"/>
    <w:rsid w:val="007C64D6"/>
    <w:rsid w:val="007C73E0"/>
    <w:rsid w:val="007C754D"/>
    <w:rsid w:val="007D239B"/>
    <w:rsid w:val="007D300B"/>
    <w:rsid w:val="007D4832"/>
    <w:rsid w:val="007D4EE4"/>
    <w:rsid w:val="007D4FAC"/>
    <w:rsid w:val="007D58D6"/>
    <w:rsid w:val="007D6796"/>
    <w:rsid w:val="007D6DF3"/>
    <w:rsid w:val="007E1412"/>
    <w:rsid w:val="007E143F"/>
    <w:rsid w:val="007E14B5"/>
    <w:rsid w:val="007E21B2"/>
    <w:rsid w:val="007E2C4E"/>
    <w:rsid w:val="007E2D6F"/>
    <w:rsid w:val="007E3566"/>
    <w:rsid w:val="007E3634"/>
    <w:rsid w:val="007E3881"/>
    <w:rsid w:val="007E5D9F"/>
    <w:rsid w:val="007E5F22"/>
    <w:rsid w:val="007E626E"/>
    <w:rsid w:val="007E6280"/>
    <w:rsid w:val="007E7BE3"/>
    <w:rsid w:val="007F0475"/>
    <w:rsid w:val="007F1905"/>
    <w:rsid w:val="007F1C3C"/>
    <w:rsid w:val="007F6591"/>
    <w:rsid w:val="00800185"/>
    <w:rsid w:val="00800CDB"/>
    <w:rsid w:val="00802C64"/>
    <w:rsid w:val="00805E52"/>
    <w:rsid w:val="00805F8E"/>
    <w:rsid w:val="008061D0"/>
    <w:rsid w:val="00806D73"/>
    <w:rsid w:val="00807650"/>
    <w:rsid w:val="0080771A"/>
    <w:rsid w:val="00807A9E"/>
    <w:rsid w:val="00807E5C"/>
    <w:rsid w:val="00810B38"/>
    <w:rsid w:val="00811214"/>
    <w:rsid w:val="00811239"/>
    <w:rsid w:val="00811299"/>
    <w:rsid w:val="0081194B"/>
    <w:rsid w:val="00811DD7"/>
    <w:rsid w:val="00812A96"/>
    <w:rsid w:val="00812D55"/>
    <w:rsid w:val="00813D09"/>
    <w:rsid w:val="00814AB3"/>
    <w:rsid w:val="00814C6A"/>
    <w:rsid w:val="00816F99"/>
    <w:rsid w:val="008204C7"/>
    <w:rsid w:val="00820992"/>
    <w:rsid w:val="0082107A"/>
    <w:rsid w:val="0082178D"/>
    <w:rsid w:val="00823602"/>
    <w:rsid w:val="00824066"/>
    <w:rsid w:val="00824451"/>
    <w:rsid w:val="008252DF"/>
    <w:rsid w:val="008255F5"/>
    <w:rsid w:val="008266A1"/>
    <w:rsid w:val="008271F2"/>
    <w:rsid w:val="008275B2"/>
    <w:rsid w:val="0083014E"/>
    <w:rsid w:val="0083037C"/>
    <w:rsid w:val="0083069C"/>
    <w:rsid w:val="008309D1"/>
    <w:rsid w:val="0083150B"/>
    <w:rsid w:val="0083214A"/>
    <w:rsid w:val="0083374A"/>
    <w:rsid w:val="00833E3C"/>
    <w:rsid w:val="00833FE9"/>
    <w:rsid w:val="00834174"/>
    <w:rsid w:val="00834220"/>
    <w:rsid w:val="00837AC3"/>
    <w:rsid w:val="0084101D"/>
    <w:rsid w:val="008431A0"/>
    <w:rsid w:val="00844920"/>
    <w:rsid w:val="00844EE3"/>
    <w:rsid w:val="00844F3E"/>
    <w:rsid w:val="00845723"/>
    <w:rsid w:val="00845AFD"/>
    <w:rsid w:val="00845DFC"/>
    <w:rsid w:val="008468F7"/>
    <w:rsid w:val="00847302"/>
    <w:rsid w:val="008479EF"/>
    <w:rsid w:val="00850360"/>
    <w:rsid w:val="008515C5"/>
    <w:rsid w:val="00851660"/>
    <w:rsid w:val="00852168"/>
    <w:rsid w:val="00853310"/>
    <w:rsid w:val="00853498"/>
    <w:rsid w:val="008534E0"/>
    <w:rsid w:val="00854D12"/>
    <w:rsid w:val="00855BDB"/>
    <w:rsid w:val="00856EA1"/>
    <w:rsid w:val="008574DE"/>
    <w:rsid w:val="00857827"/>
    <w:rsid w:val="0086145E"/>
    <w:rsid w:val="00861AEC"/>
    <w:rsid w:val="00861FDF"/>
    <w:rsid w:val="00862034"/>
    <w:rsid w:val="0086497A"/>
    <w:rsid w:val="00865761"/>
    <w:rsid w:val="00865F99"/>
    <w:rsid w:val="00866807"/>
    <w:rsid w:val="008669AB"/>
    <w:rsid w:val="008713A1"/>
    <w:rsid w:val="00872182"/>
    <w:rsid w:val="0087263D"/>
    <w:rsid w:val="00873126"/>
    <w:rsid w:val="00873234"/>
    <w:rsid w:val="00874557"/>
    <w:rsid w:val="008750F0"/>
    <w:rsid w:val="00875101"/>
    <w:rsid w:val="008754AB"/>
    <w:rsid w:val="00875585"/>
    <w:rsid w:val="00875B63"/>
    <w:rsid w:val="00875F4B"/>
    <w:rsid w:val="00876A08"/>
    <w:rsid w:val="0088060C"/>
    <w:rsid w:val="00882EC8"/>
    <w:rsid w:val="00883BD7"/>
    <w:rsid w:val="00886128"/>
    <w:rsid w:val="008861B8"/>
    <w:rsid w:val="00886431"/>
    <w:rsid w:val="008865CE"/>
    <w:rsid w:val="008908B4"/>
    <w:rsid w:val="00890F8B"/>
    <w:rsid w:val="00891CDD"/>
    <w:rsid w:val="00891E6D"/>
    <w:rsid w:val="00891EAF"/>
    <w:rsid w:val="00893576"/>
    <w:rsid w:val="008935D1"/>
    <w:rsid w:val="00893614"/>
    <w:rsid w:val="00893B4F"/>
    <w:rsid w:val="00893E73"/>
    <w:rsid w:val="0089403D"/>
    <w:rsid w:val="008942D4"/>
    <w:rsid w:val="008947E4"/>
    <w:rsid w:val="00894BD6"/>
    <w:rsid w:val="00895BEE"/>
    <w:rsid w:val="00896F9E"/>
    <w:rsid w:val="008A05AC"/>
    <w:rsid w:val="008A2CE0"/>
    <w:rsid w:val="008A38EA"/>
    <w:rsid w:val="008A3D9B"/>
    <w:rsid w:val="008A409F"/>
    <w:rsid w:val="008A47AC"/>
    <w:rsid w:val="008A5858"/>
    <w:rsid w:val="008A5864"/>
    <w:rsid w:val="008A7FD3"/>
    <w:rsid w:val="008B02DC"/>
    <w:rsid w:val="008B2103"/>
    <w:rsid w:val="008B273D"/>
    <w:rsid w:val="008B2A69"/>
    <w:rsid w:val="008B44DE"/>
    <w:rsid w:val="008B4DDA"/>
    <w:rsid w:val="008B4EE3"/>
    <w:rsid w:val="008B518C"/>
    <w:rsid w:val="008B57CE"/>
    <w:rsid w:val="008B5EB3"/>
    <w:rsid w:val="008B65AF"/>
    <w:rsid w:val="008B6905"/>
    <w:rsid w:val="008B6FBD"/>
    <w:rsid w:val="008B74E7"/>
    <w:rsid w:val="008B77E1"/>
    <w:rsid w:val="008B7BE6"/>
    <w:rsid w:val="008C00A8"/>
    <w:rsid w:val="008C0CBD"/>
    <w:rsid w:val="008C10DC"/>
    <w:rsid w:val="008C26DE"/>
    <w:rsid w:val="008C2816"/>
    <w:rsid w:val="008C2AEB"/>
    <w:rsid w:val="008C340E"/>
    <w:rsid w:val="008C4BCA"/>
    <w:rsid w:val="008C5976"/>
    <w:rsid w:val="008C5F4A"/>
    <w:rsid w:val="008C766A"/>
    <w:rsid w:val="008C78B3"/>
    <w:rsid w:val="008D100B"/>
    <w:rsid w:val="008D2225"/>
    <w:rsid w:val="008D2269"/>
    <w:rsid w:val="008D294A"/>
    <w:rsid w:val="008D3D80"/>
    <w:rsid w:val="008D4576"/>
    <w:rsid w:val="008D4752"/>
    <w:rsid w:val="008D4935"/>
    <w:rsid w:val="008D4E1A"/>
    <w:rsid w:val="008D4FCF"/>
    <w:rsid w:val="008D559F"/>
    <w:rsid w:val="008D594C"/>
    <w:rsid w:val="008E0F00"/>
    <w:rsid w:val="008E1378"/>
    <w:rsid w:val="008E1404"/>
    <w:rsid w:val="008E18F6"/>
    <w:rsid w:val="008E271C"/>
    <w:rsid w:val="008E418E"/>
    <w:rsid w:val="008E4A15"/>
    <w:rsid w:val="008E4BD0"/>
    <w:rsid w:val="008E501D"/>
    <w:rsid w:val="008E5A0C"/>
    <w:rsid w:val="008E5BC6"/>
    <w:rsid w:val="008E6A25"/>
    <w:rsid w:val="008E72EF"/>
    <w:rsid w:val="008F010F"/>
    <w:rsid w:val="008F03CD"/>
    <w:rsid w:val="008F1B4E"/>
    <w:rsid w:val="008F361A"/>
    <w:rsid w:val="008F5193"/>
    <w:rsid w:val="008F5A71"/>
    <w:rsid w:val="008F5BFD"/>
    <w:rsid w:val="008F622C"/>
    <w:rsid w:val="008F70F4"/>
    <w:rsid w:val="008F75D5"/>
    <w:rsid w:val="0090025B"/>
    <w:rsid w:val="0090041E"/>
    <w:rsid w:val="00900FAE"/>
    <w:rsid w:val="009013A1"/>
    <w:rsid w:val="009013A7"/>
    <w:rsid w:val="009017FB"/>
    <w:rsid w:val="009017FC"/>
    <w:rsid w:val="00901A64"/>
    <w:rsid w:val="00901CA6"/>
    <w:rsid w:val="00903F5D"/>
    <w:rsid w:val="009043AE"/>
    <w:rsid w:val="00904BDA"/>
    <w:rsid w:val="00904DC1"/>
    <w:rsid w:val="0090506B"/>
    <w:rsid w:val="009050C9"/>
    <w:rsid w:val="009053AB"/>
    <w:rsid w:val="009066FC"/>
    <w:rsid w:val="009074F3"/>
    <w:rsid w:val="009120C7"/>
    <w:rsid w:val="00913123"/>
    <w:rsid w:val="00913836"/>
    <w:rsid w:val="0091386F"/>
    <w:rsid w:val="009140A3"/>
    <w:rsid w:val="009144A2"/>
    <w:rsid w:val="0091510C"/>
    <w:rsid w:val="00915887"/>
    <w:rsid w:val="00915A8A"/>
    <w:rsid w:val="009163C7"/>
    <w:rsid w:val="00921DB5"/>
    <w:rsid w:val="00923DE1"/>
    <w:rsid w:val="00923E23"/>
    <w:rsid w:val="00923F5A"/>
    <w:rsid w:val="009251C7"/>
    <w:rsid w:val="00925553"/>
    <w:rsid w:val="009259AC"/>
    <w:rsid w:val="00925E23"/>
    <w:rsid w:val="009262E0"/>
    <w:rsid w:val="009263FD"/>
    <w:rsid w:val="00926F38"/>
    <w:rsid w:val="00927407"/>
    <w:rsid w:val="009277BF"/>
    <w:rsid w:val="0093090B"/>
    <w:rsid w:val="00930C1A"/>
    <w:rsid w:val="009311F2"/>
    <w:rsid w:val="0093281A"/>
    <w:rsid w:val="0093339C"/>
    <w:rsid w:val="0093363D"/>
    <w:rsid w:val="00933760"/>
    <w:rsid w:val="00934301"/>
    <w:rsid w:val="00934939"/>
    <w:rsid w:val="00934F95"/>
    <w:rsid w:val="00936CD1"/>
    <w:rsid w:val="0093711B"/>
    <w:rsid w:val="009378EA"/>
    <w:rsid w:val="00941747"/>
    <w:rsid w:val="00941B53"/>
    <w:rsid w:val="00941EB0"/>
    <w:rsid w:val="00941EFB"/>
    <w:rsid w:val="00942620"/>
    <w:rsid w:val="009435A2"/>
    <w:rsid w:val="009440B7"/>
    <w:rsid w:val="009448C3"/>
    <w:rsid w:val="009471F0"/>
    <w:rsid w:val="009476D1"/>
    <w:rsid w:val="00947AFB"/>
    <w:rsid w:val="00950BD5"/>
    <w:rsid w:val="00950D47"/>
    <w:rsid w:val="00951D7D"/>
    <w:rsid w:val="009522F5"/>
    <w:rsid w:val="00953F6B"/>
    <w:rsid w:val="009548FD"/>
    <w:rsid w:val="00954C27"/>
    <w:rsid w:val="00956FC4"/>
    <w:rsid w:val="009574AA"/>
    <w:rsid w:val="00957B6F"/>
    <w:rsid w:val="00961295"/>
    <w:rsid w:val="00961A0E"/>
    <w:rsid w:val="009625F9"/>
    <w:rsid w:val="00962676"/>
    <w:rsid w:val="009630C7"/>
    <w:rsid w:val="00963C90"/>
    <w:rsid w:val="00965040"/>
    <w:rsid w:val="009658B2"/>
    <w:rsid w:val="00965D7C"/>
    <w:rsid w:val="00966620"/>
    <w:rsid w:val="00966FD1"/>
    <w:rsid w:val="00971914"/>
    <w:rsid w:val="00972B55"/>
    <w:rsid w:val="00972D80"/>
    <w:rsid w:val="00973659"/>
    <w:rsid w:val="00973808"/>
    <w:rsid w:val="009742A6"/>
    <w:rsid w:val="009743B7"/>
    <w:rsid w:val="009807DA"/>
    <w:rsid w:val="00980DF1"/>
    <w:rsid w:val="0098228B"/>
    <w:rsid w:val="009828DA"/>
    <w:rsid w:val="00983154"/>
    <w:rsid w:val="009832A9"/>
    <w:rsid w:val="009840A5"/>
    <w:rsid w:val="00984A86"/>
    <w:rsid w:val="00985191"/>
    <w:rsid w:val="00985604"/>
    <w:rsid w:val="00985B29"/>
    <w:rsid w:val="00985BAB"/>
    <w:rsid w:val="00986193"/>
    <w:rsid w:val="0098677D"/>
    <w:rsid w:val="00986B5E"/>
    <w:rsid w:val="00987C80"/>
    <w:rsid w:val="00990202"/>
    <w:rsid w:val="009923E2"/>
    <w:rsid w:val="0099398A"/>
    <w:rsid w:val="00994B45"/>
    <w:rsid w:val="009968F5"/>
    <w:rsid w:val="009A08DC"/>
    <w:rsid w:val="009A0BDA"/>
    <w:rsid w:val="009A0DED"/>
    <w:rsid w:val="009A1A2B"/>
    <w:rsid w:val="009A1DE6"/>
    <w:rsid w:val="009A2106"/>
    <w:rsid w:val="009A215E"/>
    <w:rsid w:val="009A301F"/>
    <w:rsid w:val="009A30D7"/>
    <w:rsid w:val="009A41C7"/>
    <w:rsid w:val="009A460C"/>
    <w:rsid w:val="009A5236"/>
    <w:rsid w:val="009A53EA"/>
    <w:rsid w:val="009A5469"/>
    <w:rsid w:val="009A66BC"/>
    <w:rsid w:val="009A6F62"/>
    <w:rsid w:val="009A77D4"/>
    <w:rsid w:val="009A7DDC"/>
    <w:rsid w:val="009B16E9"/>
    <w:rsid w:val="009B1B5F"/>
    <w:rsid w:val="009B2F0A"/>
    <w:rsid w:val="009B3155"/>
    <w:rsid w:val="009B364C"/>
    <w:rsid w:val="009B4331"/>
    <w:rsid w:val="009B6670"/>
    <w:rsid w:val="009B6673"/>
    <w:rsid w:val="009B740A"/>
    <w:rsid w:val="009C191B"/>
    <w:rsid w:val="009C2BD6"/>
    <w:rsid w:val="009C3163"/>
    <w:rsid w:val="009C3535"/>
    <w:rsid w:val="009C3C96"/>
    <w:rsid w:val="009C4AFD"/>
    <w:rsid w:val="009C5E4E"/>
    <w:rsid w:val="009C6058"/>
    <w:rsid w:val="009C74E0"/>
    <w:rsid w:val="009C76E9"/>
    <w:rsid w:val="009C7FB7"/>
    <w:rsid w:val="009D035A"/>
    <w:rsid w:val="009D0545"/>
    <w:rsid w:val="009D2B3D"/>
    <w:rsid w:val="009D2B62"/>
    <w:rsid w:val="009D45D1"/>
    <w:rsid w:val="009D6042"/>
    <w:rsid w:val="009D60FC"/>
    <w:rsid w:val="009D6548"/>
    <w:rsid w:val="009D6B1B"/>
    <w:rsid w:val="009D70BE"/>
    <w:rsid w:val="009D79A4"/>
    <w:rsid w:val="009E1F32"/>
    <w:rsid w:val="009E26E8"/>
    <w:rsid w:val="009E43F3"/>
    <w:rsid w:val="009E4A57"/>
    <w:rsid w:val="009E55A4"/>
    <w:rsid w:val="009E57AD"/>
    <w:rsid w:val="009E656D"/>
    <w:rsid w:val="009E776C"/>
    <w:rsid w:val="009F0053"/>
    <w:rsid w:val="009F0AC4"/>
    <w:rsid w:val="009F145D"/>
    <w:rsid w:val="009F1DAB"/>
    <w:rsid w:val="009F45A0"/>
    <w:rsid w:val="009F4C3D"/>
    <w:rsid w:val="009F65D1"/>
    <w:rsid w:val="009F7805"/>
    <w:rsid w:val="00A00E4D"/>
    <w:rsid w:val="00A017E7"/>
    <w:rsid w:val="00A02867"/>
    <w:rsid w:val="00A034AF"/>
    <w:rsid w:val="00A04C9D"/>
    <w:rsid w:val="00A06691"/>
    <w:rsid w:val="00A1374E"/>
    <w:rsid w:val="00A14074"/>
    <w:rsid w:val="00A144BA"/>
    <w:rsid w:val="00A145D5"/>
    <w:rsid w:val="00A1726E"/>
    <w:rsid w:val="00A1797C"/>
    <w:rsid w:val="00A204CF"/>
    <w:rsid w:val="00A2146D"/>
    <w:rsid w:val="00A21E2C"/>
    <w:rsid w:val="00A23D49"/>
    <w:rsid w:val="00A2447D"/>
    <w:rsid w:val="00A24EA3"/>
    <w:rsid w:val="00A2647C"/>
    <w:rsid w:val="00A27004"/>
    <w:rsid w:val="00A27B35"/>
    <w:rsid w:val="00A302DC"/>
    <w:rsid w:val="00A30C29"/>
    <w:rsid w:val="00A32622"/>
    <w:rsid w:val="00A32895"/>
    <w:rsid w:val="00A3321A"/>
    <w:rsid w:val="00A3337A"/>
    <w:rsid w:val="00A3364E"/>
    <w:rsid w:val="00A348BD"/>
    <w:rsid w:val="00A34A01"/>
    <w:rsid w:val="00A34DD6"/>
    <w:rsid w:val="00A35BAD"/>
    <w:rsid w:val="00A36520"/>
    <w:rsid w:val="00A36819"/>
    <w:rsid w:val="00A36989"/>
    <w:rsid w:val="00A36ADF"/>
    <w:rsid w:val="00A36D7A"/>
    <w:rsid w:val="00A41BA3"/>
    <w:rsid w:val="00A43145"/>
    <w:rsid w:val="00A43628"/>
    <w:rsid w:val="00A4722E"/>
    <w:rsid w:val="00A47CB2"/>
    <w:rsid w:val="00A506FF"/>
    <w:rsid w:val="00A5070E"/>
    <w:rsid w:val="00A5077B"/>
    <w:rsid w:val="00A51AFC"/>
    <w:rsid w:val="00A51FB3"/>
    <w:rsid w:val="00A52C8F"/>
    <w:rsid w:val="00A54192"/>
    <w:rsid w:val="00A55943"/>
    <w:rsid w:val="00A5748F"/>
    <w:rsid w:val="00A574FF"/>
    <w:rsid w:val="00A6035E"/>
    <w:rsid w:val="00A60EFF"/>
    <w:rsid w:val="00A6144C"/>
    <w:rsid w:val="00A617AC"/>
    <w:rsid w:val="00A61E5B"/>
    <w:rsid w:val="00A628C7"/>
    <w:rsid w:val="00A6344A"/>
    <w:rsid w:val="00A63831"/>
    <w:rsid w:val="00A648AB"/>
    <w:rsid w:val="00A66617"/>
    <w:rsid w:val="00A671F8"/>
    <w:rsid w:val="00A67273"/>
    <w:rsid w:val="00A673A4"/>
    <w:rsid w:val="00A6742B"/>
    <w:rsid w:val="00A72447"/>
    <w:rsid w:val="00A724AE"/>
    <w:rsid w:val="00A73329"/>
    <w:rsid w:val="00A75641"/>
    <w:rsid w:val="00A75740"/>
    <w:rsid w:val="00A81101"/>
    <w:rsid w:val="00A81FEC"/>
    <w:rsid w:val="00A82359"/>
    <w:rsid w:val="00A83DAB"/>
    <w:rsid w:val="00A865D2"/>
    <w:rsid w:val="00A86695"/>
    <w:rsid w:val="00A87FC9"/>
    <w:rsid w:val="00A90DB5"/>
    <w:rsid w:val="00A90DFC"/>
    <w:rsid w:val="00A90E2A"/>
    <w:rsid w:val="00A91530"/>
    <w:rsid w:val="00A9269A"/>
    <w:rsid w:val="00A92893"/>
    <w:rsid w:val="00A92C53"/>
    <w:rsid w:val="00A930E6"/>
    <w:rsid w:val="00A94733"/>
    <w:rsid w:val="00A94C20"/>
    <w:rsid w:val="00A95191"/>
    <w:rsid w:val="00A9563A"/>
    <w:rsid w:val="00A9596F"/>
    <w:rsid w:val="00A9627F"/>
    <w:rsid w:val="00AA05B8"/>
    <w:rsid w:val="00AA1692"/>
    <w:rsid w:val="00AA227F"/>
    <w:rsid w:val="00AA26BF"/>
    <w:rsid w:val="00AA2AAA"/>
    <w:rsid w:val="00AA2D7F"/>
    <w:rsid w:val="00AA2E56"/>
    <w:rsid w:val="00AA32AB"/>
    <w:rsid w:val="00AA3BC7"/>
    <w:rsid w:val="00AA5746"/>
    <w:rsid w:val="00AA5784"/>
    <w:rsid w:val="00AA5AD1"/>
    <w:rsid w:val="00AA6287"/>
    <w:rsid w:val="00AA6B23"/>
    <w:rsid w:val="00AA754A"/>
    <w:rsid w:val="00AA7DEF"/>
    <w:rsid w:val="00AB0410"/>
    <w:rsid w:val="00AB099E"/>
    <w:rsid w:val="00AB391A"/>
    <w:rsid w:val="00AB3B90"/>
    <w:rsid w:val="00AB3F65"/>
    <w:rsid w:val="00AB4098"/>
    <w:rsid w:val="00AB4328"/>
    <w:rsid w:val="00AB4D6A"/>
    <w:rsid w:val="00AB5140"/>
    <w:rsid w:val="00AB5FC4"/>
    <w:rsid w:val="00AB775B"/>
    <w:rsid w:val="00AB7CD2"/>
    <w:rsid w:val="00AC04A2"/>
    <w:rsid w:val="00AC0A30"/>
    <w:rsid w:val="00AC304E"/>
    <w:rsid w:val="00AC3641"/>
    <w:rsid w:val="00AC37EF"/>
    <w:rsid w:val="00AC4157"/>
    <w:rsid w:val="00AC42DF"/>
    <w:rsid w:val="00AC4807"/>
    <w:rsid w:val="00AC4C19"/>
    <w:rsid w:val="00AC659C"/>
    <w:rsid w:val="00AC7150"/>
    <w:rsid w:val="00AC7690"/>
    <w:rsid w:val="00AC78F5"/>
    <w:rsid w:val="00AC7B8B"/>
    <w:rsid w:val="00AD164B"/>
    <w:rsid w:val="00AD2426"/>
    <w:rsid w:val="00AD260D"/>
    <w:rsid w:val="00AD2C00"/>
    <w:rsid w:val="00AD32EA"/>
    <w:rsid w:val="00AD3674"/>
    <w:rsid w:val="00AD5F9B"/>
    <w:rsid w:val="00AD7EB4"/>
    <w:rsid w:val="00AE02D0"/>
    <w:rsid w:val="00AE07D0"/>
    <w:rsid w:val="00AE0A2E"/>
    <w:rsid w:val="00AE0EF2"/>
    <w:rsid w:val="00AE19DE"/>
    <w:rsid w:val="00AE20FB"/>
    <w:rsid w:val="00AE264C"/>
    <w:rsid w:val="00AE27A8"/>
    <w:rsid w:val="00AE354C"/>
    <w:rsid w:val="00AE3634"/>
    <w:rsid w:val="00AE3D02"/>
    <w:rsid w:val="00AE3F80"/>
    <w:rsid w:val="00AE4422"/>
    <w:rsid w:val="00AE4708"/>
    <w:rsid w:val="00AE4E44"/>
    <w:rsid w:val="00AE67B6"/>
    <w:rsid w:val="00AE6D50"/>
    <w:rsid w:val="00AE7234"/>
    <w:rsid w:val="00AE72C6"/>
    <w:rsid w:val="00AE77E1"/>
    <w:rsid w:val="00AE7B1F"/>
    <w:rsid w:val="00AF0285"/>
    <w:rsid w:val="00AF0980"/>
    <w:rsid w:val="00AF155B"/>
    <w:rsid w:val="00AF17B5"/>
    <w:rsid w:val="00AF1971"/>
    <w:rsid w:val="00AF1CD5"/>
    <w:rsid w:val="00AF1D53"/>
    <w:rsid w:val="00AF29DB"/>
    <w:rsid w:val="00AF3DF8"/>
    <w:rsid w:val="00AF4798"/>
    <w:rsid w:val="00AF4B07"/>
    <w:rsid w:val="00AF59D7"/>
    <w:rsid w:val="00AF6186"/>
    <w:rsid w:val="00AF62E7"/>
    <w:rsid w:val="00AF7A3A"/>
    <w:rsid w:val="00AF7D75"/>
    <w:rsid w:val="00B0018F"/>
    <w:rsid w:val="00B005EB"/>
    <w:rsid w:val="00B0146B"/>
    <w:rsid w:val="00B01995"/>
    <w:rsid w:val="00B01A05"/>
    <w:rsid w:val="00B0281E"/>
    <w:rsid w:val="00B03BA6"/>
    <w:rsid w:val="00B04621"/>
    <w:rsid w:val="00B04B2E"/>
    <w:rsid w:val="00B07F2A"/>
    <w:rsid w:val="00B11463"/>
    <w:rsid w:val="00B11AEC"/>
    <w:rsid w:val="00B11C1C"/>
    <w:rsid w:val="00B152D4"/>
    <w:rsid w:val="00B15627"/>
    <w:rsid w:val="00B159FC"/>
    <w:rsid w:val="00B15DC9"/>
    <w:rsid w:val="00B160DB"/>
    <w:rsid w:val="00B20606"/>
    <w:rsid w:val="00B20836"/>
    <w:rsid w:val="00B21C77"/>
    <w:rsid w:val="00B23572"/>
    <w:rsid w:val="00B235BB"/>
    <w:rsid w:val="00B24875"/>
    <w:rsid w:val="00B2565C"/>
    <w:rsid w:val="00B25FB5"/>
    <w:rsid w:val="00B25FCB"/>
    <w:rsid w:val="00B2642F"/>
    <w:rsid w:val="00B27A44"/>
    <w:rsid w:val="00B27FC9"/>
    <w:rsid w:val="00B30BBF"/>
    <w:rsid w:val="00B3117A"/>
    <w:rsid w:val="00B3194E"/>
    <w:rsid w:val="00B31B1C"/>
    <w:rsid w:val="00B31E71"/>
    <w:rsid w:val="00B32684"/>
    <w:rsid w:val="00B335C1"/>
    <w:rsid w:val="00B33C03"/>
    <w:rsid w:val="00B35FEB"/>
    <w:rsid w:val="00B36CCE"/>
    <w:rsid w:val="00B402D4"/>
    <w:rsid w:val="00B40309"/>
    <w:rsid w:val="00B407D9"/>
    <w:rsid w:val="00B40BA9"/>
    <w:rsid w:val="00B412CE"/>
    <w:rsid w:val="00B41E9B"/>
    <w:rsid w:val="00B4243A"/>
    <w:rsid w:val="00B42939"/>
    <w:rsid w:val="00B44E56"/>
    <w:rsid w:val="00B45D27"/>
    <w:rsid w:val="00B46543"/>
    <w:rsid w:val="00B469F7"/>
    <w:rsid w:val="00B46F04"/>
    <w:rsid w:val="00B472D7"/>
    <w:rsid w:val="00B47C94"/>
    <w:rsid w:val="00B47D33"/>
    <w:rsid w:val="00B5088D"/>
    <w:rsid w:val="00B522D9"/>
    <w:rsid w:val="00B52B5E"/>
    <w:rsid w:val="00B53614"/>
    <w:rsid w:val="00B539E1"/>
    <w:rsid w:val="00B54133"/>
    <w:rsid w:val="00B54ABC"/>
    <w:rsid w:val="00B54CDF"/>
    <w:rsid w:val="00B54DE0"/>
    <w:rsid w:val="00B553E9"/>
    <w:rsid w:val="00B55FAF"/>
    <w:rsid w:val="00B56A70"/>
    <w:rsid w:val="00B56B61"/>
    <w:rsid w:val="00B56D31"/>
    <w:rsid w:val="00B57649"/>
    <w:rsid w:val="00B603CF"/>
    <w:rsid w:val="00B60830"/>
    <w:rsid w:val="00B61D52"/>
    <w:rsid w:val="00B62C39"/>
    <w:rsid w:val="00B63833"/>
    <w:rsid w:val="00B63CAB"/>
    <w:rsid w:val="00B63E73"/>
    <w:rsid w:val="00B640B6"/>
    <w:rsid w:val="00B64AF3"/>
    <w:rsid w:val="00B653A0"/>
    <w:rsid w:val="00B65B14"/>
    <w:rsid w:val="00B664A7"/>
    <w:rsid w:val="00B701ED"/>
    <w:rsid w:val="00B702D5"/>
    <w:rsid w:val="00B72E7D"/>
    <w:rsid w:val="00B749FE"/>
    <w:rsid w:val="00B75084"/>
    <w:rsid w:val="00B8086C"/>
    <w:rsid w:val="00B80991"/>
    <w:rsid w:val="00B80B88"/>
    <w:rsid w:val="00B82984"/>
    <w:rsid w:val="00B85585"/>
    <w:rsid w:val="00B85C53"/>
    <w:rsid w:val="00B85F8D"/>
    <w:rsid w:val="00B861B4"/>
    <w:rsid w:val="00B868FF"/>
    <w:rsid w:val="00B86D38"/>
    <w:rsid w:val="00B86DFE"/>
    <w:rsid w:val="00B86F82"/>
    <w:rsid w:val="00B90990"/>
    <w:rsid w:val="00B91216"/>
    <w:rsid w:val="00B92215"/>
    <w:rsid w:val="00B922FF"/>
    <w:rsid w:val="00B9281E"/>
    <w:rsid w:val="00B9296D"/>
    <w:rsid w:val="00B929DC"/>
    <w:rsid w:val="00B930DD"/>
    <w:rsid w:val="00B932AC"/>
    <w:rsid w:val="00B93925"/>
    <w:rsid w:val="00B94639"/>
    <w:rsid w:val="00B94AC7"/>
    <w:rsid w:val="00B95187"/>
    <w:rsid w:val="00B957F1"/>
    <w:rsid w:val="00B958BD"/>
    <w:rsid w:val="00B9711D"/>
    <w:rsid w:val="00BA10D7"/>
    <w:rsid w:val="00BA26E4"/>
    <w:rsid w:val="00BA27EA"/>
    <w:rsid w:val="00BA294D"/>
    <w:rsid w:val="00BA2D55"/>
    <w:rsid w:val="00BA413F"/>
    <w:rsid w:val="00BA4A98"/>
    <w:rsid w:val="00BA4CB2"/>
    <w:rsid w:val="00BA701E"/>
    <w:rsid w:val="00BA71B1"/>
    <w:rsid w:val="00BB0637"/>
    <w:rsid w:val="00BB065B"/>
    <w:rsid w:val="00BB0C75"/>
    <w:rsid w:val="00BB0F16"/>
    <w:rsid w:val="00BB12BC"/>
    <w:rsid w:val="00BB1DB4"/>
    <w:rsid w:val="00BB2595"/>
    <w:rsid w:val="00BB2662"/>
    <w:rsid w:val="00BB345F"/>
    <w:rsid w:val="00BB4A1A"/>
    <w:rsid w:val="00BB5BF9"/>
    <w:rsid w:val="00BB5EEA"/>
    <w:rsid w:val="00BB5FD4"/>
    <w:rsid w:val="00BB682C"/>
    <w:rsid w:val="00BB68EA"/>
    <w:rsid w:val="00BB759D"/>
    <w:rsid w:val="00BB7982"/>
    <w:rsid w:val="00BB7B1E"/>
    <w:rsid w:val="00BC1C27"/>
    <w:rsid w:val="00BC1E85"/>
    <w:rsid w:val="00BC31B2"/>
    <w:rsid w:val="00BC3829"/>
    <w:rsid w:val="00BC451D"/>
    <w:rsid w:val="00BC47E5"/>
    <w:rsid w:val="00BC4F88"/>
    <w:rsid w:val="00BC5080"/>
    <w:rsid w:val="00BC5AE6"/>
    <w:rsid w:val="00BC5B28"/>
    <w:rsid w:val="00BC6785"/>
    <w:rsid w:val="00BC6BBF"/>
    <w:rsid w:val="00BC7D31"/>
    <w:rsid w:val="00BD01D4"/>
    <w:rsid w:val="00BD0AAF"/>
    <w:rsid w:val="00BD1572"/>
    <w:rsid w:val="00BD2762"/>
    <w:rsid w:val="00BD2933"/>
    <w:rsid w:val="00BD2F1A"/>
    <w:rsid w:val="00BD3065"/>
    <w:rsid w:val="00BD3781"/>
    <w:rsid w:val="00BD5309"/>
    <w:rsid w:val="00BE00CF"/>
    <w:rsid w:val="00BE0256"/>
    <w:rsid w:val="00BE0A07"/>
    <w:rsid w:val="00BE2121"/>
    <w:rsid w:val="00BE2158"/>
    <w:rsid w:val="00BE2C2E"/>
    <w:rsid w:val="00BE340B"/>
    <w:rsid w:val="00BE3774"/>
    <w:rsid w:val="00BE41E5"/>
    <w:rsid w:val="00BE4CE1"/>
    <w:rsid w:val="00BE570A"/>
    <w:rsid w:val="00BE60FA"/>
    <w:rsid w:val="00BE6555"/>
    <w:rsid w:val="00BE66F7"/>
    <w:rsid w:val="00BF2614"/>
    <w:rsid w:val="00BF4109"/>
    <w:rsid w:val="00BF4CC3"/>
    <w:rsid w:val="00BF5C01"/>
    <w:rsid w:val="00BF60A2"/>
    <w:rsid w:val="00BF61B3"/>
    <w:rsid w:val="00C0049B"/>
    <w:rsid w:val="00C00B99"/>
    <w:rsid w:val="00C011D3"/>
    <w:rsid w:val="00C017B8"/>
    <w:rsid w:val="00C020B8"/>
    <w:rsid w:val="00C02F2B"/>
    <w:rsid w:val="00C030B2"/>
    <w:rsid w:val="00C049E6"/>
    <w:rsid w:val="00C054C7"/>
    <w:rsid w:val="00C057B5"/>
    <w:rsid w:val="00C10117"/>
    <w:rsid w:val="00C1028F"/>
    <w:rsid w:val="00C10406"/>
    <w:rsid w:val="00C11476"/>
    <w:rsid w:val="00C1196B"/>
    <w:rsid w:val="00C12F16"/>
    <w:rsid w:val="00C141DE"/>
    <w:rsid w:val="00C14557"/>
    <w:rsid w:val="00C14F84"/>
    <w:rsid w:val="00C14FB7"/>
    <w:rsid w:val="00C169E2"/>
    <w:rsid w:val="00C17A3E"/>
    <w:rsid w:val="00C209B5"/>
    <w:rsid w:val="00C20E62"/>
    <w:rsid w:val="00C20EF7"/>
    <w:rsid w:val="00C2215F"/>
    <w:rsid w:val="00C22687"/>
    <w:rsid w:val="00C22A73"/>
    <w:rsid w:val="00C22AFC"/>
    <w:rsid w:val="00C23E1D"/>
    <w:rsid w:val="00C254A5"/>
    <w:rsid w:val="00C267DC"/>
    <w:rsid w:val="00C26969"/>
    <w:rsid w:val="00C27318"/>
    <w:rsid w:val="00C27668"/>
    <w:rsid w:val="00C2772C"/>
    <w:rsid w:val="00C27F1C"/>
    <w:rsid w:val="00C32E4D"/>
    <w:rsid w:val="00C333A0"/>
    <w:rsid w:val="00C362AF"/>
    <w:rsid w:val="00C36743"/>
    <w:rsid w:val="00C36A81"/>
    <w:rsid w:val="00C41182"/>
    <w:rsid w:val="00C41974"/>
    <w:rsid w:val="00C436C7"/>
    <w:rsid w:val="00C4453A"/>
    <w:rsid w:val="00C46086"/>
    <w:rsid w:val="00C4627E"/>
    <w:rsid w:val="00C47449"/>
    <w:rsid w:val="00C47C6B"/>
    <w:rsid w:val="00C5038D"/>
    <w:rsid w:val="00C503E7"/>
    <w:rsid w:val="00C51072"/>
    <w:rsid w:val="00C510EF"/>
    <w:rsid w:val="00C53F4A"/>
    <w:rsid w:val="00C54125"/>
    <w:rsid w:val="00C5434B"/>
    <w:rsid w:val="00C547C1"/>
    <w:rsid w:val="00C54BB2"/>
    <w:rsid w:val="00C54E3A"/>
    <w:rsid w:val="00C5587F"/>
    <w:rsid w:val="00C55B54"/>
    <w:rsid w:val="00C5605A"/>
    <w:rsid w:val="00C562E3"/>
    <w:rsid w:val="00C56B52"/>
    <w:rsid w:val="00C605CB"/>
    <w:rsid w:val="00C607E9"/>
    <w:rsid w:val="00C6098E"/>
    <w:rsid w:val="00C6152C"/>
    <w:rsid w:val="00C631CF"/>
    <w:rsid w:val="00C6351C"/>
    <w:rsid w:val="00C63ABA"/>
    <w:rsid w:val="00C6573E"/>
    <w:rsid w:val="00C67DA2"/>
    <w:rsid w:val="00C70621"/>
    <w:rsid w:val="00C710F2"/>
    <w:rsid w:val="00C71A72"/>
    <w:rsid w:val="00C7348A"/>
    <w:rsid w:val="00C7348E"/>
    <w:rsid w:val="00C73EC7"/>
    <w:rsid w:val="00C74062"/>
    <w:rsid w:val="00C74603"/>
    <w:rsid w:val="00C747EC"/>
    <w:rsid w:val="00C74810"/>
    <w:rsid w:val="00C74EB2"/>
    <w:rsid w:val="00C75C7B"/>
    <w:rsid w:val="00C76799"/>
    <w:rsid w:val="00C77297"/>
    <w:rsid w:val="00C77AB6"/>
    <w:rsid w:val="00C77ABE"/>
    <w:rsid w:val="00C77BFD"/>
    <w:rsid w:val="00C77C76"/>
    <w:rsid w:val="00C81268"/>
    <w:rsid w:val="00C8243E"/>
    <w:rsid w:val="00C85305"/>
    <w:rsid w:val="00C85727"/>
    <w:rsid w:val="00C85AA9"/>
    <w:rsid w:val="00C86DF9"/>
    <w:rsid w:val="00C87B3B"/>
    <w:rsid w:val="00C905DA"/>
    <w:rsid w:val="00C909F8"/>
    <w:rsid w:val="00C90D68"/>
    <w:rsid w:val="00C916AF"/>
    <w:rsid w:val="00C91777"/>
    <w:rsid w:val="00C91975"/>
    <w:rsid w:val="00C91BE1"/>
    <w:rsid w:val="00C9283C"/>
    <w:rsid w:val="00C92E07"/>
    <w:rsid w:val="00C939FE"/>
    <w:rsid w:val="00C93D16"/>
    <w:rsid w:val="00C949B4"/>
    <w:rsid w:val="00C94DB4"/>
    <w:rsid w:val="00C9687C"/>
    <w:rsid w:val="00C97967"/>
    <w:rsid w:val="00C97BDB"/>
    <w:rsid w:val="00CA018B"/>
    <w:rsid w:val="00CA0E60"/>
    <w:rsid w:val="00CA10D9"/>
    <w:rsid w:val="00CA36D4"/>
    <w:rsid w:val="00CA3AF0"/>
    <w:rsid w:val="00CA4BDA"/>
    <w:rsid w:val="00CA546E"/>
    <w:rsid w:val="00CA612F"/>
    <w:rsid w:val="00CA627F"/>
    <w:rsid w:val="00CB0C3C"/>
    <w:rsid w:val="00CB2268"/>
    <w:rsid w:val="00CB2598"/>
    <w:rsid w:val="00CB2951"/>
    <w:rsid w:val="00CB3B85"/>
    <w:rsid w:val="00CB3E1F"/>
    <w:rsid w:val="00CB456A"/>
    <w:rsid w:val="00CB48C1"/>
    <w:rsid w:val="00CB4BD6"/>
    <w:rsid w:val="00CB52A6"/>
    <w:rsid w:val="00CB54B8"/>
    <w:rsid w:val="00CB585C"/>
    <w:rsid w:val="00CB599E"/>
    <w:rsid w:val="00CB7B8F"/>
    <w:rsid w:val="00CC1405"/>
    <w:rsid w:val="00CC146A"/>
    <w:rsid w:val="00CC165C"/>
    <w:rsid w:val="00CC1E58"/>
    <w:rsid w:val="00CC1F89"/>
    <w:rsid w:val="00CC28B8"/>
    <w:rsid w:val="00CC2D9C"/>
    <w:rsid w:val="00CC36B0"/>
    <w:rsid w:val="00CC382A"/>
    <w:rsid w:val="00CC40FA"/>
    <w:rsid w:val="00CC42CD"/>
    <w:rsid w:val="00CC595D"/>
    <w:rsid w:val="00CC5F17"/>
    <w:rsid w:val="00CC65AF"/>
    <w:rsid w:val="00CC6D02"/>
    <w:rsid w:val="00CC7D1D"/>
    <w:rsid w:val="00CC7FB4"/>
    <w:rsid w:val="00CD0275"/>
    <w:rsid w:val="00CD0B62"/>
    <w:rsid w:val="00CD100F"/>
    <w:rsid w:val="00CD17A4"/>
    <w:rsid w:val="00CD1895"/>
    <w:rsid w:val="00CD282B"/>
    <w:rsid w:val="00CD2DEC"/>
    <w:rsid w:val="00CD4C35"/>
    <w:rsid w:val="00CD57CE"/>
    <w:rsid w:val="00CD6111"/>
    <w:rsid w:val="00CD66B0"/>
    <w:rsid w:val="00CD7369"/>
    <w:rsid w:val="00CD78DE"/>
    <w:rsid w:val="00CE04F3"/>
    <w:rsid w:val="00CE0B64"/>
    <w:rsid w:val="00CE10AC"/>
    <w:rsid w:val="00CE2BC6"/>
    <w:rsid w:val="00CE3831"/>
    <w:rsid w:val="00CE434D"/>
    <w:rsid w:val="00CE5BC6"/>
    <w:rsid w:val="00CE662F"/>
    <w:rsid w:val="00CE6ADE"/>
    <w:rsid w:val="00CE6E2A"/>
    <w:rsid w:val="00CF2686"/>
    <w:rsid w:val="00CF2733"/>
    <w:rsid w:val="00CF3169"/>
    <w:rsid w:val="00CF33DB"/>
    <w:rsid w:val="00CF34B6"/>
    <w:rsid w:val="00CF3CD5"/>
    <w:rsid w:val="00CF4157"/>
    <w:rsid w:val="00CF441B"/>
    <w:rsid w:val="00CF4764"/>
    <w:rsid w:val="00CF4A7C"/>
    <w:rsid w:val="00CF4CFD"/>
    <w:rsid w:val="00CF5A80"/>
    <w:rsid w:val="00CF6CF3"/>
    <w:rsid w:val="00CF7339"/>
    <w:rsid w:val="00CF739F"/>
    <w:rsid w:val="00D00A70"/>
    <w:rsid w:val="00D00ABB"/>
    <w:rsid w:val="00D01BC9"/>
    <w:rsid w:val="00D01D37"/>
    <w:rsid w:val="00D0273F"/>
    <w:rsid w:val="00D02EEC"/>
    <w:rsid w:val="00D03551"/>
    <w:rsid w:val="00D041DC"/>
    <w:rsid w:val="00D05FC9"/>
    <w:rsid w:val="00D068AD"/>
    <w:rsid w:val="00D06A63"/>
    <w:rsid w:val="00D07834"/>
    <w:rsid w:val="00D07CA3"/>
    <w:rsid w:val="00D07E0E"/>
    <w:rsid w:val="00D111D6"/>
    <w:rsid w:val="00D11478"/>
    <w:rsid w:val="00D11FE5"/>
    <w:rsid w:val="00D12962"/>
    <w:rsid w:val="00D13BCC"/>
    <w:rsid w:val="00D1423E"/>
    <w:rsid w:val="00D14D9A"/>
    <w:rsid w:val="00D14EA8"/>
    <w:rsid w:val="00D15ED0"/>
    <w:rsid w:val="00D165AD"/>
    <w:rsid w:val="00D16A90"/>
    <w:rsid w:val="00D17FA3"/>
    <w:rsid w:val="00D2003D"/>
    <w:rsid w:val="00D208EA"/>
    <w:rsid w:val="00D20960"/>
    <w:rsid w:val="00D21281"/>
    <w:rsid w:val="00D214FB"/>
    <w:rsid w:val="00D21B3E"/>
    <w:rsid w:val="00D21FED"/>
    <w:rsid w:val="00D22528"/>
    <w:rsid w:val="00D227D8"/>
    <w:rsid w:val="00D23E6E"/>
    <w:rsid w:val="00D24251"/>
    <w:rsid w:val="00D24CF9"/>
    <w:rsid w:val="00D24E2B"/>
    <w:rsid w:val="00D26542"/>
    <w:rsid w:val="00D27243"/>
    <w:rsid w:val="00D317CA"/>
    <w:rsid w:val="00D318A9"/>
    <w:rsid w:val="00D32208"/>
    <w:rsid w:val="00D324DF"/>
    <w:rsid w:val="00D331E4"/>
    <w:rsid w:val="00D33624"/>
    <w:rsid w:val="00D33965"/>
    <w:rsid w:val="00D3415C"/>
    <w:rsid w:val="00D343E2"/>
    <w:rsid w:val="00D361A2"/>
    <w:rsid w:val="00D36F39"/>
    <w:rsid w:val="00D372DC"/>
    <w:rsid w:val="00D375B3"/>
    <w:rsid w:val="00D405CB"/>
    <w:rsid w:val="00D410EB"/>
    <w:rsid w:val="00D41BB0"/>
    <w:rsid w:val="00D42B28"/>
    <w:rsid w:val="00D439BE"/>
    <w:rsid w:val="00D448FA"/>
    <w:rsid w:val="00D44C2E"/>
    <w:rsid w:val="00D44F97"/>
    <w:rsid w:val="00D45414"/>
    <w:rsid w:val="00D45657"/>
    <w:rsid w:val="00D462CC"/>
    <w:rsid w:val="00D46A57"/>
    <w:rsid w:val="00D47217"/>
    <w:rsid w:val="00D5021E"/>
    <w:rsid w:val="00D50BA0"/>
    <w:rsid w:val="00D50E35"/>
    <w:rsid w:val="00D510F9"/>
    <w:rsid w:val="00D543BC"/>
    <w:rsid w:val="00D566BD"/>
    <w:rsid w:val="00D57A4D"/>
    <w:rsid w:val="00D57D00"/>
    <w:rsid w:val="00D57FB6"/>
    <w:rsid w:val="00D60AA7"/>
    <w:rsid w:val="00D61BEB"/>
    <w:rsid w:val="00D630E9"/>
    <w:rsid w:val="00D639BC"/>
    <w:rsid w:val="00D64235"/>
    <w:rsid w:val="00D643B8"/>
    <w:rsid w:val="00D65123"/>
    <w:rsid w:val="00D658D6"/>
    <w:rsid w:val="00D6657E"/>
    <w:rsid w:val="00D6779F"/>
    <w:rsid w:val="00D67F8B"/>
    <w:rsid w:val="00D714FB"/>
    <w:rsid w:val="00D71C2C"/>
    <w:rsid w:val="00D7202F"/>
    <w:rsid w:val="00D72E18"/>
    <w:rsid w:val="00D731A5"/>
    <w:rsid w:val="00D732C5"/>
    <w:rsid w:val="00D73610"/>
    <w:rsid w:val="00D74A33"/>
    <w:rsid w:val="00D74D95"/>
    <w:rsid w:val="00D75354"/>
    <w:rsid w:val="00D75E28"/>
    <w:rsid w:val="00D76797"/>
    <w:rsid w:val="00D772C2"/>
    <w:rsid w:val="00D77495"/>
    <w:rsid w:val="00D779AA"/>
    <w:rsid w:val="00D77C13"/>
    <w:rsid w:val="00D8008E"/>
    <w:rsid w:val="00D80961"/>
    <w:rsid w:val="00D82C45"/>
    <w:rsid w:val="00D82F62"/>
    <w:rsid w:val="00D83059"/>
    <w:rsid w:val="00D84AD8"/>
    <w:rsid w:val="00D84FFB"/>
    <w:rsid w:val="00D86D48"/>
    <w:rsid w:val="00D87076"/>
    <w:rsid w:val="00D870A5"/>
    <w:rsid w:val="00D872C1"/>
    <w:rsid w:val="00D90582"/>
    <w:rsid w:val="00D908A8"/>
    <w:rsid w:val="00D93583"/>
    <w:rsid w:val="00D93A0C"/>
    <w:rsid w:val="00D93A2F"/>
    <w:rsid w:val="00D943C3"/>
    <w:rsid w:val="00D95765"/>
    <w:rsid w:val="00D95C2D"/>
    <w:rsid w:val="00D965BC"/>
    <w:rsid w:val="00D96864"/>
    <w:rsid w:val="00D97372"/>
    <w:rsid w:val="00D974D8"/>
    <w:rsid w:val="00D977B6"/>
    <w:rsid w:val="00D97A4F"/>
    <w:rsid w:val="00D97B32"/>
    <w:rsid w:val="00DA0177"/>
    <w:rsid w:val="00DA0C17"/>
    <w:rsid w:val="00DA1361"/>
    <w:rsid w:val="00DA16B0"/>
    <w:rsid w:val="00DA1A77"/>
    <w:rsid w:val="00DA1AAB"/>
    <w:rsid w:val="00DA22B9"/>
    <w:rsid w:val="00DA2DF6"/>
    <w:rsid w:val="00DA4A31"/>
    <w:rsid w:val="00DA4A91"/>
    <w:rsid w:val="00DA612F"/>
    <w:rsid w:val="00DA673D"/>
    <w:rsid w:val="00DA6812"/>
    <w:rsid w:val="00DA7B04"/>
    <w:rsid w:val="00DB339E"/>
    <w:rsid w:val="00DB36C2"/>
    <w:rsid w:val="00DB5017"/>
    <w:rsid w:val="00DB6E48"/>
    <w:rsid w:val="00DB7B13"/>
    <w:rsid w:val="00DC0438"/>
    <w:rsid w:val="00DC096E"/>
    <w:rsid w:val="00DC12F1"/>
    <w:rsid w:val="00DC169B"/>
    <w:rsid w:val="00DC17F2"/>
    <w:rsid w:val="00DC1983"/>
    <w:rsid w:val="00DC2AB9"/>
    <w:rsid w:val="00DC2AE1"/>
    <w:rsid w:val="00DC2FE2"/>
    <w:rsid w:val="00DC38EC"/>
    <w:rsid w:val="00DC4103"/>
    <w:rsid w:val="00DC566B"/>
    <w:rsid w:val="00DC63F0"/>
    <w:rsid w:val="00DC6543"/>
    <w:rsid w:val="00DC66D5"/>
    <w:rsid w:val="00DD0727"/>
    <w:rsid w:val="00DD1FE5"/>
    <w:rsid w:val="00DD34D5"/>
    <w:rsid w:val="00DD3576"/>
    <w:rsid w:val="00DD3AF2"/>
    <w:rsid w:val="00DD478B"/>
    <w:rsid w:val="00DD4810"/>
    <w:rsid w:val="00DD59E2"/>
    <w:rsid w:val="00DD637A"/>
    <w:rsid w:val="00DD689D"/>
    <w:rsid w:val="00DD6EE5"/>
    <w:rsid w:val="00DD6F3C"/>
    <w:rsid w:val="00DD70A3"/>
    <w:rsid w:val="00DD7905"/>
    <w:rsid w:val="00DD7A14"/>
    <w:rsid w:val="00DE06B9"/>
    <w:rsid w:val="00DE386C"/>
    <w:rsid w:val="00DE41A9"/>
    <w:rsid w:val="00DE4D35"/>
    <w:rsid w:val="00DE6E07"/>
    <w:rsid w:val="00DF098B"/>
    <w:rsid w:val="00DF11C4"/>
    <w:rsid w:val="00DF1F07"/>
    <w:rsid w:val="00DF210C"/>
    <w:rsid w:val="00DF297D"/>
    <w:rsid w:val="00DF420F"/>
    <w:rsid w:val="00DF4B6A"/>
    <w:rsid w:val="00DF6FC0"/>
    <w:rsid w:val="00DF7392"/>
    <w:rsid w:val="00E0104D"/>
    <w:rsid w:val="00E02C09"/>
    <w:rsid w:val="00E038C3"/>
    <w:rsid w:val="00E04839"/>
    <w:rsid w:val="00E04D59"/>
    <w:rsid w:val="00E0503D"/>
    <w:rsid w:val="00E055B7"/>
    <w:rsid w:val="00E059E7"/>
    <w:rsid w:val="00E07DA1"/>
    <w:rsid w:val="00E108FF"/>
    <w:rsid w:val="00E10BFC"/>
    <w:rsid w:val="00E11519"/>
    <w:rsid w:val="00E11DF7"/>
    <w:rsid w:val="00E123CB"/>
    <w:rsid w:val="00E125F6"/>
    <w:rsid w:val="00E13161"/>
    <w:rsid w:val="00E136EA"/>
    <w:rsid w:val="00E14941"/>
    <w:rsid w:val="00E14A5F"/>
    <w:rsid w:val="00E15AD4"/>
    <w:rsid w:val="00E16F65"/>
    <w:rsid w:val="00E172F4"/>
    <w:rsid w:val="00E17357"/>
    <w:rsid w:val="00E17370"/>
    <w:rsid w:val="00E1774F"/>
    <w:rsid w:val="00E20986"/>
    <w:rsid w:val="00E20D3A"/>
    <w:rsid w:val="00E20E13"/>
    <w:rsid w:val="00E20F66"/>
    <w:rsid w:val="00E21DBC"/>
    <w:rsid w:val="00E22D9F"/>
    <w:rsid w:val="00E23676"/>
    <w:rsid w:val="00E2448A"/>
    <w:rsid w:val="00E24704"/>
    <w:rsid w:val="00E249FB"/>
    <w:rsid w:val="00E25194"/>
    <w:rsid w:val="00E254A9"/>
    <w:rsid w:val="00E255CC"/>
    <w:rsid w:val="00E25A68"/>
    <w:rsid w:val="00E26627"/>
    <w:rsid w:val="00E27464"/>
    <w:rsid w:val="00E275D7"/>
    <w:rsid w:val="00E27DBE"/>
    <w:rsid w:val="00E3037A"/>
    <w:rsid w:val="00E30A85"/>
    <w:rsid w:val="00E3157E"/>
    <w:rsid w:val="00E32AB1"/>
    <w:rsid w:val="00E340F8"/>
    <w:rsid w:val="00E341BB"/>
    <w:rsid w:val="00E357D5"/>
    <w:rsid w:val="00E36C71"/>
    <w:rsid w:val="00E40404"/>
    <w:rsid w:val="00E41048"/>
    <w:rsid w:val="00E4307A"/>
    <w:rsid w:val="00E448B8"/>
    <w:rsid w:val="00E44946"/>
    <w:rsid w:val="00E449E4"/>
    <w:rsid w:val="00E44CA4"/>
    <w:rsid w:val="00E452B3"/>
    <w:rsid w:val="00E467C8"/>
    <w:rsid w:val="00E4725F"/>
    <w:rsid w:val="00E47589"/>
    <w:rsid w:val="00E50975"/>
    <w:rsid w:val="00E516B7"/>
    <w:rsid w:val="00E51D7B"/>
    <w:rsid w:val="00E522C0"/>
    <w:rsid w:val="00E533FB"/>
    <w:rsid w:val="00E53ABC"/>
    <w:rsid w:val="00E5462C"/>
    <w:rsid w:val="00E54BB7"/>
    <w:rsid w:val="00E54BFE"/>
    <w:rsid w:val="00E559F0"/>
    <w:rsid w:val="00E55DCF"/>
    <w:rsid w:val="00E56840"/>
    <w:rsid w:val="00E60C04"/>
    <w:rsid w:val="00E6114B"/>
    <w:rsid w:val="00E621EE"/>
    <w:rsid w:val="00E6388F"/>
    <w:rsid w:val="00E64915"/>
    <w:rsid w:val="00E6589A"/>
    <w:rsid w:val="00E661D4"/>
    <w:rsid w:val="00E66878"/>
    <w:rsid w:val="00E66E30"/>
    <w:rsid w:val="00E67D04"/>
    <w:rsid w:val="00E70091"/>
    <w:rsid w:val="00E70A6F"/>
    <w:rsid w:val="00E710F9"/>
    <w:rsid w:val="00E719BC"/>
    <w:rsid w:val="00E720F5"/>
    <w:rsid w:val="00E7226F"/>
    <w:rsid w:val="00E72347"/>
    <w:rsid w:val="00E727BF"/>
    <w:rsid w:val="00E7362C"/>
    <w:rsid w:val="00E751A3"/>
    <w:rsid w:val="00E7527A"/>
    <w:rsid w:val="00E759F9"/>
    <w:rsid w:val="00E75C22"/>
    <w:rsid w:val="00E76A79"/>
    <w:rsid w:val="00E76D47"/>
    <w:rsid w:val="00E80698"/>
    <w:rsid w:val="00E8150F"/>
    <w:rsid w:val="00E83B93"/>
    <w:rsid w:val="00E842E2"/>
    <w:rsid w:val="00E84860"/>
    <w:rsid w:val="00E849F7"/>
    <w:rsid w:val="00E84C09"/>
    <w:rsid w:val="00E86FCC"/>
    <w:rsid w:val="00E873D9"/>
    <w:rsid w:val="00E87ACB"/>
    <w:rsid w:val="00E90302"/>
    <w:rsid w:val="00E907D9"/>
    <w:rsid w:val="00E926FA"/>
    <w:rsid w:val="00E94B5A"/>
    <w:rsid w:val="00E94EB9"/>
    <w:rsid w:val="00E97396"/>
    <w:rsid w:val="00E976B6"/>
    <w:rsid w:val="00E97BC4"/>
    <w:rsid w:val="00EA015A"/>
    <w:rsid w:val="00EA185E"/>
    <w:rsid w:val="00EA2229"/>
    <w:rsid w:val="00EA35E8"/>
    <w:rsid w:val="00EA39E2"/>
    <w:rsid w:val="00EA3CBE"/>
    <w:rsid w:val="00EA4EF4"/>
    <w:rsid w:val="00EA55DF"/>
    <w:rsid w:val="00EA592A"/>
    <w:rsid w:val="00EA5F43"/>
    <w:rsid w:val="00EA75A7"/>
    <w:rsid w:val="00EB149C"/>
    <w:rsid w:val="00EB2685"/>
    <w:rsid w:val="00EB32A5"/>
    <w:rsid w:val="00EB33DE"/>
    <w:rsid w:val="00EB34ED"/>
    <w:rsid w:val="00EB39D1"/>
    <w:rsid w:val="00EB52DF"/>
    <w:rsid w:val="00EB53A5"/>
    <w:rsid w:val="00EB5BA0"/>
    <w:rsid w:val="00EB6981"/>
    <w:rsid w:val="00EB7BE0"/>
    <w:rsid w:val="00EC0019"/>
    <w:rsid w:val="00EC07F2"/>
    <w:rsid w:val="00EC102F"/>
    <w:rsid w:val="00EC12D1"/>
    <w:rsid w:val="00EC12D3"/>
    <w:rsid w:val="00EC30FE"/>
    <w:rsid w:val="00EC315E"/>
    <w:rsid w:val="00EC3215"/>
    <w:rsid w:val="00EC5063"/>
    <w:rsid w:val="00EC61FF"/>
    <w:rsid w:val="00EC6D89"/>
    <w:rsid w:val="00ED077C"/>
    <w:rsid w:val="00ED09E1"/>
    <w:rsid w:val="00ED0B9D"/>
    <w:rsid w:val="00ED1190"/>
    <w:rsid w:val="00ED2544"/>
    <w:rsid w:val="00ED2706"/>
    <w:rsid w:val="00ED2E0E"/>
    <w:rsid w:val="00ED3C13"/>
    <w:rsid w:val="00ED3EA3"/>
    <w:rsid w:val="00ED48A6"/>
    <w:rsid w:val="00ED4F33"/>
    <w:rsid w:val="00ED4F34"/>
    <w:rsid w:val="00ED5ECA"/>
    <w:rsid w:val="00ED5F01"/>
    <w:rsid w:val="00ED6544"/>
    <w:rsid w:val="00EE0277"/>
    <w:rsid w:val="00EE0F97"/>
    <w:rsid w:val="00EE1B04"/>
    <w:rsid w:val="00EE2DC6"/>
    <w:rsid w:val="00EE3A38"/>
    <w:rsid w:val="00EE3D48"/>
    <w:rsid w:val="00EE3E00"/>
    <w:rsid w:val="00EE6415"/>
    <w:rsid w:val="00EE7380"/>
    <w:rsid w:val="00EF12C2"/>
    <w:rsid w:val="00EF2E08"/>
    <w:rsid w:val="00EF327B"/>
    <w:rsid w:val="00EF32A6"/>
    <w:rsid w:val="00EF4631"/>
    <w:rsid w:val="00EF53F5"/>
    <w:rsid w:val="00EF7084"/>
    <w:rsid w:val="00EF7399"/>
    <w:rsid w:val="00EF774A"/>
    <w:rsid w:val="00F006EA"/>
    <w:rsid w:val="00F00A79"/>
    <w:rsid w:val="00F00CD1"/>
    <w:rsid w:val="00F00E86"/>
    <w:rsid w:val="00F00FE5"/>
    <w:rsid w:val="00F02AFF"/>
    <w:rsid w:val="00F02FCE"/>
    <w:rsid w:val="00F04008"/>
    <w:rsid w:val="00F042CA"/>
    <w:rsid w:val="00F04C3E"/>
    <w:rsid w:val="00F06E62"/>
    <w:rsid w:val="00F0745A"/>
    <w:rsid w:val="00F07C1E"/>
    <w:rsid w:val="00F07CB8"/>
    <w:rsid w:val="00F105DB"/>
    <w:rsid w:val="00F10D88"/>
    <w:rsid w:val="00F11699"/>
    <w:rsid w:val="00F11797"/>
    <w:rsid w:val="00F132BC"/>
    <w:rsid w:val="00F14DCC"/>
    <w:rsid w:val="00F14F9B"/>
    <w:rsid w:val="00F15ED7"/>
    <w:rsid w:val="00F16AAA"/>
    <w:rsid w:val="00F16BFF"/>
    <w:rsid w:val="00F21161"/>
    <w:rsid w:val="00F218EF"/>
    <w:rsid w:val="00F21BC7"/>
    <w:rsid w:val="00F21D17"/>
    <w:rsid w:val="00F23560"/>
    <w:rsid w:val="00F24279"/>
    <w:rsid w:val="00F24527"/>
    <w:rsid w:val="00F247E0"/>
    <w:rsid w:val="00F25788"/>
    <w:rsid w:val="00F264EE"/>
    <w:rsid w:val="00F266A2"/>
    <w:rsid w:val="00F26B46"/>
    <w:rsid w:val="00F26BB9"/>
    <w:rsid w:val="00F3017B"/>
    <w:rsid w:val="00F320AE"/>
    <w:rsid w:val="00F32269"/>
    <w:rsid w:val="00F32D61"/>
    <w:rsid w:val="00F350B3"/>
    <w:rsid w:val="00F35D5C"/>
    <w:rsid w:val="00F361E4"/>
    <w:rsid w:val="00F3621D"/>
    <w:rsid w:val="00F40CBA"/>
    <w:rsid w:val="00F41E8A"/>
    <w:rsid w:val="00F42018"/>
    <w:rsid w:val="00F43EAE"/>
    <w:rsid w:val="00F45274"/>
    <w:rsid w:val="00F453AA"/>
    <w:rsid w:val="00F4575F"/>
    <w:rsid w:val="00F45A29"/>
    <w:rsid w:val="00F4755B"/>
    <w:rsid w:val="00F478A4"/>
    <w:rsid w:val="00F503D0"/>
    <w:rsid w:val="00F50836"/>
    <w:rsid w:val="00F51596"/>
    <w:rsid w:val="00F51892"/>
    <w:rsid w:val="00F519B6"/>
    <w:rsid w:val="00F527B3"/>
    <w:rsid w:val="00F53BAB"/>
    <w:rsid w:val="00F5476B"/>
    <w:rsid w:val="00F55438"/>
    <w:rsid w:val="00F569D5"/>
    <w:rsid w:val="00F56A6F"/>
    <w:rsid w:val="00F5707E"/>
    <w:rsid w:val="00F5709C"/>
    <w:rsid w:val="00F570B3"/>
    <w:rsid w:val="00F5750C"/>
    <w:rsid w:val="00F57CA3"/>
    <w:rsid w:val="00F614D8"/>
    <w:rsid w:val="00F61B94"/>
    <w:rsid w:val="00F620CA"/>
    <w:rsid w:val="00F62E41"/>
    <w:rsid w:val="00F630C4"/>
    <w:rsid w:val="00F6406C"/>
    <w:rsid w:val="00F64E7B"/>
    <w:rsid w:val="00F64EF1"/>
    <w:rsid w:val="00F66801"/>
    <w:rsid w:val="00F66876"/>
    <w:rsid w:val="00F672AA"/>
    <w:rsid w:val="00F70204"/>
    <w:rsid w:val="00F71295"/>
    <w:rsid w:val="00F712A9"/>
    <w:rsid w:val="00F71BFA"/>
    <w:rsid w:val="00F73A9F"/>
    <w:rsid w:val="00F73C59"/>
    <w:rsid w:val="00F745BA"/>
    <w:rsid w:val="00F74C24"/>
    <w:rsid w:val="00F77054"/>
    <w:rsid w:val="00F7709B"/>
    <w:rsid w:val="00F77AD2"/>
    <w:rsid w:val="00F81C6C"/>
    <w:rsid w:val="00F82285"/>
    <w:rsid w:val="00F830CB"/>
    <w:rsid w:val="00F841BA"/>
    <w:rsid w:val="00F84DCC"/>
    <w:rsid w:val="00F86367"/>
    <w:rsid w:val="00F86488"/>
    <w:rsid w:val="00F87617"/>
    <w:rsid w:val="00F8765F"/>
    <w:rsid w:val="00F90767"/>
    <w:rsid w:val="00F90D53"/>
    <w:rsid w:val="00F915CF"/>
    <w:rsid w:val="00F91CB3"/>
    <w:rsid w:val="00F92C09"/>
    <w:rsid w:val="00F92CE6"/>
    <w:rsid w:val="00F9686D"/>
    <w:rsid w:val="00F96967"/>
    <w:rsid w:val="00F975C1"/>
    <w:rsid w:val="00F9763D"/>
    <w:rsid w:val="00F97909"/>
    <w:rsid w:val="00FA0ECD"/>
    <w:rsid w:val="00FA16E1"/>
    <w:rsid w:val="00FA210A"/>
    <w:rsid w:val="00FA2970"/>
    <w:rsid w:val="00FA2A3C"/>
    <w:rsid w:val="00FA54B6"/>
    <w:rsid w:val="00FA620E"/>
    <w:rsid w:val="00FA659C"/>
    <w:rsid w:val="00FA685B"/>
    <w:rsid w:val="00FA686B"/>
    <w:rsid w:val="00FA73F0"/>
    <w:rsid w:val="00FA771A"/>
    <w:rsid w:val="00FB034F"/>
    <w:rsid w:val="00FB0C01"/>
    <w:rsid w:val="00FB11CB"/>
    <w:rsid w:val="00FB162D"/>
    <w:rsid w:val="00FB3853"/>
    <w:rsid w:val="00FB3BA0"/>
    <w:rsid w:val="00FB3C67"/>
    <w:rsid w:val="00FB3E76"/>
    <w:rsid w:val="00FB3FCE"/>
    <w:rsid w:val="00FB643A"/>
    <w:rsid w:val="00FB7D26"/>
    <w:rsid w:val="00FC01C0"/>
    <w:rsid w:val="00FC18F2"/>
    <w:rsid w:val="00FC2B0D"/>
    <w:rsid w:val="00FC39E5"/>
    <w:rsid w:val="00FC3A78"/>
    <w:rsid w:val="00FC49B9"/>
    <w:rsid w:val="00FC501D"/>
    <w:rsid w:val="00FC59E0"/>
    <w:rsid w:val="00FC5BB8"/>
    <w:rsid w:val="00FC5FE6"/>
    <w:rsid w:val="00FC69E2"/>
    <w:rsid w:val="00FC77D6"/>
    <w:rsid w:val="00FC780F"/>
    <w:rsid w:val="00FD02DF"/>
    <w:rsid w:val="00FD03CC"/>
    <w:rsid w:val="00FD1005"/>
    <w:rsid w:val="00FD1034"/>
    <w:rsid w:val="00FD2094"/>
    <w:rsid w:val="00FD2435"/>
    <w:rsid w:val="00FD318A"/>
    <w:rsid w:val="00FD36D2"/>
    <w:rsid w:val="00FD4BDF"/>
    <w:rsid w:val="00FD54C8"/>
    <w:rsid w:val="00FD6887"/>
    <w:rsid w:val="00FD6916"/>
    <w:rsid w:val="00FD6A22"/>
    <w:rsid w:val="00FD6C75"/>
    <w:rsid w:val="00FD71F9"/>
    <w:rsid w:val="00FE0C2C"/>
    <w:rsid w:val="00FE1494"/>
    <w:rsid w:val="00FE2104"/>
    <w:rsid w:val="00FE4300"/>
    <w:rsid w:val="00FE490D"/>
    <w:rsid w:val="00FE52C1"/>
    <w:rsid w:val="00FE6087"/>
    <w:rsid w:val="00FE68D3"/>
    <w:rsid w:val="00FE71B3"/>
    <w:rsid w:val="00FF0404"/>
    <w:rsid w:val="00FF222B"/>
    <w:rsid w:val="00FF40F4"/>
    <w:rsid w:val="00FF42C5"/>
    <w:rsid w:val="00FF4681"/>
    <w:rsid w:val="00FF4961"/>
    <w:rsid w:val="00FF4FA9"/>
    <w:rsid w:val="00FF596B"/>
    <w:rsid w:val="00FF78B0"/>
    <w:rsid w:val="00FF7CBE"/>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40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614D8"/>
    <w:rPr>
      <w:noProof/>
      <w:lang w:val="af-ZA"/>
    </w:rPr>
  </w:style>
  <w:style w:type="paragraph" w:styleId="Heading1">
    <w:name w:val="heading 1"/>
    <w:basedOn w:val="Normal"/>
    <w:next w:val="Normal"/>
    <w:link w:val="Heading1Char"/>
    <w:uiPriority w:val="99"/>
    <w:semiHidden/>
    <w:rsid w:val="006A5211"/>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6A5211"/>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6A5211"/>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6A5211"/>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A5211"/>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6A5211"/>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A5211"/>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6A5211"/>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A5211"/>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A5211"/>
    <w:rPr>
      <w:rFonts w:ascii="Tahoma" w:hAnsi="Tahoma" w:cs="Tahoma"/>
      <w:sz w:val="16"/>
      <w:szCs w:val="16"/>
    </w:rPr>
  </w:style>
  <w:style w:type="character" w:customStyle="1" w:styleId="BalloonTextChar">
    <w:name w:val="Balloon Text Char"/>
    <w:basedOn w:val="DefaultParagraphFont"/>
    <w:link w:val="BalloonText"/>
    <w:uiPriority w:val="99"/>
    <w:semiHidden/>
    <w:rsid w:val="006A5211"/>
    <w:rPr>
      <w:rFonts w:ascii="Tahoma" w:hAnsi="Tahoma" w:cs="Tahoma"/>
      <w:sz w:val="16"/>
      <w:szCs w:val="16"/>
    </w:rPr>
  </w:style>
  <w:style w:type="character" w:styleId="BookTitle">
    <w:name w:val="Book Title"/>
    <w:uiPriority w:val="99"/>
    <w:semiHidden/>
    <w:qFormat/>
    <w:rsid w:val="006A5211"/>
    <w:rPr>
      <w:i/>
      <w:iCs/>
      <w:smallCaps/>
      <w:spacing w:val="5"/>
    </w:rPr>
  </w:style>
  <w:style w:type="character" w:styleId="Strong">
    <w:name w:val="Strong"/>
    <w:uiPriority w:val="99"/>
    <w:semiHidden/>
    <w:qFormat/>
    <w:rsid w:val="006A5211"/>
    <w:rPr>
      <w:b/>
      <w:bCs/>
    </w:rPr>
  </w:style>
  <w:style w:type="paragraph" w:styleId="NoSpacing">
    <w:name w:val="No Spacing"/>
    <w:basedOn w:val="Normal"/>
    <w:link w:val="NoSpacingChar"/>
    <w:semiHidden/>
    <w:qFormat/>
    <w:rsid w:val="006A5211"/>
  </w:style>
  <w:style w:type="character" w:customStyle="1" w:styleId="NoSpacingChar">
    <w:name w:val="No Spacing Char"/>
    <w:basedOn w:val="DefaultParagraphFont"/>
    <w:link w:val="NoSpacing"/>
    <w:semiHidden/>
    <w:rsid w:val="006A5211"/>
  </w:style>
  <w:style w:type="paragraph" w:customStyle="1" w:styleId="ECHRHeader">
    <w:name w:val="ECHR_Header"/>
    <w:aliases w:val="Top_Header"/>
    <w:basedOn w:val="Header"/>
    <w:uiPriority w:val="39"/>
    <w:rsid w:val="002637D9"/>
    <w:pPr>
      <w:ind w:left="0" w:right="0"/>
      <w:jc w:val="center"/>
    </w:pPr>
    <w:rPr>
      <w:sz w:val="20"/>
      <w:lang w:val="en-GB"/>
    </w:rPr>
  </w:style>
  <w:style w:type="paragraph" w:customStyle="1" w:styleId="ECHRFooter">
    <w:name w:val="ECHR_Footer"/>
    <w:aliases w:val="Footer_ECHR"/>
    <w:basedOn w:val="Footer"/>
    <w:uiPriority w:val="40"/>
    <w:rsid w:val="002637D9"/>
    <w:pPr>
      <w:tabs>
        <w:tab w:val="clear" w:pos="9696"/>
        <w:tab w:val="right" w:pos="9072"/>
      </w:tabs>
      <w:ind w:left="0" w:right="0"/>
    </w:pPr>
    <w:rPr>
      <w:sz w:val="20"/>
      <w:lang w:val="en-GB"/>
    </w:rPr>
  </w:style>
  <w:style w:type="paragraph" w:customStyle="1" w:styleId="ECHRCoverTitle1">
    <w:name w:val="ECHR_Cover_Title_1"/>
    <w:aliases w:val="Cover_1"/>
    <w:basedOn w:val="Normal"/>
    <w:next w:val="ECHRCoverTitle2"/>
    <w:uiPriority w:val="24"/>
    <w:qFormat/>
    <w:rsid w:val="00564A79"/>
    <w:pPr>
      <w:spacing w:before="1800"/>
      <w:contextualSpacing/>
      <w:jc w:val="center"/>
    </w:pPr>
    <w:rPr>
      <w:color w:val="2F2F2F" w:themeColor="accent3" w:themeShade="80"/>
      <w:sz w:val="36"/>
      <w:lang w:val="en-GB"/>
    </w:rPr>
  </w:style>
  <w:style w:type="paragraph" w:customStyle="1" w:styleId="ECHRCoverTitle2">
    <w:name w:val="ECHR_Cover_Title_2"/>
    <w:aliases w:val="Cover_2"/>
    <w:basedOn w:val="Normal"/>
    <w:next w:val="ECHRCoverTitle3"/>
    <w:uiPriority w:val="24"/>
    <w:qFormat/>
    <w:rsid w:val="00564A79"/>
    <w:pPr>
      <w:pBdr>
        <w:top w:val="single" w:sz="12" w:space="31" w:color="949494" w:themeColor="text2" w:themeShade="BF"/>
      </w:pBdr>
      <w:spacing w:before="600"/>
      <w:ind w:left="2268" w:right="2268"/>
      <w:contextualSpacing/>
      <w:jc w:val="center"/>
    </w:pPr>
    <w:rPr>
      <w:rFonts w:asciiTheme="majorHAnsi" w:hAnsiTheme="majorHAnsi"/>
      <w:color w:val="2F2F2F" w:themeColor="accent3" w:themeShade="80"/>
      <w:sz w:val="32"/>
      <w:lang w:val="en-GB"/>
    </w:rPr>
  </w:style>
  <w:style w:type="paragraph" w:styleId="Title">
    <w:name w:val="Title"/>
    <w:basedOn w:val="Normal"/>
    <w:next w:val="Normal"/>
    <w:link w:val="TitleChar"/>
    <w:uiPriority w:val="99"/>
    <w:semiHidden/>
    <w:qFormat/>
    <w:rsid w:val="006A521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A5211"/>
    <w:rPr>
      <w:rFonts w:asciiTheme="majorHAnsi" w:eastAsiaTheme="majorEastAsia" w:hAnsiTheme="majorHAnsi" w:cstheme="majorBidi"/>
      <w:spacing w:val="5"/>
      <w:sz w:val="52"/>
      <w:szCs w:val="52"/>
      <w:lang w:bidi="en-US"/>
    </w:rPr>
  </w:style>
  <w:style w:type="paragraph" w:customStyle="1" w:styleId="ECHRCoverTitle3">
    <w:name w:val="ECHR_Cover_Title_3"/>
    <w:aliases w:val="Cover_3"/>
    <w:basedOn w:val="Normal"/>
    <w:next w:val="Normal"/>
    <w:uiPriority w:val="24"/>
    <w:qFormat/>
    <w:rsid w:val="00564A79"/>
    <w:pPr>
      <w:spacing w:before="1680" w:after="1080"/>
      <w:contextualSpacing/>
      <w:jc w:val="center"/>
    </w:pPr>
    <w:rPr>
      <w:color w:val="2F2F2F" w:themeColor="accent3" w:themeShade="80"/>
      <w:sz w:val="24"/>
      <w:lang w:val="en-GB"/>
    </w:rPr>
  </w:style>
  <w:style w:type="paragraph" w:customStyle="1" w:styleId="ECHRTitle2">
    <w:name w:val="ECHR_Title_2"/>
    <w:aliases w:val="Title_L_2"/>
    <w:basedOn w:val="Normal"/>
    <w:next w:val="ECHRParaSpaced"/>
    <w:uiPriority w:val="20"/>
    <w:qFormat/>
    <w:rsid w:val="00564A79"/>
    <w:pPr>
      <w:keepNext/>
      <w:keepLines/>
      <w:spacing w:before="240"/>
      <w:contextualSpacing/>
    </w:pPr>
    <w:rPr>
      <w:rFonts w:asciiTheme="majorHAnsi" w:hAnsiTheme="majorHAnsi"/>
      <w:b/>
      <w:color w:val="474747" w:themeColor="accent3" w:themeShade="BF"/>
      <w:sz w:val="32"/>
      <w:lang w:val="en-GB"/>
    </w:rPr>
  </w:style>
  <w:style w:type="paragraph" w:customStyle="1" w:styleId="ECHRTitleCentre3">
    <w:name w:val="ECHR_Title_Centre_3"/>
    <w:aliases w:val="Title_C_3"/>
    <w:basedOn w:val="Normal"/>
    <w:next w:val="ECHRParaSpaced"/>
    <w:uiPriority w:val="17"/>
    <w:qFormat/>
    <w:rsid w:val="00564A79"/>
    <w:pPr>
      <w:keepNext/>
      <w:keepLines/>
      <w:spacing w:before="240"/>
      <w:contextualSpacing/>
      <w:jc w:val="center"/>
    </w:pPr>
    <w:rPr>
      <w:rFonts w:asciiTheme="majorHAnsi" w:hAnsiTheme="majorHAnsi"/>
      <w:b/>
      <w:color w:val="474747" w:themeColor="accent3" w:themeShade="BF"/>
      <w:sz w:val="28"/>
      <w:lang w:val="en-GB"/>
    </w:rPr>
  </w:style>
  <w:style w:type="paragraph" w:customStyle="1" w:styleId="ECHRTitle3">
    <w:name w:val="ECHR_Title_3"/>
    <w:aliases w:val="Title_L_3"/>
    <w:basedOn w:val="Normal"/>
    <w:next w:val="ECHRParaSpaced"/>
    <w:uiPriority w:val="20"/>
    <w:qFormat/>
    <w:rsid w:val="00564A79"/>
    <w:pPr>
      <w:keepNext/>
      <w:keepLines/>
      <w:spacing w:before="240"/>
      <w:contextualSpacing/>
    </w:pPr>
    <w:rPr>
      <w:rFonts w:asciiTheme="majorHAnsi" w:hAnsiTheme="majorHAnsi"/>
      <w:b/>
      <w:color w:val="474747" w:themeColor="accent3" w:themeShade="BF"/>
      <w:sz w:val="28"/>
      <w:lang w:val="en-GB"/>
    </w:rPr>
  </w:style>
  <w:style w:type="paragraph" w:customStyle="1" w:styleId="ECHRParaSpaced">
    <w:name w:val="ECHR_Para_Spaced"/>
    <w:aliases w:val="Para_Spaced,_Para_Spaced"/>
    <w:basedOn w:val="ECHRPara"/>
    <w:link w:val="ECHRParaSpacedChar"/>
    <w:uiPriority w:val="5"/>
    <w:qFormat/>
    <w:rsid w:val="00564A79"/>
    <w:pPr>
      <w:spacing w:before="120" w:after="120"/>
    </w:pPr>
    <w:rPr>
      <w:lang w:val="en-GB"/>
    </w:rPr>
  </w:style>
  <w:style w:type="paragraph" w:customStyle="1" w:styleId="ECHRFooterLine">
    <w:name w:val="ECHR_Footer_Line"/>
    <w:aliases w:val="Footer_Line"/>
    <w:basedOn w:val="Normal"/>
    <w:next w:val="ECHRPara"/>
    <w:uiPriority w:val="41"/>
    <w:rsid w:val="006A5211"/>
    <w:pPr>
      <w:pBdr>
        <w:top w:val="single" w:sz="12" w:space="1" w:color="9F9F9F" w:themeColor="accent3" w:themeTint="99"/>
      </w:pBdr>
      <w:tabs>
        <w:tab w:val="center" w:pos="4536"/>
        <w:tab w:val="right" w:pos="9696"/>
      </w:tabs>
      <w:ind w:left="-680" w:right="-680"/>
    </w:pPr>
    <w:rPr>
      <w:color w:val="474747" w:themeColor="accent3" w:themeShade="BF"/>
    </w:rPr>
  </w:style>
  <w:style w:type="paragraph" w:styleId="Header">
    <w:name w:val="header"/>
    <w:basedOn w:val="Normal"/>
    <w:link w:val="HeaderChar"/>
    <w:uiPriority w:val="48"/>
    <w:rsid w:val="006A5211"/>
    <w:pPr>
      <w:tabs>
        <w:tab w:val="center" w:pos="4536"/>
        <w:tab w:val="right" w:pos="9696"/>
      </w:tabs>
      <w:ind w:left="-680" w:right="-680"/>
    </w:pPr>
  </w:style>
  <w:style w:type="character" w:customStyle="1" w:styleId="HeaderChar">
    <w:name w:val="Header Char"/>
    <w:basedOn w:val="DefaultParagraphFont"/>
    <w:link w:val="Header"/>
    <w:uiPriority w:val="48"/>
    <w:rsid w:val="006A5211"/>
  </w:style>
  <w:style w:type="character" w:customStyle="1" w:styleId="Heading1Char">
    <w:name w:val="Heading 1 Char"/>
    <w:basedOn w:val="DefaultParagraphFont"/>
    <w:link w:val="Heading1"/>
    <w:uiPriority w:val="99"/>
    <w:semiHidden/>
    <w:rsid w:val="006A5211"/>
    <w:rPr>
      <w:rFonts w:asciiTheme="majorHAnsi" w:eastAsiaTheme="majorEastAsia" w:hAnsiTheme="majorHAnsi" w:cstheme="majorBidi"/>
      <w:b/>
      <w:bCs/>
      <w:color w:val="333333"/>
      <w:sz w:val="28"/>
      <w:szCs w:val="28"/>
    </w:rPr>
  </w:style>
  <w:style w:type="paragraph" w:customStyle="1" w:styleId="ECHRHeading1">
    <w:name w:val="ECHR_Heading_1"/>
    <w:aliases w:val="Head_1"/>
    <w:basedOn w:val="Heading1"/>
    <w:next w:val="ECHRParaSpaced"/>
    <w:uiPriority w:val="14"/>
    <w:qFormat/>
    <w:rsid w:val="00564A79"/>
    <w:pPr>
      <w:keepNext/>
      <w:keepLines/>
      <w:numPr>
        <w:numId w:val="36"/>
      </w:numPr>
      <w:spacing w:before="600"/>
    </w:pPr>
    <w:rPr>
      <w:bCs w:val="0"/>
      <w:color w:val="2F2F2F" w:themeColor="accent3" w:themeShade="80"/>
      <w:sz w:val="36"/>
      <w:lang w:val="en-GB"/>
    </w:rPr>
  </w:style>
  <w:style w:type="paragraph" w:customStyle="1" w:styleId="ECHRHeading2">
    <w:name w:val="ECHR_Heading_2"/>
    <w:aliases w:val="Head_2"/>
    <w:basedOn w:val="Heading2"/>
    <w:next w:val="ECHRParaSpaced"/>
    <w:uiPriority w:val="14"/>
    <w:qFormat/>
    <w:rsid w:val="00564A79"/>
    <w:pPr>
      <w:keepNext/>
      <w:keepLines/>
      <w:numPr>
        <w:ilvl w:val="1"/>
        <w:numId w:val="36"/>
      </w:numPr>
      <w:spacing w:before="360"/>
      <w:contextualSpacing/>
    </w:pPr>
    <w:rPr>
      <w:bCs w:val="0"/>
      <w:color w:val="2F2F2F" w:themeColor="accent3" w:themeShade="80"/>
      <w:sz w:val="32"/>
      <w:lang w:val="en-GB"/>
    </w:rPr>
  </w:style>
  <w:style w:type="character" w:customStyle="1" w:styleId="Heading2Char">
    <w:name w:val="Heading 2 Char"/>
    <w:basedOn w:val="DefaultParagraphFont"/>
    <w:link w:val="Heading2"/>
    <w:uiPriority w:val="99"/>
    <w:semiHidden/>
    <w:rsid w:val="006A5211"/>
    <w:rPr>
      <w:rFonts w:asciiTheme="majorHAnsi" w:eastAsiaTheme="majorEastAsia" w:hAnsiTheme="majorHAnsi" w:cstheme="majorBidi"/>
      <w:b/>
      <w:bCs/>
      <w:color w:val="4D4D4D"/>
      <w:sz w:val="26"/>
      <w:szCs w:val="26"/>
    </w:rPr>
  </w:style>
  <w:style w:type="paragraph" w:customStyle="1" w:styleId="ECHRHeading3">
    <w:name w:val="ECHR_Heading_3"/>
    <w:aliases w:val="Head_3"/>
    <w:basedOn w:val="Heading3"/>
    <w:next w:val="ECHRParaSpaced"/>
    <w:uiPriority w:val="14"/>
    <w:qFormat/>
    <w:rsid w:val="00564A79"/>
    <w:pPr>
      <w:keepNext/>
      <w:keepLines/>
      <w:numPr>
        <w:ilvl w:val="2"/>
        <w:numId w:val="36"/>
      </w:numPr>
      <w:spacing w:before="240" w:line="240" w:lineRule="auto"/>
      <w:contextualSpacing/>
    </w:pPr>
    <w:rPr>
      <w:bCs w:val="0"/>
      <w:color w:val="2F2F2F" w:themeColor="accent3" w:themeShade="80"/>
      <w:sz w:val="28"/>
      <w:lang w:val="en-GB"/>
    </w:rPr>
  </w:style>
  <w:style w:type="paragraph" w:customStyle="1" w:styleId="ECHRHeading4">
    <w:name w:val="ECHR_Heading_4"/>
    <w:aliases w:val="Head_4"/>
    <w:basedOn w:val="Heading4"/>
    <w:next w:val="ECHRParaSpaced"/>
    <w:uiPriority w:val="14"/>
    <w:qFormat/>
    <w:rsid w:val="00564A79"/>
    <w:pPr>
      <w:keepNext/>
      <w:keepLines/>
      <w:numPr>
        <w:ilvl w:val="3"/>
        <w:numId w:val="36"/>
      </w:numPr>
      <w:spacing w:before="240"/>
      <w:contextualSpacing/>
    </w:pPr>
    <w:rPr>
      <w:bCs w:val="0"/>
      <w:i w:val="0"/>
      <w:iCs w:val="0"/>
      <w:color w:val="2F2F2F" w:themeColor="accent3" w:themeShade="80"/>
      <w:sz w:val="26"/>
      <w:lang w:val="en-GB"/>
    </w:rPr>
  </w:style>
  <w:style w:type="character" w:customStyle="1" w:styleId="Heading3Char">
    <w:name w:val="Heading 3 Char"/>
    <w:basedOn w:val="DefaultParagraphFont"/>
    <w:link w:val="Heading3"/>
    <w:uiPriority w:val="99"/>
    <w:semiHidden/>
    <w:rsid w:val="006A5211"/>
    <w:rPr>
      <w:rFonts w:asciiTheme="majorHAnsi" w:eastAsiaTheme="majorEastAsia" w:hAnsiTheme="majorHAnsi" w:cstheme="majorBidi"/>
      <w:b/>
      <w:bCs/>
      <w:color w:val="5F5F5F"/>
    </w:rPr>
  </w:style>
  <w:style w:type="paragraph" w:customStyle="1" w:styleId="ECHRHeading5">
    <w:name w:val="ECHR_Heading_5"/>
    <w:aliases w:val="Head_5"/>
    <w:basedOn w:val="Heading5"/>
    <w:next w:val="ECHRParaSpaced"/>
    <w:uiPriority w:val="14"/>
    <w:qFormat/>
    <w:rsid w:val="00564A79"/>
    <w:pPr>
      <w:keepNext/>
      <w:keepLines/>
      <w:numPr>
        <w:ilvl w:val="4"/>
        <w:numId w:val="36"/>
      </w:numPr>
      <w:spacing w:before="240"/>
      <w:contextualSpacing/>
    </w:pPr>
    <w:rPr>
      <w:bCs w:val="0"/>
      <w:color w:val="2F2F2F" w:themeColor="accent3" w:themeShade="80"/>
      <w:sz w:val="24"/>
      <w:lang w:val="en-GB"/>
    </w:rPr>
  </w:style>
  <w:style w:type="paragraph" w:customStyle="1" w:styleId="ECHRHeading6">
    <w:name w:val="ECHR_Heading_6"/>
    <w:aliases w:val="Head_6"/>
    <w:basedOn w:val="Heading6"/>
    <w:next w:val="ECHRParaSpaced"/>
    <w:uiPriority w:val="14"/>
    <w:rsid w:val="00564A79"/>
    <w:pPr>
      <w:keepNext/>
      <w:keepLines/>
      <w:numPr>
        <w:ilvl w:val="5"/>
        <w:numId w:val="36"/>
      </w:numPr>
      <w:spacing w:before="240" w:line="240" w:lineRule="auto"/>
      <w:contextualSpacing/>
    </w:pPr>
    <w:rPr>
      <w:color w:val="2F2F2F" w:themeColor="accent3" w:themeShade="80"/>
      <w:lang w:val="en-GB"/>
    </w:rPr>
  </w:style>
  <w:style w:type="character" w:customStyle="1" w:styleId="Heading4Char">
    <w:name w:val="Heading 4 Char"/>
    <w:basedOn w:val="DefaultParagraphFont"/>
    <w:link w:val="Heading4"/>
    <w:uiPriority w:val="99"/>
    <w:semiHidden/>
    <w:rsid w:val="006A5211"/>
    <w:rPr>
      <w:rFonts w:asciiTheme="majorHAnsi" w:eastAsiaTheme="majorEastAsia" w:hAnsiTheme="majorHAnsi" w:cstheme="majorBidi"/>
      <w:b/>
      <w:bCs/>
      <w:i/>
      <w:iCs/>
      <w:color w:val="777777"/>
    </w:rPr>
  </w:style>
  <w:style w:type="paragraph" w:customStyle="1" w:styleId="ECHRHeading7">
    <w:name w:val="ECHR_Heading_7"/>
    <w:aliases w:val="Head_7"/>
    <w:basedOn w:val="Heading7"/>
    <w:next w:val="ECHRParaSpaced"/>
    <w:uiPriority w:val="14"/>
    <w:rsid w:val="00564A79"/>
    <w:pPr>
      <w:keepNext/>
      <w:keepLines/>
      <w:numPr>
        <w:ilvl w:val="6"/>
        <w:numId w:val="36"/>
      </w:numPr>
      <w:spacing w:before="240"/>
      <w:contextualSpacing/>
    </w:pPr>
    <w:rPr>
      <w:color w:val="2F2F2F" w:themeColor="accent3" w:themeShade="80"/>
      <w:lang w:val="en-GB"/>
    </w:rPr>
  </w:style>
  <w:style w:type="character" w:customStyle="1" w:styleId="Heading5Char">
    <w:name w:val="Heading 5 Char"/>
    <w:basedOn w:val="DefaultParagraphFont"/>
    <w:link w:val="Heading5"/>
    <w:uiPriority w:val="99"/>
    <w:semiHidden/>
    <w:rsid w:val="006A5211"/>
    <w:rPr>
      <w:rFonts w:asciiTheme="majorHAnsi" w:eastAsiaTheme="majorEastAsia" w:hAnsiTheme="majorHAnsi" w:cstheme="majorBidi"/>
      <w:b/>
      <w:bCs/>
      <w:color w:val="808080"/>
    </w:rPr>
  </w:style>
  <w:style w:type="paragraph" w:customStyle="1" w:styleId="ECHRHeaderDate">
    <w:name w:val="ECHR_Header_Date"/>
    <w:aliases w:val="Ref_Date"/>
    <w:basedOn w:val="Normal"/>
    <w:uiPriority w:val="32"/>
    <w:qFormat/>
    <w:rsid w:val="006A5211"/>
    <w:pPr>
      <w:jc w:val="right"/>
    </w:pPr>
    <w:rPr>
      <w:sz w:val="20"/>
    </w:rPr>
  </w:style>
  <w:style w:type="paragraph" w:customStyle="1" w:styleId="ECHRHeaderRefIt">
    <w:name w:val="ECHR_Header_Ref_It"/>
    <w:aliases w:val="Ref_Ital"/>
    <w:basedOn w:val="Normal"/>
    <w:next w:val="ECHRHeaderDate"/>
    <w:uiPriority w:val="31"/>
    <w:qFormat/>
    <w:rsid w:val="006A5211"/>
    <w:pPr>
      <w:jc w:val="right"/>
    </w:pPr>
    <w:rPr>
      <w:i/>
      <w:sz w:val="20"/>
    </w:rPr>
  </w:style>
  <w:style w:type="character" w:styleId="SubtleEmphasis">
    <w:name w:val="Subtle Emphasis"/>
    <w:uiPriority w:val="99"/>
    <w:semiHidden/>
    <w:qFormat/>
    <w:rsid w:val="006A5211"/>
    <w:rPr>
      <w:i/>
      <w:iCs/>
    </w:rPr>
  </w:style>
  <w:style w:type="character" w:customStyle="1" w:styleId="ECHRRed">
    <w:name w:val="ECHR_Red"/>
    <w:aliases w:val="Red"/>
    <w:basedOn w:val="DefaultParagraphFont"/>
    <w:uiPriority w:val="13"/>
    <w:qFormat/>
    <w:rsid w:val="00564A79"/>
    <w:rPr>
      <w:color w:val="FF0000"/>
      <w:lang w:val="en-GB"/>
    </w:rPr>
  </w:style>
  <w:style w:type="table" w:customStyle="1" w:styleId="ECHRTable">
    <w:name w:val="ECHR_Table"/>
    <w:basedOn w:val="TableNormal"/>
    <w:rsid w:val="006A521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6A521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Title_L_1"/>
    <w:basedOn w:val="Normal"/>
    <w:next w:val="ECHRParaSpaced"/>
    <w:uiPriority w:val="20"/>
    <w:qFormat/>
    <w:rsid w:val="00564A79"/>
    <w:pPr>
      <w:keepNext/>
      <w:keepLines/>
      <w:spacing w:before="600"/>
      <w:contextualSpacing/>
    </w:pPr>
    <w:rPr>
      <w:rFonts w:asciiTheme="majorHAnsi" w:hAnsiTheme="majorHAnsi"/>
      <w:b/>
      <w:color w:val="2F2F2F" w:themeColor="accent3" w:themeShade="80"/>
      <w:sz w:val="36"/>
      <w:lang w:val="en-GB"/>
    </w:rPr>
  </w:style>
  <w:style w:type="paragraph" w:customStyle="1" w:styleId="ECHRTitleCentre2">
    <w:name w:val="ECHR_Title_Centre_2"/>
    <w:aliases w:val="Title_C_2"/>
    <w:basedOn w:val="Normal"/>
    <w:next w:val="ECHRParaSpaced"/>
    <w:uiPriority w:val="17"/>
    <w:qFormat/>
    <w:rsid w:val="00564A79"/>
    <w:pPr>
      <w:keepNext/>
      <w:keepLines/>
      <w:spacing w:before="240"/>
      <w:contextualSpacing/>
      <w:jc w:val="center"/>
    </w:pPr>
    <w:rPr>
      <w:rFonts w:asciiTheme="majorHAnsi" w:hAnsiTheme="majorHAnsi"/>
      <w:b/>
      <w:color w:val="474747" w:themeColor="accent3" w:themeShade="BF"/>
      <w:sz w:val="32"/>
      <w:lang w:val="en-GB"/>
    </w:rPr>
  </w:style>
  <w:style w:type="character" w:styleId="Emphasis">
    <w:name w:val="Emphasis"/>
    <w:uiPriority w:val="99"/>
    <w:semiHidden/>
    <w:qFormat/>
    <w:rsid w:val="006A5211"/>
    <w:rPr>
      <w:b/>
      <w:bCs/>
      <w:i/>
      <w:iCs/>
      <w:spacing w:val="10"/>
      <w:bdr w:val="none" w:sz="0" w:space="0" w:color="auto"/>
      <w:shd w:val="clear" w:color="auto" w:fill="auto"/>
    </w:rPr>
  </w:style>
  <w:style w:type="paragraph" w:styleId="Footer">
    <w:name w:val="footer"/>
    <w:basedOn w:val="Normal"/>
    <w:link w:val="FooterChar"/>
    <w:uiPriority w:val="49"/>
    <w:semiHidden/>
    <w:rsid w:val="006A5211"/>
    <w:pPr>
      <w:tabs>
        <w:tab w:val="center" w:pos="4536"/>
        <w:tab w:val="right" w:pos="9696"/>
      </w:tabs>
      <w:ind w:left="-680" w:right="-680"/>
    </w:pPr>
  </w:style>
  <w:style w:type="character" w:customStyle="1" w:styleId="FooterChar">
    <w:name w:val="Footer Char"/>
    <w:basedOn w:val="DefaultParagraphFont"/>
    <w:link w:val="Footer"/>
    <w:uiPriority w:val="49"/>
    <w:semiHidden/>
    <w:rsid w:val="006A5211"/>
  </w:style>
  <w:style w:type="character" w:styleId="FootnoteReference">
    <w:name w:val="footnote reference"/>
    <w:basedOn w:val="DefaultParagraphFont"/>
    <w:uiPriority w:val="99"/>
    <w:semiHidden/>
    <w:rsid w:val="006A5211"/>
    <w:rPr>
      <w:vertAlign w:val="superscript"/>
    </w:rPr>
  </w:style>
  <w:style w:type="paragraph" w:styleId="FootnoteText">
    <w:name w:val="footnote text"/>
    <w:basedOn w:val="NormalJustified"/>
    <w:link w:val="FootnoteTextChar"/>
    <w:uiPriority w:val="99"/>
    <w:rsid w:val="00AE72C6"/>
    <w:rPr>
      <w:sz w:val="20"/>
      <w:szCs w:val="20"/>
      <w:lang w:val="en-GB"/>
    </w:rPr>
  </w:style>
  <w:style w:type="character" w:customStyle="1" w:styleId="FootnoteTextChar">
    <w:name w:val="Footnote Text Char"/>
    <w:basedOn w:val="DefaultParagraphFont"/>
    <w:link w:val="FootnoteText"/>
    <w:uiPriority w:val="99"/>
    <w:rsid w:val="00AE72C6"/>
    <w:rPr>
      <w:sz w:val="20"/>
      <w:szCs w:val="20"/>
      <w:lang w:val="en-GB"/>
    </w:rPr>
  </w:style>
  <w:style w:type="character" w:customStyle="1" w:styleId="Heading6Char">
    <w:name w:val="Heading 6 Char"/>
    <w:basedOn w:val="DefaultParagraphFont"/>
    <w:link w:val="Heading6"/>
    <w:uiPriority w:val="99"/>
    <w:semiHidden/>
    <w:rsid w:val="006A5211"/>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A5211"/>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A5211"/>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A5211"/>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rsid w:val="00070A20"/>
    <w:rPr>
      <w:i/>
      <w:color w:val="0072BC" w:themeColor="accent1"/>
      <w:u w:val="none"/>
      <w:lang w:val="en-GB"/>
    </w:rPr>
  </w:style>
  <w:style w:type="character" w:styleId="IntenseEmphasis">
    <w:name w:val="Intense Emphasis"/>
    <w:uiPriority w:val="99"/>
    <w:semiHidden/>
    <w:qFormat/>
    <w:rsid w:val="006A5211"/>
    <w:rPr>
      <w:b/>
      <w:bCs/>
    </w:rPr>
  </w:style>
  <w:style w:type="paragraph" w:styleId="IntenseQuote">
    <w:name w:val="Intense Quote"/>
    <w:basedOn w:val="Normal"/>
    <w:next w:val="Normal"/>
    <w:link w:val="IntenseQuoteChar"/>
    <w:uiPriority w:val="99"/>
    <w:semiHidden/>
    <w:qFormat/>
    <w:rsid w:val="006A5211"/>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6A5211"/>
    <w:rPr>
      <w:b/>
      <w:bCs/>
      <w:i/>
      <w:iCs/>
      <w:lang w:bidi="en-US"/>
    </w:rPr>
  </w:style>
  <w:style w:type="character" w:styleId="IntenseReference">
    <w:name w:val="Intense Reference"/>
    <w:uiPriority w:val="99"/>
    <w:semiHidden/>
    <w:qFormat/>
    <w:rsid w:val="006A5211"/>
    <w:rPr>
      <w:smallCaps/>
      <w:spacing w:val="5"/>
      <w:u w:val="single"/>
    </w:rPr>
  </w:style>
  <w:style w:type="paragraph" w:styleId="ListParagraph">
    <w:name w:val="List Paragraph"/>
    <w:basedOn w:val="Normal"/>
    <w:uiPriority w:val="99"/>
    <w:semiHidden/>
    <w:qFormat/>
    <w:rsid w:val="006A5211"/>
    <w:pPr>
      <w:ind w:left="720"/>
      <w:contextualSpacing/>
    </w:pPr>
  </w:style>
  <w:style w:type="table" w:customStyle="1" w:styleId="LtrTableAddress">
    <w:name w:val="Ltr_Table_Address"/>
    <w:basedOn w:val="TableNormal"/>
    <w:uiPriority w:val="99"/>
    <w:rsid w:val="006A5211"/>
    <w:tblPr>
      <w:tblInd w:w="5103" w:type="dxa"/>
    </w:tblPr>
  </w:style>
  <w:style w:type="paragraph" w:styleId="Quote">
    <w:name w:val="Quote"/>
    <w:basedOn w:val="Normal"/>
    <w:next w:val="Normal"/>
    <w:link w:val="QuoteChar"/>
    <w:uiPriority w:val="99"/>
    <w:semiHidden/>
    <w:qFormat/>
    <w:rsid w:val="006A5211"/>
    <w:pPr>
      <w:spacing w:before="200"/>
      <w:ind w:left="360" w:right="360"/>
    </w:pPr>
    <w:rPr>
      <w:i/>
      <w:iCs/>
      <w:lang w:bidi="en-US"/>
    </w:rPr>
  </w:style>
  <w:style w:type="character" w:customStyle="1" w:styleId="QuoteChar">
    <w:name w:val="Quote Char"/>
    <w:basedOn w:val="DefaultParagraphFont"/>
    <w:link w:val="Quote"/>
    <w:uiPriority w:val="99"/>
    <w:semiHidden/>
    <w:rsid w:val="006A5211"/>
    <w:rPr>
      <w:i/>
      <w:iCs/>
      <w:lang w:bidi="en-US"/>
    </w:rPr>
  </w:style>
  <w:style w:type="character" w:styleId="SubtleReference">
    <w:name w:val="Subtle Reference"/>
    <w:uiPriority w:val="99"/>
    <w:semiHidden/>
    <w:qFormat/>
    <w:rsid w:val="006A5211"/>
    <w:rPr>
      <w:smallCaps/>
    </w:rPr>
  </w:style>
  <w:style w:type="table" w:styleId="TableGrid">
    <w:name w:val="Table Grid"/>
    <w:basedOn w:val="TableNormal"/>
    <w:uiPriority w:val="59"/>
    <w:rsid w:val="006A5211"/>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4755B"/>
    <w:pPr>
      <w:tabs>
        <w:tab w:val="right" w:leader="dot" w:pos="9017"/>
      </w:tabs>
      <w:spacing w:before="240"/>
      <w:ind w:left="340" w:right="340" w:hanging="340"/>
    </w:pPr>
    <w:rPr>
      <w:b/>
      <w:color w:val="474747" w:themeColor="accent3" w:themeShade="BF"/>
      <w:sz w:val="28"/>
      <w:lang w:val="en-GB"/>
    </w:rPr>
  </w:style>
  <w:style w:type="paragraph" w:styleId="TOC2">
    <w:name w:val="toc 2"/>
    <w:basedOn w:val="Normal"/>
    <w:next w:val="Normal"/>
    <w:autoRedefine/>
    <w:uiPriority w:val="39"/>
    <w:rsid w:val="005D531A"/>
    <w:pPr>
      <w:tabs>
        <w:tab w:val="right" w:leader="dot" w:pos="9017"/>
      </w:tabs>
      <w:spacing w:before="60"/>
      <w:ind w:left="680" w:right="340" w:hanging="340"/>
    </w:pPr>
    <w:rPr>
      <w:lang w:val="en-GB"/>
    </w:rPr>
  </w:style>
  <w:style w:type="paragraph" w:styleId="TOC3">
    <w:name w:val="toc 3"/>
    <w:basedOn w:val="Normal"/>
    <w:next w:val="Normal"/>
    <w:autoRedefine/>
    <w:uiPriority w:val="39"/>
    <w:rsid w:val="00505E7C"/>
    <w:pPr>
      <w:tabs>
        <w:tab w:val="right" w:leader="dot" w:pos="9017"/>
      </w:tabs>
      <w:ind w:left="1020" w:right="340" w:hanging="340"/>
    </w:pPr>
    <w:rPr>
      <w:lang w:val="en-GB"/>
    </w:rPr>
  </w:style>
  <w:style w:type="paragraph" w:styleId="TOC4">
    <w:name w:val="toc 4"/>
    <w:basedOn w:val="Normal"/>
    <w:next w:val="Normal"/>
    <w:autoRedefine/>
    <w:uiPriority w:val="39"/>
    <w:rsid w:val="00CF4764"/>
    <w:pPr>
      <w:tabs>
        <w:tab w:val="right" w:leader="dot" w:pos="9017"/>
      </w:tabs>
      <w:ind w:left="1361" w:right="340" w:hanging="340"/>
    </w:pPr>
    <w:rPr>
      <w:lang w:val="en-GB"/>
    </w:rPr>
  </w:style>
  <w:style w:type="paragraph" w:styleId="TOC5">
    <w:name w:val="toc 5"/>
    <w:basedOn w:val="Normal"/>
    <w:next w:val="Normal"/>
    <w:autoRedefine/>
    <w:uiPriority w:val="39"/>
    <w:rsid w:val="00564A79"/>
    <w:pPr>
      <w:ind w:left="1701" w:right="340" w:hanging="340"/>
    </w:pPr>
    <w:rPr>
      <w:lang w:val="en-GB"/>
    </w:rPr>
  </w:style>
  <w:style w:type="paragraph" w:styleId="TOCHeading">
    <w:name w:val="TOC Heading"/>
    <w:basedOn w:val="ECHRTitleCentre2"/>
    <w:next w:val="Normal"/>
    <w:uiPriority w:val="39"/>
    <w:qFormat/>
    <w:rsid w:val="007A7766"/>
    <w:pPr>
      <w:outlineLvl w:val="0"/>
    </w:pPr>
  </w:style>
  <w:style w:type="table" w:customStyle="1" w:styleId="UGTable">
    <w:name w:val="UG_Table"/>
    <w:basedOn w:val="TableNormal"/>
    <w:uiPriority w:val="99"/>
    <w:rsid w:val="006A5211"/>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6A5211"/>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6A5211"/>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6A5211"/>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6A5211"/>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6A5211"/>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ECHRTitleCentre2"/>
    <w:next w:val="Normal"/>
    <w:uiPriority w:val="99"/>
    <w:semiHidden/>
    <w:rsid w:val="006A5211"/>
    <w:rPr>
      <w:rFonts w:eastAsiaTheme="majorEastAsia" w:cstheme="majorBidi"/>
      <w:bCs/>
      <w:szCs w:val="24"/>
    </w:rPr>
  </w:style>
  <w:style w:type="paragraph" w:customStyle="1" w:styleId="ECHRList">
    <w:name w:val="ECHR_List"/>
    <w:aliases w:val="List_Simple"/>
    <w:basedOn w:val="Normal"/>
    <w:uiPriority w:val="10"/>
    <w:qFormat/>
    <w:rsid w:val="006A5211"/>
    <w:pPr>
      <w:numPr>
        <w:numId w:val="37"/>
      </w:numPr>
    </w:pPr>
  </w:style>
  <w:style w:type="paragraph" w:customStyle="1" w:styleId="ECHRCoverTitle4">
    <w:name w:val="ECHR_Cover_Title_4"/>
    <w:aliases w:val="Cover_4,_Title_4"/>
    <w:basedOn w:val="NormalJustified"/>
    <w:uiPriority w:val="38"/>
    <w:qFormat/>
    <w:rsid w:val="00564A79"/>
    <w:pPr>
      <w:tabs>
        <w:tab w:val="right" w:pos="7938"/>
      </w:tabs>
      <w:spacing w:before="120" w:after="120"/>
    </w:pPr>
    <w:rPr>
      <w:color w:val="2F2F2F" w:themeColor="accent3" w:themeShade="80"/>
      <w:sz w:val="20"/>
      <w:lang w:val="en-GB"/>
    </w:rPr>
  </w:style>
  <w:style w:type="paragraph" w:customStyle="1" w:styleId="ECHRParaQuote">
    <w:name w:val="ECHR_Para_Quote"/>
    <w:aliases w:val="Para_Quote,Ju_Quot"/>
    <w:basedOn w:val="ECHRParaSpaced"/>
    <w:next w:val="ECHRParaSpaced"/>
    <w:qFormat/>
    <w:rsid w:val="00564A79"/>
    <w:pPr>
      <w:ind w:left="567"/>
    </w:pPr>
    <w:rPr>
      <w:sz w:val="20"/>
    </w:rPr>
  </w:style>
  <w:style w:type="paragraph" w:customStyle="1" w:styleId="ECHRPara">
    <w:name w:val="ECHR_Para"/>
    <w:aliases w:val="Para"/>
    <w:basedOn w:val="NormalJustified"/>
    <w:link w:val="JuParaCar"/>
    <w:uiPriority w:val="4"/>
    <w:qFormat/>
    <w:rsid w:val="006A5211"/>
  </w:style>
  <w:style w:type="paragraph" w:customStyle="1" w:styleId="ECHRTitleCentre1">
    <w:name w:val="ECHR_Title_Centre_1"/>
    <w:aliases w:val="Title_C_1"/>
    <w:basedOn w:val="Normal"/>
    <w:next w:val="ECHRParaSpaced"/>
    <w:uiPriority w:val="17"/>
    <w:qFormat/>
    <w:rsid w:val="00564A79"/>
    <w:pPr>
      <w:keepNext/>
      <w:keepLines/>
      <w:spacing w:before="600"/>
      <w:contextualSpacing/>
      <w:jc w:val="center"/>
    </w:pPr>
    <w:rPr>
      <w:rFonts w:asciiTheme="majorHAnsi" w:hAnsiTheme="majorHAnsi"/>
      <w:b/>
      <w:color w:val="2F2F2F" w:themeColor="accent3" w:themeShade="80"/>
      <w:sz w:val="36"/>
      <w:lang w:val="en-GB"/>
    </w:rPr>
  </w:style>
  <w:style w:type="table" w:customStyle="1" w:styleId="ECHRTableSimpleBox">
    <w:name w:val="ECHR_Table_Simple_Box"/>
    <w:basedOn w:val="TableNormal"/>
    <w:uiPriority w:val="99"/>
    <w:rsid w:val="006A5211"/>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6A5211"/>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customStyle="1" w:styleId="ECHRSpacer">
    <w:name w:val="ECHR_Spacer"/>
    <w:basedOn w:val="Normal"/>
    <w:uiPriority w:val="38"/>
    <w:rsid w:val="006A5211"/>
    <w:rPr>
      <w:sz w:val="4"/>
    </w:rPr>
  </w:style>
  <w:style w:type="table" w:customStyle="1" w:styleId="ECHRTableForInternalUse">
    <w:name w:val="ECHR_Table_For_Internal_Use"/>
    <w:basedOn w:val="TableNormal"/>
    <w:uiPriority w:val="99"/>
    <w:rsid w:val="006A5211"/>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A521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A521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ECHRLine">
    <w:name w:val="ECHR_Line"/>
    <w:basedOn w:val="NormalJustified"/>
    <w:next w:val="ECHRParaSpaced"/>
    <w:uiPriority w:val="15"/>
    <w:rsid w:val="006A5211"/>
    <w:pPr>
      <w:pBdr>
        <w:bottom w:val="single" w:sz="12" w:space="1" w:color="949494" w:themeColor="text2" w:themeShade="BF"/>
      </w:pBdr>
      <w:spacing w:after="120"/>
    </w:pPr>
    <w:rPr>
      <w:sz w:val="12"/>
    </w:rPr>
  </w:style>
  <w:style w:type="paragraph" w:customStyle="1" w:styleId="NormalJustified">
    <w:name w:val="Normal_Justified"/>
    <w:basedOn w:val="Normal"/>
    <w:semiHidden/>
    <w:rsid w:val="006A5211"/>
    <w:pPr>
      <w:jc w:val="both"/>
    </w:pPr>
  </w:style>
  <w:style w:type="paragraph" w:customStyle="1" w:styleId="ECHRDecisionBody">
    <w:name w:val="ECHR_Decision_Body"/>
    <w:basedOn w:val="NormalJustified"/>
    <w:uiPriority w:val="50"/>
    <w:semiHidden/>
    <w:rsid w:val="006A5211"/>
    <w:pPr>
      <w:tabs>
        <w:tab w:val="left" w:pos="567"/>
        <w:tab w:val="left" w:pos="1134"/>
      </w:tabs>
      <w:spacing w:line="240" w:lineRule="exact"/>
      <w:jc w:val="left"/>
    </w:pPr>
    <w:rPr>
      <w:rFonts w:eastAsiaTheme="minorEastAsia"/>
    </w:rPr>
  </w:style>
  <w:style w:type="numbering" w:customStyle="1" w:styleId="ECHRA1StyleBulletedSquare">
    <w:name w:val="ECHR_A1_Style_Bulleted_Square"/>
    <w:basedOn w:val="NoList"/>
    <w:rsid w:val="006A5211"/>
    <w:pPr>
      <w:numPr>
        <w:numId w:val="1"/>
      </w:numPr>
    </w:pPr>
  </w:style>
  <w:style w:type="numbering" w:customStyle="1" w:styleId="ECHRA1StyleNumberedList">
    <w:name w:val="ECHR_A1_Style_Numbered_List"/>
    <w:basedOn w:val="NoList"/>
    <w:rsid w:val="006A5211"/>
    <w:pPr>
      <w:numPr>
        <w:numId w:val="2"/>
      </w:numPr>
    </w:pPr>
  </w:style>
  <w:style w:type="paragraph" w:customStyle="1" w:styleId="ECHRBullet1">
    <w:name w:val="ECHR_Bullet_1"/>
    <w:aliases w:val="Bul_1"/>
    <w:basedOn w:val="NormalJustified"/>
    <w:uiPriority w:val="11"/>
    <w:qFormat/>
    <w:rsid w:val="00564A79"/>
    <w:pPr>
      <w:numPr>
        <w:numId w:val="29"/>
      </w:numPr>
      <w:spacing w:before="60" w:after="60"/>
    </w:pPr>
    <w:rPr>
      <w:rFonts w:eastAsiaTheme="minorEastAsia"/>
      <w:lang w:val="en-GB"/>
    </w:rPr>
  </w:style>
  <w:style w:type="paragraph" w:customStyle="1" w:styleId="ECHRBullet2">
    <w:name w:val="ECHR_Bullet_2"/>
    <w:aliases w:val="Bul_2"/>
    <w:basedOn w:val="ECHRBullet1"/>
    <w:uiPriority w:val="11"/>
    <w:rsid w:val="006A5211"/>
    <w:pPr>
      <w:numPr>
        <w:ilvl w:val="1"/>
      </w:numPr>
    </w:pPr>
  </w:style>
  <w:style w:type="paragraph" w:customStyle="1" w:styleId="ECHRBullet3">
    <w:name w:val="ECHR_Bullet_3"/>
    <w:aliases w:val="Bul_3"/>
    <w:basedOn w:val="ECHRBullet2"/>
    <w:uiPriority w:val="11"/>
    <w:rsid w:val="006A5211"/>
    <w:pPr>
      <w:numPr>
        <w:ilvl w:val="2"/>
      </w:numPr>
    </w:pPr>
  </w:style>
  <w:style w:type="paragraph" w:customStyle="1" w:styleId="ECHRBullet4">
    <w:name w:val="ECHR_Bullet_4"/>
    <w:aliases w:val="Bul_4"/>
    <w:basedOn w:val="ECHRBullet3"/>
    <w:uiPriority w:val="11"/>
    <w:rsid w:val="006A5211"/>
    <w:pPr>
      <w:numPr>
        <w:ilvl w:val="3"/>
      </w:numPr>
    </w:pPr>
  </w:style>
  <w:style w:type="paragraph" w:customStyle="1" w:styleId="ECHRNumberedList1">
    <w:name w:val="ECHR_Numbered_List_1"/>
    <w:aliases w:val="Num_1"/>
    <w:basedOn w:val="Normal"/>
    <w:uiPriority w:val="9"/>
    <w:qFormat/>
    <w:rsid w:val="00564A79"/>
    <w:pPr>
      <w:numPr>
        <w:numId w:val="40"/>
      </w:numPr>
      <w:spacing w:before="60" w:after="60"/>
    </w:pPr>
    <w:rPr>
      <w:rFonts w:eastAsiaTheme="minorEastAsia"/>
      <w:lang w:val="en-GB"/>
    </w:rPr>
  </w:style>
  <w:style w:type="paragraph" w:customStyle="1" w:styleId="ECHRNumberedList2">
    <w:name w:val="ECHR_Numbered_List_2"/>
    <w:aliases w:val="Num_2"/>
    <w:basedOn w:val="ECHRNumberedList1"/>
    <w:uiPriority w:val="9"/>
    <w:rsid w:val="006A5211"/>
    <w:pPr>
      <w:numPr>
        <w:ilvl w:val="1"/>
      </w:numPr>
    </w:pPr>
  </w:style>
  <w:style w:type="paragraph" w:customStyle="1" w:styleId="ECHRNumberedList3">
    <w:name w:val="ECHR_Numbered_List_3"/>
    <w:aliases w:val="Num_3"/>
    <w:basedOn w:val="ECHRNumberedList2"/>
    <w:uiPriority w:val="9"/>
    <w:rsid w:val="006A5211"/>
    <w:pPr>
      <w:numPr>
        <w:ilvl w:val="2"/>
      </w:numPr>
    </w:pPr>
  </w:style>
  <w:style w:type="paragraph" w:customStyle="1" w:styleId="DummyStyle">
    <w:name w:val="Dummy_Style"/>
    <w:basedOn w:val="Normal"/>
    <w:semiHidden/>
    <w:qFormat/>
    <w:rsid w:val="006A5211"/>
    <w:rPr>
      <w:color w:val="00B050"/>
    </w:rPr>
  </w:style>
  <w:style w:type="paragraph" w:customStyle="1" w:styleId="ECHRTitleCentreTOC1">
    <w:name w:val="ECHR_Title_Centre_TOC_1"/>
    <w:aliases w:val="Title_C_TOC"/>
    <w:basedOn w:val="ECHRTitleCentre1"/>
    <w:next w:val="ECHRHeading1"/>
    <w:uiPriority w:val="16"/>
    <w:qFormat/>
    <w:rsid w:val="00564A79"/>
    <w:pPr>
      <w:outlineLvl w:val="0"/>
    </w:pPr>
  </w:style>
  <w:style w:type="paragraph" w:customStyle="1" w:styleId="ECHRTitleTOC1">
    <w:name w:val="ECHR_Title_TOC_1"/>
    <w:aliases w:val="Title_L_TOC"/>
    <w:basedOn w:val="ECHRTitle1"/>
    <w:next w:val="ECHRHeading1"/>
    <w:uiPriority w:val="19"/>
    <w:qFormat/>
    <w:rsid w:val="00564A79"/>
    <w:pPr>
      <w:outlineLvl w:val="0"/>
    </w:pPr>
  </w:style>
  <w:style w:type="character" w:styleId="PlaceholderText">
    <w:name w:val="Placeholder Text"/>
    <w:basedOn w:val="DefaultParagraphFont"/>
    <w:uiPriority w:val="99"/>
    <w:rsid w:val="006A5211"/>
    <w:rPr>
      <w:color w:val="auto"/>
      <w:bdr w:val="none" w:sz="0" w:space="0" w:color="auto"/>
      <w:shd w:val="clear" w:color="auto" w:fill="BEE5FF" w:themeFill="background1" w:themeFillTint="33"/>
    </w:rPr>
  </w:style>
  <w:style w:type="table" w:customStyle="1" w:styleId="ECHRTableGrey">
    <w:name w:val="ECHR_Table_Grey"/>
    <w:basedOn w:val="TableNormal"/>
    <w:uiPriority w:val="99"/>
    <w:rsid w:val="006A5211"/>
    <w:pPr>
      <w:tabs>
        <w:tab w:val="left" w:pos="397"/>
      </w:tabs>
      <w:spacing w:before="120" w:after="120"/>
    </w:pPr>
    <w:rPr>
      <w:color w:val="262626" w:themeColor="text1" w:themeTint="D9"/>
    </w:rPr>
    <w:tblP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right w:w="227" w:type="dxa"/>
      </w:tblCellMar>
    </w:tblPr>
    <w:trPr>
      <w:cantSplit/>
    </w:trPr>
    <w:tcPr>
      <w:shd w:val="clear" w:color="auto" w:fill="F8F8F8" w:themeFill="background2"/>
      <w:tcMar>
        <w:top w:w="0" w:type="dxa"/>
        <w:bottom w:w="0" w:type="dxa"/>
      </w:tcMar>
    </w:tcPr>
    <w:tblStylePr w:type="firstRow">
      <w:pPr>
        <w:wordWrap/>
        <w:spacing w:beforeLines="0" w:before="120" w:beforeAutospacing="0" w:afterLines="0" w:after="120" w:afterAutospacing="0"/>
        <w:contextualSpacing w:val="0"/>
      </w:pPr>
      <w:rPr>
        <w:b/>
        <w:color w:val="262626" w:themeColor="text1" w:themeTint="D9"/>
      </w:rPr>
    </w:tblStylePr>
  </w:style>
  <w:style w:type="paragraph" w:customStyle="1" w:styleId="ECHRParaIndent">
    <w:name w:val="ECHR_Para_Indent"/>
    <w:aliases w:val="Para_Indent"/>
    <w:basedOn w:val="ECHRParaSpaced"/>
    <w:uiPriority w:val="6"/>
    <w:qFormat/>
    <w:rsid w:val="00564A79"/>
    <w:pPr>
      <w:ind w:left="567"/>
    </w:pPr>
  </w:style>
  <w:style w:type="character" w:styleId="FollowedHyperlink">
    <w:name w:val="FollowedHyperlink"/>
    <w:basedOn w:val="DefaultParagraphFont"/>
    <w:uiPriority w:val="99"/>
    <w:semiHidden/>
    <w:rsid w:val="00EC102F"/>
    <w:rPr>
      <w:i/>
      <w:color w:val="0072BC" w:themeColor="accent1"/>
      <w:u w:val="none"/>
    </w:rPr>
  </w:style>
  <w:style w:type="character" w:styleId="CommentReference">
    <w:name w:val="annotation reference"/>
    <w:basedOn w:val="DefaultParagraphFont"/>
    <w:uiPriority w:val="99"/>
    <w:semiHidden/>
    <w:rsid w:val="00D84AD8"/>
    <w:rPr>
      <w:sz w:val="16"/>
      <w:szCs w:val="16"/>
    </w:rPr>
  </w:style>
  <w:style w:type="paragraph" w:styleId="CommentText">
    <w:name w:val="annotation text"/>
    <w:basedOn w:val="Normal"/>
    <w:link w:val="CommentTextChar"/>
    <w:uiPriority w:val="99"/>
    <w:semiHidden/>
    <w:rsid w:val="00D84AD8"/>
    <w:rPr>
      <w:sz w:val="20"/>
      <w:szCs w:val="20"/>
    </w:rPr>
  </w:style>
  <w:style w:type="character" w:customStyle="1" w:styleId="CommentTextChar">
    <w:name w:val="Comment Text Char"/>
    <w:basedOn w:val="DefaultParagraphFont"/>
    <w:link w:val="CommentText"/>
    <w:uiPriority w:val="99"/>
    <w:semiHidden/>
    <w:rsid w:val="00B01A05"/>
    <w:rPr>
      <w:sz w:val="20"/>
      <w:szCs w:val="20"/>
    </w:rPr>
  </w:style>
  <w:style w:type="paragraph" w:styleId="CommentSubject">
    <w:name w:val="annotation subject"/>
    <w:basedOn w:val="CommentText"/>
    <w:next w:val="CommentText"/>
    <w:link w:val="CommentSubjectChar"/>
    <w:uiPriority w:val="99"/>
    <w:semiHidden/>
    <w:rsid w:val="00D84AD8"/>
    <w:rPr>
      <w:b/>
      <w:bCs/>
    </w:rPr>
  </w:style>
  <w:style w:type="character" w:customStyle="1" w:styleId="CommentSubjectChar">
    <w:name w:val="Comment Subject Char"/>
    <w:basedOn w:val="CommentTextChar"/>
    <w:link w:val="CommentSubject"/>
    <w:uiPriority w:val="99"/>
    <w:semiHidden/>
    <w:rsid w:val="00B01A05"/>
    <w:rPr>
      <w:b/>
      <w:bCs/>
      <w:sz w:val="20"/>
      <w:szCs w:val="20"/>
    </w:rPr>
  </w:style>
  <w:style w:type="paragraph" w:styleId="TOC6">
    <w:name w:val="toc 6"/>
    <w:basedOn w:val="Normal"/>
    <w:next w:val="Normal"/>
    <w:autoRedefine/>
    <w:uiPriority w:val="39"/>
    <w:rsid w:val="00564A79"/>
    <w:pPr>
      <w:ind w:left="2041" w:right="340" w:hanging="340"/>
    </w:pPr>
    <w:rPr>
      <w:lang w:val="en-GB"/>
    </w:rPr>
  </w:style>
  <w:style w:type="paragraph" w:styleId="TOC7">
    <w:name w:val="toc 7"/>
    <w:basedOn w:val="Normal"/>
    <w:next w:val="Normal"/>
    <w:autoRedefine/>
    <w:uiPriority w:val="39"/>
    <w:rsid w:val="00564A79"/>
    <w:pPr>
      <w:ind w:left="2381" w:right="340" w:hanging="340"/>
    </w:pPr>
    <w:rPr>
      <w:lang w:val="en-GB"/>
    </w:rPr>
  </w:style>
  <w:style w:type="character" w:customStyle="1" w:styleId="ECHRBold">
    <w:name w:val="ECHR_Bold"/>
    <w:aliases w:val="Bold"/>
    <w:uiPriority w:val="15"/>
    <w:semiHidden/>
    <w:rsid w:val="001827E4"/>
    <w:rPr>
      <w:b/>
      <w:color w:val="2F2F2F" w:themeColor="accent3" w:themeShade="80"/>
    </w:rPr>
  </w:style>
  <w:style w:type="character" w:customStyle="1" w:styleId="ECHRBoldItalic">
    <w:name w:val="ECHR_Bold_Italic"/>
    <w:aliases w:val="Bold+Italic"/>
    <w:uiPriority w:val="17"/>
    <w:semiHidden/>
    <w:rsid w:val="001827E4"/>
    <w:rPr>
      <w:b/>
      <w:i/>
      <w:color w:val="2F2F2F" w:themeColor="accent3" w:themeShade="80"/>
    </w:rPr>
  </w:style>
  <w:style w:type="table" w:customStyle="1" w:styleId="ECHRHeaderTableReduced">
    <w:name w:val="ECHR_Header_Table_Reduced"/>
    <w:basedOn w:val="TableNormal"/>
    <w:uiPriority w:val="99"/>
    <w:rsid w:val="006A5211"/>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ECHRItalic">
    <w:name w:val="ECHR_Italic"/>
    <w:aliases w:val="Italic"/>
    <w:uiPriority w:val="16"/>
    <w:semiHidden/>
    <w:rsid w:val="001827E4"/>
    <w:rPr>
      <w:i/>
    </w:rPr>
  </w:style>
  <w:style w:type="paragraph" w:customStyle="1" w:styleId="ECHRParaHanging">
    <w:name w:val="ECHR_Para_Hanging"/>
    <w:aliases w:val="Para_Hanging,_Hanging"/>
    <w:basedOn w:val="ECHRPara"/>
    <w:uiPriority w:val="7"/>
    <w:qFormat/>
    <w:rsid w:val="00564A79"/>
    <w:pPr>
      <w:ind w:left="567" w:hanging="567"/>
      <w:jc w:val="left"/>
    </w:pPr>
    <w:rPr>
      <w:lang w:val="en-GB"/>
    </w:rPr>
  </w:style>
  <w:style w:type="table" w:customStyle="1" w:styleId="ECHRTableOddBanded">
    <w:name w:val="ECHR_Table_Odd_Banded"/>
    <w:basedOn w:val="TableNormal"/>
    <w:uiPriority w:val="99"/>
    <w:rsid w:val="006A5211"/>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Index1">
    <w:name w:val="index 1"/>
    <w:basedOn w:val="ECHRParaHanging"/>
    <w:next w:val="Normal"/>
    <w:autoRedefine/>
    <w:uiPriority w:val="99"/>
    <w:rsid w:val="006A5211"/>
    <w:pPr>
      <w:tabs>
        <w:tab w:val="right" w:leader="dot" w:pos="9072"/>
      </w:tabs>
      <w:ind w:right="567"/>
    </w:pPr>
    <w:rPr>
      <w:sz w:val="20"/>
    </w:rPr>
  </w:style>
  <w:style w:type="paragraph" w:styleId="IndexHeading">
    <w:name w:val="index heading"/>
    <w:basedOn w:val="ECHRTitleCentre1"/>
    <w:next w:val="Index1"/>
    <w:uiPriority w:val="99"/>
    <w:rsid w:val="006A5211"/>
    <w:pPr>
      <w:spacing w:before="480" w:after="120"/>
    </w:pPr>
    <w:rPr>
      <w:rFonts w:eastAsiaTheme="majorEastAsia" w:cstheme="majorBidi"/>
      <w:b w:val="0"/>
      <w:bCs/>
    </w:rPr>
  </w:style>
  <w:style w:type="character" w:customStyle="1" w:styleId="JuParaCar">
    <w:name w:val="Ju_Para Car"/>
    <w:link w:val="ECHRPara"/>
    <w:uiPriority w:val="4"/>
    <w:rsid w:val="000A256B"/>
  </w:style>
  <w:style w:type="character" w:customStyle="1" w:styleId="INItalic">
    <w:name w:val="IN_Italic"/>
    <w:basedOn w:val="DefaultParagraphFont"/>
    <w:uiPriority w:val="8"/>
    <w:qFormat/>
    <w:rsid w:val="00564A79"/>
    <w:rPr>
      <w:i/>
      <w:lang w:val="en-US"/>
    </w:rPr>
  </w:style>
  <w:style w:type="character" w:customStyle="1" w:styleId="INLowerCase">
    <w:name w:val="IN_LowerCase"/>
    <w:basedOn w:val="DefaultParagraphFont"/>
    <w:uiPriority w:val="3"/>
    <w:rsid w:val="00564A79"/>
    <w:rPr>
      <w:b w:val="0"/>
      <w:lang w:val="en-GB"/>
    </w:rPr>
  </w:style>
  <w:style w:type="character" w:customStyle="1" w:styleId="INSuperItalic">
    <w:name w:val="IN_SuperItalic"/>
    <w:basedOn w:val="DefaultParagraphFont"/>
    <w:uiPriority w:val="12"/>
    <w:rsid w:val="00564A79"/>
    <w:rPr>
      <w:i/>
      <w:vertAlign w:val="superscript"/>
      <w:lang w:val="en-GB"/>
    </w:rPr>
  </w:style>
  <w:style w:type="character" w:customStyle="1" w:styleId="INSuperscript">
    <w:name w:val="IN_Superscript"/>
    <w:basedOn w:val="DefaultParagraphFont"/>
    <w:uiPriority w:val="1"/>
    <w:rsid w:val="00564A79"/>
    <w:rPr>
      <w:vertAlign w:val="superscript"/>
      <w:lang w:val="en-GB"/>
    </w:rPr>
  </w:style>
  <w:style w:type="character" w:customStyle="1" w:styleId="INConclusion">
    <w:name w:val="IN_Conclusion"/>
    <w:basedOn w:val="DefaultParagraphFont"/>
    <w:uiPriority w:val="8"/>
    <w:qFormat/>
    <w:rsid w:val="00564A79"/>
    <w:rPr>
      <w:b/>
      <w:i/>
      <w:lang w:val="en-GB"/>
    </w:rPr>
  </w:style>
  <w:style w:type="paragraph" w:customStyle="1" w:styleId="INFootnoteEng">
    <w:name w:val="IN_Footnote_Eng"/>
    <w:basedOn w:val="FootnoteText"/>
    <w:uiPriority w:val="9"/>
    <w:rsid w:val="00564A79"/>
  </w:style>
  <w:style w:type="table" w:customStyle="1" w:styleId="StyleBoldAccent1">
    <w:name w:val="Style Bold Accent 1"/>
    <w:basedOn w:val="ECHRHeaderTable"/>
    <w:uiPriority w:val="99"/>
    <w:rsid w:val="002637D9"/>
    <w:tblPr/>
    <w:tblStylePr w:type="lastCol">
      <w:pPr>
        <w:wordWrap/>
        <w:jc w:val="both"/>
      </w:pPr>
    </w:tblStylePr>
  </w:style>
  <w:style w:type="table" w:customStyle="1" w:styleId="TableBoldAccent11">
    <w:name w:val="Table Bold Accent 11"/>
    <w:basedOn w:val="TableNormal"/>
    <w:uiPriority w:val="99"/>
    <w:rsid w:val="002637D9"/>
    <w:tblPr/>
  </w:style>
  <w:style w:type="paragraph" w:customStyle="1" w:styleId="TableBoldBlue">
    <w:name w:val="Table Bold Blue"/>
    <w:basedOn w:val="Normal"/>
    <w:rsid w:val="002637D9"/>
    <w:rPr>
      <w:b/>
      <w:color w:val="00548C" w:themeColor="accent1" w:themeShade="BF"/>
      <w:lang w:val="en-GB"/>
    </w:rPr>
  </w:style>
  <w:style w:type="character" w:customStyle="1" w:styleId="wordhighlighted">
    <w:name w:val="wordhighlighted"/>
    <w:basedOn w:val="DefaultParagraphFont"/>
    <w:rsid w:val="00B54DE0"/>
  </w:style>
  <w:style w:type="numbering" w:customStyle="1" w:styleId="ECHRA1StyleBulletedSquare1">
    <w:name w:val="ECHR_A1_Style_Bulleted_Square1"/>
    <w:basedOn w:val="NoList"/>
    <w:rsid w:val="00EB5BA0"/>
  </w:style>
  <w:style w:type="paragraph" w:customStyle="1" w:styleId="Narrowmarginofappreciationforageneralbanonassembly">
    <w:name w:val=" Narrow margin of appreciation for a general ban on assembly"/>
    <w:basedOn w:val="ECHRHeading5"/>
    <w:rsid w:val="00B31E71"/>
    <w:rPr>
      <w:lang w:val="en-US"/>
    </w:rPr>
  </w:style>
  <w:style w:type="character" w:customStyle="1" w:styleId="s7d2086b4">
    <w:name w:val="s7d2086b4"/>
    <w:basedOn w:val="DefaultParagraphFont"/>
    <w:rsid w:val="006170CE"/>
  </w:style>
  <w:style w:type="character" w:customStyle="1" w:styleId="sb8d990e2">
    <w:name w:val="sb8d990e2"/>
    <w:basedOn w:val="DefaultParagraphFont"/>
    <w:rsid w:val="00653FF9"/>
  </w:style>
  <w:style w:type="character" w:customStyle="1" w:styleId="s6b621b36">
    <w:name w:val="s6b621b36"/>
    <w:basedOn w:val="DefaultParagraphFont"/>
    <w:rsid w:val="00653FF9"/>
  </w:style>
  <w:style w:type="character" w:styleId="UnresolvedMention">
    <w:name w:val="Unresolved Mention"/>
    <w:basedOn w:val="DefaultParagraphFont"/>
    <w:uiPriority w:val="99"/>
    <w:semiHidden/>
    <w:unhideWhenUsed/>
    <w:rsid w:val="00547AED"/>
    <w:rPr>
      <w:color w:val="605E5C"/>
      <w:shd w:val="clear" w:color="auto" w:fill="E1DFDD"/>
    </w:rPr>
  </w:style>
  <w:style w:type="paragraph" w:customStyle="1" w:styleId="JuPara">
    <w:name w:val="Ju_Para"/>
    <w:aliases w:val="_Para"/>
    <w:basedOn w:val="NormalJustified"/>
    <w:link w:val="JuParaChar"/>
    <w:uiPriority w:val="4"/>
    <w:qFormat/>
    <w:rsid w:val="00061A89"/>
    <w:pPr>
      <w:ind w:firstLine="284"/>
    </w:pPr>
    <w:rPr>
      <w:sz w:val="24"/>
      <w:szCs w:val="24"/>
      <w:lang w:val="en-GB"/>
    </w:rPr>
  </w:style>
  <w:style w:type="character" w:customStyle="1" w:styleId="s68f5eaef">
    <w:name w:val="s68f5eaef"/>
    <w:basedOn w:val="DefaultParagraphFont"/>
    <w:rsid w:val="00F32D61"/>
  </w:style>
  <w:style w:type="character" w:customStyle="1" w:styleId="JuParaChar">
    <w:name w:val="Ju_Para Char"/>
    <w:aliases w:val="_Para Char,ECHR_Para Char"/>
    <w:link w:val="JuPara"/>
    <w:uiPriority w:val="4"/>
    <w:rsid w:val="000B1BA0"/>
    <w:rPr>
      <w:sz w:val="24"/>
      <w:szCs w:val="24"/>
      <w:lang w:val="en-GB"/>
    </w:rPr>
  </w:style>
  <w:style w:type="character" w:customStyle="1" w:styleId="sbc73225d">
    <w:name w:val="sbc73225d"/>
    <w:basedOn w:val="DefaultParagraphFont"/>
    <w:rsid w:val="00AC3641"/>
  </w:style>
  <w:style w:type="character" w:customStyle="1" w:styleId="Hyperlinkcase">
    <w:name w:val="Hyperlinkcase"/>
    <w:basedOn w:val="Hyperlink"/>
    <w:uiPriority w:val="3"/>
    <w:rsid w:val="008A409F"/>
    <w:rPr>
      <w:i/>
      <w:color w:val="0072BC" w:themeColor="accent1"/>
      <w:u w:val="none"/>
      <w:lang w:val="en-GB"/>
    </w:rPr>
  </w:style>
  <w:style w:type="character" w:customStyle="1" w:styleId="ECHRParaSpacedChar">
    <w:name w:val="ECHR_Para_Spaced Char"/>
    <w:aliases w:val="Para_Spaced Char"/>
    <w:basedOn w:val="DefaultParagraphFont"/>
    <w:link w:val="ECHRParaSpaced"/>
    <w:uiPriority w:val="5"/>
    <w:rsid w:val="00C77AB6"/>
    <w:rPr>
      <w:lang w:val="en-GB"/>
    </w:rPr>
  </w:style>
  <w:style w:type="paragraph" w:styleId="NormalWeb">
    <w:name w:val="Normal (Web)"/>
    <w:basedOn w:val="Normal"/>
    <w:uiPriority w:val="99"/>
    <w:unhideWhenUsed/>
    <w:rsid w:val="00176F7C"/>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68100E"/>
    <w:rPr>
      <w:noProof/>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9132">
      <w:bodyDiv w:val="1"/>
      <w:marLeft w:val="0"/>
      <w:marRight w:val="0"/>
      <w:marTop w:val="0"/>
      <w:marBottom w:val="0"/>
      <w:divBdr>
        <w:top w:val="none" w:sz="0" w:space="0" w:color="auto"/>
        <w:left w:val="none" w:sz="0" w:space="0" w:color="auto"/>
        <w:bottom w:val="none" w:sz="0" w:space="0" w:color="auto"/>
        <w:right w:val="none" w:sz="0" w:space="0" w:color="auto"/>
      </w:divBdr>
      <w:divsChild>
        <w:div w:id="1821921349">
          <w:marLeft w:val="0"/>
          <w:marRight w:val="0"/>
          <w:marTop w:val="0"/>
          <w:marBottom w:val="0"/>
          <w:divBdr>
            <w:top w:val="none" w:sz="0" w:space="0" w:color="auto"/>
            <w:left w:val="none" w:sz="0" w:space="0" w:color="auto"/>
            <w:bottom w:val="none" w:sz="0" w:space="0" w:color="auto"/>
            <w:right w:val="none" w:sz="0" w:space="0" w:color="auto"/>
          </w:divBdr>
          <w:divsChild>
            <w:div w:id="630550772">
              <w:marLeft w:val="0"/>
              <w:marRight w:val="0"/>
              <w:marTop w:val="0"/>
              <w:marBottom w:val="0"/>
              <w:divBdr>
                <w:top w:val="none" w:sz="0" w:space="0" w:color="auto"/>
                <w:left w:val="none" w:sz="0" w:space="0" w:color="auto"/>
                <w:bottom w:val="none" w:sz="0" w:space="0" w:color="auto"/>
                <w:right w:val="none" w:sz="0" w:space="0" w:color="auto"/>
              </w:divBdr>
              <w:divsChild>
                <w:div w:id="1118914829">
                  <w:marLeft w:val="0"/>
                  <w:marRight w:val="0"/>
                  <w:marTop w:val="0"/>
                  <w:marBottom w:val="0"/>
                  <w:divBdr>
                    <w:top w:val="none" w:sz="0" w:space="0" w:color="auto"/>
                    <w:left w:val="none" w:sz="0" w:space="0" w:color="auto"/>
                    <w:bottom w:val="none" w:sz="0" w:space="0" w:color="auto"/>
                    <w:right w:val="none" w:sz="0" w:space="0" w:color="auto"/>
                  </w:divBdr>
                  <w:divsChild>
                    <w:div w:id="277152329">
                      <w:marLeft w:val="0"/>
                      <w:marRight w:val="0"/>
                      <w:marTop w:val="0"/>
                      <w:marBottom w:val="0"/>
                      <w:divBdr>
                        <w:top w:val="none" w:sz="0" w:space="0" w:color="auto"/>
                        <w:left w:val="none" w:sz="0" w:space="0" w:color="auto"/>
                        <w:bottom w:val="none" w:sz="0" w:space="0" w:color="auto"/>
                        <w:right w:val="none" w:sz="0" w:space="0" w:color="auto"/>
                      </w:divBdr>
                      <w:divsChild>
                        <w:div w:id="1568422179">
                          <w:marLeft w:val="0"/>
                          <w:marRight w:val="0"/>
                          <w:marTop w:val="0"/>
                          <w:marBottom w:val="0"/>
                          <w:divBdr>
                            <w:top w:val="none" w:sz="0" w:space="0" w:color="auto"/>
                            <w:left w:val="none" w:sz="0" w:space="0" w:color="auto"/>
                            <w:bottom w:val="none" w:sz="0" w:space="0" w:color="auto"/>
                            <w:right w:val="none" w:sz="0" w:space="0" w:color="auto"/>
                          </w:divBdr>
                          <w:divsChild>
                            <w:div w:id="4733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9387">
      <w:bodyDiv w:val="1"/>
      <w:marLeft w:val="0"/>
      <w:marRight w:val="0"/>
      <w:marTop w:val="0"/>
      <w:marBottom w:val="0"/>
      <w:divBdr>
        <w:top w:val="none" w:sz="0" w:space="0" w:color="auto"/>
        <w:left w:val="none" w:sz="0" w:space="0" w:color="auto"/>
        <w:bottom w:val="none" w:sz="0" w:space="0" w:color="auto"/>
        <w:right w:val="none" w:sz="0" w:space="0" w:color="auto"/>
      </w:divBdr>
      <w:divsChild>
        <w:div w:id="468061979">
          <w:marLeft w:val="0"/>
          <w:marRight w:val="0"/>
          <w:marTop w:val="0"/>
          <w:marBottom w:val="0"/>
          <w:divBdr>
            <w:top w:val="none" w:sz="0" w:space="0" w:color="auto"/>
            <w:left w:val="none" w:sz="0" w:space="0" w:color="auto"/>
            <w:bottom w:val="none" w:sz="0" w:space="0" w:color="auto"/>
            <w:right w:val="none" w:sz="0" w:space="0" w:color="auto"/>
          </w:divBdr>
          <w:divsChild>
            <w:div w:id="1142231559">
              <w:marLeft w:val="0"/>
              <w:marRight w:val="0"/>
              <w:marTop w:val="0"/>
              <w:marBottom w:val="0"/>
              <w:divBdr>
                <w:top w:val="none" w:sz="0" w:space="0" w:color="auto"/>
                <w:left w:val="none" w:sz="0" w:space="0" w:color="auto"/>
                <w:bottom w:val="none" w:sz="0" w:space="0" w:color="auto"/>
                <w:right w:val="none" w:sz="0" w:space="0" w:color="auto"/>
              </w:divBdr>
              <w:divsChild>
                <w:div w:id="15823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8868">
      <w:bodyDiv w:val="1"/>
      <w:marLeft w:val="0"/>
      <w:marRight w:val="0"/>
      <w:marTop w:val="0"/>
      <w:marBottom w:val="0"/>
      <w:divBdr>
        <w:top w:val="none" w:sz="0" w:space="0" w:color="auto"/>
        <w:left w:val="none" w:sz="0" w:space="0" w:color="auto"/>
        <w:bottom w:val="none" w:sz="0" w:space="0" w:color="auto"/>
        <w:right w:val="none" w:sz="0" w:space="0" w:color="auto"/>
      </w:divBdr>
    </w:div>
    <w:div w:id="35088965">
      <w:bodyDiv w:val="1"/>
      <w:marLeft w:val="0"/>
      <w:marRight w:val="0"/>
      <w:marTop w:val="0"/>
      <w:marBottom w:val="0"/>
      <w:divBdr>
        <w:top w:val="none" w:sz="0" w:space="0" w:color="auto"/>
        <w:left w:val="none" w:sz="0" w:space="0" w:color="auto"/>
        <w:bottom w:val="none" w:sz="0" w:space="0" w:color="auto"/>
        <w:right w:val="none" w:sz="0" w:space="0" w:color="auto"/>
      </w:divBdr>
    </w:div>
    <w:div w:id="49767936">
      <w:bodyDiv w:val="1"/>
      <w:marLeft w:val="0"/>
      <w:marRight w:val="0"/>
      <w:marTop w:val="0"/>
      <w:marBottom w:val="0"/>
      <w:divBdr>
        <w:top w:val="none" w:sz="0" w:space="0" w:color="auto"/>
        <w:left w:val="none" w:sz="0" w:space="0" w:color="auto"/>
        <w:bottom w:val="none" w:sz="0" w:space="0" w:color="auto"/>
        <w:right w:val="none" w:sz="0" w:space="0" w:color="auto"/>
      </w:divBdr>
    </w:div>
    <w:div w:id="60257176">
      <w:bodyDiv w:val="1"/>
      <w:marLeft w:val="0"/>
      <w:marRight w:val="0"/>
      <w:marTop w:val="0"/>
      <w:marBottom w:val="0"/>
      <w:divBdr>
        <w:top w:val="none" w:sz="0" w:space="0" w:color="auto"/>
        <w:left w:val="none" w:sz="0" w:space="0" w:color="auto"/>
        <w:bottom w:val="none" w:sz="0" w:space="0" w:color="auto"/>
        <w:right w:val="none" w:sz="0" w:space="0" w:color="auto"/>
      </w:divBdr>
      <w:divsChild>
        <w:div w:id="303581980">
          <w:marLeft w:val="0"/>
          <w:marRight w:val="0"/>
          <w:marTop w:val="0"/>
          <w:marBottom w:val="0"/>
          <w:divBdr>
            <w:top w:val="none" w:sz="0" w:space="0" w:color="auto"/>
            <w:left w:val="none" w:sz="0" w:space="0" w:color="auto"/>
            <w:bottom w:val="none" w:sz="0" w:space="0" w:color="auto"/>
            <w:right w:val="none" w:sz="0" w:space="0" w:color="auto"/>
          </w:divBdr>
          <w:divsChild>
            <w:div w:id="1934049819">
              <w:marLeft w:val="0"/>
              <w:marRight w:val="0"/>
              <w:marTop w:val="0"/>
              <w:marBottom w:val="0"/>
              <w:divBdr>
                <w:top w:val="none" w:sz="0" w:space="0" w:color="auto"/>
                <w:left w:val="none" w:sz="0" w:space="0" w:color="auto"/>
                <w:bottom w:val="none" w:sz="0" w:space="0" w:color="auto"/>
                <w:right w:val="none" w:sz="0" w:space="0" w:color="auto"/>
              </w:divBdr>
              <w:divsChild>
                <w:div w:id="270476273">
                  <w:marLeft w:val="0"/>
                  <w:marRight w:val="0"/>
                  <w:marTop w:val="0"/>
                  <w:marBottom w:val="0"/>
                  <w:divBdr>
                    <w:top w:val="none" w:sz="0" w:space="0" w:color="auto"/>
                    <w:left w:val="none" w:sz="0" w:space="0" w:color="auto"/>
                    <w:bottom w:val="none" w:sz="0" w:space="0" w:color="auto"/>
                    <w:right w:val="none" w:sz="0" w:space="0" w:color="auto"/>
                  </w:divBdr>
                  <w:divsChild>
                    <w:div w:id="297879754">
                      <w:marLeft w:val="0"/>
                      <w:marRight w:val="0"/>
                      <w:marTop w:val="0"/>
                      <w:marBottom w:val="0"/>
                      <w:divBdr>
                        <w:top w:val="none" w:sz="0" w:space="0" w:color="auto"/>
                        <w:left w:val="none" w:sz="0" w:space="0" w:color="auto"/>
                        <w:bottom w:val="none" w:sz="0" w:space="0" w:color="auto"/>
                        <w:right w:val="none" w:sz="0" w:space="0" w:color="auto"/>
                      </w:divBdr>
                      <w:divsChild>
                        <w:div w:id="1021325232">
                          <w:marLeft w:val="0"/>
                          <w:marRight w:val="0"/>
                          <w:marTop w:val="0"/>
                          <w:marBottom w:val="0"/>
                          <w:divBdr>
                            <w:top w:val="none" w:sz="0" w:space="0" w:color="auto"/>
                            <w:left w:val="none" w:sz="0" w:space="0" w:color="auto"/>
                            <w:bottom w:val="none" w:sz="0" w:space="0" w:color="auto"/>
                            <w:right w:val="none" w:sz="0" w:space="0" w:color="auto"/>
                          </w:divBdr>
                          <w:divsChild>
                            <w:div w:id="17157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84233">
      <w:bodyDiv w:val="1"/>
      <w:marLeft w:val="0"/>
      <w:marRight w:val="0"/>
      <w:marTop w:val="0"/>
      <w:marBottom w:val="0"/>
      <w:divBdr>
        <w:top w:val="none" w:sz="0" w:space="0" w:color="auto"/>
        <w:left w:val="none" w:sz="0" w:space="0" w:color="auto"/>
        <w:bottom w:val="none" w:sz="0" w:space="0" w:color="auto"/>
        <w:right w:val="none" w:sz="0" w:space="0" w:color="auto"/>
      </w:divBdr>
    </w:div>
    <w:div w:id="83690290">
      <w:bodyDiv w:val="1"/>
      <w:marLeft w:val="0"/>
      <w:marRight w:val="0"/>
      <w:marTop w:val="0"/>
      <w:marBottom w:val="0"/>
      <w:divBdr>
        <w:top w:val="none" w:sz="0" w:space="0" w:color="auto"/>
        <w:left w:val="none" w:sz="0" w:space="0" w:color="auto"/>
        <w:bottom w:val="none" w:sz="0" w:space="0" w:color="auto"/>
        <w:right w:val="none" w:sz="0" w:space="0" w:color="auto"/>
      </w:divBdr>
    </w:div>
    <w:div w:id="105543061">
      <w:bodyDiv w:val="1"/>
      <w:marLeft w:val="0"/>
      <w:marRight w:val="0"/>
      <w:marTop w:val="0"/>
      <w:marBottom w:val="0"/>
      <w:divBdr>
        <w:top w:val="none" w:sz="0" w:space="0" w:color="auto"/>
        <w:left w:val="none" w:sz="0" w:space="0" w:color="auto"/>
        <w:bottom w:val="none" w:sz="0" w:space="0" w:color="auto"/>
        <w:right w:val="none" w:sz="0" w:space="0" w:color="auto"/>
      </w:divBdr>
      <w:divsChild>
        <w:div w:id="1812094172">
          <w:marLeft w:val="0"/>
          <w:marRight w:val="0"/>
          <w:marTop w:val="0"/>
          <w:marBottom w:val="0"/>
          <w:divBdr>
            <w:top w:val="none" w:sz="0" w:space="0" w:color="auto"/>
            <w:left w:val="none" w:sz="0" w:space="0" w:color="auto"/>
            <w:bottom w:val="none" w:sz="0" w:space="0" w:color="auto"/>
            <w:right w:val="none" w:sz="0" w:space="0" w:color="auto"/>
          </w:divBdr>
          <w:divsChild>
            <w:div w:id="1774202159">
              <w:marLeft w:val="0"/>
              <w:marRight w:val="0"/>
              <w:marTop w:val="0"/>
              <w:marBottom w:val="0"/>
              <w:divBdr>
                <w:top w:val="none" w:sz="0" w:space="0" w:color="auto"/>
                <w:left w:val="none" w:sz="0" w:space="0" w:color="auto"/>
                <w:bottom w:val="none" w:sz="0" w:space="0" w:color="auto"/>
                <w:right w:val="none" w:sz="0" w:space="0" w:color="auto"/>
              </w:divBdr>
              <w:divsChild>
                <w:div w:id="556864699">
                  <w:marLeft w:val="0"/>
                  <w:marRight w:val="0"/>
                  <w:marTop w:val="0"/>
                  <w:marBottom w:val="0"/>
                  <w:divBdr>
                    <w:top w:val="none" w:sz="0" w:space="0" w:color="auto"/>
                    <w:left w:val="none" w:sz="0" w:space="0" w:color="auto"/>
                    <w:bottom w:val="none" w:sz="0" w:space="0" w:color="auto"/>
                    <w:right w:val="none" w:sz="0" w:space="0" w:color="auto"/>
                  </w:divBdr>
                  <w:divsChild>
                    <w:div w:id="1797749776">
                      <w:marLeft w:val="0"/>
                      <w:marRight w:val="0"/>
                      <w:marTop w:val="0"/>
                      <w:marBottom w:val="0"/>
                      <w:divBdr>
                        <w:top w:val="none" w:sz="0" w:space="0" w:color="auto"/>
                        <w:left w:val="none" w:sz="0" w:space="0" w:color="auto"/>
                        <w:bottom w:val="none" w:sz="0" w:space="0" w:color="auto"/>
                        <w:right w:val="none" w:sz="0" w:space="0" w:color="auto"/>
                      </w:divBdr>
                      <w:divsChild>
                        <w:div w:id="1809662630">
                          <w:marLeft w:val="0"/>
                          <w:marRight w:val="0"/>
                          <w:marTop w:val="0"/>
                          <w:marBottom w:val="0"/>
                          <w:divBdr>
                            <w:top w:val="none" w:sz="0" w:space="0" w:color="auto"/>
                            <w:left w:val="none" w:sz="0" w:space="0" w:color="auto"/>
                            <w:bottom w:val="none" w:sz="0" w:space="0" w:color="auto"/>
                            <w:right w:val="none" w:sz="0" w:space="0" w:color="auto"/>
                          </w:divBdr>
                          <w:divsChild>
                            <w:div w:id="19581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64577">
      <w:bodyDiv w:val="1"/>
      <w:marLeft w:val="0"/>
      <w:marRight w:val="0"/>
      <w:marTop w:val="0"/>
      <w:marBottom w:val="0"/>
      <w:divBdr>
        <w:top w:val="none" w:sz="0" w:space="0" w:color="auto"/>
        <w:left w:val="none" w:sz="0" w:space="0" w:color="auto"/>
        <w:bottom w:val="none" w:sz="0" w:space="0" w:color="auto"/>
        <w:right w:val="none" w:sz="0" w:space="0" w:color="auto"/>
      </w:divBdr>
      <w:divsChild>
        <w:div w:id="1156146430">
          <w:marLeft w:val="0"/>
          <w:marRight w:val="0"/>
          <w:marTop w:val="0"/>
          <w:marBottom w:val="0"/>
          <w:divBdr>
            <w:top w:val="none" w:sz="0" w:space="0" w:color="auto"/>
            <w:left w:val="none" w:sz="0" w:space="0" w:color="auto"/>
            <w:bottom w:val="none" w:sz="0" w:space="0" w:color="auto"/>
            <w:right w:val="none" w:sz="0" w:space="0" w:color="auto"/>
          </w:divBdr>
          <w:divsChild>
            <w:div w:id="1605769930">
              <w:marLeft w:val="0"/>
              <w:marRight w:val="0"/>
              <w:marTop w:val="0"/>
              <w:marBottom w:val="0"/>
              <w:divBdr>
                <w:top w:val="none" w:sz="0" w:space="0" w:color="auto"/>
                <w:left w:val="none" w:sz="0" w:space="0" w:color="auto"/>
                <w:bottom w:val="none" w:sz="0" w:space="0" w:color="auto"/>
                <w:right w:val="none" w:sz="0" w:space="0" w:color="auto"/>
              </w:divBdr>
              <w:divsChild>
                <w:div w:id="369916819">
                  <w:marLeft w:val="0"/>
                  <w:marRight w:val="0"/>
                  <w:marTop w:val="0"/>
                  <w:marBottom w:val="0"/>
                  <w:divBdr>
                    <w:top w:val="none" w:sz="0" w:space="0" w:color="auto"/>
                    <w:left w:val="none" w:sz="0" w:space="0" w:color="auto"/>
                    <w:bottom w:val="none" w:sz="0" w:space="0" w:color="auto"/>
                    <w:right w:val="none" w:sz="0" w:space="0" w:color="auto"/>
                  </w:divBdr>
                  <w:divsChild>
                    <w:div w:id="2079160045">
                      <w:marLeft w:val="0"/>
                      <w:marRight w:val="0"/>
                      <w:marTop w:val="0"/>
                      <w:marBottom w:val="0"/>
                      <w:divBdr>
                        <w:top w:val="none" w:sz="0" w:space="0" w:color="auto"/>
                        <w:left w:val="none" w:sz="0" w:space="0" w:color="auto"/>
                        <w:bottom w:val="none" w:sz="0" w:space="0" w:color="auto"/>
                        <w:right w:val="none" w:sz="0" w:space="0" w:color="auto"/>
                      </w:divBdr>
                      <w:divsChild>
                        <w:div w:id="1285113320">
                          <w:marLeft w:val="0"/>
                          <w:marRight w:val="0"/>
                          <w:marTop w:val="0"/>
                          <w:marBottom w:val="0"/>
                          <w:divBdr>
                            <w:top w:val="none" w:sz="0" w:space="0" w:color="auto"/>
                            <w:left w:val="none" w:sz="0" w:space="0" w:color="auto"/>
                            <w:bottom w:val="none" w:sz="0" w:space="0" w:color="auto"/>
                            <w:right w:val="none" w:sz="0" w:space="0" w:color="auto"/>
                          </w:divBdr>
                          <w:divsChild>
                            <w:div w:id="11921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5690">
      <w:bodyDiv w:val="1"/>
      <w:marLeft w:val="0"/>
      <w:marRight w:val="0"/>
      <w:marTop w:val="0"/>
      <w:marBottom w:val="0"/>
      <w:divBdr>
        <w:top w:val="none" w:sz="0" w:space="0" w:color="auto"/>
        <w:left w:val="none" w:sz="0" w:space="0" w:color="auto"/>
        <w:bottom w:val="none" w:sz="0" w:space="0" w:color="auto"/>
        <w:right w:val="none" w:sz="0" w:space="0" w:color="auto"/>
      </w:divBdr>
      <w:divsChild>
        <w:div w:id="1546987633">
          <w:marLeft w:val="0"/>
          <w:marRight w:val="0"/>
          <w:marTop w:val="0"/>
          <w:marBottom w:val="0"/>
          <w:divBdr>
            <w:top w:val="none" w:sz="0" w:space="0" w:color="auto"/>
            <w:left w:val="none" w:sz="0" w:space="0" w:color="auto"/>
            <w:bottom w:val="none" w:sz="0" w:space="0" w:color="auto"/>
            <w:right w:val="none" w:sz="0" w:space="0" w:color="auto"/>
          </w:divBdr>
          <w:divsChild>
            <w:div w:id="1701665173">
              <w:marLeft w:val="0"/>
              <w:marRight w:val="0"/>
              <w:marTop w:val="0"/>
              <w:marBottom w:val="0"/>
              <w:divBdr>
                <w:top w:val="none" w:sz="0" w:space="0" w:color="auto"/>
                <w:left w:val="none" w:sz="0" w:space="0" w:color="auto"/>
                <w:bottom w:val="none" w:sz="0" w:space="0" w:color="auto"/>
                <w:right w:val="none" w:sz="0" w:space="0" w:color="auto"/>
              </w:divBdr>
              <w:divsChild>
                <w:div w:id="1485049035">
                  <w:marLeft w:val="0"/>
                  <w:marRight w:val="0"/>
                  <w:marTop w:val="0"/>
                  <w:marBottom w:val="0"/>
                  <w:divBdr>
                    <w:top w:val="none" w:sz="0" w:space="0" w:color="auto"/>
                    <w:left w:val="none" w:sz="0" w:space="0" w:color="auto"/>
                    <w:bottom w:val="none" w:sz="0" w:space="0" w:color="auto"/>
                    <w:right w:val="none" w:sz="0" w:space="0" w:color="auto"/>
                  </w:divBdr>
                  <w:divsChild>
                    <w:div w:id="686717913">
                      <w:marLeft w:val="0"/>
                      <w:marRight w:val="0"/>
                      <w:marTop w:val="0"/>
                      <w:marBottom w:val="0"/>
                      <w:divBdr>
                        <w:top w:val="none" w:sz="0" w:space="0" w:color="auto"/>
                        <w:left w:val="none" w:sz="0" w:space="0" w:color="auto"/>
                        <w:bottom w:val="none" w:sz="0" w:space="0" w:color="auto"/>
                        <w:right w:val="none" w:sz="0" w:space="0" w:color="auto"/>
                      </w:divBdr>
                      <w:divsChild>
                        <w:div w:id="834416684">
                          <w:marLeft w:val="0"/>
                          <w:marRight w:val="0"/>
                          <w:marTop w:val="0"/>
                          <w:marBottom w:val="0"/>
                          <w:divBdr>
                            <w:top w:val="none" w:sz="0" w:space="0" w:color="auto"/>
                            <w:left w:val="none" w:sz="0" w:space="0" w:color="auto"/>
                            <w:bottom w:val="none" w:sz="0" w:space="0" w:color="auto"/>
                            <w:right w:val="none" w:sz="0" w:space="0" w:color="auto"/>
                          </w:divBdr>
                          <w:divsChild>
                            <w:div w:id="8195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9806">
      <w:bodyDiv w:val="1"/>
      <w:marLeft w:val="0"/>
      <w:marRight w:val="0"/>
      <w:marTop w:val="0"/>
      <w:marBottom w:val="0"/>
      <w:divBdr>
        <w:top w:val="none" w:sz="0" w:space="0" w:color="auto"/>
        <w:left w:val="none" w:sz="0" w:space="0" w:color="auto"/>
        <w:bottom w:val="none" w:sz="0" w:space="0" w:color="auto"/>
        <w:right w:val="none" w:sz="0" w:space="0" w:color="auto"/>
      </w:divBdr>
      <w:divsChild>
        <w:div w:id="62263594">
          <w:marLeft w:val="0"/>
          <w:marRight w:val="0"/>
          <w:marTop w:val="0"/>
          <w:marBottom w:val="0"/>
          <w:divBdr>
            <w:top w:val="none" w:sz="0" w:space="0" w:color="auto"/>
            <w:left w:val="none" w:sz="0" w:space="0" w:color="auto"/>
            <w:bottom w:val="none" w:sz="0" w:space="0" w:color="auto"/>
            <w:right w:val="none" w:sz="0" w:space="0" w:color="auto"/>
          </w:divBdr>
          <w:divsChild>
            <w:div w:id="1030957522">
              <w:marLeft w:val="0"/>
              <w:marRight w:val="0"/>
              <w:marTop w:val="0"/>
              <w:marBottom w:val="0"/>
              <w:divBdr>
                <w:top w:val="none" w:sz="0" w:space="0" w:color="auto"/>
                <w:left w:val="none" w:sz="0" w:space="0" w:color="auto"/>
                <w:bottom w:val="none" w:sz="0" w:space="0" w:color="auto"/>
                <w:right w:val="none" w:sz="0" w:space="0" w:color="auto"/>
              </w:divBdr>
              <w:divsChild>
                <w:div w:id="1593077809">
                  <w:marLeft w:val="0"/>
                  <w:marRight w:val="0"/>
                  <w:marTop w:val="0"/>
                  <w:marBottom w:val="0"/>
                  <w:divBdr>
                    <w:top w:val="none" w:sz="0" w:space="0" w:color="auto"/>
                    <w:left w:val="none" w:sz="0" w:space="0" w:color="auto"/>
                    <w:bottom w:val="none" w:sz="0" w:space="0" w:color="auto"/>
                    <w:right w:val="none" w:sz="0" w:space="0" w:color="auto"/>
                  </w:divBdr>
                  <w:divsChild>
                    <w:div w:id="1250458568">
                      <w:marLeft w:val="0"/>
                      <w:marRight w:val="0"/>
                      <w:marTop w:val="0"/>
                      <w:marBottom w:val="0"/>
                      <w:divBdr>
                        <w:top w:val="none" w:sz="0" w:space="0" w:color="auto"/>
                        <w:left w:val="none" w:sz="0" w:space="0" w:color="auto"/>
                        <w:bottom w:val="none" w:sz="0" w:space="0" w:color="auto"/>
                        <w:right w:val="none" w:sz="0" w:space="0" w:color="auto"/>
                      </w:divBdr>
                      <w:divsChild>
                        <w:div w:id="1893496418">
                          <w:marLeft w:val="0"/>
                          <w:marRight w:val="0"/>
                          <w:marTop w:val="0"/>
                          <w:marBottom w:val="0"/>
                          <w:divBdr>
                            <w:top w:val="none" w:sz="0" w:space="0" w:color="auto"/>
                            <w:left w:val="none" w:sz="0" w:space="0" w:color="auto"/>
                            <w:bottom w:val="none" w:sz="0" w:space="0" w:color="auto"/>
                            <w:right w:val="none" w:sz="0" w:space="0" w:color="auto"/>
                          </w:divBdr>
                          <w:divsChild>
                            <w:div w:id="1570336885">
                              <w:marLeft w:val="0"/>
                              <w:marRight w:val="0"/>
                              <w:marTop w:val="0"/>
                              <w:marBottom w:val="0"/>
                              <w:divBdr>
                                <w:top w:val="none" w:sz="0" w:space="0" w:color="auto"/>
                                <w:left w:val="none" w:sz="0" w:space="0" w:color="auto"/>
                                <w:bottom w:val="none" w:sz="0" w:space="0" w:color="auto"/>
                                <w:right w:val="none" w:sz="0" w:space="0" w:color="auto"/>
                              </w:divBdr>
                              <w:divsChild>
                                <w:div w:id="1833444480">
                                  <w:marLeft w:val="0"/>
                                  <w:marRight w:val="0"/>
                                  <w:marTop w:val="0"/>
                                  <w:marBottom w:val="0"/>
                                  <w:divBdr>
                                    <w:top w:val="none" w:sz="0" w:space="0" w:color="auto"/>
                                    <w:left w:val="none" w:sz="0" w:space="0" w:color="auto"/>
                                    <w:bottom w:val="none" w:sz="0" w:space="0" w:color="auto"/>
                                    <w:right w:val="none" w:sz="0" w:space="0" w:color="auto"/>
                                  </w:divBdr>
                                  <w:divsChild>
                                    <w:div w:id="1241717778">
                                      <w:marLeft w:val="0"/>
                                      <w:marRight w:val="0"/>
                                      <w:marTop w:val="0"/>
                                      <w:marBottom w:val="0"/>
                                      <w:divBdr>
                                        <w:top w:val="none" w:sz="0" w:space="0" w:color="auto"/>
                                        <w:left w:val="none" w:sz="0" w:space="0" w:color="auto"/>
                                        <w:bottom w:val="none" w:sz="0" w:space="0" w:color="auto"/>
                                        <w:right w:val="none" w:sz="0" w:space="0" w:color="auto"/>
                                      </w:divBdr>
                                      <w:divsChild>
                                        <w:div w:id="13345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401574">
      <w:bodyDiv w:val="1"/>
      <w:marLeft w:val="0"/>
      <w:marRight w:val="0"/>
      <w:marTop w:val="0"/>
      <w:marBottom w:val="0"/>
      <w:divBdr>
        <w:top w:val="none" w:sz="0" w:space="0" w:color="auto"/>
        <w:left w:val="none" w:sz="0" w:space="0" w:color="auto"/>
        <w:bottom w:val="none" w:sz="0" w:space="0" w:color="auto"/>
        <w:right w:val="none" w:sz="0" w:space="0" w:color="auto"/>
      </w:divBdr>
      <w:divsChild>
        <w:div w:id="1790512246">
          <w:marLeft w:val="0"/>
          <w:marRight w:val="0"/>
          <w:marTop w:val="0"/>
          <w:marBottom w:val="0"/>
          <w:divBdr>
            <w:top w:val="none" w:sz="0" w:space="0" w:color="auto"/>
            <w:left w:val="none" w:sz="0" w:space="0" w:color="auto"/>
            <w:bottom w:val="none" w:sz="0" w:space="0" w:color="auto"/>
            <w:right w:val="none" w:sz="0" w:space="0" w:color="auto"/>
          </w:divBdr>
          <w:divsChild>
            <w:div w:id="1711150908">
              <w:marLeft w:val="0"/>
              <w:marRight w:val="0"/>
              <w:marTop w:val="0"/>
              <w:marBottom w:val="0"/>
              <w:divBdr>
                <w:top w:val="none" w:sz="0" w:space="0" w:color="auto"/>
                <w:left w:val="none" w:sz="0" w:space="0" w:color="auto"/>
                <w:bottom w:val="none" w:sz="0" w:space="0" w:color="auto"/>
                <w:right w:val="none" w:sz="0" w:space="0" w:color="auto"/>
              </w:divBdr>
              <w:divsChild>
                <w:div w:id="725956034">
                  <w:marLeft w:val="0"/>
                  <w:marRight w:val="0"/>
                  <w:marTop w:val="0"/>
                  <w:marBottom w:val="0"/>
                  <w:divBdr>
                    <w:top w:val="none" w:sz="0" w:space="0" w:color="auto"/>
                    <w:left w:val="none" w:sz="0" w:space="0" w:color="auto"/>
                    <w:bottom w:val="none" w:sz="0" w:space="0" w:color="auto"/>
                    <w:right w:val="none" w:sz="0" w:space="0" w:color="auto"/>
                  </w:divBdr>
                  <w:divsChild>
                    <w:div w:id="2018578060">
                      <w:marLeft w:val="0"/>
                      <w:marRight w:val="0"/>
                      <w:marTop w:val="0"/>
                      <w:marBottom w:val="0"/>
                      <w:divBdr>
                        <w:top w:val="none" w:sz="0" w:space="0" w:color="auto"/>
                        <w:left w:val="none" w:sz="0" w:space="0" w:color="auto"/>
                        <w:bottom w:val="none" w:sz="0" w:space="0" w:color="auto"/>
                        <w:right w:val="none" w:sz="0" w:space="0" w:color="auto"/>
                      </w:divBdr>
                      <w:divsChild>
                        <w:div w:id="104934483">
                          <w:marLeft w:val="0"/>
                          <w:marRight w:val="0"/>
                          <w:marTop w:val="0"/>
                          <w:marBottom w:val="0"/>
                          <w:divBdr>
                            <w:top w:val="none" w:sz="0" w:space="0" w:color="auto"/>
                            <w:left w:val="none" w:sz="0" w:space="0" w:color="auto"/>
                            <w:bottom w:val="none" w:sz="0" w:space="0" w:color="auto"/>
                            <w:right w:val="none" w:sz="0" w:space="0" w:color="auto"/>
                          </w:divBdr>
                          <w:divsChild>
                            <w:div w:id="255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813418">
      <w:bodyDiv w:val="1"/>
      <w:marLeft w:val="0"/>
      <w:marRight w:val="0"/>
      <w:marTop w:val="0"/>
      <w:marBottom w:val="0"/>
      <w:divBdr>
        <w:top w:val="none" w:sz="0" w:space="0" w:color="auto"/>
        <w:left w:val="none" w:sz="0" w:space="0" w:color="auto"/>
        <w:bottom w:val="none" w:sz="0" w:space="0" w:color="auto"/>
        <w:right w:val="none" w:sz="0" w:space="0" w:color="auto"/>
      </w:divBdr>
      <w:divsChild>
        <w:div w:id="1290555741">
          <w:marLeft w:val="0"/>
          <w:marRight w:val="0"/>
          <w:marTop w:val="0"/>
          <w:marBottom w:val="0"/>
          <w:divBdr>
            <w:top w:val="none" w:sz="0" w:space="0" w:color="auto"/>
            <w:left w:val="none" w:sz="0" w:space="0" w:color="auto"/>
            <w:bottom w:val="none" w:sz="0" w:space="0" w:color="auto"/>
            <w:right w:val="none" w:sz="0" w:space="0" w:color="auto"/>
          </w:divBdr>
          <w:divsChild>
            <w:div w:id="1932272608">
              <w:marLeft w:val="0"/>
              <w:marRight w:val="0"/>
              <w:marTop w:val="0"/>
              <w:marBottom w:val="0"/>
              <w:divBdr>
                <w:top w:val="none" w:sz="0" w:space="0" w:color="auto"/>
                <w:left w:val="none" w:sz="0" w:space="0" w:color="auto"/>
                <w:bottom w:val="none" w:sz="0" w:space="0" w:color="auto"/>
                <w:right w:val="none" w:sz="0" w:space="0" w:color="auto"/>
              </w:divBdr>
              <w:divsChild>
                <w:div w:id="2922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95203">
      <w:bodyDiv w:val="1"/>
      <w:marLeft w:val="0"/>
      <w:marRight w:val="0"/>
      <w:marTop w:val="0"/>
      <w:marBottom w:val="0"/>
      <w:divBdr>
        <w:top w:val="none" w:sz="0" w:space="0" w:color="auto"/>
        <w:left w:val="none" w:sz="0" w:space="0" w:color="auto"/>
        <w:bottom w:val="none" w:sz="0" w:space="0" w:color="auto"/>
        <w:right w:val="none" w:sz="0" w:space="0" w:color="auto"/>
      </w:divBdr>
      <w:divsChild>
        <w:div w:id="1690642649">
          <w:marLeft w:val="0"/>
          <w:marRight w:val="0"/>
          <w:marTop w:val="0"/>
          <w:marBottom w:val="0"/>
          <w:divBdr>
            <w:top w:val="none" w:sz="0" w:space="0" w:color="auto"/>
            <w:left w:val="none" w:sz="0" w:space="0" w:color="auto"/>
            <w:bottom w:val="none" w:sz="0" w:space="0" w:color="auto"/>
            <w:right w:val="none" w:sz="0" w:space="0" w:color="auto"/>
          </w:divBdr>
          <w:divsChild>
            <w:div w:id="1218512205">
              <w:marLeft w:val="0"/>
              <w:marRight w:val="0"/>
              <w:marTop w:val="0"/>
              <w:marBottom w:val="0"/>
              <w:divBdr>
                <w:top w:val="none" w:sz="0" w:space="0" w:color="auto"/>
                <w:left w:val="none" w:sz="0" w:space="0" w:color="auto"/>
                <w:bottom w:val="none" w:sz="0" w:space="0" w:color="auto"/>
                <w:right w:val="none" w:sz="0" w:space="0" w:color="auto"/>
              </w:divBdr>
              <w:divsChild>
                <w:div w:id="261450554">
                  <w:marLeft w:val="0"/>
                  <w:marRight w:val="0"/>
                  <w:marTop w:val="0"/>
                  <w:marBottom w:val="0"/>
                  <w:divBdr>
                    <w:top w:val="none" w:sz="0" w:space="0" w:color="auto"/>
                    <w:left w:val="none" w:sz="0" w:space="0" w:color="auto"/>
                    <w:bottom w:val="none" w:sz="0" w:space="0" w:color="auto"/>
                    <w:right w:val="none" w:sz="0" w:space="0" w:color="auto"/>
                  </w:divBdr>
                  <w:divsChild>
                    <w:div w:id="1442794855">
                      <w:marLeft w:val="0"/>
                      <w:marRight w:val="0"/>
                      <w:marTop w:val="0"/>
                      <w:marBottom w:val="0"/>
                      <w:divBdr>
                        <w:top w:val="none" w:sz="0" w:space="0" w:color="auto"/>
                        <w:left w:val="none" w:sz="0" w:space="0" w:color="auto"/>
                        <w:bottom w:val="none" w:sz="0" w:space="0" w:color="auto"/>
                        <w:right w:val="none" w:sz="0" w:space="0" w:color="auto"/>
                      </w:divBdr>
                      <w:divsChild>
                        <w:div w:id="1652367017">
                          <w:marLeft w:val="0"/>
                          <w:marRight w:val="0"/>
                          <w:marTop w:val="0"/>
                          <w:marBottom w:val="0"/>
                          <w:divBdr>
                            <w:top w:val="none" w:sz="0" w:space="0" w:color="auto"/>
                            <w:left w:val="none" w:sz="0" w:space="0" w:color="auto"/>
                            <w:bottom w:val="none" w:sz="0" w:space="0" w:color="auto"/>
                            <w:right w:val="none" w:sz="0" w:space="0" w:color="auto"/>
                          </w:divBdr>
                          <w:divsChild>
                            <w:div w:id="11408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1906">
      <w:bodyDiv w:val="1"/>
      <w:marLeft w:val="0"/>
      <w:marRight w:val="0"/>
      <w:marTop w:val="0"/>
      <w:marBottom w:val="0"/>
      <w:divBdr>
        <w:top w:val="none" w:sz="0" w:space="0" w:color="auto"/>
        <w:left w:val="none" w:sz="0" w:space="0" w:color="auto"/>
        <w:bottom w:val="none" w:sz="0" w:space="0" w:color="auto"/>
        <w:right w:val="none" w:sz="0" w:space="0" w:color="auto"/>
      </w:divBdr>
    </w:div>
    <w:div w:id="303584668">
      <w:bodyDiv w:val="1"/>
      <w:marLeft w:val="0"/>
      <w:marRight w:val="0"/>
      <w:marTop w:val="0"/>
      <w:marBottom w:val="0"/>
      <w:divBdr>
        <w:top w:val="none" w:sz="0" w:space="0" w:color="auto"/>
        <w:left w:val="none" w:sz="0" w:space="0" w:color="auto"/>
        <w:bottom w:val="none" w:sz="0" w:space="0" w:color="auto"/>
        <w:right w:val="none" w:sz="0" w:space="0" w:color="auto"/>
      </w:divBdr>
      <w:divsChild>
        <w:div w:id="402214654">
          <w:marLeft w:val="0"/>
          <w:marRight w:val="0"/>
          <w:marTop w:val="0"/>
          <w:marBottom w:val="0"/>
          <w:divBdr>
            <w:top w:val="none" w:sz="0" w:space="0" w:color="auto"/>
            <w:left w:val="none" w:sz="0" w:space="0" w:color="auto"/>
            <w:bottom w:val="none" w:sz="0" w:space="0" w:color="auto"/>
            <w:right w:val="none" w:sz="0" w:space="0" w:color="auto"/>
          </w:divBdr>
          <w:divsChild>
            <w:div w:id="1881547816">
              <w:marLeft w:val="0"/>
              <w:marRight w:val="0"/>
              <w:marTop w:val="0"/>
              <w:marBottom w:val="0"/>
              <w:divBdr>
                <w:top w:val="none" w:sz="0" w:space="0" w:color="auto"/>
                <w:left w:val="none" w:sz="0" w:space="0" w:color="auto"/>
                <w:bottom w:val="none" w:sz="0" w:space="0" w:color="auto"/>
                <w:right w:val="none" w:sz="0" w:space="0" w:color="auto"/>
              </w:divBdr>
              <w:divsChild>
                <w:div w:id="1884973607">
                  <w:marLeft w:val="0"/>
                  <w:marRight w:val="0"/>
                  <w:marTop w:val="0"/>
                  <w:marBottom w:val="0"/>
                  <w:divBdr>
                    <w:top w:val="none" w:sz="0" w:space="0" w:color="auto"/>
                    <w:left w:val="none" w:sz="0" w:space="0" w:color="auto"/>
                    <w:bottom w:val="none" w:sz="0" w:space="0" w:color="auto"/>
                    <w:right w:val="none" w:sz="0" w:space="0" w:color="auto"/>
                  </w:divBdr>
                  <w:divsChild>
                    <w:div w:id="557786334">
                      <w:marLeft w:val="0"/>
                      <w:marRight w:val="0"/>
                      <w:marTop w:val="0"/>
                      <w:marBottom w:val="0"/>
                      <w:divBdr>
                        <w:top w:val="none" w:sz="0" w:space="0" w:color="auto"/>
                        <w:left w:val="none" w:sz="0" w:space="0" w:color="auto"/>
                        <w:bottom w:val="none" w:sz="0" w:space="0" w:color="auto"/>
                        <w:right w:val="none" w:sz="0" w:space="0" w:color="auto"/>
                      </w:divBdr>
                      <w:divsChild>
                        <w:div w:id="585042375">
                          <w:marLeft w:val="0"/>
                          <w:marRight w:val="0"/>
                          <w:marTop w:val="0"/>
                          <w:marBottom w:val="0"/>
                          <w:divBdr>
                            <w:top w:val="none" w:sz="0" w:space="0" w:color="auto"/>
                            <w:left w:val="none" w:sz="0" w:space="0" w:color="auto"/>
                            <w:bottom w:val="none" w:sz="0" w:space="0" w:color="auto"/>
                            <w:right w:val="none" w:sz="0" w:space="0" w:color="auto"/>
                          </w:divBdr>
                          <w:divsChild>
                            <w:div w:id="3982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209581">
      <w:bodyDiv w:val="1"/>
      <w:marLeft w:val="0"/>
      <w:marRight w:val="0"/>
      <w:marTop w:val="0"/>
      <w:marBottom w:val="0"/>
      <w:divBdr>
        <w:top w:val="none" w:sz="0" w:space="0" w:color="auto"/>
        <w:left w:val="none" w:sz="0" w:space="0" w:color="auto"/>
        <w:bottom w:val="none" w:sz="0" w:space="0" w:color="auto"/>
        <w:right w:val="none" w:sz="0" w:space="0" w:color="auto"/>
      </w:divBdr>
      <w:divsChild>
        <w:div w:id="753631095">
          <w:marLeft w:val="0"/>
          <w:marRight w:val="0"/>
          <w:marTop w:val="0"/>
          <w:marBottom w:val="0"/>
          <w:divBdr>
            <w:top w:val="none" w:sz="0" w:space="0" w:color="auto"/>
            <w:left w:val="none" w:sz="0" w:space="0" w:color="auto"/>
            <w:bottom w:val="none" w:sz="0" w:space="0" w:color="auto"/>
            <w:right w:val="none" w:sz="0" w:space="0" w:color="auto"/>
          </w:divBdr>
          <w:divsChild>
            <w:div w:id="1484199762">
              <w:marLeft w:val="0"/>
              <w:marRight w:val="0"/>
              <w:marTop w:val="0"/>
              <w:marBottom w:val="0"/>
              <w:divBdr>
                <w:top w:val="none" w:sz="0" w:space="0" w:color="auto"/>
                <w:left w:val="none" w:sz="0" w:space="0" w:color="auto"/>
                <w:bottom w:val="none" w:sz="0" w:space="0" w:color="auto"/>
                <w:right w:val="none" w:sz="0" w:space="0" w:color="auto"/>
              </w:divBdr>
              <w:divsChild>
                <w:div w:id="57679039">
                  <w:marLeft w:val="0"/>
                  <w:marRight w:val="0"/>
                  <w:marTop w:val="0"/>
                  <w:marBottom w:val="0"/>
                  <w:divBdr>
                    <w:top w:val="none" w:sz="0" w:space="0" w:color="auto"/>
                    <w:left w:val="none" w:sz="0" w:space="0" w:color="auto"/>
                    <w:bottom w:val="none" w:sz="0" w:space="0" w:color="auto"/>
                    <w:right w:val="none" w:sz="0" w:space="0" w:color="auto"/>
                  </w:divBdr>
                  <w:divsChild>
                    <w:div w:id="1228958844">
                      <w:marLeft w:val="0"/>
                      <w:marRight w:val="0"/>
                      <w:marTop w:val="0"/>
                      <w:marBottom w:val="0"/>
                      <w:divBdr>
                        <w:top w:val="none" w:sz="0" w:space="0" w:color="auto"/>
                        <w:left w:val="none" w:sz="0" w:space="0" w:color="auto"/>
                        <w:bottom w:val="none" w:sz="0" w:space="0" w:color="auto"/>
                        <w:right w:val="none" w:sz="0" w:space="0" w:color="auto"/>
                      </w:divBdr>
                      <w:divsChild>
                        <w:div w:id="1376466509">
                          <w:marLeft w:val="0"/>
                          <w:marRight w:val="0"/>
                          <w:marTop w:val="0"/>
                          <w:marBottom w:val="0"/>
                          <w:divBdr>
                            <w:top w:val="none" w:sz="0" w:space="0" w:color="auto"/>
                            <w:left w:val="none" w:sz="0" w:space="0" w:color="auto"/>
                            <w:bottom w:val="none" w:sz="0" w:space="0" w:color="auto"/>
                            <w:right w:val="none" w:sz="0" w:space="0" w:color="auto"/>
                          </w:divBdr>
                          <w:divsChild>
                            <w:div w:id="17261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001135">
      <w:bodyDiv w:val="1"/>
      <w:marLeft w:val="0"/>
      <w:marRight w:val="0"/>
      <w:marTop w:val="0"/>
      <w:marBottom w:val="0"/>
      <w:divBdr>
        <w:top w:val="none" w:sz="0" w:space="0" w:color="auto"/>
        <w:left w:val="none" w:sz="0" w:space="0" w:color="auto"/>
        <w:bottom w:val="none" w:sz="0" w:space="0" w:color="auto"/>
        <w:right w:val="none" w:sz="0" w:space="0" w:color="auto"/>
      </w:divBdr>
      <w:divsChild>
        <w:div w:id="1456368588">
          <w:marLeft w:val="0"/>
          <w:marRight w:val="0"/>
          <w:marTop w:val="0"/>
          <w:marBottom w:val="0"/>
          <w:divBdr>
            <w:top w:val="none" w:sz="0" w:space="0" w:color="auto"/>
            <w:left w:val="none" w:sz="0" w:space="0" w:color="auto"/>
            <w:bottom w:val="none" w:sz="0" w:space="0" w:color="auto"/>
            <w:right w:val="none" w:sz="0" w:space="0" w:color="auto"/>
          </w:divBdr>
          <w:divsChild>
            <w:div w:id="1537691279">
              <w:marLeft w:val="0"/>
              <w:marRight w:val="0"/>
              <w:marTop w:val="0"/>
              <w:marBottom w:val="0"/>
              <w:divBdr>
                <w:top w:val="none" w:sz="0" w:space="0" w:color="auto"/>
                <w:left w:val="none" w:sz="0" w:space="0" w:color="auto"/>
                <w:bottom w:val="none" w:sz="0" w:space="0" w:color="auto"/>
                <w:right w:val="none" w:sz="0" w:space="0" w:color="auto"/>
              </w:divBdr>
              <w:divsChild>
                <w:div w:id="1925410162">
                  <w:marLeft w:val="0"/>
                  <w:marRight w:val="0"/>
                  <w:marTop w:val="0"/>
                  <w:marBottom w:val="0"/>
                  <w:divBdr>
                    <w:top w:val="none" w:sz="0" w:space="0" w:color="auto"/>
                    <w:left w:val="none" w:sz="0" w:space="0" w:color="auto"/>
                    <w:bottom w:val="none" w:sz="0" w:space="0" w:color="auto"/>
                    <w:right w:val="none" w:sz="0" w:space="0" w:color="auto"/>
                  </w:divBdr>
                  <w:divsChild>
                    <w:div w:id="1522624505">
                      <w:marLeft w:val="0"/>
                      <w:marRight w:val="0"/>
                      <w:marTop w:val="0"/>
                      <w:marBottom w:val="0"/>
                      <w:divBdr>
                        <w:top w:val="none" w:sz="0" w:space="0" w:color="auto"/>
                        <w:left w:val="none" w:sz="0" w:space="0" w:color="auto"/>
                        <w:bottom w:val="none" w:sz="0" w:space="0" w:color="auto"/>
                        <w:right w:val="none" w:sz="0" w:space="0" w:color="auto"/>
                      </w:divBdr>
                      <w:divsChild>
                        <w:div w:id="875853171">
                          <w:marLeft w:val="0"/>
                          <w:marRight w:val="0"/>
                          <w:marTop w:val="0"/>
                          <w:marBottom w:val="0"/>
                          <w:divBdr>
                            <w:top w:val="none" w:sz="0" w:space="0" w:color="auto"/>
                            <w:left w:val="none" w:sz="0" w:space="0" w:color="auto"/>
                            <w:bottom w:val="none" w:sz="0" w:space="0" w:color="auto"/>
                            <w:right w:val="none" w:sz="0" w:space="0" w:color="auto"/>
                          </w:divBdr>
                          <w:divsChild>
                            <w:div w:id="14665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611339">
      <w:bodyDiv w:val="1"/>
      <w:marLeft w:val="0"/>
      <w:marRight w:val="0"/>
      <w:marTop w:val="0"/>
      <w:marBottom w:val="0"/>
      <w:divBdr>
        <w:top w:val="none" w:sz="0" w:space="0" w:color="auto"/>
        <w:left w:val="none" w:sz="0" w:space="0" w:color="auto"/>
        <w:bottom w:val="none" w:sz="0" w:space="0" w:color="auto"/>
        <w:right w:val="none" w:sz="0" w:space="0" w:color="auto"/>
      </w:divBdr>
      <w:divsChild>
        <w:div w:id="198127103">
          <w:marLeft w:val="0"/>
          <w:marRight w:val="0"/>
          <w:marTop w:val="0"/>
          <w:marBottom w:val="0"/>
          <w:divBdr>
            <w:top w:val="none" w:sz="0" w:space="0" w:color="auto"/>
            <w:left w:val="none" w:sz="0" w:space="0" w:color="auto"/>
            <w:bottom w:val="none" w:sz="0" w:space="0" w:color="auto"/>
            <w:right w:val="none" w:sz="0" w:space="0" w:color="auto"/>
          </w:divBdr>
          <w:divsChild>
            <w:div w:id="1083262040">
              <w:marLeft w:val="0"/>
              <w:marRight w:val="0"/>
              <w:marTop w:val="0"/>
              <w:marBottom w:val="0"/>
              <w:divBdr>
                <w:top w:val="none" w:sz="0" w:space="0" w:color="auto"/>
                <w:left w:val="none" w:sz="0" w:space="0" w:color="auto"/>
                <w:bottom w:val="none" w:sz="0" w:space="0" w:color="auto"/>
                <w:right w:val="none" w:sz="0" w:space="0" w:color="auto"/>
              </w:divBdr>
              <w:divsChild>
                <w:div w:id="2042703413">
                  <w:marLeft w:val="0"/>
                  <w:marRight w:val="0"/>
                  <w:marTop w:val="0"/>
                  <w:marBottom w:val="0"/>
                  <w:divBdr>
                    <w:top w:val="none" w:sz="0" w:space="0" w:color="auto"/>
                    <w:left w:val="none" w:sz="0" w:space="0" w:color="auto"/>
                    <w:bottom w:val="none" w:sz="0" w:space="0" w:color="auto"/>
                    <w:right w:val="none" w:sz="0" w:space="0" w:color="auto"/>
                  </w:divBdr>
                  <w:divsChild>
                    <w:div w:id="1700472177">
                      <w:marLeft w:val="0"/>
                      <w:marRight w:val="0"/>
                      <w:marTop w:val="0"/>
                      <w:marBottom w:val="0"/>
                      <w:divBdr>
                        <w:top w:val="none" w:sz="0" w:space="0" w:color="auto"/>
                        <w:left w:val="none" w:sz="0" w:space="0" w:color="auto"/>
                        <w:bottom w:val="none" w:sz="0" w:space="0" w:color="auto"/>
                        <w:right w:val="none" w:sz="0" w:space="0" w:color="auto"/>
                      </w:divBdr>
                      <w:divsChild>
                        <w:div w:id="1528788082">
                          <w:marLeft w:val="0"/>
                          <w:marRight w:val="0"/>
                          <w:marTop w:val="0"/>
                          <w:marBottom w:val="0"/>
                          <w:divBdr>
                            <w:top w:val="none" w:sz="0" w:space="0" w:color="auto"/>
                            <w:left w:val="none" w:sz="0" w:space="0" w:color="auto"/>
                            <w:bottom w:val="none" w:sz="0" w:space="0" w:color="auto"/>
                            <w:right w:val="none" w:sz="0" w:space="0" w:color="auto"/>
                          </w:divBdr>
                          <w:divsChild>
                            <w:div w:id="19210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92054">
      <w:bodyDiv w:val="1"/>
      <w:marLeft w:val="0"/>
      <w:marRight w:val="0"/>
      <w:marTop w:val="0"/>
      <w:marBottom w:val="0"/>
      <w:divBdr>
        <w:top w:val="none" w:sz="0" w:space="0" w:color="auto"/>
        <w:left w:val="none" w:sz="0" w:space="0" w:color="auto"/>
        <w:bottom w:val="none" w:sz="0" w:space="0" w:color="auto"/>
        <w:right w:val="none" w:sz="0" w:space="0" w:color="auto"/>
      </w:divBdr>
      <w:divsChild>
        <w:div w:id="1826317079">
          <w:marLeft w:val="0"/>
          <w:marRight w:val="0"/>
          <w:marTop w:val="0"/>
          <w:marBottom w:val="0"/>
          <w:divBdr>
            <w:top w:val="none" w:sz="0" w:space="0" w:color="auto"/>
            <w:left w:val="none" w:sz="0" w:space="0" w:color="auto"/>
            <w:bottom w:val="none" w:sz="0" w:space="0" w:color="auto"/>
            <w:right w:val="none" w:sz="0" w:space="0" w:color="auto"/>
          </w:divBdr>
          <w:divsChild>
            <w:div w:id="2828320">
              <w:marLeft w:val="0"/>
              <w:marRight w:val="0"/>
              <w:marTop w:val="0"/>
              <w:marBottom w:val="0"/>
              <w:divBdr>
                <w:top w:val="none" w:sz="0" w:space="0" w:color="auto"/>
                <w:left w:val="none" w:sz="0" w:space="0" w:color="auto"/>
                <w:bottom w:val="none" w:sz="0" w:space="0" w:color="auto"/>
                <w:right w:val="none" w:sz="0" w:space="0" w:color="auto"/>
              </w:divBdr>
              <w:divsChild>
                <w:div w:id="2139570020">
                  <w:marLeft w:val="0"/>
                  <w:marRight w:val="0"/>
                  <w:marTop w:val="0"/>
                  <w:marBottom w:val="0"/>
                  <w:divBdr>
                    <w:top w:val="none" w:sz="0" w:space="0" w:color="auto"/>
                    <w:left w:val="none" w:sz="0" w:space="0" w:color="auto"/>
                    <w:bottom w:val="none" w:sz="0" w:space="0" w:color="auto"/>
                    <w:right w:val="none" w:sz="0" w:space="0" w:color="auto"/>
                  </w:divBdr>
                  <w:divsChild>
                    <w:div w:id="839083836">
                      <w:marLeft w:val="0"/>
                      <w:marRight w:val="0"/>
                      <w:marTop w:val="0"/>
                      <w:marBottom w:val="0"/>
                      <w:divBdr>
                        <w:top w:val="none" w:sz="0" w:space="0" w:color="auto"/>
                        <w:left w:val="none" w:sz="0" w:space="0" w:color="auto"/>
                        <w:bottom w:val="none" w:sz="0" w:space="0" w:color="auto"/>
                        <w:right w:val="none" w:sz="0" w:space="0" w:color="auto"/>
                      </w:divBdr>
                      <w:divsChild>
                        <w:div w:id="1095828561">
                          <w:marLeft w:val="0"/>
                          <w:marRight w:val="0"/>
                          <w:marTop w:val="0"/>
                          <w:marBottom w:val="0"/>
                          <w:divBdr>
                            <w:top w:val="none" w:sz="0" w:space="0" w:color="auto"/>
                            <w:left w:val="none" w:sz="0" w:space="0" w:color="auto"/>
                            <w:bottom w:val="none" w:sz="0" w:space="0" w:color="auto"/>
                            <w:right w:val="none" w:sz="0" w:space="0" w:color="auto"/>
                          </w:divBdr>
                          <w:divsChild>
                            <w:div w:id="18300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332161">
      <w:bodyDiv w:val="1"/>
      <w:marLeft w:val="0"/>
      <w:marRight w:val="0"/>
      <w:marTop w:val="0"/>
      <w:marBottom w:val="0"/>
      <w:divBdr>
        <w:top w:val="none" w:sz="0" w:space="0" w:color="auto"/>
        <w:left w:val="none" w:sz="0" w:space="0" w:color="auto"/>
        <w:bottom w:val="none" w:sz="0" w:space="0" w:color="auto"/>
        <w:right w:val="none" w:sz="0" w:space="0" w:color="auto"/>
      </w:divBdr>
      <w:divsChild>
        <w:div w:id="1546092393">
          <w:marLeft w:val="0"/>
          <w:marRight w:val="0"/>
          <w:marTop w:val="0"/>
          <w:marBottom w:val="0"/>
          <w:divBdr>
            <w:top w:val="none" w:sz="0" w:space="0" w:color="auto"/>
            <w:left w:val="none" w:sz="0" w:space="0" w:color="auto"/>
            <w:bottom w:val="none" w:sz="0" w:space="0" w:color="auto"/>
            <w:right w:val="none" w:sz="0" w:space="0" w:color="auto"/>
          </w:divBdr>
          <w:divsChild>
            <w:div w:id="1711539313">
              <w:marLeft w:val="0"/>
              <w:marRight w:val="0"/>
              <w:marTop w:val="0"/>
              <w:marBottom w:val="0"/>
              <w:divBdr>
                <w:top w:val="none" w:sz="0" w:space="0" w:color="auto"/>
                <w:left w:val="none" w:sz="0" w:space="0" w:color="auto"/>
                <w:bottom w:val="none" w:sz="0" w:space="0" w:color="auto"/>
                <w:right w:val="none" w:sz="0" w:space="0" w:color="auto"/>
              </w:divBdr>
              <w:divsChild>
                <w:div w:id="1586111863">
                  <w:marLeft w:val="0"/>
                  <w:marRight w:val="0"/>
                  <w:marTop w:val="0"/>
                  <w:marBottom w:val="0"/>
                  <w:divBdr>
                    <w:top w:val="none" w:sz="0" w:space="0" w:color="auto"/>
                    <w:left w:val="none" w:sz="0" w:space="0" w:color="auto"/>
                    <w:bottom w:val="none" w:sz="0" w:space="0" w:color="auto"/>
                    <w:right w:val="none" w:sz="0" w:space="0" w:color="auto"/>
                  </w:divBdr>
                  <w:divsChild>
                    <w:div w:id="958343834">
                      <w:marLeft w:val="0"/>
                      <w:marRight w:val="0"/>
                      <w:marTop w:val="0"/>
                      <w:marBottom w:val="0"/>
                      <w:divBdr>
                        <w:top w:val="none" w:sz="0" w:space="0" w:color="auto"/>
                        <w:left w:val="none" w:sz="0" w:space="0" w:color="auto"/>
                        <w:bottom w:val="none" w:sz="0" w:space="0" w:color="auto"/>
                        <w:right w:val="none" w:sz="0" w:space="0" w:color="auto"/>
                      </w:divBdr>
                      <w:divsChild>
                        <w:div w:id="271784746">
                          <w:marLeft w:val="0"/>
                          <w:marRight w:val="0"/>
                          <w:marTop w:val="0"/>
                          <w:marBottom w:val="0"/>
                          <w:divBdr>
                            <w:top w:val="none" w:sz="0" w:space="0" w:color="auto"/>
                            <w:left w:val="none" w:sz="0" w:space="0" w:color="auto"/>
                            <w:bottom w:val="none" w:sz="0" w:space="0" w:color="auto"/>
                            <w:right w:val="none" w:sz="0" w:space="0" w:color="auto"/>
                          </w:divBdr>
                          <w:divsChild>
                            <w:div w:id="1572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76564">
      <w:bodyDiv w:val="1"/>
      <w:marLeft w:val="0"/>
      <w:marRight w:val="0"/>
      <w:marTop w:val="0"/>
      <w:marBottom w:val="0"/>
      <w:divBdr>
        <w:top w:val="none" w:sz="0" w:space="0" w:color="auto"/>
        <w:left w:val="none" w:sz="0" w:space="0" w:color="auto"/>
        <w:bottom w:val="none" w:sz="0" w:space="0" w:color="auto"/>
        <w:right w:val="none" w:sz="0" w:space="0" w:color="auto"/>
      </w:divBdr>
      <w:divsChild>
        <w:div w:id="671107648">
          <w:marLeft w:val="0"/>
          <w:marRight w:val="0"/>
          <w:marTop w:val="0"/>
          <w:marBottom w:val="0"/>
          <w:divBdr>
            <w:top w:val="none" w:sz="0" w:space="0" w:color="auto"/>
            <w:left w:val="none" w:sz="0" w:space="0" w:color="auto"/>
            <w:bottom w:val="none" w:sz="0" w:space="0" w:color="auto"/>
            <w:right w:val="none" w:sz="0" w:space="0" w:color="auto"/>
          </w:divBdr>
          <w:divsChild>
            <w:div w:id="804005168">
              <w:marLeft w:val="0"/>
              <w:marRight w:val="0"/>
              <w:marTop w:val="0"/>
              <w:marBottom w:val="0"/>
              <w:divBdr>
                <w:top w:val="none" w:sz="0" w:space="0" w:color="auto"/>
                <w:left w:val="none" w:sz="0" w:space="0" w:color="auto"/>
                <w:bottom w:val="none" w:sz="0" w:space="0" w:color="auto"/>
                <w:right w:val="none" w:sz="0" w:space="0" w:color="auto"/>
              </w:divBdr>
              <w:divsChild>
                <w:div w:id="225116945">
                  <w:marLeft w:val="0"/>
                  <w:marRight w:val="0"/>
                  <w:marTop w:val="0"/>
                  <w:marBottom w:val="0"/>
                  <w:divBdr>
                    <w:top w:val="none" w:sz="0" w:space="0" w:color="auto"/>
                    <w:left w:val="none" w:sz="0" w:space="0" w:color="auto"/>
                    <w:bottom w:val="none" w:sz="0" w:space="0" w:color="auto"/>
                    <w:right w:val="none" w:sz="0" w:space="0" w:color="auto"/>
                  </w:divBdr>
                  <w:divsChild>
                    <w:div w:id="490610083">
                      <w:marLeft w:val="0"/>
                      <w:marRight w:val="0"/>
                      <w:marTop w:val="0"/>
                      <w:marBottom w:val="0"/>
                      <w:divBdr>
                        <w:top w:val="none" w:sz="0" w:space="0" w:color="auto"/>
                        <w:left w:val="none" w:sz="0" w:space="0" w:color="auto"/>
                        <w:bottom w:val="none" w:sz="0" w:space="0" w:color="auto"/>
                        <w:right w:val="none" w:sz="0" w:space="0" w:color="auto"/>
                      </w:divBdr>
                      <w:divsChild>
                        <w:div w:id="187259147">
                          <w:marLeft w:val="0"/>
                          <w:marRight w:val="0"/>
                          <w:marTop w:val="0"/>
                          <w:marBottom w:val="0"/>
                          <w:divBdr>
                            <w:top w:val="none" w:sz="0" w:space="0" w:color="auto"/>
                            <w:left w:val="none" w:sz="0" w:space="0" w:color="auto"/>
                            <w:bottom w:val="none" w:sz="0" w:space="0" w:color="auto"/>
                            <w:right w:val="none" w:sz="0" w:space="0" w:color="auto"/>
                          </w:divBdr>
                          <w:divsChild>
                            <w:div w:id="103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938983">
      <w:bodyDiv w:val="1"/>
      <w:marLeft w:val="0"/>
      <w:marRight w:val="0"/>
      <w:marTop w:val="0"/>
      <w:marBottom w:val="0"/>
      <w:divBdr>
        <w:top w:val="none" w:sz="0" w:space="0" w:color="auto"/>
        <w:left w:val="none" w:sz="0" w:space="0" w:color="auto"/>
        <w:bottom w:val="none" w:sz="0" w:space="0" w:color="auto"/>
        <w:right w:val="none" w:sz="0" w:space="0" w:color="auto"/>
      </w:divBdr>
      <w:divsChild>
        <w:div w:id="498886350">
          <w:marLeft w:val="0"/>
          <w:marRight w:val="0"/>
          <w:marTop w:val="0"/>
          <w:marBottom w:val="0"/>
          <w:divBdr>
            <w:top w:val="none" w:sz="0" w:space="0" w:color="auto"/>
            <w:left w:val="none" w:sz="0" w:space="0" w:color="auto"/>
            <w:bottom w:val="none" w:sz="0" w:space="0" w:color="auto"/>
            <w:right w:val="none" w:sz="0" w:space="0" w:color="auto"/>
          </w:divBdr>
          <w:divsChild>
            <w:div w:id="1828981511">
              <w:marLeft w:val="0"/>
              <w:marRight w:val="0"/>
              <w:marTop w:val="0"/>
              <w:marBottom w:val="0"/>
              <w:divBdr>
                <w:top w:val="none" w:sz="0" w:space="0" w:color="auto"/>
                <w:left w:val="none" w:sz="0" w:space="0" w:color="auto"/>
                <w:bottom w:val="none" w:sz="0" w:space="0" w:color="auto"/>
                <w:right w:val="none" w:sz="0" w:space="0" w:color="auto"/>
              </w:divBdr>
              <w:divsChild>
                <w:div w:id="30425379">
                  <w:marLeft w:val="0"/>
                  <w:marRight w:val="0"/>
                  <w:marTop w:val="0"/>
                  <w:marBottom w:val="0"/>
                  <w:divBdr>
                    <w:top w:val="none" w:sz="0" w:space="0" w:color="auto"/>
                    <w:left w:val="none" w:sz="0" w:space="0" w:color="auto"/>
                    <w:bottom w:val="none" w:sz="0" w:space="0" w:color="auto"/>
                    <w:right w:val="none" w:sz="0" w:space="0" w:color="auto"/>
                  </w:divBdr>
                  <w:divsChild>
                    <w:div w:id="573517667">
                      <w:marLeft w:val="0"/>
                      <w:marRight w:val="0"/>
                      <w:marTop w:val="0"/>
                      <w:marBottom w:val="0"/>
                      <w:divBdr>
                        <w:top w:val="none" w:sz="0" w:space="0" w:color="auto"/>
                        <w:left w:val="none" w:sz="0" w:space="0" w:color="auto"/>
                        <w:bottom w:val="none" w:sz="0" w:space="0" w:color="auto"/>
                        <w:right w:val="none" w:sz="0" w:space="0" w:color="auto"/>
                      </w:divBdr>
                      <w:divsChild>
                        <w:div w:id="448665736">
                          <w:marLeft w:val="0"/>
                          <w:marRight w:val="0"/>
                          <w:marTop w:val="0"/>
                          <w:marBottom w:val="0"/>
                          <w:divBdr>
                            <w:top w:val="none" w:sz="0" w:space="0" w:color="auto"/>
                            <w:left w:val="none" w:sz="0" w:space="0" w:color="auto"/>
                            <w:bottom w:val="none" w:sz="0" w:space="0" w:color="auto"/>
                            <w:right w:val="none" w:sz="0" w:space="0" w:color="auto"/>
                          </w:divBdr>
                          <w:divsChild>
                            <w:div w:id="1881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368958">
      <w:bodyDiv w:val="1"/>
      <w:marLeft w:val="0"/>
      <w:marRight w:val="0"/>
      <w:marTop w:val="0"/>
      <w:marBottom w:val="0"/>
      <w:divBdr>
        <w:top w:val="none" w:sz="0" w:space="0" w:color="auto"/>
        <w:left w:val="none" w:sz="0" w:space="0" w:color="auto"/>
        <w:bottom w:val="none" w:sz="0" w:space="0" w:color="auto"/>
        <w:right w:val="none" w:sz="0" w:space="0" w:color="auto"/>
      </w:divBdr>
      <w:divsChild>
        <w:div w:id="1764916620">
          <w:marLeft w:val="0"/>
          <w:marRight w:val="0"/>
          <w:marTop w:val="0"/>
          <w:marBottom w:val="0"/>
          <w:divBdr>
            <w:top w:val="none" w:sz="0" w:space="0" w:color="auto"/>
            <w:left w:val="none" w:sz="0" w:space="0" w:color="auto"/>
            <w:bottom w:val="none" w:sz="0" w:space="0" w:color="auto"/>
            <w:right w:val="none" w:sz="0" w:space="0" w:color="auto"/>
          </w:divBdr>
          <w:divsChild>
            <w:div w:id="606540961">
              <w:marLeft w:val="0"/>
              <w:marRight w:val="0"/>
              <w:marTop w:val="0"/>
              <w:marBottom w:val="0"/>
              <w:divBdr>
                <w:top w:val="none" w:sz="0" w:space="0" w:color="auto"/>
                <w:left w:val="none" w:sz="0" w:space="0" w:color="auto"/>
                <w:bottom w:val="none" w:sz="0" w:space="0" w:color="auto"/>
                <w:right w:val="none" w:sz="0" w:space="0" w:color="auto"/>
              </w:divBdr>
              <w:divsChild>
                <w:div w:id="18977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2003">
      <w:bodyDiv w:val="1"/>
      <w:marLeft w:val="0"/>
      <w:marRight w:val="0"/>
      <w:marTop w:val="0"/>
      <w:marBottom w:val="0"/>
      <w:divBdr>
        <w:top w:val="none" w:sz="0" w:space="0" w:color="auto"/>
        <w:left w:val="none" w:sz="0" w:space="0" w:color="auto"/>
        <w:bottom w:val="none" w:sz="0" w:space="0" w:color="auto"/>
        <w:right w:val="none" w:sz="0" w:space="0" w:color="auto"/>
      </w:divBdr>
    </w:div>
    <w:div w:id="636377742">
      <w:bodyDiv w:val="1"/>
      <w:marLeft w:val="0"/>
      <w:marRight w:val="0"/>
      <w:marTop w:val="0"/>
      <w:marBottom w:val="0"/>
      <w:divBdr>
        <w:top w:val="none" w:sz="0" w:space="0" w:color="auto"/>
        <w:left w:val="none" w:sz="0" w:space="0" w:color="auto"/>
        <w:bottom w:val="none" w:sz="0" w:space="0" w:color="auto"/>
        <w:right w:val="none" w:sz="0" w:space="0" w:color="auto"/>
      </w:divBdr>
      <w:divsChild>
        <w:div w:id="1421607714">
          <w:marLeft w:val="0"/>
          <w:marRight w:val="0"/>
          <w:marTop w:val="0"/>
          <w:marBottom w:val="0"/>
          <w:divBdr>
            <w:top w:val="none" w:sz="0" w:space="0" w:color="auto"/>
            <w:left w:val="none" w:sz="0" w:space="0" w:color="auto"/>
            <w:bottom w:val="none" w:sz="0" w:space="0" w:color="auto"/>
            <w:right w:val="none" w:sz="0" w:space="0" w:color="auto"/>
          </w:divBdr>
          <w:divsChild>
            <w:div w:id="1981301790">
              <w:marLeft w:val="0"/>
              <w:marRight w:val="0"/>
              <w:marTop w:val="0"/>
              <w:marBottom w:val="0"/>
              <w:divBdr>
                <w:top w:val="none" w:sz="0" w:space="0" w:color="auto"/>
                <w:left w:val="none" w:sz="0" w:space="0" w:color="auto"/>
                <w:bottom w:val="none" w:sz="0" w:space="0" w:color="auto"/>
                <w:right w:val="none" w:sz="0" w:space="0" w:color="auto"/>
              </w:divBdr>
              <w:divsChild>
                <w:div w:id="1736272543">
                  <w:marLeft w:val="0"/>
                  <w:marRight w:val="0"/>
                  <w:marTop w:val="0"/>
                  <w:marBottom w:val="0"/>
                  <w:divBdr>
                    <w:top w:val="none" w:sz="0" w:space="0" w:color="auto"/>
                    <w:left w:val="none" w:sz="0" w:space="0" w:color="auto"/>
                    <w:bottom w:val="none" w:sz="0" w:space="0" w:color="auto"/>
                    <w:right w:val="none" w:sz="0" w:space="0" w:color="auto"/>
                  </w:divBdr>
                  <w:divsChild>
                    <w:div w:id="451442709">
                      <w:marLeft w:val="0"/>
                      <w:marRight w:val="0"/>
                      <w:marTop w:val="0"/>
                      <w:marBottom w:val="0"/>
                      <w:divBdr>
                        <w:top w:val="none" w:sz="0" w:space="0" w:color="auto"/>
                        <w:left w:val="none" w:sz="0" w:space="0" w:color="auto"/>
                        <w:bottom w:val="none" w:sz="0" w:space="0" w:color="auto"/>
                        <w:right w:val="none" w:sz="0" w:space="0" w:color="auto"/>
                      </w:divBdr>
                      <w:divsChild>
                        <w:div w:id="339046462">
                          <w:marLeft w:val="0"/>
                          <w:marRight w:val="0"/>
                          <w:marTop w:val="0"/>
                          <w:marBottom w:val="0"/>
                          <w:divBdr>
                            <w:top w:val="none" w:sz="0" w:space="0" w:color="auto"/>
                            <w:left w:val="none" w:sz="0" w:space="0" w:color="auto"/>
                            <w:bottom w:val="none" w:sz="0" w:space="0" w:color="auto"/>
                            <w:right w:val="none" w:sz="0" w:space="0" w:color="auto"/>
                          </w:divBdr>
                          <w:divsChild>
                            <w:div w:id="19036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161511">
      <w:bodyDiv w:val="1"/>
      <w:marLeft w:val="0"/>
      <w:marRight w:val="0"/>
      <w:marTop w:val="0"/>
      <w:marBottom w:val="0"/>
      <w:divBdr>
        <w:top w:val="none" w:sz="0" w:space="0" w:color="auto"/>
        <w:left w:val="none" w:sz="0" w:space="0" w:color="auto"/>
        <w:bottom w:val="none" w:sz="0" w:space="0" w:color="auto"/>
        <w:right w:val="none" w:sz="0" w:space="0" w:color="auto"/>
      </w:divBdr>
      <w:divsChild>
        <w:div w:id="514928130">
          <w:marLeft w:val="0"/>
          <w:marRight w:val="0"/>
          <w:marTop w:val="0"/>
          <w:marBottom w:val="0"/>
          <w:divBdr>
            <w:top w:val="none" w:sz="0" w:space="0" w:color="auto"/>
            <w:left w:val="none" w:sz="0" w:space="0" w:color="auto"/>
            <w:bottom w:val="none" w:sz="0" w:space="0" w:color="auto"/>
            <w:right w:val="none" w:sz="0" w:space="0" w:color="auto"/>
          </w:divBdr>
          <w:divsChild>
            <w:div w:id="1288126819">
              <w:marLeft w:val="0"/>
              <w:marRight w:val="0"/>
              <w:marTop w:val="0"/>
              <w:marBottom w:val="0"/>
              <w:divBdr>
                <w:top w:val="none" w:sz="0" w:space="0" w:color="auto"/>
                <w:left w:val="none" w:sz="0" w:space="0" w:color="auto"/>
                <w:bottom w:val="none" w:sz="0" w:space="0" w:color="auto"/>
                <w:right w:val="none" w:sz="0" w:space="0" w:color="auto"/>
              </w:divBdr>
              <w:divsChild>
                <w:div w:id="1908177023">
                  <w:marLeft w:val="0"/>
                  <w:marRight w:val="0"/>
                  <w:marTop w:val="0"/>
                  <w:marBottom w:val="0"/>
                  <w:divBdr>
                    <w:top w:val="none" w:sz="0" w:space="0" w:color="auto"/>
                    <w:left w:val="none" w:sz="0" w:space="0" w:color="auto"/>
                    <w:bottom w:val="none" w:sz="0" w:space="0" w:color="auto"/>
                    <w:right w:val="none" w:sz="0" w:space="0" w:color="auto"/>
                  </w:divBdr>
                  <w:divsChild>
                    <w:div w:id="1041630988">
                      <w:marLeft w:val="0"/>
                      <w:marRight w:val="0"/>
                      <w:marTop w:val="0"/>
                      <w:marBottom w:val="0"/>
                      <w:divBdr>
                        <w:top w:val="none" w:sz="0" w:space="0" w:color="auto"/>
                        <w:left w:val="none" w:sz="0" w:space="0" w:color="auto"/>
                        <w:bottom w:val="none" w:sz="0" w:space="0" w:color="auto"/>
                        <w:right w:val="none" w:sz="0" w:space="0" w:color="auto"/>
                      </w:divBdr>
                      <w:divsChild>
                        <w:div w:id="1643804505">
                          <w:marLeft w:val="0"/>
                          <w:marRight w:val="0"/>
                          <w:marTop w:val="0"/>
                          <w:marBottom w:val="0"/>
                          <w:divBdr>
                            <w:top w:val="none" w:sz="0" w:space="0" w:color="auto"/>
                            <w:left w:val="none" w:sz="0" w:space="0" w:color="auto"/>
                            <w:bottom w:val="none" w:sz="0" w:space="0" w:color="auto"/>
                            <w:right w:val="none" w:sz="0" w:space="0" w:color="auto"/>
                          </w:divBdr>
                          <w:divsChild>
                            <w:div w:id="508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442859">
      <w:bodyDiv w:val="1"/>
      <w:marLeft w:val="0"/>
      <w:marRight w:val="0"/>
      <w:marTop w:val="0"/>
      <w:marBottom w:val="0"/>
      <w:divBdr>
        <w:top w:val="none" w:sz="0" w:space="0" w:color="auto"/>
        <w:left w:val="none" w:sz="0" w:space="0" w:color="auto"/>
        <w:bottom w:val="none" w:sz="0" w:space="0" w:color="auto"/>
        <w:right w:val="none" w:sz="0" w:space="0" w:color="auto"/>
      </w:divBdr>
      <w:divsChild>
        <w:div w:id="1210728050">
          <w:marLeft w:val="0"/>
          <w:marRight w:val="0"/>
          <w:marTop w:val="0"/>
          <w:marBottom w:val="0"/>
          <w:divBdr>
            <w:top w:val="none" w:sz="0" w:space="0" w:color="auto"/>
            <w:left w:val="none" w:sz="0" w:space="0" w:color="auto"/>
            <w:bottom w:val="none" w:sz="0" w:space="0" w:color="auto"/>
            <w:right w:val="none" w:sz="0" w:space="0" w:color="auto"/>
          </w:divBdr>
          <w:divsChild>
            <w:div w:id="2106686618">
              <w:marLeft w:val="0"/>
              <w:marRight w:val="0"/>
              <w:marTop w:val="0"/>
              <w:marBottom w:val="0"/>
              <w:divBdr>
                <w:top w:val="none" w:sz="0" w:space="0" w:color="auto"/>
                <w:left w:val="none" w:sz="0" w:space="0" w:color="auto"/>
                <w:bottom w:val="none" w:sz="0" w:space="0" w:color="auto"/>
                <w:right w:val="none" w:sz="0" w:space="0" w:color="auto"/>
              </w:divBdr>
              <w:divsChild>
                <w:div w:id="608204635">
                  <w:marLeft w:val="0"/>
                  <w:marRight w:val="0"/>
                  <w:marTop w:val="0"/>
                  <w:marBottom w:val="0"/>
                  <w:divBdr>
                    <w:top w:val="none" w:sz="0" w:space="0" w:color="auto"/>
                    <w:left w:val="none" w:sz="0" w:space="0" w:color="auto"/>
                    <w:bottom w:val="none" w:sz="0" w:space="0" w:color="auto"/>
                    <w:right w:val="none" w:sz="0" w:space="0" w:color="auto"/>
                  </w:divBdr>
                  <w:divsChild>
                    <w:div w:id="344286596">
                      <w:marLeft w:val="0"/>
                      <w:marRight w:val="0"/>
                      <w:marTop w:val="0"/>
                      <w:marBottom w:val="0"/>
                      <w:divBdr>
                        <w:top w:val="none" w:sz="0" w:space="0" w:color="auto"/>
                        <w:left w:val="none" w:sz="0" w:space="0" w:color="auto"/>
                        <w:bottom w:val="none" w:sz="0" w:space="0" w:color="auto"/>
                        <w:right w:val="none" w:sz="0" w:space="0" w:color="auto"/>
                      </w:divBdr>
                      <w:divsChild>
                        <w:div w:id="62995754">
                          <w:marLeft w:val="0"/>
                          <w:marRight w:val="0"/>
                          <w:marTop w:val="0"/>
                          <w:marBottom w:val="0"/>
                          <w:divBdr>
                            <w:top w:val="none" w:sz="0" w:space="0" w:color="auto"/>
                            <w:left w:val="none" w:sz="0" w:space="0" w:color="auto"/>
                            <w:bottom w:val="none" w:sz="0" w:space="0" w:color="auto"/>
                            <w:right w:val="none" w:sz="0" w:space="0" w:color="auto"/>
                          </w:divBdr>
                          <w:divsChild>
                            <w:div w:id="9458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306800">
      <w:bodyDiv w:val="1"/>
      <w:marLeft w:val="0"/>
      <w:marRight w:val="0"/>
      <w:marTop w:val="0"/>
      <w:marBottom w:val="0"/>
      <w:divBdr>
        <w:top w:val="none" w:sz="0" w:space="0" w:color="auto"/>
        <w:left w:val="none" w:sz="0" w:space="0" w:color="auto"/>
        <w:bottom w:val="none" w:sz="0" w:space="0" w:color="auto"/>
        <w:right w:val="none" w:sz="0" w:space="0" w:color="auto"/>
      </w:divBdr>
      <w:divsChild>
        <w:div w:id="1704331522">
          <w:marLeft w:val="0"/>
          <w:marRight w:val="0"/>
          <w:marTop w:val="0"/>
          <w:marBottom w:val="0"/>
          <w:divBdr>
            <w:top w:val="none" w:sz="0" w:space="0" w:color="auto"/>
            <w:left w:val="none" w:sz="0" w:space="0" w:color="auto"/>
            <w:bottom w:val="none" w:sz="0" w:space="0" w:color="auto"/>
            <w:right w:val="none" w:sz="0" w:space="0" w:color="auto"/>
          </w:divBdr>
          <w:divsChild>
            <w:div w:id="858393797">
              <w:marLeft w:val="0"/>
              <w:marRight w:val="0"/>
              <w:marTop w:val="0"/>
              <w:marBottom w:val="0"/>
              <w:divBdr>
                <w:top w:val="none" w:sz="0" w:space="0" w:color="auto"/>
                <w:left w:val="none" w:sz="0" w:space="0" w:color="auto"/>
                <w:bottom w:val="none" w:sz="0" w:space="0" w:color="auto"/>
                <w:right w:val="none" w:sz="0" w:space="0" w:color="auto"/>
              </w:divBdr>
              <w:divsChild>
                <w:div w:id="1717198849">
                  <w:marLeft w:val="0"/>
                  <w:marRight w:val="0"/>
                  <w:marTop w:val="0"/>
                  <w:marBottom w:val="0"/>
                  <w:divBdr>
                    <w:top w:val="none" w:sz="0" w:space="0" w:color="auto"/>
                    <w:left w:val="none" w:sz="0" w:space="0" w:color="auto"/>
                    <w:bottom w:val="none" w:sz="0" w:space="0" w:color="auto"/>
                    <w:right w:val="none" w:sz="0" w:space="0" w:color="auto"/>
                  </w:divBdr>
                  <w:divsChild>
                    <w:div w:id="1188569743">
                      <w:marLeft w:val="0"/>
                      <w:marRight w:val="0"/>
                      <w:marTop w:val="0"/>
                      <w:marBottom w:val="0"/>
                      <w:divBdr>
                        <w:top w:val="none" w:sz="0" w:space="0" w:color="auto"/>
                        <w:left w:val="none" w:sz="0" w:space="0" w:color="auto"/>
                        <w:bottom w:val="none" w:sz="0" w:space="0" w:color="auto"/>
                        <w:right w:val="none" w:sz="0" w:space="0" w:color="auto"/>
                      </w:divBdr>
                      <w:divsChild>
                        <w:div w:id="662511413">
                          <w:marLeft w:val="0"/>
                          <w:marRight w:val="0"/>
                          <w:marTop w:val="0"/>
                          <w:marBottom w:val="0"/>
                          <w:divBdr>
                            <w:top w:val="none" w:sz="0" w:space="0" w:color="auto"/>
                            <w:left w:val="none" w:sz="0" w:space="0" w:color="auto"/>
                            <w:bottom w:val="none" w:sz="0" w:space="0" w:color="auto"/>
                            <w:right w:val="none" w:sz="0" w:space="0" w:color="auto"/>
                          </w:divBdr>
                          <w:divsChild>
                            <w:div w:id="6371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656208">
      <w:bodyDiv w:val="1"/>
      <w:marLeft w:val="0"/>
      <w:marRight w:val="0"/>
      <w:marTop w:val="0"/>
      <w:marBottom w:val="0"/>
      <w:divBdr>
        <w:top w:val="none" w:sz="0" w:space="0" w:color="auto"/>
        <w:left w:val="none" w:sz="0" w:space="0" w:color="auto"/>
        <w:bottom w:val="none" w:sz="0" w:space="0" w:color="auto"/>
        <w:right w:val="none" w:sz="0" w:space="0" w:color="auto"/>
      </w:divBdr>
      <w:divsChild>
        <w:div w:id="274287462">
          <w:marLeft w:val="0"/>
          <w:marRight w:val="0"/>
          <w:marTop w:val="0"/>
          <w:marBottom w:val="0"/>
          <w:divBdr>
            <w:top w:val="none" w:sz="0" w:space="0" w:color="auto"/>
            <w:left w:val="none" w:sz="0" w:space="0" w:color="auto"/>
            <w:bottom w:val="none" w:sz="0" w:space="0" w:color="auto"/>
            <w:right w:val="none" w:sz="0" w:space="0" w:color="auto"/>
          </w:divBdr>
          <w:divsChild>
            <w:div w:id="1075476619">
              <w:marLeft w:val="0"/>
              <w:marRight w:val="0"/>
              <w:marTop w:val="0"/>
              <w:marBottom w:val="0"/>
              <w:divBdr>
                <w:top w:val="none" w:sz="0" w:space="0" w:color="auto"/>
                <w:left w:val="none" w:sz="0" w:space="0" w:color="auto"/>
                <w:bottom w:val="none" w:sz="0" w:space="0" w:color="auto"/>
                <w:right w:val="none" w:sz="0" w:space="0" w:color="auto"/>
              </w:divBdr>
              <w:divsChild>
                <w:div w:id="15320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5870">
      <w:bodyDiv w:val="1"/>
      <w:marLeft w:val="0"/>
      <w:marRight w:val="0"/>
      <w:marTop w:val="0"/>
      <w:marBottom w:val="0"/>
      <w:divBdr>
        <w:top w:val="none" w:sz="0" w:space="0" w:color="auto"/>
        <w:left w:val="none" w:sz="0" w:space="0" w:color="auto"/>
        <w:bottom w:val="none" w:sz="0" w:space="0" w:color="auto"/>
        <w:right w:val="none" w:sz="0" w:space="0" w:color="auto"/>
      </w:divBdr>
    </w:div>
    <w:div w:id="828907694">
      <w:bodyDiv w:val="1"/>
      <w:marLeft w:val="0"/>
      <w:marRight w:val="0"/>
      <w:marTop w:val="0"/>
      <w:marBottom w:val="0"/>
      <w:divBdr>
        <w:top w:val="none" w:sz="0" w:space="0" w:color="auto"/>
        <w:left w:val="none" w:sz="0" w:space="0" w:color="auto"/>
        <w:bottom w:val="none" w:sz="0" w:space="0" w:color="auto"/>
        <w:right w:val="none" w:sz="0" w:space="0" w:color="auto"/>
      </w:divBdr>
    </w:div>
    <w:div w:id="903374754">
      <w:bodyDiv w:val="1"/>
      <w:marLeft w:val="0"/>
      <w:marRight w:val="0"/>
      <w:marTop w:val="0"/>
      <w:marBottom w:val="0"/>
      <w:divBdr>
        <w:top w:val="none" w:sz="0" w:space="0" w:color="auto"/>
        <w:left w:val="none" w:sz="0" w:space="0" w:color="auto"/>
        <w:bottom w:val="none" w:sz="0" w:space="0" w:color="auto"/>
        <w:right w:val="none" w:sz="0" w:space="0" w:color="auto"/>
      </w:divBdr>
    </w:div>
    <w:div w:id="973801288">
      <w:bodyDiv w:val="1"/>
      <w:marLeft w:val="0"/>
      <w:marRight w:val="0"/>
      <w:marTop w:val="0"/>
      <w:marBottom w:val="0"/>
      <w:divBdr>
        <w:top w:val="none" w:sz="0" w:space="0" w:color="auto"/>
        <w:left w:val="none" w:sz="0" w:space="0" w:color="auto"/>
        <w:bottom w:val="none" w:sz="0" w:space="0" w:color="auto"/>
        <w:right w:val="none" w:sz="0" w:space="0" w:color="auto"/>
      </w:divBdr>
      <w:divsChild>
        <w:div w:id="1261257070">
          <w:marLeft w:val="0"/>
          <w:marRight w:val="0"/>
          <w:marTop w:val="0"/>
          <w:marBottom w:val="0"/>
          <w:divBdr>
            <w:top w:val="none" w:sz="0" w:space="0" w:color="auto"/>
            <w:left w:val="none" w:sz="0" w:space="0" w:color="auto"/>
            <w:bottom w:val="none" w:sz="0" w:space="0" w:color="auto"/>
            <w:right w:val="none" w:sz="0" w:space="0" w:color="auto"/>
          </w:divBdr>
          <w:divsChild>
            <w:div w:id="1979914163">
              <w:marLeft w:val="0"/>
              <w:marRight w:val="0"/>
              <w:marTop w:val="0"/>
              <w:marBottom w:val="0"/>
              <w:divBdr>
                <w:top w:val="none" w:sz="0" w:space="0" w:color="auto"/>
                <w:left w:val="none" w:sz="0" w:space="0" w:color="auto"/>
                <w:bottom w:val="none" w:sz="0" w:space="0" w:color="auto"/>
                <w:right w:val="none" w:sz="0" w:space="0" w:color="auto"/>
              </w:divBdr>
              <w:divsChild>
                <w:div w:id="836383664">
                  <w:marLeft w:val="0"/>
                  <w:marRight w:val="0"/>
                  <w:marTop w:val="0"/>
                  <w:marBottom w:val="0"/>
                  <w:divBdr>
                    <w:top w:val="none" w:sz="0" w:space="0" w:color="auto"/>
                    <w:left w:val="none" w:sz="0" w:space="0" w:color="auto"/>
                    <w:bottom w:val="none" w:sz="0" w:space="0" w:color="auto"/>
                    <w:right w:val="none" w:sz="0" w:space="0" w:color="auto"/>
                  </w:divBdr>
                  <w:divsChild>
                    <w:div w:id="1585841687">
                      <w:marLeft w:val="0"/>
                      <w:marRight w:val="0"/>
                      <w:marTop w:val="0"/>
                      <w:marBottom w:val="0"/>
                      <w:divBdr>
                        <w:top w:val="none" w:sz="0" w:space="0" w:color="auto"/>
                        <w:left w:val="none" w:sz="0" w:space="0" w:color="auto"/>
                        <w:bottom w:val="none" w:sz="0" w:space="0" w:color="auto"/>
                        <w:right w:val="none" w:sz="0" w:space="0" w:color="auto"/>
                      </w:divBdr>
                      <w:divsChild>
                        <w:div w:id="1755203438">
                          <w:marLeft w:val="0"/>
                          <w:marRight w:val="0"/>
                          <w:marTop w:val="0"/>
                          <w:marBottom w:val="0"/>
                          <w:divBdr>
                            <w:top w:val="none" w:sz="0" w:space="0" w:color="auto"/>
                            <w:left w:val="none" w:sz="0" w:space="0" w:color="auto"/>
                            <w:bottom w:val="none" w:sz="0" w:space="0" w:color="auto"/>
                            <w:right w:val="none" w:sz="0" w:space="0" w:color="auto"/>
                          </w:divBdr>
                          <w:divsChild>
                            <w:div w:id="20466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22628">
      <w:bodyDiv w:val="1"/>
      <w:marLeft w:val="0"/>
      <w:marRight w:val="0"/>
      <w:marTop w:val="0"/>
      <w:marBottom w:val="0"/>
      <w:divBdr>
        <w:top w:val="none" w:sz="0" w:space="0" w:color="auto"/>
        <w:left w:val="none" w:sz="0" w:space="0" w:color="auto"/>
        <w:bottom w:val="none" w:sz="0" w:space="0" w:color="auto"/>
        <w:right w:val="none" w:sz="0" w:space="0" w:color="auto"/>
      </w:divBdr>
      <w:divsChild>
        <w:div w:id="534848309">
          <w:marLeft w:val="0"/>
          <w:marRight w:val="0"/>
          <w:marTop w:val="0"/>
          <w:marBottom w:val="0"/>
          <w:divBdr>
            <w:top w:val="none" w:sz="0" w:space="0" w:color="auto"/>
            <w:left w:val="none" w:sz="0" w:space="0" w:color="auto"/>
            <w:bottom w:val="none" w:sz="0" w:space="0" w:color="auto"/>
            <w:right w:val="none" w:sz="0" w:space="0" w:color="auto"/>
          </w:divBdr>
          <w:divsChild>
            <w:div w:id="792091462">
              <w:marLeft w:val="0"/>
              <w:marRight w:val="0"/>
              <w:marTop w:val="0"/>
              <w:marBottom w:val="0"/>
              <w:divBdr>
                <w:top w:val="none" w:sz="0" w:space="0" w:color="auto"/>
                <w:left w:val="none" w:sz="0" w:space="0" w:color="auto"/>
                <w:bottom w:val="none" w:sz="0" w:space="0" w:color="auto"/>
                <w:right w:val="none" w:sz="0" w:space="0" w:color="auto"/>
              </w:divBdr>
              <w:divsChild>
                <w:div w:id="1541085941">
                  <w:marLeft w:val="0"/>
                  <w:marRight w:val="0"/>
                  <w:marTop w:val="0"/>
                  <w:marBottom w:val="0"/>
                  <w:divBdr>
                    <w:top w:val="none" w:sz="0" w:space="0" w:color="auto"/>
                    <w:left w:val="none" w:sz="0" w:space="0" w:color="auto"/>
                    <w:bottom w:val="none" w:sz="0" w:space="0" w:color="auto"/>
                    <w:right w:val="none" w:sz="0" w:space="0" w:color="auto"/>
                  </w:divBdr>
                  <w:divsChild>
                    <w:div w:id="1864048765">
                      <w:marLeft w:val="0"/>
                      <w:marRight w:val="0"/>
                      <w:marTop w:val="0"/>
                      <w:marBottom w:val="0"/>
                      <w:divBdr>
                        <w:top w:val="none" w:sz="0" w:space="0" w:color="auto"/>
                        <w:left w:val="none" w:sz="0" w:space="0" w:color="auto"/>
                        <w:bottom w:val="none" w:sz="0" w:space="0" w:color="auto"/>
                        <w:right w:val="none" w:sz="0" w:space="0" w:color="auto"/>
                      </w:divBdr>
                      <w:divsChild>
                        <w:div w:id="915751340">
                          <w:marLeft w:val="0"/>
                          <w:marRight w:val="0"/>
                          <w:marTop w:val="0"/>
                          <w:marBottom w:val="0"/>
                          <w:divBdr>
                            <w:top w:val="none" w:sz="0" w:space="0" w:color="auto"/>
                            <w:left w:val="none" w:sz="0" w:space="0" w:color="auto"/>
                            <w:bottom w:val="none" w:sz="0" w:space="0" w:color="auto"/>
                            <w:right w:val="none" w:sz="0" w:space="0" w:color="auto"/>
                          </w:divBdr>
                          <w:divsChild>
                            <w:div w:id="3280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509617">
      <w:bodyDiv w:val="1"/>
      <w:marLeft w:val="0"/>
      <w:marRight w:val="0"/>
      <w:marTop w:val="0"/>
      <w:marBottom w:val="0"/>
      <w:divBdr>
        <w:top w:val="none" w:sz="0" w:space="0" w:color="auto"/>
        <w:left w:val="none" w:sz="0" w:space="0" w:color="auto"/>
        <w:bottom w:val="none" w:sz="0" w:space="0" w:color="auto"/>
        <w:right w:val="none" w:sz="0" w:space="0" w:color="auto"/>
      </w:divBdr>
      <w:divsChild>
        <w:div w:id="182086675">
          <w:marLeft w:val="0"/>
          <w:marRight w:val="0"/>
          <w:marTop w:val="0"/>
          <w:marBottom w:val="0"/>
          <w:divBdr>
            <w:top w:val="none" w:sz="0" w:space="0" w:color="auto"/>
            <w:left w:val="none" w:sz="0" w:space="0" w:color="auto"/>
            <w:bottom w:val="none" w:sz="0" w:space="0" w:color="auto"/>
            <w:right w:val="none" w:sz="0" w:space="0" w:color="auto"/>
          </w:divBdr>
          <w:divsChild>
            <w:div w:id="213077581">
              <w:marLeft w:val="0"/>
              <w:marRight w:val="0"/>
              <w:marTop w:val="0"/>
              <w:marBottom w:val="0"/>
              <w:divBdr>
                <w:top w:val="none" w:sz="0" w:space="0" w:color="auto"/>
                <w:left w:val="none" w:sz="0" w:space="0" w:color="auto"/>
                <w:bottom w:val="none" w:sz="0" w:space="0" w:color="auto"/>
                <w:right w:val="none" w:sz="0" w:space="0" w:color="auto"/>
              </w:divBdr>
              <w:divsChild>
                <w:div w:id="587808145">
                  <w:marLeft w:val="0"/>
                  <w:marRight w:val="0"/>
                  <w:marTop w:val="0"/>
                  <w:marBottom w:val="0"/>
                  <w:divBdr>
                    <w:top w:val="none" w:sz="0" w:space="0" w:color="auto"/>
                    <w:left w:val="none" w:sz="0" w:space="0" w:color="auto"/>
                    <w:bottom w:val="none" w:sz="0" w:space="0" w:color="auto"/>
                    <w:right w:val="none" w:sz="0" w:space="0" w:color="auto"/>
                  </w:divBdr>
                  <w:divsChild>
                    <w:div w:id="1557275444">
                      <w:marLeft w:val="0"/>
                      <w:marRight w:val="0"/>
                      <w:marTop w:val="0"/>
                      <w:marBottom w:val="0"/>
                      <w:divBdr>
                        <w:top w:val="none" w:sz="0" w:space="0" w:color="auto"/>
                        <w:left w:val="none" w:sz="0" w:space="0" w:color="auto"/>
                        <w:bottom w:val="none" w:sz="0" w:space="0" w:color="auto"/>
                        <w:right w:val="none" w:sz="0" w:space="0" w:color="auto"/>
                      </w:divBdr>
                      <w:divsChild>
                        <w:div w:id="1453092741">
                          <w:marLeft w:val="0"/>
                          <w:marRight w:val="0"/>
                          <w:marTop w:val="0"/>
                          <w:marBottom w:val="0"/>
                          <w:divBdr>
                            <w:top w:val="none" w:sz="0" w:space="0" w:color="auto"/>
                            <w:left w:val="none" w:sz="0" w:space="0" w:color="auto"/>
                            <w:bottom w:val="none" w:sz="0" w:space="0" w:color="auto"/>
                            <w:right w:val="none" w:sz="0" w:space="0" w:color="auto"/>
                          </w:divBdr>
                          <w:divsChild>
                            <w:div w:id="7735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85335">
      <w:bodyDiv w:val="1"/>
      <w:marLeft w:val="0"/>
      <w:marRight w:val="0"/>
      <w:marTop w:val="0"/>
      <w:marBottom w:val="0"/>
      <w:divBdr>
        <w:top w:val="none" w:sz="0" w:space="0" w:color="auto"/>
        <w:left w:val="none" w:sz="0" w:space="0" w:color="auto"/>
        <w:bottom w:val="none" w:sz="0" w:space="0" w:color="auto"/>
        <w:right w:val="none" w:sz="0" w:space="0" w:color="auto"/>
      </w:divBdr>
      <w:divsChild>
        <w:div w:id="176696732">
          <w:marLeft w:val="0"/>
          <w:marRight w:val="0"/>
          <w:marTop w:val="0"/>
          <w:marBottom w:val="0"/>
          <w:divBdr>
            <w:top w:val="none" w:sz="0" w:space="0" w:color="auto"/>
            <w:left w:val="none" w:sz="0" w:space="0" w:color="auto"/>
            <w:bottom w:val="none" w:sz="0" w:space="0" w:color="auto"/>
            <w:right w:val="none" w:sz="0" w:space="0" w:color="auto"/>
          </w:divBdr>
          <w:divsChild>
            <w:div w:id="2132552137">
              <w:marLeft w:val="0"/>
              <w:marRight w:val="0"/>
              <w:marTop w:val="0"/>
              <w:marBottom w:val="0"/>
              <w:divBdr>
                <w:top w:val="none" w:sz="0" w:space="0" w:color="auto"/>
                <w:left w:val="none" w:sz="0" w:space="0" w:color="auto"/>
                <w:bottom w:val="none" w:sz="0" w:space="0" w:color="auto"/>
                <w:right w:val="none" w:sz="0" w:space="0" w:color="auto"/>
              </w:divBdr>
              <w:divsChild>
                <w:div w:id="449709296">
                  <w:marLeft w:val="0"/>
                  <w:marRight w:val="0"/>
                  <w:marTop w:val="0"/>
                  <w:marBottom w:val="0"/>
                  <w:divBdr>
                    <w:top w:val="none" w:sz="0" w:space="0" w:color="auto"/>
                    <w:left w:val="none" w:sz="0" w:space="0" w:color="auto"/>
                    <w:bottom w:val="none" w:sz="0" w:space="0" w:color="auto"/>
                    <w:right w:val="none" w:sz="0" w:space="0" w:color="auto"/>
                  </w:divBdr>
                  <w:divsChild>
                    <w:div w:id="1996757595">
                      <w:marLeft w:val="0"/>
                      <w:marRight w:val="0"/>
                      <w:marTop w:val="0"/>
                      <w:marBottom w:val="0"/>
                      <w:divBdr>
                        <w:top w:val="none" w:sz="0" w:space="0" w:color="auto"/>
                        <w:left w:val="none" w:sz="0" w:space="0" w:color="auto"/>
                        <w:bottom w:val="none" w:sz="0" w:space="0" w:color="auto"/>
                        <w:right w:val="none" w:sz="0" w:space="0" w:color="auto"/>
                      </w:divBdr>
                      <w:divsChild>
                        <w:div w:id="826241872">
                          <w:marLeft w:val="0"/>
                          <w:marRight w:val="0"/>
                          <w:marTop w:val="0"/>
                          <w:marBottom w:val="0"/>
                          <w:divBdr>
                            <w:top w:val="none" w:sz="0" w:space="0" w:color="auto"/>
                            <w:left w:val="none" w:sz="0" w:space="0" w:color="auto"/>
                            <w:bottom w:val="none" w:sz="0" w:space="0" w:color="auto"/>
                            <w:right w:val="none" w:sz="0" w:space="0" w:color="auto"/>
                          </w:divBdr>
                          <w:divsChild>
                            <w:div w:id="16881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678892">
      <w:bodyDiv w:val="1"/>
      <w:marLeft w:val="0"/>
      <w:marRight w:val="0"/>
      <w:marTop w:val="0"/>
      <w:marBottom w:val="0"/>
      <w:divBdr>
        <w:top w:val="none" w:sz="0" w:space="0" w:color="auto"/>
        <w:left w:val="none" w:sz="0" w:space="0" w:color="auto"/>
        <w:bottom w:val="none" w:sz="0" w:space="0" w:color="auto"/>
        <w:right w:val="none" w:sz="0" w:space="0" w:color="auto"/>
      </w:divBdr>
    </w:div>
    <w:div w:id="1125386199">
      <w:bodyDiv w:val="1"/>
      <w:marLeft w:val="0"/>
      <w:marRight w:val="0"/>
      <w:marTop w:val="0"/>
      <w:marBottom w:val="0"/>
      <w:divBdr>
        <w:top w:val="none" w:sz="0" w:space="0" w:color="auto"/>
        <w:left w:val="none" w:sz="0" w:space="0" w:color="auto"/>
        <w:bottom w:val="none" w:sz="0" w:space="0" w:color="auto"/>
        <w:right w:val="none" w:sz="0" w:space="0" w:color="auto"/>
      </w:divBdr>
      <w:divsChild>
        <w:div w:id="1683968468">
          <w:marLeft w:val="0"/>
          <w:marRight w:val="0"/>
          <w:marTop w:val="0"/>
          <w:marBottom w:val="0"/>
          <w:divBdr>
            <w:top w:val="none" w:sz="0" w:space="0" w:color="auto"/>
            <w:left w:val="none" w:sz="0" w:space="0" w:color="auto"/>
            <w:bottom w:val="none" w:sz="0" w:space="0" w:color="auto"/>
            <w:right w:val="none" w:sz="0" w:space="0" w:color="auto"/>
          </w:divBdr>
          <w:divsChild>
            <w:div w:id="668406117">
              <w:marLeft w:val="0"/>
              <w:marRight w:val="0"/>
              <w:marTop w:val="0"/>
              <w:marBottom w:val="0"/>
              <w:divBdr>
                <w:top w:val="none" w:sz="0" w:space="0" w:color="auto"/>
                <w:left w:val="none" w:sz="0" w:space="0" w:color="auto"/>
                <w:bottom w:val="none" w:sz="0" w:space="0" w:color="auto"/>
                <w:right w:val="none" w:sz="0" w:space="0" w:color="auto"/>
              </w:divBdr>
              <w:divsChild>
                <w:div w:id="64842036">
                  <w:marLeft w:val="0"/>
                  <w:marRight w:val="0"/>
                  <w:marTop w:val="0"/>
                  <w:marBottom w:val="0"/>
                  <w:divBdr>
                    <w:top w:val="none" w:sz="0" w:space="0" w:color="auto"/>
                    <w:left w:val="none" w:sz="0" w:space="0" w:color="auto"/>
                    <w:bottom w:val="none" w:sz="0" w:space="0" w:color="auto"/>
                    <w:right w:val="none" w:sz="0" w:space="0" w:color="auto"/>
                  </w:divBdr>
                  <w:divsChild>
                    <w:div w:id="1742679563">
                      <w:marLeft w:val="0"/>
                      <w:marRight w:val="0"/>
                      <w:marTop w:val="0"/>
                      <w:marBottom w:val="0"/>
                      <w:divBdr>
                        <w:top w:val="none" w:sz="0" w:space="0" w:color="auto"/>
                        <w:left w:val="none" w:sz="0" w:space="0" w:color="auto"/>
                        <w:bottom w:val="none" w:sz="0" w:space="0" w:color="auto"/>
                        <w:right w:val="none" w:sz="0" w:space="0" w:color="auto"/>
                      </w:divBdr>
                      <w:divsChild>
                        <w:div w:id="615647992">
                          <w:marLeft w:val="0"/>
                          <w:marRight w:val="0"/>
                          <w:marTop w:val="0"/>
                          <w:marBottom w:val="0"/>
                          <w:divBdr>
                            <w:top w:val="none" w:sz="0" w:space="0" w:color="auto"/>
                            <w:left w:val="none" w:sz="0" w:space="0" w:color="auto"/>
                            <w:bottom w:val="none" w:sz="0" w:space="0" w:color="auto"/>
                            <w:right w:val="none" w:sz="0" w:space="0" w:color="auto"/>
                          </w:divBdr>
                          <w:divsChild>
                            <w:div w:id="19286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035007">
      <w:bodyDiv w:val="1"/>
      <w:marLeft w:val="0"/>
      <w:marRight w:val="0"/>
      <w:marTop w:val="0"/>
      <w:marBottom w:val="0"/>
      <w:divBdr>
        <w:top w:val="none" w:sz="0" w:space="0" w:color="auto"/>
        <w:left w:val="none" w:sz="0" w:space="0" w:color="auto"/>
        <w:bottom w:val="none" w:sz="0" w:space="0" w:color="auto"/>
        <w:right w:val="none" w:sz="0" w:space="0" w:color="auto"/>
      </w:divBdr>
      <w:divsChild>
        <w:div w:id="311176534">
          <w:marLeft w:val="0"/>
          <w:marRight w:val="0"/>
          <w:marTop w:val="0"/>
          <w:marBottom w:val="0"/>
          <w:divBdr>
            <w:top w:val="none" w:sz="0" w:space="0" w:color="auto"/>
            <w:left w:val="none" w:sz="0" w:space="0" w:color="auto"/>
            <w:bottom w:val="none" w:sz="0" w:space="0" w:color="auto"/>
            <w:right w:val="none" w:sz="0" w:space="0" w:color="auto"/>
          </w:divBdr>
          <w:divsChild>
            <w:div w:id="1704135688">
              <w:marLeft w:val="0"/>
              <w:marRight w:val="0"/>
              <w:marTop w:val="0"/>
              <w:marBottom w:val="0"/>
              <w:divBdr>
                <w:top w:val="none" w:sz="0" w:space="0" w:color="auto"/>
                <w:left w:val="none" w:sz="0" w:space="0" w:color="auto"/>
                <w:bottom w:val="none" w:sz="0" w:space="0" w:color="auto"/>
                <w:right w:val="none" w:sz="0" w:space="0" w:color="auto"/>
              </w:divBdr>
              <w:divsChild>
                <w:div w:id="945847457">
                  <w:marLeft w:val="0"/>
                  <w:marRight w:val="0"/>
                  <w:marTop w:val="0"/>
                  <w:marBottom w:val="0"/>
                  <w:divBdr>
                    <w:top w:val="none" w:sz="0" w:space="0" w:color="auto"/>
                    <w:left w:val="none" w:sz="0" w:space="0" w:color="auto"/>
                    <w:bottom w:val="none" w:sz="0" w:space="0" w:color="auto"/>
                    <w:right w:val="none" w:sz="0" w:space="0" w:color="auto"/>
                  </w:divBdr>
                  <w:divsChild>
                    <w:div w:id="2047676272">
                      <w:marLeft w:val="0"/>
                      <w:marRight w:val="0"/>
                      <w:marTop w:val="0"/>
                      <w:marBottom w:val="0"/>
                      <w:divBdr>
                        <w:top w:val="none" w:sz="0" w:space="0" w:color="auto"/>
                        <w:left w:val="none" w:sz="0" w:space="0" w:color="auto"/>
                        <w:bottom w:val="none" w:sz="0" w:space="0" w:color="auto"/>
                        <w:right w:val="none" w:sz="0" w:space="0" w:color="auto"/>
                      </w:divBdr>
                      <w:divsChild>
                        <w:div w:id="2099986286">
                          <w:marLeft w:val="0"/>
                          <w:marRight w:val="0"/>
                          <w:marTop w:val="0"/>
                          <w:marBottom w:val="0"/>
                          <w:divBdr>
                            <w:top w:val="none" w:sz="0" w:space="0" w:color="auto"/>
                            <w:left w:val="none" w:sz="0" w:space="0" w:color="auto"/>
                            <w:bottom w:val="none" w:sz="0" w:space="0" w:color="auto"/>
                            <w:right w:val="none" w:sz="0" w:space="0" w:color="auto"/>
                          </w:divBdr>
                          <w:divsChild>
                            <w:div w:id="8551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613088">
      <w:bodyDiv w:val="1"/>
      <w:marLeft w:val="0"/>
      <w:marRight w:val="0"/>
      <w:marTop w:val="0"/>
      <w:marBottom w:val="0"/>
      <w:divBdr>
        <w:top w:val="none" w:sz="0" w:space="0" w:color="auto"/>
        <w:left w:val="none" w:sz="0" w:space="0" w:color="auto"/>
        <w:bottom w:val="none" w:sz="0" w:space="0" w:color="auto"/>
        <w:right w:val="none" w:sz="0" w:space="0" w:color="auto"/>
      </w:divBdr>
      <w:divsChild>
        <w:div w:id="604464017">
          <w:marLeft w:val="0"/>
          <w:marRight w:val="0"/>
          <w:marTop w:val="0"/>
          <w:marBottom w:val="0"/>
          <w:divBdr>
            <w:top w:val="none" w:sz="0" w:space="0" w:color="auto"/>
            <w:left w:val="none" w:sz="0" w:space="0" w:color="auto"/>
            <w:bottom w:val="none" w:sz="0" w:space="0" w:color="auto"/>
            <w:right w:val="none" w:sz="0" w:space="0" w:color="auto"/>
          </w:divBdr>
          <w:divsChild>
            <w:div w:id="1962490311">
              <w:marLeft w:val="0"/>
              <w:marRight w:val="0"/>
              <w:marTop w:val="0"/>
              <w:marBottom w:val="0"/>
              <w:divBdr>
                <w:top w:val="none" w:sz="0" w:space="0" w:color="auto"/>
                <w:left w:val="none" w:sz="0" w:space="0" w:color="auto"/>
                <w:bottom w:val="none" w:sz="0" w:space="0" w:color="auto"/>
                <w:right w:val="none" w:sz="0" w:space="0" w:color="auto"/>
              </w:divBdr>
              <w:divsChild>
                <w:div w:id="449014588">
                  <w:marLeft w:val="0"/>
                  <w:marRight w:val="0"/>
                  <w:marTop w:val="0"/>
                  <w:marBottom w:val="0"/>
                  <w:divBdr>
                    <w:top w:val="none" w:sz="0" w:space="0" w:color="auto"/>
                    <w:left w:val="none" w:sz="0" w:space="0" w:color="auto"/>
                    <w:bottom w:val="none" w:sz="0" w:space="0" w:color="auto"/>
                    <w:right w:val="none" w:sz="0" w:space="0" w:color="auto"/>
                  </w:divBdr>
                  <w:divsChild>
                    <w:div w:id="1290090954">
                      <w:marLeft w:val="0"/>
                      <w:marRight w:val="0"/>
                      <w:marTop w:val="0"/>
                      <w:marBottom w:val="0"/>
                      <w:divBdr>
                        <w:top w:val="none" w:sz="0" w:space="0" w:color="auto"/>
                        <w:left w:val="none" w:sz="0" w:space="0" w:color="auto"/>
                        <w:bottom w:val="none" w:sz="0" w:space="0" w:color="auto"/>
                        <w:right w:val="none" w:sz="0" w:space="0" w:color="auto"/>
                      </w:divBdr>
                      <w:divsChild>
                        <w:div w:id="1292051627">
                          <w:marLeft w:val="0"/>
                          <w:marRight w:val="0"/>
                          <w:marTop w:val="0"/>
                          <w:marBottom w:val="0"/>
                          <w:divBdr>
                            <w:top w:val="none" w:sz="0" w:space="0" w:color="auto"/>
                            <w:left w:val="none" w:sz="0" w:space="0" w:color="auto"/>
                            <w:bottom w:val="none" w:sz="0" w:space="0" w:color="auto"/>
                            <w:right w:val="none" w:sz="0" w:space="0" w:color="auto"/>
                          </w:divBdr>
                          <w:divsChild>
                            <w:div w:id="3471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073130">
      <w:bodyDiv w:val="1"/>
      <w:marLeft w:val="0"/>
      <w:marRight w:val="0"/>
      <w:marTop w:val="0"/>
      <w:marBottom w:val="0"/>
      <w:divBdr>
        <w:top w:val="none" w:sz="0" w:space="0" w:color="auto"/>
        <w:left w:val="none" w:sz="0" w:space="0" w:color="auto"/>
        <w:bottom w:val="none" w:sz="0" w:space="0" w:color="auto"/>
        <w:right w:val="none" w:sz="0" w:space="0" w:color="auto"/>
      </w:divBdr>
      <w:divsChild>
        <w:div w:id="1405495731">
          <w:marLeft w:val="0"/>
          <w:marRight w:val="0"/>
          <w:marTop w:val="0"/>
          <w:marBottom w:val="0"/>
          <w:divBdr>
            <w:top w:val="none" w:sz="0" w:space="0" w:color="auto"/>
            <w:left w:val="none" w:sz="0" w:space="0" w:color="auto"/>
            <w:bottom w:val="none" w:sz="0" w:space="0" w:color="auto"/>
            <w:right w:val="none" w:sz="0" w:space="0" w:color="auto"/>
          </w:divBdr>
          <w:divsChild>
            <w:div w:id="1509708254">
              <w:marLeft w:val="0"/>
              <w:marRight w:val="0"/>
              <w:marTop w:val="0"/>
              <w:marBottom w:val="0"/>
              <w:divBdr>
                <w:top w:val="none" w:sz="0" w:space="0" w:color="auto"/>
                <w:left w:val="none" w:sz="0" w:space="0" w:color="auto"/>
                <w:bottom w:val="none" w:sz="0" w:space="0" w:color="auto"/>
                <w:right w:val="none" w:sz="0" w:space="0" w:color="auto"/>
              </w:divBdr>
              <w:divsChild>
                <w:div w:id="1737433683">
                  <w:marLeft w:val="0"/>
                  <w:marRight w:val="0"/>
                  <w:marTop w:val="0"/>
                  <w:marBottom w:val="0"/>
                  <w:divBdr>
                    <w:top w:val="none" w:sz="0" w:space="0" w:color="auto"/>
                    <w:left w:val="none" w:sz="0" w:space="0" w:color="auto"/>
                    <w:bottom w:val="none" w:sz="0" w:space="0" w:color="auto"/>
                    <w:right w:val="none" w:sz="0" w:space="0" w:color="auto"/>
                  </w:divBdr>
                  <w:divsChild>
                    <w:div w:id="860780945">
                      <w:marLeft w:val="0"/>
                      <w:marRight w:val="0"/>
                      <w:marTop w:val="0"/>
                      <w:marBottom w:val="0"/>
                      <w:divBdr>
                        <w:top w:val="none" w:sz="0" w:space="0" w:color="auto"/>
                        <w:left w:val="none" w:sz="0" w:space="0" w:color="auto"/>
                        <w:bottom w:val="none" w:sz="0" w:space="0" w:color="auto"/>
                        <w:right w:val="none" w:sz="0" w:space="0" w:color="auto"/>
                      </w:divBdr>
                      <w:divsChild>
                        <w:div w:id="1354040628">
                          <w:marLeft w:val="0"/>
                          <w:marRight w:val="0"/>
                          <w:marTop w:val="0"/>
                          <w:marBottom w:val="0"/>
                          <w:divBdr>
                            <w:top w:val="none" w:sz="0" w:space="0" w:color="auto"/>
                            <w:left w:val="none" w:sz="0" w:space="0" w:color="auto"/>
                            <w:bottom w:val="none" w:sz="0" w:space="0" w:color="auto"/>
                            <w:right w:val="none" w:sz="0" w:space="0" w:color="auto"/>
                          </w:divBdr>
                          <w:divsChild>
                            <w:div w:id="15129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558940">
      <w:bodyDiv w:val="1"/>
      <w:marLeft w:val="0"/>
      <w:marRight w:val="0"/>
      <w:marTop w:val="0"/>
      <w:marBottom w:val="0"/>
      <w:divBdr>
        <w:top w:val="none" w:sz="0" w:space="0" w:color="auto"/>
        <w:left w:val="none" w:sz="0" w:space="0" w:color="auto"/>
        <w:bottom w:val="none" w:sz="0" w:space="0" w:color="auto"/>
        <w:right w:val="none" w:sz="0" w:space="0" w:color="auto"/>
      </w:divBdr>
    </w:div>
    <w:div w:id="1308364533">
      <w:bodyDiv w:val="1"/>
      <w:marLeft w:val="0"/>
      <w:marRight w:val="0"/>
      <w:marTop w:val="0"/>
      <w:marBottom w:val="0"/>
      <w:divBdr>
        <w:top w:val="none" w:sz="0" w:space="0" w:color="auto"/>
        <w:left w:val="none" w:sz="0" w:space="0" w:color="auto"/>
        <w:bottom w:val="none" w:sz="0" w:space="0" w:color="auto"/>
        <w:right w:val="none" w:sz="0" w:space="0" w:color="auto"/>
      </w:divBdr>
      <w:divsChild>
        <w:div w:id="204567375">
          <w:marLeft w:val="0"/>
          <w:marRight w:val="0"/>
          <w:marTop w:val="0"/>
          <w:marBottom w:val="0"/>
          <w:divBdr>
            <w:top w:val="none" w:sz="0" w:space="0" w:color="auto"/>
            <w:left w:val="none" w:sz="0" w:space="0" w:color="auto"/>
            <w:bottom w:val="none" w:sz="0" w:space="0" w:color="auto"/>
            <w:right w:val="none" w:sz="0" w:space="0" w:color="auto"/>
          </w:divBdr>
          <w:divsChild>
            <w:div w:id="1007099773">
              <w:marLeft w:val="0"/>
              <w:marRight w:val="0"/>
              <w:marTop w:val="0"/>
              <w:marBottom w:val="0"/>
              <w:divBdr>
                <w:top w:val="none" w:sz="0" w:space="0" w:color="auto"/>
                <w:left w:val="none" w:sz="0" w:space="0" w:color="auto"/>
                <w:bottom w:val="none" w:sz="0" w:space="0" w:color="auto"/>
                <w:right w:val="none" w:sz="0" w:space="0" w:color="auto"/>
              </w:divBdr>
              <w:divsChild>
                <w:div w:id="1147630805">
                  <w:marLeft w:val="0"/>
                  <w:marRight w:val="0"/>
                  <w:marTop w:val="0"/>
                  <w:marBottom w:val="0"/>
                  <w:divBdr>
                    <w:top w:val="none" w:sz="0" w:space="0" w:color="auto"/>
                    <w:left w:val="none" w:sz="0" w:space="0" w:color="auto"/>
                    <w:bottom w:val="none" w:sz="0" w:space="0" w:color="auto"/>
                    <w:right w:val="none" w:sz="0" w:space="0" w:color="auto"/>
                  </w:divBdr>
                  <w:divsChild>
                    <w:div w:id="627511429">
                      <w:marLeft w:val="0"/>
                      <w:marRight w:val="0"/>
                      <w:marTop w:val="0"/>
                      <w:marBottom w:val="0"/>
                      <w:divBdr>
                        <w:top w:val="none" w:sz="0" w:space="0" w:color="auto"/>
                        <w:left w:val="none" w:sz="0" w:space="0" w:color="auto"/>
                        <w:bottom w:val="none" w:sz="0" w:space="0" w:color="auto"/>
                        <w:right w:val="none" w:sz="0" w:space="0" w:color="auto"/>
                      </w:divBdr>
                      <w:divsChild>
                        <w:div w:id="330761307">
                          <w:marLeft w:val="0"/>
                          <w:marRight w:val="0"/>
                          <w:marTop w:val="0"/>
                          <w:marBottom w:val="0"/>
                          <w:divBdr>
                            <w:top w:val="none" w:sz="0" w:space="0" w:color="auto"/>
                            <w:left w:val="none" w:sz="0" w:space="0" w:color="auto"/>
                            <w:bottom w:val="none" w:sz="0" w:space="0" w:color="auto"/>
                            <w:right w:val="none" w:sz="0" w:space="0" w:color="auto"/>
                          </w:divBdr>
                          <w:divsChild>
                            <w:div w:id="11372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703077">
      <w:bodyDiv w:val="1"/>
      <w:marLeft w:val="0"/>
      <w:marRight w:val="0"/>
      <w:marTop w:val="0"/>
      <w:marBottom w:val="0"/>
      <w:divBdr>
        <w:top w:val="none" w:sz="0" w:space="0" w:color="auto"/>
        <w:left w:val="none" w:sz="0" w:space="0" w:color="auto"/>
        <w:bottom w:val="none" w:sz="0" w:space="0" w:color="auto"/>
        <w:right w:val="none" w:sz="0" w:space="0" w:color="auto"/>
      </w:divBdr>
      <w:divsChild>
        <w:div w:id="858279073">
          <w:marLeft w:val="0"/>
          <w:marRight w:val="0"/>
          <w:marTop w:val="0"/>
          <w:marBottom w:val="0"/>
          <w:divBdr>
            <w:top w:val="none" w:sz="0" w:space="0" w:color="auto"/>
            <w:left w:val="none" w:sz="0" w:space="0" w:color="auto"/>
            <w:bottom w:val="none" w:sz="0" w:space="0" w:color="auto"/>
            <w:right w:val="none" w:sz="0" w:space="0" w:color="auto"/>
          </w:divBdr>
          <w:divsChild>
            <w:div w:id="2132673050">
              <w:marLeft w:val="0"/>
              <w:marRight w:val="0"/>
              <w:marTop w:val="0"/>
              <w:marBottom w:val="0"/>
              <w:divBdr>
                <w:top w:val="none" w:sz="0" w:space="0" w:color="auto"/>
                <w:left w:val="none" w:sz="0" w:space="0" w:color="auto"/>
                <w:bottom w:val="none" w:sz="0" w:space="0" w:color="auto"/>
                <w:right w:val="none" w:sz="0" w:space="0" w:color="auto"/>
              </w:divBdr>
              <w:divsChild>
                <w:div w:id="1790733389">
                  <w:marLeft w:val="0"/>
                  <w:marRight w:val="0"/>
                  <w:marTop w:val="0"/>
                  <w:marBottom w:val="0"/>
                  <w:divBdr>
                    <w:top w:val="none" w:sz="0" w:space="0" w:color="auto"/>
                    <w:left w:val="none" w:sz="0" w:space="0" w:color="auto"/>
                    <w:bottom w:val="none" w:sz="0" w:space="0" w:color="auto"/>
                    <w:right w:val="none" w:sz="0" w:space="0" w:color="auto"/>
                  </w:divBdr>
                  <w:divsChild>
                    <w:div w:id="752749785">
                      <w:marLeft w:val="0"/>
                      <w:marRight w:val="0"/>
                      <w:marTop w:val="0"/>
                      <w:marBottom w:val="0"/>
                      <w:divBdr>
                        <w:top w:val="none" w:sz="0" w:space="0" w:color="auto"/>
                        <w:left w:val="none" w:sz="0" w:space="0" w:color="auto"/>
                        <w:bottom w:val="none" w:sz="0" w:space="0" w:color="auto"/>
                        <w:right w:val="none" w:sz="0" w:space="0" w:color="auto"/>
                      </w:divBdr>
                      <w:divsChild>
                        <w:div w:id="1646815093">
                          <w:marLeft w:val="0"/>
                          <w:marRight w:val="0"/>
                          <w:marTop w:val="0"/>
                          <w:marBottom w:val="0"/>
                          <w:divBdr>
                            <w:top w:val="none" w:sz="0" w:space="0" w:color="auto"/>
                            <w:left w:val="none" w:sz="0" w:space="0" w:color="auto"/>
                            <w:bottom w:val="none" w:sz="0" w:space="0" w:color="auto"/>
                            <w:right w:val="none" w:sz="0" w:space="0" w:color="auto"/>
                          </w:divBdr>
                          <w:divsChild>
                            <w:div w:id="16679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139510">
      <w:bodyDiv w:val="1"/>
      <w:marLeft w:val="0"/>
      <w:marRight w:val="0"/>
      <w:marTop w:val="0"/>
      <w:marBottom w:val="0"/>
      <w:divBdr>
        <w:top w:val="none" w:sz="0" w:space="0" w:color="auto"/>
        <w:left w:val="none" w:sz="0" w:space="0" w:color="auto"/>
        <w:bottom w:val="none" w:sz="0" w:space="0" w:color="auto"/>
        <w:right w:val="none" w:sz="0" w:space="0" w:color="auto"/>
      </w:divBdr>
    </w:div>
    <w:div w:id="1361203531">
      <w:bodyDiv w:val="1"/>
      <w:marLeft w:val="0"/>
      <w:marRight w:val="0"/>
      <w:marTop w:val="0"/>
      <w:marBottom w:val="0"/>
      <w:divBdr>
        <w:top w:val="none" w:sz="0" w:space="0" w:color="auto"/>
        <w:left w:val="none" w:sz="0" w:space="0" w:color="auto"/>
        <w:bottom w:val="none" w:sz="0" w:space="0" w:color="auto"/>
        <w:right w:val="none" w:sz="0" w:space="0" w:color="auto"/>
      </w:divBdr>
    </w:div>
    <w:div w:id="1373194318">
      <w:bodyDiv w:val="1"/>
      <w:marLeft w:val="0"/>
      <w:marRight w:val="0"/>
      <w:marTop w:val="0"/>
      <w:marBottom w:val="0"/>
      <w:divBdr>
        <w:top w:val="none" w:sz="0" w:space="0" w:color="auto"/>
        <w:left w:val="none" w:sz="0" w:space="0" w:color="auto"/>
        <w:bottom w:val="none" w:sz="0" w:space="0" w:color="auto"/>
        <w:right w:val="none" w:sz="0" w:space="0" w:color="auto"/>
      </w:divBdr>
    </w:div>
    <w:div w:id="1386030818">
      <w:bodyDiv w:val="1"/>
      <w:marLeft w:val="0"/>
      <w:marRight w:val="0"/>
      <w:marTop w:val="0"/>
      <w:marBottom w:val="0"/>
      <w:divBdr>
        <w:top w:val="none" w:sz="0" w:space="0" w:color="auto"/>
        <w:left w:val="none" w:sz="0" w:space="0" w:color="auto"/>
        <w:bottom w:val="none" w:sz="0" w:space="0" w:color="auto"/>
        <w:right w:val="none" w:sz="0" w:space="0" w:color="auto"/>
      </w:divBdr>
    </w:div>
    <w:div w:id="1412698410">
      <w:bodyDiv w:val="1"/>
      <w:marLeft w:val="0"/>
      <w:marRight w:val="0"/>
      <w:marTop w:val="0"/>
      <w:marBottom w:val="0"/>
      <w:divBdr>
        <w:top w:val="none" w:sz="0" w:space="0" w:color="auto"/>
        <w:left w:val="none" w:sz="0" w:space="0" w:color="auto"/>
        <w:bottom w:val="none" w:sz="0" w:space="0" w:color="auto"/>
        <w:right w:val="none" w:sz="0" w:space="0" w:color="auto"/>
      </w:divBdr>
      <w:divsChild>
        <w:div w:id="1516765947">
          <w:marLeft w:val="0"/>
          <w:marRight w:val="0"/>
          <w:marTop w:val="0"/>
          <w:marBottom w:val="0"/>
          <w:divBdr>
            <w:top w:val="none" w:sz="0" w:space="0" w:color="auto"/>
            <w:left w:val="none" w:sz="0" w:space="0" w:color="auto"/>
            <w:bottom w:val="none" w:sz="0" w:space="0" w:color="auto"/>
            <w:right w:val="none" w:sz="0" w:space="0" w:color="auto"/>
          </w:divBdr>
          <w:divsChild>
            <w:div w:id="142086211">
              <w:marLeft w:val="0"/>
              <w:marRight w:val="0"/>
              <w:marTop w:val="0"/>
              <w:marBottom w:val="0"/>
              <w:divBdr>
                <w:top w:val="none" w:sz="0" w:space="0" w:color="auto"/>
                <w:left w:val="none" w:sz="0" w:space="0" w:color="auto"/>
                <w:bottom w:val="none" w:sz="0" w:space="0" w:color="auto"/>
                <w:right w:val="none" w:sz="0" w:space="0" w:color="auto"/>
              </w:divBdr>
              <w:divsChild>
                <w:div w:id="1024869387">
                  <w:marLeft w:val="0"/>
                  <w:marRight w:val="0"/>
                  <w:marTop w:val="0"/>
                  <w:marBottom w:val="0"/>
                  <w:divBdr>
                    <w:top w:val="none" w:sz="0" w:space="0" w:color="auto"/>
                    <w:left w:val="none" w:sz="0" w:space="0" w:color="auto"/>
                    <w:bottom w:val="none" w:sz="0" w:space="0" w:color="auto"/>
                    <w:right w:val="none" w:sz="0" w:space="0" w:color="auto"/>
                  </w:divBdr>
                  <w:divsChild>
                    <w:div w:id="956957057">
                      <w:marLeft w:val="0"/>
                      <w:marRight w:val="0"/>
                      <w:marTop w:val="0"/>
                      <w:marBottom w:val="0"/>
                      <w:divBdr>
                        <w:top w:val="none" w:sz="0" w:space="0" w:color="auto"/>
                        <w:left w:val="none" w:sz="0" w:space="0" w:color="auto"/>
                        <w:bottom w:val="none" w:sz="0" w:space="0" w:color="auto"/>
                        <w:right w:val="none" w:sz="0" w:space="0" w:color="auto"/>
                      </w:divBdr>
                      <w:divsChild>
                        <w:div w:id="1183205619">
                          <w:marLeft w:val="0"/>
                          <w:marRight w:val="0"/>
                          <w:marTop w:val="0"/>
                          <w:marBottom w:val="0"/>
                          <w:divBdr>
                            <w:top w:val="none" w:sz="0" w:space="0" w:color="auto"/>
                            <w:left w:val="none" w:sz="0" w:space="0" w:color="auto"/>
                            <w:bottom w:val="none" w:sz="0" w:space="0" w:color="auto"/>
                            <w:right w:val="none" w:sz="0" w:space="0" w:color="auto"/>
                          </w:divBdr>
                          <w:divsChild>
                            <w:div w:id="17651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7132">
      <w:bodyDiv w:val="1"/>
      <w:marLeft w:val="0"/>
      <w:marRight w:val="0"/>
      <w:marTop w:val="0"/>
      <w:marBottom w:val="0"/>
      <w:divBdr>
        <w:top w:val="none" w:sz="0" w:space="0" w:color="auto"/>
        <w:left w:val="none" w:sz="0" w:space="0" w:color="auto"/>
        <w:bottom w:val="none" w:sz="0" w:space="0" w:color="auto"/>
        <w:right w:val="none" w:sz="0" w:space="0" w:color="auto"/>
      </w:divBdr>
    </w:div>
    <w:div w:id="1503624699">
      <w:bodyDiv w:val="1"/>
      <w:marLeft w:val="0"/>
      <w:marRight w:val="0"/>
      <w:marTop w:val="0"/>
      <w:marBottom w:val="0"/>
      <w:divBdr>
        <w:top w:val="none" w:sz="0" w:space="0" w:color="auto"/>
        <w:left w:val="none" w:sz="0" w:space="0" w:color="auto"/>
        <w:bottom w:val="none" w:sz="0" w:space="0" w:color="auto"/>
        <w:right w:val="none" w:sz="0" w:space="0" w:color="auto"/>
      </w:divBdr>
      <w:divsChild>
        <w:div w:id="2087340570">
          <w:marLeft w:val="0"/>
          <w:marRight w:val="0"/>
          <w:marTop w:val="0"/>
          <w:marBottom w:val="0"/>
          <w:divBdr>
            <w:top w:val="none" w:sz="0" w:space="0" w:color="auto"/>
            <w:left w:val="none" w:sz="0" w:space="0" w:color="auto"/>
            <w:bottom w:val="none" w:sz="0" w:space="0" w:color="auto"/>
            <w:right w:val="none" w:sz="0" w:space="0" w:color="auto"/>
          </w:divBdr>
          <w:divsChild>
            <w:div w:id="358701833">
              <w:marLeft w:val="0"/>
              <w:marRight w:val="0"/>
              <w:marTop w:val="0"/>
              <w:marBottom w:val="0"/>
              <w:divBdr>
                <w:top w:val="none" w:sz="0" w:space="0" w:color="auto"/>
                <w:left w:val="none" w:sz="0" w:space="0" w:color="auto"/>
                <w:bottom w:val="none" w:sz="0" w:space="0" w:color="auto"/>
                <w:right w:val="none" w:sz="0" w:space="0" w:color="auto"/>
              </w:divBdr>
              <w:divsChild>
                <w:div w:id="1983995481">
                  <w:marLeft w:val="0"/>
                  <w:marRight w:val="0"/>
                  <w:marTop w:val="0"/>
                  <w:marBottom w:val="0"/>
                  <w:divBdr>
                    <w:top w:val="none" w:sz="0" w:space="0" w:color="auto"/>
                    <w:left w:val="none" w:sz="0" w:space="0" w:color="auto"/>
                    <w:bottom w:val="none" w:sz="0" w:space="0" w:color="auto"/>
                    <w:right w:val="none" w:sz="0" w:space="0" w:color="auto"/>
                  </w:divBdr>
                  <w:divsChild>
                    <w:div w:id="1474252191">
                      <w:marLeft w:val="0"/>
                      <w:marRight w:val="0"/>
                      <w:marTop w:val="0"/>
                      <w:marBottom w:val="0"/>
                      <w:divBdr>
                        <w:top w:val="none" w:sz="0" w:space="0" w:color="auto"/>
                        <w:left w:val="none" w:sz="0" w:space="0" w:color="auto"/>
                        <w:bottom w:val="none" w:sz="0" w:space="0" w:color="auto"/>
                        <w:right w:val="none" w:sz="0" w:space="0" w:color="auto"/>
                      </w:divBdr>
                      <w:divsChild>
                        <w:div w:id="163252857">
                          <w:marLeft w:val="0"/>
                          <w:marRight w:val="0"/>
                          <w:marTop w:val="0"/>
                          <w:marBottom w:val="0"/>
                          <w:divBdr>
                            <w:top w:val="none" w:sz="0" w:space="0" w:color="auto"/>
                            <w:left w:val="none" w:sz="0" w:space="0" w:color="auto"/>
                            <w:bottom w:val="none" w:sz="0" w:space="0" w:color="auto"/>
                            <w:right w:val="none" w:sz="0" w:space="0" w:color="auto"/>
                          </w:divBdr>
                          <w:divsChild>
                            <w:div w:id="1467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252264">
      <w:bodyDiv w:val="1"/>
      <w:marLeft w:val="0"/>
      <w:marRight w:val="0"/>
      <w:marTop w:val="0"/>
      <w:marBottom w:val="0"/>
      <w:divBdr>
        <w:top w:val="none" w:sz="0" w:space="0" w:color="auto"/>
        <w:left w:val="none" w:sz="0" w:space="0" w:color="auto"/>
        <w:bottom w:val="none" w:sz="0" w:space="0" w:color="auto"/>
        <w:right w:val="none" w:sz="0" w:space="0" w:color="auto"/>
      </w:divBdr>
    </w:div>
    <w:div w:id="1549993539">
      <w:bodyDiv w:val="1"/>
      <w:marLeft w:val="0"/>
      <w:marRight w:val="0"/>
      <w:marTop w:val="0"/>
      <w:marBottom w:val="0"/>
      <w:divBdr>
        <w:top w:val="none" w:sz="0" w:space="0" w:color="auto"/>
        <w:left w:val="none" w:sz="0" w:space="0" w:color="auto"/>
        <w:bottom w:val="none" w:sz="0" w:space="0" w:color="auto"/>
        <w:right w:val="none" w:sz="0" w:space="0" w:color="auto"/>
      </w:divBdr>
      <w:divsChild>
        <w:div w:id="738096912">
          <w:marLeft w:val="0"/>
          <w:marRight w:val="0"/>
          <w:marTop w:val="0"/>
          <w:marBottom w:val="0"/>
          <w:divBdr>
            <w:top w:val="none" w:sz="0" w:space="0" w:color="auto"/>
            <w:left w:val="none" w:sz="0" w:space="0" w:color="auto"/>
            <w:bottom w:val="none" w:sz="0" w:space="0" w:color="auto"/>
            <w:right w:val="none" w:sz="0" w:space="0" w:color="auto"/>
          </w:divBdr>
          <w:divsChild>
            <w:div w:id="536628607">
              <w:marLeft w:val="0"/>
              <w:marRight w:val="0"/>
              <w:marTop w:val="0"/>
              <w:marBottom w:val="0"/>
              <w:divBdr>
                <w:top w:val="none" w:sz="0" w:space="0" w:color="auto"/>
                <w:left w:val="none" w:sz="0" w:space="0" w:color="auto"/>
                <w:bottom w:val="none" w:sz="0" w:space="0" w:color="auto"/>
                <w:right w:val="none" w:sz="0" w:space="0" w:color="auto"/>
              </w:divBdr>
              <w:divsChild>
                <w:div w:id="248387913">
                  <w:marLeft w:val="0"/>
                  <w:marRight w:val="0"/>
                  <w:marTop w:val="0"/>
                  <w:marBottom w:val="0"/>
                  <w:divBdr>
                    <w:top w:val="none" w:sz="0" w:space="0" w:color="auto"/>
                    <w:left w:val="none" w:sz="0" w:space="0" w:color="auto"/>
                    <w:bottom w:val="none" w:sz="0" w:space="0" w:color="auto"/>
                    <w:right w:val="none" w:sz="0" w:space="0" w:color="auto"/>
                  </w:divBdr>
                  <w:divsChild>
                    <w:div w:id="1529684077">
                      <w:marLeft w:val="0"/>
                      <w:marRight w:val="0"/>
                      <w:marTop w:val="0"/>
                      <w:marBottom w:val="0"/>
                      <w:divBdr>
                        <w:top w:val="none" w:sz="0" w:space="0" w:color="auto"/>
                        <w:left w:val="none" w:sz="0" w:space="0" w:color="auto"/>
                        <w:bottom w:val="none" w:sz="0" w:space="0" w:color="auto"/>
                        <w:right w:val="none" w:sz="0" w:space="0" w:color="auto"/>
                      </w:divBdr>
                      <w:divsChild>
                        <w:div w:id="1601447941">
                          <w:marLeft w:val="0"/>
                          <w:marRight w:val="0"/>
                          <w:marTop w:val="0"/>
                          <w:marBottom w:val="0"/>
                          <w:divBdr>
                            <w:top w:val="none" w:sz="0" w:space="0" w:color="auto"/>
                            <w:left w:val="none" w:sz="0" w:space="0" w:color="auto"/>
                            <w:bottom w:val="none" w:sz="0" w:space="0" w:color="auto"/>
                            <w:right w:val="none" w:sz="0" w:space="0" w:color="auto"/>
                          </w:divBdr>
                          <w:divsChild>
                            <w:div w:id="20834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744644">
      <w:bodyDiv w:val="1"/>
      <w:marLeft w:val="0"/>
      <w:marRight w:val="0"/>
      <w:marTop w:val="0"/>
      <w:marBottom w:val="0"/>
      <w:divBdr>
        <w:top w:val="none" w:sz="0" w:space="0" w:color="auto"/>
        <w:left w:val="none" w:sz="0" w:space="0" w:color="auto"/>
        <w:bottom w:val="none" w:sz="0" w:space="0" w:color="auto"/>
        <w:right w:val="none" w:sz="0" w:space="0" w:color="auto"/>
      </w:divBdr>
    </w:div>
    <w:div w:id="1609118574">
      <w:bodyDiv w:val="1"/>
      <w:marLeft w:val="0"/>
      <w:marRight w:val="0"/>
      <w:marTop w:val="0"/>
      <w:marBottom w:val="0"/>
      <w:divBdr>
        <w:top w:val="none" w:sz="0" w:space="0" w:color="auto"/>
        <w:left w:val="none" w:sz="0" w:space="0" w:color="auto"/>
        <w:bottom w:val="none" w:sz="0" w:space="0" w:color="auto"/>
        <w:right w:val="none" w:sz="0" w:space="0" w:color="auto"/>
      </w:divBdr>
      <w:divsChild>
        <w:div w:id="112868175">
          <w:marLeft w:val="0"/>
          <w:marRight w:val="0"/>
          <w:marTop w:val="0"/>
          <w:marBottom w:val="0"/>
          <w:divBdr>
            <w:top w:val="none" w:sz="0" w:space="0" w:color="auto"/>
            <w:left w:val="none" w:sz="0" w:space="0" w:color="auto"/>
            <w:bottom w:val="none" w:sz="0" w:space="0" w:color="auto"/>
            <w:right w:val="none" w:sz="0" w:space="0" w:color="auto"/>
          </w:divBdr>
          <w:divsChild>
            <w:div w:id="1939018583">
              <w:marLeft w:val="0"/>
              <w:marRight w:val="0"/>
              <w:marTop w:val="0"/>
              <w:marBottom w:val="0"/>
              <w:divBdr>
                <w:top w:val="none" w:sz="0" w:space="0" w:color="auto"/>
                <w:left w:val="none" w:sz="0" w:space="0" w:color="auto"/>
                <w:bottom w:val="none" w:sz="0" w:space="0" w:color="auto"/>
                <w:right w:val="none" w:sz="0" w:space="0" w:color="auto"/>
              </w:divBdr>
              <w:divsChild>
                <w:div w:id="1044863412">
                  <w:marLeft w:val="0"/>
                  <w:marRight w:val="0"/>
                  <w:marTop w:val="0"/>
                  <w:marBottom w:val="0"/>
                  <w:divBdr>
                    <w:top w:val="none" w:sz="0" w:space="0" w:color="auto"/>
                    <w:left w:val="none" w:sz="0" w:space="0" w:color="auto"/>
                    <w:bottom w:val="none" w:sz="0" w:space="0" w:color="auto"/>
                    <w:right w:val="none" w:sz="0" w:space="0" w:color="auto"/>
                  </w:divBdr>
                  <w:divsChild>
                    <w:div w:id="1531340972">
                      <w:marLeft w:val="0"/>
                      <w:marRight w:val="0"/>
                      <w:marTop w:val="0"/>
                      <w:marBottom w:val="0"/>
                      <w:divBdr>
                        <w:top w:val="none" w:sz="0" w:space="0" w:color="auto"/>
                        <w:left w:val="none" w:sz="0" w:space="0" w:color="auto"/>
                        <w:bottom w:val="none" w:sz="0" w:space="0" w:color="auto"/>
                        <w:right w:val="none" w:sz="0" w:space="0" w:color="auto"/>
                      </w:divBdr>
                      <w:divsChild>
                        <w:div w:id="1183282710">
                          <w:marLeft w:val="0"/>
                          <w:marRight w:val="0"/>
                          <w:marTop w:val="0"/>
                          <w:marBottom w:val="0"/>
                          <w:divBdr>
                            <w:top w:val="none" w:sz="0" w:space="0" w:color="auto"/>
                            <w:left w:val="none" w:sz="0" w:space="0" w:color="auto"/>
                            <w:bottom w:val="none" w:sz="0" w:space="0" w:color="auto"/>
                            <w:right w:val="none" w:sz="0" w:space="0" w:color="auto"/>
                          </w:divBdr>
                          <w:divsChild>
                            <w:div w:id="6178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04544">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54797421">
      <w:bodyDiv w:val="1"/>
      <w:marLeft w:val="0"/>
      <w:marRight w:val="0"/>
      <w:marTop w:val="0"/>
      <w:marBottom w:val="0"/>
      <w:divBdr>
        <w:top w:val="none" w:sz="0" w:space="0" w:color="auto"/>
        <w:left w:val="none" w:sz="0" w:space="0" w:color="auto"/>
        <w:bottom w:val="none" w:sz="0" w:space="0" w:color="auto"/>
        <w:right w:val="none" w:sz="0" w:space="0" w:color="auto"/>
      </w:divBdr>
      <w:divsChild>
        <w:div w:id="162549821">
          <w:marLeft w:val="0"/>
          <w:marRight w:val="0"/>
          <w:marTop w:val="0"/>
          <w:marBottom w:val="0"/>
          <w:divBdr>
            <w:top w:val="none" w:sz="0" w:space="0" w:color="auto"/>
            <w:left w:val="none" w:sz="0" w:space="0" w:color="auto"/>
            <w:bottom w:val="none" w:sz="0" w:space="0" w:color="auto"/>
            <w:right w:val="none" w:sz="0" w:space="0" w:color="auto"/>
          </w:divBdr>
          <w:divsChild>
            <w:div w:id="75631640">
              <w:marLeft w:val="0"/>
              <w:marRight w:val="0"/>
              <w:marTop w:val="0"/>
              <w:marBottom w:val="0"/>
              <w:divBdr>
                <w:top w:val="none" w:sz="0" w:space="0" w:color="auto"/>
                <w:left w:val="none" w:sz="0" w:space="0" w:color="auto"/>
                <w:bottom w:val="none" w:sz="0" w:space="0" w:color="auto"/>
                <w:right w:val="none" w:sz="0" w:space="0" w:color="auto"/>
              </w:divBdr>
              <w:divsChild>
                <w:div w:id="2146197677">
                  <w:marLeft w:val="0"/>
                  <w:marRight w:val="0"/>
                  <w:marTop w:val="0"/>
                  <w:marBottom w:val="0"/>
                  <w:divBdr>
                    <w:top w:val="none" w:sz="0" w:space="0" w:color="auto"/>
                    <w:left w:val="none" w:sz="0" w:space="0" w:color="auto"/>
                    <w:bottom w:val="none" w:sz="0" w:space="0" w:color="auto"/>
                    <w:right w:val="none" w:sz="0" w:space="0" w:color="auto"/>
                  </w:divBdr>
                  <w:divsChild>
                    <w:div w:id="1849173922">
                      <w:marLeft w:val="0"/>
                      <w:marRight w:val="0"/>
                      <w:marTop w:val="0"/>
                      <w:marBottom w:val="0"/>
                      <w:divBdr>
                        <w:top w:val="none" w:sz="0" w:space="0" w:color="auto"/>
                        <w:left w:val="none" w:sz="0" w:space="0" w:color="auto"/>
                        <w:bottom w:val="none" w:sz="0" w:space="0" w:color="auto"/>
                        <w:right w:val="none" w:sz="0" w:space="0" w:color="auto"/>
                      </w:divBdr>
                      <w:divsChild>
                        <w:div w:id="1964266715">
                          <w:marLeft w:val="0"/>
                          <w:marRight w:val="0"/>
                          <w:marTop w:val="0"/>
                          <w:marBottom w:val="0"/>
                          <w:divBdr>
                            <w:top w:val="none" w:sz="0" w:space="0" w:color="auto"/>
                            <w:left w:val="none" w:sz="0" w:space="0" w:color="auto"/>
                            <w:bottom w:val="none" w:sz="0" w:space="0" w:color="auto"/>
                            <w:right w:val="none" w:sz="0" w:space="0" w:color="auto"/>
                          </w:divBdr>
                          <w:divsChild>
                            <w:div w:id="982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904413">
      <w:bodyDiv w:val="1"/>
      <w:marLeft w:val="0"/>
      <w:marRight w:val="0"/>
      <w:marTop w:val="0"/>
      <w:marBottom w:val="0"/>
      <w:divBdr>
        <w:top w:val="none" w:sz="0" w:space="0" w:color="auto"/>
        <w:left w:val="none" w:sz="0" w:space="0" w:color="auto"/>
        <w:bottom w:val="none" w:sz="0" w:space="0" w:color="auto"/>
        <w:right w:val="none" w:sz="0" w:space="0" w:color="auto"/>
      </w:divBdr>
      <w:divsChild>
        <w:div w:id="414323913">
          <w:marLeft w:val="0"/>
          <w:marRight w:val="0"/>
          <w:marTop w:val="0"/>
          <w:marBottom w:val="0"/>
          <w:divBdr>
            <w:top w:val="none" w:sz="0" w:space="0" w:color="auto"/>
            <w:left w:val="none" w:sz="0" w:space="0" w:color="auto"/>
            <w:bottom w:val="none" w:sz="0" w:space="0" w:color="auto"/>
            <w:right w:val="none" w:sz="0" w:space="0" w:color="auto"/>
          </w:divBdr>
          <w:divsChild>
            <w:div w:id="58283358">
              <w:marLeft w:val="0"/>
              <w:marRight w:val="0"/>
              <w:marTop w:val="0"/>
              <w:marBottom w:val="0"/>
              <w:divBdr>
                <w:top w:val="none" w:sz="0" w:space="0" w:color="auto"/>
                <w:left w:val="none" w:sz="0" w:space="0" w:color="auto"/>
                <w:bottom w:val="none" w:sz="0" w:space="0" w:color="auto"/>
                <w:right w:val="none" w:sz="0" w:space="0" w:color="auto"/>
              </w:divBdr>
              <w:divsChild>
                <w:div w:id="1604413641">
                  <w:marLeft w:val="0"/>
                  <w:marRight w:val="0"/>
                  <w:marTop w:val="0"/>
                  <w:marBottom w:val="0"/>
                  <w:divBdr>
                    <w:top w:val="none" w:sz="0" w:space="0" w:color="auto"/>
                    <w:left w:val="none" w:sz="0" w:space="0" w:color="auto"/>
                    <w:bottom w:val="none" w:sz="0" w:space="0" w:color="auto"/>
                    <w:right w:val="none" w:sz="0" w:space="0" w:color="auto"/>
                  </w:divBdr>
                  <w:divsChild>
                    <w:div w:id="383410052">
                      <w:marLeft w:val="0"/>
                      <w:marRight w:val="0"/>
                      <w:marTop w:val="0"/>
                      <w:marBottom w:val="0"/>
                      <w:divBdr>
                        <w:top w:val="none" w:sz="0" w:space="0" w:color="auto"/>
                        <w:left w:val="none" w:sz="0" w:space="0" w:color="auto"/>
                        <w:bottom w:val="none" w:sz="0" w:space="0" w:color="auto"/>
                        <w:right w:val="none" w:sz="0" w:space="0" w:color="auto"/>
                      </w:divBdr>
                      <w:divsChild>
                        <w:div w:id="1833448222">
                          <w:marLeft w:val="0"/>
                          <w:marRight w:val="0"/>
                          <w:marTop w:val="0"/>
                          <w:marBottom w:val="0"/>
                          <w:divBdr>
                            <w:top w:val="none" w:sz="0" w:space="0" w:color="auto"/>
                            <w:left w:val="none" w:sz="0" w:space="0" w:color="auto"/>
                            <w:bottom w:val="none" w:sz="0" w:space="0" w:color="auto"/>
                            <w:right w:val="none" w:sz="0" w:space="0" w:color="auto"/>
                          </w:divBdr>
                          <w:divsChild>
                            <w:div w:id="7833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882027">
      <w:bodyDiv w:val="1"/>
      <w:marLeft w:val="0"/>
      <w:marRight w:val="0"/>
      <w:marTop w:val="0"/>
      <w:marBottom w:val="0"/>
      <w:divBdr>
        <w:top w:val="none" w:sz="0" w:space="0" w:color="auto"/>
        <w:left w:val="none" w:sz="0" w:space="0" w:color="auto"/>
        <w:bottom w:val="none" w:sz="0" w:space="0" w:color="auto"/>
        <w:right w:val="none" w:sz="0" w:space="0" w:color="auto"/>
      </w:divBdr>
      <w:divsChild>
        <w:div w:id="929436836">
          <w:marLeft w:val="0"/>
          <w:marRight w:val="0"/>
          <w:marTop w:val="0"/>
          <w:marBottom w:val="0"/>
          <w:divBdr>
            <w:top w:val="none" w:sz="0" w:space="0" w:color="auto"/>
            <w:left w:val="none" w:sz="0" w:space="0" w:color="auto"/>
            <w:bottom w:val="none" w:sz="0" w:space="0" w:color="auto"/>
            <w:right w:val="none" w:sz="0" w:space="0" w:color="auto"/>
          </w:divBdr>
          <w:divsChild>
            <w:div w:id="2060398854">
              <w:marLeft w:val="0"/>
              <w:marRight w:val="0"/>
              <w:marTop w:val="0"/>
              <w:marBottom w:val="0"/>
              <w:divBdr>
                <w:top w:val="none" w:sz="0" w:space="0" w:color="auto"/>
                <w:left w:val="none" w:sz="0" w:space="0" w:color="auto"/>
                <w:bottom w:val="none" w:sz="0" w:space="0" w:color="auto"/>
                <w:right w:val="none" w:sz="0" w:space="0" w:color="auto"/>
              </w:divBdr>
              <w:divsChild>
                <w:div w:id="848719629">
                  <w:marLeft w:val="0"/>
                  <w:marRight w:val="0"/>
                  <w:marTop w:val="0"/>
                  <w:marBottom w:val="0"/>
                  <w:divBdr>
                    <w:top w:val="none" w:sz="0" w:space="0" w:color="auto"/>
                    <w:left w:val="none" w:sz="0" w:space="0" w:color="auto"/>
                    <w:bottom w:val="none" w:sz="0" w:space="0" w:color="auto"/>
                    <w:right w:val="none" w:sz="0" w:space="0" w:color="auto"/>
                  </w:divBdr>
                  <w:divsChild>
                    <w:div w:id="834344309">
                      <w:marLeft w:val="0"/>
                      <w:marRight w:val="0"/>
                      <w:marTop w:val="0"/>
                      <w:marBottom w:val="0"/>
                      <w:divBdr>
                        <w:top w:val="none" w:sz="0" w:space="0" w:color="auto"/>
                        <w:left w:val="none" w:sz="0" w:space="0" w:color="auto"/>
                        <w:bottom w:val="none" w:sz="0" w:space="0" w:color="auto"/>
                        <w:right w:val="none" w:sz="0" w:space="0" w:color="auto"/>
                      </w:divBdr>
                      <w:divsChild>
                        <w:div w:id="417100489">
                          <w:marLeft w:val="0"/>
                          <w:marRight w:val="0"/>
                          <w:marTop w:val="0"/>
                          <w:marBottom w:val="0"/>
                          <w:divBdr>
                            <w:top w:val="none" w:sz="0" w:space="0" w:color="auto"/>
                            <w:left w:val="none" w:sz="0" w:space="0" w:color="auto"/>
                            <w:bottom w:val="none" w:sz="0" w:space="0" w:color="auto"/>
                            <w:right w:val="none" w:sz="0" w:space="0" w:color="auto"/>
                          </w:divBdr>
                          <w:divsChild>
                            <w:div w:id="16568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995746">
      <w:bodyDiv w:val="1"/>
      <w:marLeft w:val="0"/>
      <w:marRight w:val="0"/>
      <w:marTop w:val="0"/>
      <w:marBottom w:val="0"/>
      <w:divBdr>
        <w:top w:val="none" w:sz="0" w:space="0" w:color="auto"/>
        <w:left w:val="none" w:sz="0" w:space="0" w:color="auto"/>
        <w:bottom w:val="none" w:sz="0" w:space="0" w:color="auto"/>
        <w:right w:val="none" w:sz="0" w:space="0" w:color="auto"/>
      </w:divBdr>
      <w:divsChild>
        <w:div w:id="576137175">
          <w:marLeft w:val="0"/>
          <w:marRight w:val="0"/>
          <w:marTop w:val="0"/>
          <w:marBottom w:val="0"/>
          <w:divBdr>
            <w:top w:val="none" w:sz="0" w:space="0" w:color="auto"/>
            <w:left w:val="none" w:sz="0" w:space="0" w:color="auto"/>
            <w:bottom w:val="none" w:sz="0" w:space="0" w:color="auto"/>
            <w:right w:val="none" w:sz="0" w:space="0" w:color="auto"/>
          </w:divBdr>
          <w:divsChild>
            <w:div w:id="2020963827">
              <w:marLeft w:val="0"/>
              <w:marRight w:val="0"/>
              <w:marTop w:val="0"/>
              <w:marBottom w:val="0"/>
              <w:divBdr>
                <w:top w:val="none" w:sz="0" w:space="0" w:color="auto"/>
                <w:left w:val="none" w:sz="0" w:space="0" w:color="auto"/>
                <w:bottom w:val="none" w:sz="0" w:space="0" w:color="auto"/>
                <w:right w:val="none" w:sz="0" w:space="0" w:color="auto"/>
              </w:divBdr>
              <w:divsChild>
                <w:div w:id="727732072">
                  <w:marLeft w:val="0"/>
                  <w:marRight w:val="0"/>
                  <w:marTop w:val="0"/>
                  <w:marBottom w:val="0"/>
                  <w:divBdr>
                    <w:top w:val="none" w:sz="0" w:space="0" w:color="auto"/>
                    <w:left w:val="none" w:sz="0" w:space="0" w:color="auto"/>
                    <w:bottom w:val="none" w:sz="0" w:space="0" w:color="auto"/>
                    <w:right w:val="none" w:sz="0" w:space="0" w:color="auto"/>
                  </w:divBdr>
                  <w:divsChild>
                    <w:div w:id="1133252860">
                      <w:marLeft w:val="0"/>
                      <w:marRight w:val="0"/>
                      <w:marTop w:val="0"/>
                      <w:marBottom w:val="0"/>
                      <w:divBdr>
                        <w:top w:val="none" w:sz="0" w:space="0" w:color="auto"/>
                        <w:left w:val="none" w:sz="0" w:space="0" w:color="auto"/>
                        <w:bottom w:val="none" w:sz="0" w:space="0" w:color="auto"/>
                        <w:right w:val="none" w:sz="0" w:space="0" w:color="auto"/>
                      </w:divBdr>
                      <w:divsChild>
                        <w:div w:id="611521836">
                          <w:marLeft w:val="0"/>
                          <w:marRight w:val="0"/>
                          <w:marTop w:val="0"/>
                          <w:marBottom w:val="0"/>
                          <w:divBdr>
                            <w:top w:val="none" w:sz="0" w:space="0" w:color="auto"/>
                            <w:left w:val="none" w:sz="0" w:space="0" w:color="auto"/>
                            <w:bottom w:val="none" w:sz="0" w:space="0" w:color="auto"/>
                            <w:right w:val="none" w:sz="0" w:space="0" w:color="auto"/>
                          </w:divBdr>
                          <w:divsChild>
                            <w:div w:id="15196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851469">
      <w:bodyDiv w:val="1"/>
      <w:marLeft w:val="0"/>
      <w:marRight w:val="0"/>
      <w:marTop w:val="0"/>
      <w:marBottom w:val="0"/>
      <w:divBdr>
        <w:top w:val="none" w:sz="0" w:space="0" w:color="auto"/>
        <w:left w:val="none" w:sz="0" w:space="0" w:color="auto"/>
        <w:bottom w:val="none" w:sz="0" w:space="0" w:color="auto"/>
        <w:right w:val="none" w:sz="0" w:space="0" w:color="auto"/>
      </w:divBdr>
      <w:divsChild>
        <w:div w:id="9532070">
          <w:marLeft w:val="0"/>
          <w:marRight w:val="0"/>
          <w:marTop w:val="0"/>
          <w:marBottom w:val="0"/>
          <w:divBdr>
            <w:top w:val="none" w:sz="0" w:space="0" w:color="auto"/>
            <w:left w:val="none" w:sz="0" w:space="0" w:color="auto"/>
            <w:bottom w:val="none" w:sz="0" w:space="0" w:color="auto"/>
            <w:right w:val="none" w:sz="0" w:space="0" w:color="auto"/>
          </w:divBdr>
          <w:divsChild>
            <w:div w:id="598411211">
              <w:marLeft w:val="0"/>
              <w:marRight w:val="0"/>
              <w:marTop w:val="0"/>
              <w:marBottom w:val="0"/>
              <w:divBdr>
                <w:top w:val="none" w:sz="0" w:space="0" w:color="auto"/>
                <w:left w:val="none" w:sz="0" w:space="0" w:color="auto"/>
                <w:bottom w:val="none" w:sz="0" w:space="0" w:color="auto"/>
                <w:right w:val="none" w:sz="0" w:space="0" w:color="auto"/>
              </w:divBdr>
              <w:divsChild>
                <w:div w:id="273251701">
                  <w:marLeft w:val="0"/>
                  <w:marRight w:val="0"/>
                  <w:marTop w:val="0"/>
                  <w:marBottom w:val="0"/>
                  <w:divBdr>
                    <w:top w:val="none" w:sz="0" w:space="0" w:color="auto"/>
                    <w:left w:val="none" w:sz="0" w:space="0" w:color="auto"/>
                    <w:bottom w:val="none" w:sz="0" w:space="0" w:color="auto"/>
                    <w:right w:val="none" w:sz="0" w:space="0" w:color="auto"/>
                  </w:divBdr>
                  <w:divsChild>
                    <w:div w:id="676881912">
                      <w:marLeft w:val="0"/>
                      <w:marRight w:val="0"/>
                      <w:marTop w:val="0"/>
                      <w:marBottom w:val="0"/>
                      <w:divBdr>
                        <w:top w:val="none" w:sz="0" w:space="0" w:color="auto"/>
                        <w:left w:val="none" w:sz="0" w:space="0" w:color="auto"/>
                        <w:bottom w:val="none" w:sz="0" w:space="0" w:color="auto"/>
                        <w:right w:val="none" w:sz="0" w:space="0" w:color="auto"/>
                      </w:divBdr>
                      <w:divsChild>
                        <w:div w:id="1267812221">
                          <w:marLeft w:val="0"/>
                          <w:marRight w:val="0"/>
                          <w:marTop w:val="0"/>
                          <w:marBottom w:val="0"/>
                          <w:divBdr>
                            <w:top w:val="none" w:sz="0" w:space="0" w:color="auto"/>
                            <w:left w:val="none" w:sz="0" w:space="0" w:color="auto"/>
                            <w:bottom w:val="none" w:sz="0" w:space="0" w:color="auto"/>
                            <w:right w:val="none" w:sz="0" w:space="0" w:color="auto"/>
                          </w:divBdr>
                          <w:divsChild>
                            <w:div w:id="6744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010916">
      <w:bodyDiv w:val="1"/>
      <w:marLeft w:val="0"/>
      <w:marRight w:val="0"/>
      <w:marTop w:val="0"/>
      <w:marBottom w:val="0"/>
      <w:divBdr>
        <w:top w:val="none" w:sz="0" w:space="0" w:color="auto"/>
        <w:left w:val="none" w:sz="0" w:space="0" w:color="auto"/>
        <w:bottom w:val="none" w:sz="0" w:space="0" w:color="auto"/>
        <w:right w:val="none" w:sz="0" w:space="0" w:color="auto"/>
      </w:divBdr>
      <w:divsChild>
        <w:div w:id="1641496256">
          <w:marLeft w:val="0"/>
          <w:marRight w:val="0"/>
          <w:marTop w:val="0"/>
          <w:marBottom w:val="0"/>
          <w:divBdr>
            <w:top w:val="none" w:sz="0" w:space="0" w:color="auto"/>
            <w:left w:val="none" w:sz="0" w:space="0" w:color="auto"/>
            <w:bottom w:val="none" w:sz="0" w:space="0" w:color="auto"/>
            <w:right w:val="none" w:sz="0" w:space="0" w:color="auto"/>
          </w:divBdr>
          <w:divsChild>
            <w:div w:id="1053695574">
              <w:marLeft w:val="0"/>
              <w:marRight w:val="0"/>
              <w:marTop w:val="0"/>
              <w:marBottom w:val="0"/>
              <w:divBdr>
                <w:top w:val="none" w:sz="0" w:space="0" w:color="auto"/>
                <w:left w:val="none" w:sz="0" w:space="0" w:color="auto"/>
                <w:bottom w:val="none" w:sz="0" w:space="0" w:color="auto"/>
                <w:right w:val="none" w:sz="0" w:space="0" w:color="auto"/>
              </w:divBdr>
              <w:divsChild>
                <w:div w:id="573318091">
                  <w:marLeft w:val="0"/>
                  <w:marRight w:val="0"/>
                  <w:marTop w:val="0"/>
                  <w:marBottom w:val="0"/>
                  <w:divBdr>
                    <w:top w:val="none" w:sz="0" w:space="0" w:color="auto"/>
                    <w:left w:val="none" w:sz="0" w:space="0" w:color="auto"/>
                    <w:bottom w:val="none" w:sz="0" w:space="0" w:color="auto"/>
                    <w:right w:val="none" w:sz="0" w:space="0" w:color="auto"/>
                  </w:divBdr>
                  <w:divsChild>
                    <w:div w:id="1889880687">
                      <w:marLeft w:val="0"/>
                      <w:marRight w:val="0"/>
                      <w:marTop w:val="0"/>
                      <w:marBottom w:val="0"/>
                      <w:divBdr>
                        <w:top w:val="none" w:sz="0" w:space="0" w:color="auto"/>
                        <w:left w:val="none" w:sz="0" w:space="0" w:color="auto"/>
                        <w:bottom w:val="none" w:sz="0" w:space="0" w:color="auto"/>
                        <w:right w:val="none" w:sz="0" w:space="0" w:color="auto"/>
                      </w:divBdr>
                      <w:divsChild>
                        <w:div w:id="1036273642">
                          <w:marLeft w:val="0"/>
                          <w:marRight w:val="0"/>
                          <w:marTop w:val="0"/>
                          <w:marBottom w:val="0"/>
                          <w:divBdr>
                            <w:top w:val="none" w:sz="0" w:space="0" w:color="auto"/>
                            <w:left w:val="none" w:sz="0" w:space="0" w:color="auto"/>
                            <w:bottom w:val="none" w:sz="0" w:space="0" w:color="auto"/>
                            <w:right w:val="none" w:sz="0" w:space="0" w:color="auto"/>
                          </w:divBdr>
                          <w:divsChild>
                            <w:div w:id="17816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454951">
      <w:bodyDiv w:val="1"/>
      <w:marLeft w:val="0"/>
      <w:marRight w:val="0"/>
      <w:marTop w:val="0"/>
      <w:marBottom w:val="0"/>
      <w:divBdr>
        <w:top w:val="none" w:sz="0" w:space="0" w:color="auto"/>
        <w:left w:val="none" w:sz="0" w:space="0" w:color="auto"/>
        <w:bottom w:val="none" w:sz="0" w:space="0" w:color="auto"/>
        <w:right w:val="none" w:sz="0" w:space="0" w:color="auto"/>
      </w:divBdr>
      <w:divsChild>
        <w:div w:id="332801666">
          <w:marLeft w:val="0"/>
          <w:marRight w:val="0"/>
          <w:marTop w:val="0"/>
          <w:marBottom w:val="0"/>
          <w:divBdr>
            <w:top w:val="none" w:sz="0" w:space="0" w:color="auto"/>
            <w:left w:val="none" w:sz="0" w:space="0" w:color="auto"/>
            <w:bottom w:val="none" w:sz="0" w:space="0" w:color="auto"/>
            <w:right w:val="none" w:sz="0" w:space="0" w:color="auto"/>
          </w:divBdr>
          <w:divsChild>
            <w:div w:id="967783318">
              <w:marLeft w:val="0"/>
              <w:marRight w:val="0"/>
              <w:marTop w:val="0"/>
              <w:marBottom w:val="0"/>
              <w:divBdr>
                <w:top w:val="none" w:sz="0" w:space="0" w:color="auto"/>
                <w:left w:val="none" w:sz="0" w:space="0" w:color="auto"/>
                <w:bottom w:val="none" w:sz="0" w:space="0" w:color="auto"/>
                <w:right w:val="none" w:sz="0" w:space="0" w:color="auto"/>
              </w:divBdr>
              <w:divsChild>
                <w:div w:id="315693990">
                  <w:marLeft w:val="0"/>
                  <w:marRight w:val="0"/>
                  <w:marTop w:val="0"/>
                  <w:marBottom w:val="0"/>
                  <w:divBdr>
                    <w:top w:val="none" w:sz="0" w:space="0" w:color="auto"/>
                    <w:left w:val="none" w:sz="0" w:space="0" w:color="auto"/>
                    <w:bottom w:val="none" w:sz="0" w:space="0" w:color="auto"/>
                    <w:right w:val="none" w:sz="0" w:space="0" w:color="auto"/>
                  </w:divBdr>
                  <w:divsChild>
                    <w:div w:id="132602570">
                      <w:marLeft w:val="0"/>
                      <w:marRight w:val="0"/>
                      <w:marTop w:val="0"/>
                      <w:marBottom w:val="0"/>
                      <w:divBdr>
                        <w:top w:val="none" w:sz="0" w:space="0" w:color="auto"/>
                        <w:left w:val="none" w:sz="0" w:space="0" w:color="auto"/>
                        <w:bottom w:val="none" w:sz="0" w:space="0" w:color="auto"/>
                        <w:right w:val="none" w:sz="0" w:space="0" w:color="auto"/>
                      </w:divBdr>
                      <w:divsChild>
                        <w:div w:id="245382732">
                          <w:marLeft w:val="0"/>
                          <w:marRight w:val="0"/>
                          <w:marTop w:val="0"/>
                          <w:marBottom w:val="0"/>
                          <w:divBdr>
                            <w:top w:val="none" w:sz="0" w:space="0" w:color="auto"/>
                            <w:left w:val="none" w:sz="0" w:space="0" w:color="auto"/>
                            <w:bottom w:val="none" w:sz="0" w:space="0" w:color="auto"/>
                            <w:right w:val="none" w:sz="0" w:space="0" w:color="auto"/>
                          </w:divBdr>
                          <w:divsChild>
                            <w:div w:id="2449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758959">
      <w:bodyDiv w:val="1"/>
      <w:marLeft w:val="0"/>
      <w:marRight w:val="0"/>
      <w:marTop w:val="0"/>
      <w:marBottom w:val="0"/>
      <w:divBdr>
        <w:top w:val="none" w:sz="0" w:space="0" w:color="auto"/>
        <w:left w:val="none" w:sz="0" w:space="0" w:color="auto"/>
        <w:bottom w:val="none" w:sz="0" w:space="0" w:color="auto"/>
        <w:right w:val="none" w:sz="0" w:space="0" w:color="auto"/>
      </w:divBdr>
      <w:divsChild>
        <w:div w:id="1358391256">
          <w:marLeft w:val="0"/>
          <w:marRight w:val="0"/>
          <w:marTop w:val="0"/>
          <w:marBottom w:val="0"/>
          <w:divBdr>
            <w:top w:val="none" w:sz="0" w:space="0" w:color="auto"/>
            <w:left w:val="none" w:sz="0" w:space="0" w:color="auto"/>
            <w:bottom w:val="none" w:sz="0" w:space="0" w:color="auto"/>
            <w:right w:val="none" w:sz="0" w:space="0" w:color="auto"/>
          </w:divBdr>
          <w:divsChild>
            <w:div w:id="276302477">
              <w:marLeft w:val="0"/>
              <w:marRight w:val="0"/>
              <w:marTop w:val="0"/>
              <w:marBottom w:val="0"/>
              <w:divBdr>
                <w:top w:val="none" w:sz="0" w:space="0" w:color="auto"/>
                <w:left w:val="none" w:sz="0" w:space="0" w:color="auto"/>
                <w:bottom w:val="none" w:sz="0" w:space="0" w:color="auto"/>
                <w:right w:val="none" w:sz="0" w:space="0" w:color="auto"/>
              </w:divBdr>
              <w:divsChild>
                <w:div w:id="658844315">
                  <w:marLeft w:val="0"/>
                  <w:marRight w:val="0"/>
                  <w:marTop w:val="0"/>
                  <w:marBottom w:val="0"/>
                  <w:divBdr>
                    <w:top w:val="none" w:sz="0" w:space="0" w:color="auto"/>
                    <w:left w:val="none" w:sz="0" w:space="0" w:color="auto"/>
                    <w:bottom w:val="none" w:sz="0" w:space="0" w:color="auto"/>
                    <w:right w:val="none" w:sz="0" w:space="0" w:color="auto"/>
                  </w:divBdr>
                  <w:divsChild>
                    <w:div w:id="194003533">
                      <w:marLeft w:val="0"/>
                      <w:marRight w:val="0"/>
                      <w:marTop w:val="0"/>
                      <w:marBottom w:val="0"/>
                      <w:divBdr>
                        <w:top w:val="none" w:sz="0" w:space="0" w:color="auto"/>
                        <w:left w:val="none" w:sz="0" w:space="0" w:color="auto"/>
                        <w:bottom w:val="none" w:sz="0" w:space="0" w:color="auto"/>
                        <w:right w:val="none" w:sz="0" w:space="0" w:color="auto"/>
                      </w:divBdr>
                      <w:divsChild>
                        <w:div w:id="112329175">
                          <w:marLeft w:val="0"/>
                          <w:marRight w:val="0"/>
                          <w:marTop w:val="0"/>
                          <w:marBottom w:val="0"/>
                          <w:divBdr>
                            <w:top w:val="none" w:sz="0" w:space="0" w:color="auto"/>
                            <w:left w:val="none" w:sz="0" w:space="0" w:color="auto"/>
                            <w:bottom w:val="none" w:sz="0" w:space="0" w:color="auto"/>
                            <w:right w:val="none" w:sz="0" w:space="0" w:color="auto"/>
                          </w:divBdr>
                          <w:divsChild>
                            <w:div w:id="137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298096">
      <w:bodyDiv w:val="1"/>
      <w:marLeft w:val="0"/>
      <w:marRight w:val="0"/>
      <w:marTop w:val="0"/>
      <w:marBottom w:val="0"/>
      <w:divBdr>
        <w:top w:val="none" w:sz="0" w:space="0" w:color="auto"/>
        <w:left w:val="none" w:sz="0" w:space="0" w:color="auto"/>
        <w:bottom w:val="none" w:sz="0" w:space="0" w:color="auto"/>
        <w:right w:val="none" w:sz="0" w:space="0" w:color="auto"/>
      </w:divBdr>
    </w:div>
    <w:div w:id="1898541848">
      <w:bodyDiv w:val="1"/>
      <w:marLeft w:val="0"/>
      <w:marRight w:val="0"/>
      <w:marTop w:val="0"/>
      <w:marBottom w:val="0"/>
      <w:divBdr>
        <w:top w:val="none" w:sz="0" w:space="0" w:color="auto"/>
        <w:left w:val="none" w:sz="0" w:space="0" w:color="auto"/>
        <w:bottom w:val="none" w:sz="0" w:space="0" w:color="auto"/>
        <w:right w:val="none" w:sz="0" w:space="0" w:color="auto"/>
      </w:divBdr>
    </w:div>
    <w:div w:id="1912306169">
      <w:bodyDiv w:val="1"/>
      <w:marLeft w:val="0"/>
      <w:marRight w:val="0"/>
      <w:marTop w:val="0"/>
      <w:marBottom w:val="0"/>
      <w:divBdr>
        <w:top w:val="none" w:sz="0" w:space="0" w:color="auto"/>
        <w:left w:val="none" w:sz="0" w:space="0" w:color="auto"/>
        <w:bottom w:val="none" w:sz="0" w:space="0" w:color="auto"/>
        <w:right w:val="none" w:sz="0" w:space="0" w:color="auto"/>
      </w:divBdr>
      <w:divsChild>
        <w:div w:id="2006937337">
          <w:marLeft w:val="0"/>
          <w:marRight w:val="0"/>
          <w:marTop w:val="0"/>
          <w:marBottom w:val="0"/>
          <w:divBdr>
            <w:top w:val="none" w:sz="0" w:space="0" w:color="auto"/>
            <w:left w:val="none" w:sz="0" w:space="0" w:color="auto"/>
            <w:bottom w:val="none" w:sz="0" w:space="0" w:color="auto"/>
            <w:right w:val="none" w:sz="0" w:space="0" w:color="auto"/>
          </w:divBdr>
          <w:divsChild>
            <w:div w:id="1438057912">
              <w:marLeft w:val="0"/>
              <w:marRight w:val="0"/>
              <w:marTop w:val="0"/>
              <w:marBottom w:val="0"/>
              <w:divBdr>
                <w:top w:val="none" w:sz="0" w:space="0" w:color="auto"/>
                <w:left w:val="none" w:sz="0" w:space="0" w:color="auto"/>
                <w:bottom w:val="none" w:sz="0" w:space="0" w:color="auto"/>
                <w:right w:val="none" w:sz="0" w:space="0" w:color="auto"/>
              </w:divBdr>
              <w:divsChild>
                <w:div w:id="3570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272">
      <w:bodyDiv w:val="1"/>
      <w:marLeft w:val="0"/>
      <w:marRight w:val="0"/>
      <w:marTop w:val="0"/>
      <w:marBottom w:val="0"/>
      <w:divBdr>
        <w:top w:val="none" w:sz="0" w:space="0" w:color="auto"/>
        <w:left w:val="none" w:sz="0" w:space="0" w:color="auto"/>
        <w:bottom w:val="none" w:sz="0" w:space="0" w:color="auto"/>
        <w:right w:val="none" w:sz="0" w:space="0" w:color="auto"/>
      </w:divBdr>
    </w:div>
    <w:div w:id="2001959936">
      <w:bodyDiv w:val="1"/>
      <w:marLeft w:val="0"/>
      <w:marRight w:val="0"/>
      <w:marTop w:val="0"/>
      <w:marBottom w:val="0"/>
      <w:divBdr>
        <w:top w:val="none" w:sz="0" w:space="0" w:color="auto"/>
        <w:left w:val="none" w:sz="0" w:space="0" w:color="auto"/>
        <w:bottom w:val="none" w:sz="0" w:space="0" w:color="auto"/>
        <w:right w:val="none" w:sz="0" w:space="0" w:color="auto"/>
      </w:divBdr>
    </w:div>
    <w:div w:id="2037845097">
      <w:bodyDiv w:val="1"/>
      <w:marLeft w:val="0"/>
      <w:marRight w:val="0"/>
      <w:marTop w:val="0"/>
      <w:marBottom w:val="0"/>
      <w:divBdr>
        <w:top w:val="none" w:sz="0" w:space="0" w:color="auto"/>
        <w:left w:val="none" w:sz="0" w:space="0" w:color="auto"/>
        <w:bottom w:val="none" w:sz="0" w:space="0" w:color="auto"/>
        <w:right w:val="none" w:sz="0" w:space="0" w:color="auto"/>
      </w:divBdr>
    </w:div>
    <w:div w:id="2082827875">
      <w:bodyDiv w:val="1"/>
      <w:marLeft w:val="0"/>
      <w:marRight w:val="0"/>
      <w:marTop w:val="0"/>
      <w:marBottom w:val="0"/>
      <w:divBdr>
        <w:top w:val="none" w:sz="0" w:space="0" w:color="auto"/>
        <w:left w:val="none" w:sz="0" w:space="0" w:color="auto"/>
        <w:bottom w:val="none" w:sz="0" w:space="0" w:color="auto"/>
        <w:right w:val="none" w:sz="0" w:space="0" w:color="auto"/>
      </w:divBdr>
      <w:divsChild>
        <w:div w:id="1229151525">
          <w:marLeft w:val="0"/>
          <w:marRight w:val="0"/>
          <w:marTop w:val="0"/>
          <w:marBottom w:val="0"/>
          <w:divBdr>
            <w:top w:val="none" w:sz="0" w:space="0" w:color="auto"/>
            <w:left w:val="none" w:sz="0" w:space="0" w:color="auto"/>
            <w:bottom w:val="none" w:sz="0" w:space="0" w:color="auto"/>
            <w:right w:val="none" w:sz="0" w:space="0" w:color="auto"/>
          </w:divBdr>
          <w:divsChild>
            <w:div w:id="1080563825">
              <w:marLeft w:val="0"/>
              <w:marRight w:val="0"/>
              <w:marTop w:val="0"/>
              <w:marBottom w:val="0"/>
              <w:divBdr>
                <w:top w:val="none" w:sz="0" w:space="0" w:color="auto"/>
                <w:left w:val="none" w:sz="0" w:space="0" w:color="auto"/>
                <w:bottom w:val="none" w:sz="0" w:space="0" w:color="auto"/>
                <w:right w:val="none" w:sz="0" w:space="0" w:color="auto"/>
              </w:divBdr>
              <w:divsChild>
                <w:div w:id="8331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udoc.echr.coe.int/eng?i=001-207418" TargetMode="External"/><Relationship Id="rId671" Type="http://schemas.openxmlformats.org/officeDocument/2006/relationships/hyperlink" Target="http://hudoc.echr.coe.int/eng?i=001-57432" TargetMode="External"/><Relationship Id="rId769" Type="http://schemas.openxmlformats.org/officeDocument/2006/relationships/hyperlink" Target="http://hudoc.echr.coe.int/eng?i=001-57522" TargetMode="External"/><Relationship Id="rId21" Type="http://schemas.openxmlformats.org/officeDocument/2006/relationships/hyperlink" Target="https://hudoc.echr.coe.int/eng" TargetMode="External"/><Relationship Id="rId324" Type="http://schemas.openxmlformats.org/officeDocument/2006/relationships/hyperlink" Target="http://hudoc.echr.coe.int/eng?i=001-86635" TargetMode="External"/><Relationship Id="rId531" Type="http://schemas.openxmlformats.org/officeDocument/2006/relationships/hyperlink" Target="http://hudoc.echr.coe.int/eng?i=001-142192" TargetMode="External"/><Relationship Id="rId629" Type="http://schemas.openxmlformats.org/officeDocument/2006/relationships/hyperlink" Target="http://hudoc.echr.coe.int/eng?i=001-77972" TargetMode="External"/><Relationship Id="rId170" Type="http://schemas.openxmlformats.org/officeDocument/2006/relationships/hyperlink" Target="http://hudoc.echr.coe.int/eng?i=001-110263" TargetMode="External"/><Relationship Id="rId836" Type="http://schemas.openxmlformats.org/officeDocument/2006/relationships/hyperlink" Target="http://hudoc.echr.coe.int/eng?i=001-107703" TargetMode="External"/><Relationship Id="rId268" Type="http://schemas.openxmlformats.org/officeDocument/2006/relationships/hyperlink" Target="http://hudoc.echr.coe.int/eng?i=001-159203" TargetMode="External"/><Relationship Id="rId475" Type="http://schemas.openxmlformats.org/officeDocument/2006/relationships/hyperlink" Target="http://hudoc.echr.coe.int/eng?i=001-85589" TargetMode="External"/><Relationship Id="rId682" Type="http://schemas.openxmlformats.org/officeDocument/2006/relationships/hyperlink" Target="http://hudoc.echr.coe.int/eng?i=001-81728" TargetMode="External"/><Relationship Id="rId903" Type="http://schemas.openxmlformats.org/officeDocument/2006/relationships/footer" Target="footer2.xml"/><Relationship Id="rId32" Type="http://schemas.openxmlformats.org/officeDocument/2006/relationships/hyperlink" Target="https://hudoc.echr.coe.int/eng" TargetMode="External"/><Relationship Id="rId128" Type="http://schemas.openxmlformats.org/officeDocument/2006/relationships/hyperlink" Target="http://hudoc.echr.coe.int/eng?i=001-80464" TargetMode="External"/><Relationship Id="rId335" Type="http://schemas.openxmlformats.org/officeDocument/2006/relationships/hyperlink" Target="http://hudoc.echr.coe.int/eng?i=001-94793" TargetMode="External"/><Relationship Id="rId542" Type="http://schemas.openxmlformats.org/officeDocument/2006/relationships/hyperlink" Target="http://hudoc.echr.coe.int/eng?i=001-154735" TargetMode="External"/><Relationship Id="rId181" Type="http://schemas.openxmlformats.org/officeDocument/2006/relationships/hyperlink" Target="http://hudoc.echr.coe.int/eng?i=001-187605" TargetMode="External"/><Relationship Id="rId402" Type="http://schemas.openxmlformats.org/officeDocument/2006/relationships/hyperlink" Target="http://hudoc.echr.coe.int/eng?i=001-106893" TargetMode="External"/><Relationship Id="rId847" Type="http://schemas.openxmlformats.org/officeDocument/2006/relationships/hyperlink" Target="http://hudoc.echr.coe.int/eng?i=001-172684" TargetMode="External"/><Relationship Id="rId279" Type="http://schemas.openxmlformats.org/officeDocument/2006/relationships/hyperlink" Target="http://hudoc.echr.coe.int/eng?i=001-142969" TargetMode="External"/><Relationship Id="rId486" Type="http://schemas.openxmlformats.org/officeDocument/2006/relationships/hyperlink" Target="http://hudoc.echr.coe.int/eng?i=001-142196" TargetMode="External"/><Relationship Id="rId693" Type="http://schemas.openxmlformats.org/officeDocument/2006/relationships/hyperlink" Target="https://hudoc.echr.coe.int/eng?i=001-220951" TargetMode="External"/><Relationship Id="rId707" Type="http://schemas.openxmlformats.org/officeDocument/2006/relationships/hyperlink" Target="http://hudoc.echr.coe.int/eng?i=001-164991" TargetMode="External"/><Relationship Id="rId43" Type="http://schemas.openxmlformats.org/officeDocument/2006/relationships/hyperlink" Target="http://hudoc.echr.coe.int/eng?i=001-162200" TargetMode="External"/><Relationship Id="rId139" Type="http://schemas.openxmlformats.org/officeDocument/2006/relationships/hyperlink" Target="http://hudoc.echr.coe.int/eng?i=001-101257" TargetMode="External"/><Relationship Id="rId346" Type="http://schemas.openxmlformats.org/officeDocument/2006/relationships/hyperlink" Target="http://hudoc.echr.coe.int/eng?i=001-3678" TargetMode="External"/><Relationship Id="rId553" Type="http://schemas.openxmlformats.org/officeDocument/2006/relationships/hyperlink" Target="https://hudoc.echr.coe.int/eng?i=001-213908" TargetMode="External"/><Relationship Id="rId760" Type="http://schemas.openxmlformats.org/officeDocument/2006/relationships/hyperlink" Target="http://hudoc.echr.coe.int/eng?i=001-161952" TargetMode="External"/><Relationship Id="rId192" Type="http://schemas.openxmlformats.org/officeDocument/2006/relationships/hyperlink" Target="http://hudoc.echr.coe.int/eng?i=001-187605" TargetMode="External"/><Relationship Id="rId206" Type="http://schemas.openxmlformats.org/officeDocument/2006/relationships/hyperlink" Target="http://hudoc.echr.coe.int/eng?i=001-72346" TargetMode="External"/><Relationship Id="rId413" Type="http://schemas.openxmlformats.org/officeDocument/2006/relationships/hyperlink" Target="http://hudoc.echr.coe.int/eng?i=001-204123" TargetMode="External"/><Relationship Id="rId858" Type="http://schemas.openxmlformats.org/officeDocument/2006/relationships/hyperlink" Target="http://hudoc.echr.coe.int/eng?i=001-22414" TargetMode="External"/><Relationship Id="rId497" Type="http://schemas.openxmlformats.org/officeDocument/2006/relationships/hyperlink" Target="http://hudoc.echr.coe.int/eng?i=001-60554" TargetMode="External"/><Relationship Id="rId620" Type="http://schemas.openxmlformats.org/officeDocument/2006/relationships/hyperlink" Target="http://hudoc.echr.coe.int/eng?i=001-89558" TargetMode="External"/><Relationship Id="rId718" Type="http://schemas.openxmlformats.org/officeDocument/2006/relationships/hyperlink" Target="http://hudoc.echr.coe.int/eng?i=001-22540" TargetMode="External"/><Relationship Id="rId357" Type="http://schemas.openxmlformats.org/officeDocument/2006/relationships/hyperlink" Target="http://hudoc.echr.coe.int/eng?i=001-98443" TargetMode="External"/><Relationship Id="rId54" Type="http://schemas.openxmlformats.org/officeDocument/2006/relationships/hyperlink" Target="http://hudoc.echr.coe.int/eng?i=001-202522" TargetMode="External"/><Relationship Id="rId217" Type="http://schemas.openxmlformats.org/officeDocument/2006/relationships/hyperlink" Target="http://hudoc.echr.coe.int/eng?i=001-122062" TargetMode="External"/><Relationship Id="rId564" Type="http://schemas.openxmlformats.org/officeDocument/2006/relationships/hyperlink" Target="http://hudoc.echr.coe.int/eng?i=001-89558" TargetMode="External"/><Relationship Id="rId771" Type="http://schemas.openxmlformats.org/officeDocument/2006/relationships/hyperlink" Target="http://hudoc.echr.coe.int/eng?i=001-78390" TargetMode="External"/><Relationship Id="rId869" Type="http://schemas.openxmlformats.org/officeDocument/2006/relationships/hyperlink" Target="http://hudoc.echr.coe.int/eng?i=001-22148" TargetMode="External"/><Relationship Id="rId424" Type="http://schemas.openxmlformats.org/officeDocument/2006/relationships/hyperlink" Target="http://hudoc.echr.coe.int/eng?i=001-93475" TargetMode="External"/><Relationship Id="rId631" Type="http://schemas.openxmlformats.org/officeDocument/2006/relationships/hyperlink" Target="http://hudoc.echr.coe.int/eng?i=001-58262" TargetMode="External"/><Relationship Id="rId729" Type="http://schemas.openxmlformats.org/officeDocument/2006/relationships/hyperlink" Target="http://hudoc.echr.coe.int/eng?i=001-59623" TargetMode="External"/><Relationship Id="rId270" Type="http://schemas.openxmlformats.org/officeDocument/2006/relationships/hyperlink" Target="http://hudoc.echr.coe.int/eng?i=001-83297" TargetMode="External"/><Relationship Id="rId65" Type="http://schemas.openxmlformats.org/officeDocument/2006/relationships/hyperlink" Target="http://hudoc.echr.coe.int/eng?i=001-175668" TargetMode="External"/><Relationship Id="rId130" Type="http://schemas.openxmlformats.org/officeDocument/2006/relationships/hyperlink" Target="http://hudoc.echr.coe.int/eng?i=001-206266" TargetMode="External"/><Relationship Id="rId368" Type="http://schemas.openxmlformats.org/officeDocument/2006/relationships/hyperlink" Target="http://hudoc.echr.coe.int/eng?i=001-59622" TargetMode="External"/><Relationship Id="rId575" Type="http://schemas.openxmlformats.org/officeDocument/2006/relationships/hyperlink" Target="http://hudoc.echr.coe.int/eng?i=001-92267" TargetMode="External"/><Relationship Id="rId782" Type="http://schemas.openxmlformats.org/officeDocument/2006/relationships/hyperlink" Target="http://hudoc.echr.coe.int/eng?i=001-80395" TargetMode="External"/><Relationship Id="rId228" Type="http://schemas.openxmlformats.org/officeDocument/2006/relationships/hyperlink" Target="http://hudoc.echr.coe.int/eng?i=001-78330" TargetMode="External"/><Relationship Id="rId435" Type="http://schemas.openxmlformats.org/officeDocument/2006/relationships/hyperlink" Target="http://hudoc.echr.coe.int/eng?i=001-68175" TargetMode="External"/><Relationship Id="rId642" Type="http://schemas.openxmlformats.org/officeDocument/2006/relationships/hyperlink" Target="https://hudoc.echr.coe.int/fre" TargetMode="External"/><Relationship Id="rId281" Type="http://schemas.openxmlformats.org/officeDocument/2006/relationships/hyperlink" Target="http://hudoc.echr.coe.int/eng?i=001-202522" TargetMode="External"/><Relationship Id="rId502" Type="http://schemas.openxmlformats.org/officeDocument/2006/relationships/hyperlink" Target="http://hudoc.echr.coe.int/eng?i=001-70720" TargetMode="External"/><Relationship Id="rId76" Type="http://schemas.openxmlformats.org/officeDocument/2006/relationships/hyperlink" Target="http://hudoc.echr.coe.int/eng?i=001-158200" TargetMode="External"/><Relationship Id="rId141" Type="http://schemas.openxmlformats.org/officeDocument/2006/relationships/hyperlink" Target="http://hudoc.echr.coe.int/eng?i=001-112446" TargetMode="External"/><Relationship Id="rId379" Type="http://schemas.openxmlformats.org/officeDocument/2006/relationships/hyperlink" Target="http://hudoc.echr.coe.int/eng?i=001-61637" TargetMode="External"/><Relationship Id="rId586" Type="http://schemas.openxmlformats.org/officeDocument/2006/relationships/hyperlink" Target="http://hudoc.echr.coe.int/eng?i=001-22540" TargetMode="External"/><Relationship Id="rId793" Type="http://schemas.openxmlformats.org/officeDocument/2006/relationships/hyperlink" Target="http://hudoc.echr.coe.int/eng?i=001-57435" TargetMode="External"/><Relationship Id="rId807" Type="http://schemas.openxmlformats.org/officeDocument/2006/relationships/hyperlink" Target="http://hudoc.echr.coe.int/eng?i=001-178890" TargetMode="External"/><Relationship Id="rId7" Type="http://schemas.openxmlformats.org/officeDocument/2006/relationships/endnotes" Target="endnotes.xml"/><Relationship Id="rId239" Type="http://schemas.openxmlformats.org/officeDocument/2006/relationships/hyperlink" Target="http://hudoc.echr.coe.int/eng?i=001-144673" TargetMode="External"/><Relationship Id="rId446" Type="http://schemas.openxmlformats.org/officeDocument/2006/relationships/hyperlink" Target="https://hudoc.echr.coe.int/eng?i=001-211785" TargetMode="External"/><Relationship Id="rId653" Type="http://schemas.openxmlformats.org/officeDocument/2006/relationships/hyperlink" Target="http://hudoc.echr.coe.int/eng?i=001-119244" TargetMode="External"/><Relationship Id="rId292" Type="http://schemas.openxmlformats.org/officeDocument/2006/relationships/hyperlink" Target="http://hudoc.echr.coe.int/eng?i=001-111532" TargetMode="External"/><Relationship Id="rId306" Type="http://schemas.openxmlformats.org/officeDocument/2006/relationships/hyperlink" Target="http://hudoc.echr.coe.int/eng?i=001-5220" TargetMode="External"/><Relationship Id="rId860" Type="http://schemas.openxmlformats.org/officeDocument/2006/relationships/hyperlink" Target="http://hudoc.echr.coe.int/eng?i=001-72093" TargetMode="External"/><Relationship Id="rId87" Type="http://schemas.openxmlformats.org/officeDocument/2006/relationships/hyperlink" Target="https://hudoc.echr.coe.int/eng?i=001-219484" TargetMode="External"/><Relationship Id="rId513" Type="http://schemas.openxmlformats.org/officeDocument/2006/relationships/hyperlink" Target="http://hudoc.echr.coe.int/eng?i=001-72521" TargetMode="External"/><Relationship Id="rId597" Type="http://schemas.openxmlformats.org/officeDocument/2006/relationships/hyperlink" Target="http://hudoc.echr.coe.int/eng?i=001-142192" TargetMode="External"/><Relationship Id="rId720" Type="http://schemas.openxmlformats.org/officeDocument/2006/relationships/hyperlink" Target="http://hudoc.echr.coe.int/eng?i=001-193593" TargetMode="External"/><Relationship Id="rId818" Type="http://schemas.openxmlformats.org/officeDocument/2006/relationships/hyperlink" Target="http://hudoc.echr.coe.int/eng?i=001-57558" TargetMode="External"/><Relationship Id="rId152" Type="http://schemas.openxmlformats.org/officeDocument/2006/relationships/hyperlink" Target="http://hudoc.echr.coe.int/eng?i=001-60953" TargetMode="External"/><Relationship Id="rId457" Type="http://schemas.openxmlformats.org/officeDocument/2006/relationships/hyperlink" Target="http://hudoc.echr.coe.int/eng?i=001-162211" TargetMode="External"/><Relationship Id="rId664" Type="http://schemas.openxmlformats.org/officeDocument/2006/relationships/hyperlink" Target="http://hudoc.echr.coe.int/eng?i=001-204822" TargetMode="External"/><Relationship Id="rId871" Type="http://schemas.openxmlformats.org/officeDocument/2006/relationships/hyperlink" Target="http://hudoc.echr.coe.int/eng?i=001-163461" TargetMode="External"/><Relationship Id="rId14" Type="http://schemas.openxmlformats.org/officeDocument/2006/relationships/hyperlink" Target="http://hudoc.echr.coe.int/eng?i=001-109868" TargetMode="External"/><Relationship Id="rId317" Type="http://schemas.openxmlformats.org/officeDocument/2006/relationships/hyperlink" Target="http://hudoc.echr.coe.int/eng?i=001-24931" TargetMode="External"/><Relationship Id="rId524" Type="http://schemas.openxmlformats.org/officeDocument/2006/relationships/hyperlink" Target="https://hudoc.echr.coe.int/eng?i=001-213908" TargetMode="External"/><Relationship Id="rId731" Type="http://schemas.openxmlformats.org/officeDocument/2006/relationships/hyperlink" Target="http://hudoc.echr.coe.int/eng?i=001-148610" TargetMode="External"/><Relationship Id="rId98" Type="http://schemas.openxmlformats.org/officeDocument/2006/relationships/hyperlink" Target="http://hudoc.echr.coe.int/eng?i=001-144673" TargetMode="External"/><Relationship Id="rId121" Type="http://schemas.openxmlformats.org/officeDocument/2006/relationships/hyperlink" Target="http://hudoc.echr.coe.int/eng?i=001-160215" TargetMode="External"/><Relationship Id="rId163" Type="http://schemas.openxmlformats.org/officeDocument/2006/relationships/hyperlink" Target="https://hudoc.echr.coe.int/eng?i=001-57675" TargetMode="External"/><Relationship Id="rId219" Type="http://schemas.openxmlformats.org/officeDocument/2006/relationships/hyperlink" Target="https://hudoc.echr.coe.int/eng?i=001-216156" TargetMode="External"/><Relationship Id="rId370" Type="http://schemas.openxmlformats.org/officeDocument/2006/relationships/hyperlink" Target="http://hudoc.echr.coe.int/eng?i=001-59622" TargetMode="External"/><Relationship Id="rId426" Type="http://schemas.openxmlformats.org/officeDocument/2006/relationships/hyperlink" Target="http://hudoc.echr.coe.int/eng?i=001-168394" TargetMode="External"/><Relationship Id="rId633" Type="http://schemas.openxmlformats.org/officeDocument/2006/relationships/hyperlink" Target="http://hudoc.echr.coe.int/eng?i=001-154217" TargetMode="External"/><Relationship Id="rId829" Type="http://schemas.openxmlformats.org/officeDocument/2006/relationships/hyperlink" Target="http://hudoc.echr.coe.int/eng?i=001-205217" TargetMode="External"/><Relationship Id="rId230" Type="http://schemas.openxmlformats.org/officeDocument/2006/relationships/hyperlink" Target="http://hudoc.echr.coe.int/eng?i=001-205060" TargetMode="External"/><Relationship Id="rId468" Type="http://schemas.openxmlformats.org/officeDocument/2006/relationships/hyperlink" Target="http://hudoc.echr.coe.int/eng?i=001-174110" TargetMode="External"/><Relationship Id="rId675" Type="http://schemas.openxmlformats.org/officeDocument/2006/relationships/hyperlink" Target="http://hudoc.echr.coe.int/eng?i=001-206266" TargetMode="External"/><Relationship Id="rId840" Type="http://schemas.openxmlformats.org/officeDocument/2006/relationships/hyperlink" Target="http://hudoc.echr.coe.int/eng?i=001-57844" TargetMode="External"/><Relationship Id="rId882" Type="http://schemas.openxmlformats.org/officeDocument/2006/relationships/hyperlink" Target="http://hudoc.echr.coe.int/eng?i=001-91113" TargetMode="External"/><Relationship Id="rId25" Type="http://schemas.openxmlformats.org/officeDocument/2006/relationships/hyperlink" Target="http://hudoc.echr.coe.int/eng?i=001-58372" TargetMode="External"/><Relationship Id="rId67" Type="http://schemas.openxmlformats.org/officeDocument/2006/relationships/hyperlink" Target="http://hudoc.echr.coe.int/eng?i=001-181370" TargetMode="External"/><Relationship Id="rId272" Type="http://schemas.openxmlformats.org/officeDocument/2006/relationships/hyperlink" Target="http://hudoc.echr.coe.int/eng?i=001-104098" TargetMode="External"/><Relationship Id="rId328" Type="http://schemas.openxmlformats.org/officeDocument/2006/relationships/hyperlink" Target="http://hudoc.echr.coe.int/eng?i=001-57522" TargetMode="External"/><Relationship Id="rId535" Type="http://schemas.openxmlformats.org/officeDocument/2006/relationships/hyperlink" Target="http://hudoc.echr.coe.int/eng?i=001-155631" TargetMode="External"/><Relationship Id="rId577" Type="http://schemas.openxmlformats.org/officeDocument/2006/relationships/hyperlink" Target="http://hudoc.echr.coe.int/eng?i=001-183375" TargetMode="External"/><Relationship Id="rId700" Type="http://schemas.openxmlformats.org/officeDocument/2006/relationships/hyperlink" Target="http://hudoc.echr.coe.int/eng?i=001-114776" TargetMode="External"/><Relationship Id="rId742" Type="http://schemas.openxmlformats.org/officeDocument/2006/relationships/hyperlink" Target="http://hudoc.echr.coe.int/eng?i=001-154400" TargetMode="External"/><Relationship Id="rId132" Type="http://schemas.openxmlformats.org/officeDocument/2006/relationships/hyperlink" Target="http://hudoc.echr.coe.int/eng?i=001-104098" TargetMode="External"/><Relationship Id="rId174" Type="http://schemas.openxmlformats.org/officeDocument/2006/relationships/hyperlink" Target="https://hudoc.echr.coe.int/eng" TargetMode="External"/><Relationship Id="rId381" Type="http://schemas.openxmlformats.org/officeDocument/2006/relationships/hyperlink" Target="http://hudoc.echr.coe.int/eng?i=001-142196" TargetMode="External"/><Relationship Id="rId602" Type="http://schemas.openxmlformats.org/officeDocument/2006/relationships/hyperlink" Target="http://hudoc.echr.coe.int/eng?i=001-142192" TargetMode="External"/><Relationship Id="rId784" Type="http://schemas.openxmlformats.org/officeDocument/2006/relationships/hyperlink" Target="http://hudoc.echr.coe.int/eng?i=001-77972" TargetMode="External"/><Relationship Id="rId241" Type="http://schemas.openxmlformats.org/officeDocument/2006/relationships/hyperlink" Target="https://hudoc.echr.coe.int/eng" TargetMode="External"/><Relationship Id="rId437" Type="http://schemas.openxmlformats.org/officeDocument/2006/relationships/hyperlink" Target="http://hudoc.echr.coe.int/eng?i=001-60936" TargetMode="External"/><Relationship Id="rId479" Type="http://schemas.openxmlformats.org/officeDocument/2006/relationships/hyperlink" Target="http://hudoc.echr.coe.int/eng?i=001-80038" TargetMode="External"/><Relationship Id="rId644" Type="http://schemas.openxmlformats.org/officeDocument/2006/relationships/hyperlink" Target="http://hudoc.echr.coe.int/eng?i=001-204123" TargetMode="External"/><Relationship Id="rId686" Type="http://schemas.openxmlformats.org/officeDocument/2006/relationships/hyperlink" Target="http://hudoc.echr.coe.int/eng?i=001-58288" TargetMode="External"/><Relationship Id="rId851" Type="http://schemas.openxmlformats.org/officeDocument/2006/relationships/hyperlink" Target="http://hudoc.echr.coe.int/eng?i=001-179585" TargetMode="External"/><Relationship Id="rId893" Type="http://schemas.openxmlformats.org/officeDocument/2006/relationships/hyperlink" Target="https://hudoc.echr.coe.int/eng?i=001-216157" TargetMode="External"/><Relationship Id="rId907" Type="http://schemas.openxmlformats.org/officeDocument/2006/relationships/theme" Target="theme/theme1.xml"/><Relationship Id="rId36" Type="http://schemas.openxmlformats.org/officeDocument/2006/relationships/hyperlink" Target="http://hudoc.echr.coe.int/eng?i=001-148610" TargetMode="External"/><Relationship Id="rId283" Type="http://schemas.openxmlformats.org/officeDocument/2006/relationships/hyperlink" Target="http://hudoc.echr.coe.int/eng?i=001-166937" TargetMode="External"/><Relationship Id="rId339" Type="http://schemas.openxmlformats.org/officeDocument/2006/relationships/hyperlink" Target="http://hudoc.echr.coe.int/eng?i=001-104495" TargetMode="External"/><Relationship Id="rId490" Type="http://schemas.openxmlformats.org/officeDocument/2006/relationships/hyperlink" Target="http://hudoc.echr.coe.int/eng?i=001-178890" TargetMode="External"/><Relationship Id="rId504" Type="http://schemas.openxmlformats.org/officeDocument/2006/relationships/hyperlink" Target="http://hudoc.echr.coe.int/eng?i=001-114240" TargetMode="External"/><Relationship Id="rId546" Type="http://schemas.openxmlformats.org/officeDocument/2006/relationships/hyperlink" Target="http://hudoc.echr.coe.int/eng?i=001-57608" TargetMode="External"/><Relationship Id="rId711" Type="http://schemas.openxmlformats.org/officeDocument/2006/relationships/hyperlink" Target="http://hudoc.echr.coe.int/eng?i=001-92267" TargetMode="External"/><Relationship Id="rId753" Type="http://schemas.openxmlformats.org/officeDocument/2006/relationships/hyperlink" Target="http://hudoc.echr.coe.int/eng?i=001-126541" TargetMode="External"/><Relationship Id="rId78" Type="http://schemas.openxmlformats.org/officeDocument/2006/relationships/hyperlink" Target="http://hudoc.echr.coe.int/eng?i=001-96372" TargetMode="External"/><Relationship Id="rId101" Type="http://schemas.openxmlformats.org/officeDocument/2006/relationships/hyperlink" Target="http://hudoc.echr.coe.int/eng?i=001-144673" TargetMode="External"/><Relationship Id="rId143" Type="http://schemas.openxmlformats.org/officeDocument/2006/relationships/hyperlink" Target="http://hudoc.echr.coe.int/eng?i=001-112446" TargetMode="External"/><Relationship Id="rId185" Type="http://schemas.openxmlformats.org/officeDocument/2006/relationships/hyperlink" Target="http://hudoc.echr.coe.int/eng?i=001-158200" TargetMode="External"/><Relationship Id="rId350" Type="http://schemas.openxmlformats.org/officeDocument/2006/relationships/hyperlink" Target="http://hudoc.echr.coe.int/eng?i=001-73731" TargetMode="External"/><Relationship Id="rId406" Type="http://schemas.openxmlformats.org/officeDocument/2006/relationships/hyperlink" Target="http://hudoc.echr.coe.int/eng?i=001-204123" TargetMode="External"/><Relationship Id="rId588" Type="http://schemas.openxmlformats.org/officeDocument/2006/relationships/hyperlink" Target="https://hudoc.echr.coe.int/eng" TargetMode="External"/><Relationship Id="rId795" Type="http://schemas.openxmlformats.org/officeDocument/2006/relationships/hyperlink" Target="http://hudoc.echr.coe.int/eng?i=001-174110" TargetMode="External"/><Relationship Id="rId809" Type="http://schemas.openxmlformats.org/officeDocument/2006/relationships/hyperlink" Target="http://hudoc.echr.coe.int/eng?i=001-70720" TargetMode="External"/><Relationship Id="rId9" Type="http://schemas.openxmlformats.org/officeDocument/2006/relationships/hyperlink" Target="https://ks.echr.coe.int/web/echr-ks/all-case-law-guides" TargetMode="External"/><Relationship Id="rId210" Type="http://schemas.openxmlformats.org/officeDocument/2006/relationships/hyperlink" Target="http://hudoc.echr.coe.int/eng?i=001-70678" TargetMode="External"/><Relationship Id="rId392" Type="http://schemas.openxmlformats.org/officeDocument/2006/relationships/hyperlink" Target="http://hudoc.echr.coe.int/eng?i=001-82637" TargetMode="External"/><Relationship Id="rId448" Type="http://schemas.openxmlformats.org/officeDocument/2006/relationships/hyperlink" Target="http://hudoc.echr.coe.int/eng?i=001-58128" TargetMode="External"/><Relationship Id="rId613" Type="http://schemas.openxmlformats.org/officeDocument/2006/relationships/hyperlink" Target="http://hudoc.echr.coe.int/eng?i=001-72521" TargetMode="External"/><Relationship Id="rId655" Type="http://schemas.openxmlformats.org/officeDocument/2006/relationships/hyperlink" Target="http://hudoc.echr.coe.int/eng?i=001-4711" TargetMode="External"/><Relationship Id="rId697" Type="http://schemas.openxmlformats.org/officeDocument/2006/relationships/hyperlink" Target="http://hudoc.echr.coe.int/eng?i=001-162211" TargetMode="External"/><Relationship Id="rId820" Type="http://schemas.openxmlformats.org/officeDocument/2006/relationships/hyperlink" Target="http://hudoc.echr.coe.int/eng?i=001-144673" TargetMode="External"/><Relationship Id="rId862" Type="http://schemas.openxmlformats.org/officeDocument/2006/relationships/hyperlink" Target="http://hudoc.echr.coe.int/eng?i=001-70731" TargetMode="External"/><Relationship Id="rId252" Type="http://schemas.openxmlformats.org/officeDocument/2006/relationships/hyperlink" Target="http://hudoc.echr.coe.int/eng?i=001-158200" TargetMode="External"/><Relationship Id="rId294" Type="http://schemas.openxmlformats.org/officeDocument/2006/relationships/hyperlink" Target="https://www.echr.coe.int/Documents/Guide_Art_17_ENG.pdf" TargetMode="External"/><Relationship Id="rId308" Type="http://schemas.openxmlformats.org/officeDocument/2006/relationships/hyperlink" Target="http://hudoc.echr.coe.int/eng?i=001-81507" TargetMode="External"/><Relationship Id="rId515" Type="http://schemas.openxmlformats.org/officeDocument/2006/relationships/hyperlink" Target="http://hudoc.echr.coe.int/eng?i=001-22540" TargetMode="External"/><Relationship Id="rId722" Type="http://schemas.openxmlformats.org/officeDocument/2006/relationships/hyperlink" Target="http://hudoc.echr.coe.int/eng?i=001-58372" TargetMode="External"/><Relationship Id="rId47" Type="http://schemas.openxmlformats.org/officeDocument/2006/relationships/hyperlink" Target="http://hudoc.echr.coe.int/eng?i=001-23125" TargetMode="External"/><Relationship Id="rId89" Type="http://schemas.openxmlformats.org/officeDocument/2006/relationships/hyperlink" Target="http://hudoc.echr.coe.int/eng?i=001-142969" TargetMode="External"/><Relationship Id="rId112" Type="http://schemas.openxmlformats.org/officeDocument/2006/relationships/hyperlink" Target="http://hudoc.echr.coe.int/eng?i=001-144673" TargetMode="External"/><Relationship Id="rId154" Type="http://schemas.openxmlformats.org/officeDocument/2006/relationships/hyperlink" Target="https://hudoc.echr.coe.int/eng?i=001-217377" TargetMode="External"/><Relationship Id="rId361" Type="http://schemas.openxmlformats.org/officeDocument/2006/relationships/hyperlink" Target="http://hudoc.echr.coe.int/eng?i=001-72015" TargetMode="External"/><Relationship Id="rId557" Type="http://schemas.openxmlformats.org/officeDocument/2006/relationships/hyperlink" Target="http://hudoc.echr.coe.int/eng?i=001-73731" TargetMode="External"/><Relationship Id="rId599" Type="http://schemas.openxmlformats.org/officeDocument/2006/relationships/hyperlink" Target="http://hudoc.echr.coe.int/eng?i=001-122763" TargetMode="External"/><Relationship Id="rId764" Type="http://schemas.openxmlformats.org/officeDocument/2006/relationships/hyperlink" Target="http://hudoc.echr.coe.int/eng?i=001-94565" TargetMode="External"/><Relationship Id="rId196" Type="http://schemas.openxmlformats.org/officeDocument/2006/relationships/hyperlink" Target="http://hudoc.echr.coe.int/eng?i=001-89066" TargetMode="External"/><Relationship Id="rId417" Type="http://schemas.openxmlformats.org/officeDocument/2006/relationships/hyperlink" Target="http://hudoc.echr.coe.int/eng?i=001-204822" TargetMode="External"/><Relationship Id="rId459" Type="http://schemas.openxmlformats.org/officeDocument/2006/relationships/hyperlink" Target="http://hudoc.echr.coe.int/eng?i=001-104495" TargetMode="External"/><Relationship Id="rId624" Type="http://schemas.openxmlformats.org/officeDocument/2006/relationships/hyperlink" Target="http://hudoc.echr.coe.int/eng?i=001-89558" TargetMode="External"/><Relationship Id="rId666" Type="http://schemas.openxmlformats.org/officeDocument/2006/relationships/hyperlink" Target="http://hudoc.echr.coe.int/eng?i=001-83580" TargetMode="External"/><Relationship Id="rId831" Type="http://schemas.openxmlformats.org/officeDocument/2006/relationships/hyperlink" Target="http://hudoc.echr.coe.int/eng?i=001-82136" TargetMode="External"/><Relationship Id="rId873" Type="http://schemas.openxmlformats.org/officeDocument/2006/relationships/hyperlink" Target="http://hudoc.echr.coe.int/eng?i=001-146671" TargetMode="External"/><Relationship Id="rId16" Type="http://schemas.openxmlformats.org/officeDocument/2006/relationships/hyperlink" Target="http://hudoc.echr.coe.int/eng?i=001-201353" TargetMode="External"/><Relationship Id="rId221" Type="http://schemas.openxmlformats.org/officeDocument/2006/relationships/hyperlink" Target="http://hudoc.echr.coe.int/eng?i=001-96022" TargetMode="External"/><Relationship Id="rId263" Type="http://schemas.openxmlformats.org/officeDocument/2006/relationships/hyperlink" Target="http://hudoc.echr.coe.int/eng?i=001-159762" TargetMode="External"/><Relationship Id="rId319" Type="http://schemas.openxmlformats.org/officeDocument/2006/relationships/hyperlink" Target="http://hudoc.echr.coe.int/eng?i=001-57432" TargetMode="External"/><Relationship Id="rId470" Type="http://schemas.openxmlformats.org/officeDocument/2006/relationships/hyperlink" Target="http://hudoc.echr.coe.int/eng?i=001-174110" TargetMode="External"/><Relationship Id="rId526" Type="http://schemas.openxmlformats.org/officeDocument/2006/relationships/hyperlink" Target="http://hudoc.echr.coe.int/eng?i=001-72521" TargetMode="External"/><Relationship Id="rId58" Type="http://schemas.openxmlformats.org/officeDocument/2006/relationships/hyperlink" Target="http://hudoc.echr.coe.int/eng?i=001-142969" TargetMode="External"/><Relationship Id="rId123" Type="http://schemas.openxmlformats.org/officeDocument/2006/relationships/hyperlink" Target="http://hudoc.echr.coe.int/eng?i=001-166937" TargetMode="External"/><Relationship Id="rId330" Type="http://schemas.openxmlformats.org/officeDocument/2006/relationships/hyperlink" Target="http://hudoc.echr.coe.int/eng?i=001-58205" TargetMode="External"/><Relationship Id="rId568" Type="http://schemas.openxmlformats.org/officeDocument/2006/relationships/hyperlink" Target="http://hudoc.echr.coe.int/eng?i=001-163461" TargetMode="External"/><Relationship Id="rId733" Type="http://schemas.openxmlformats.org/officeDocument/2006/relationships/hyperlink" Target="http://hudoc.echr.coe.int/eng?i=001-202552" TargetMode="External"/><Relationship Id="rId775" Type="http://schemas.openxmlformats.org/officeDocument/2006/relationships/hyperlink" Target="http://hudoc.echr.coe.int/eng?i=001-142196" TargetMode="External"/><Relationship Id="rId165" Type="http://schemas.openxmlformats.org/officeDocument/2006/relationships/hyperlink" Target="http://hudoc.echr.coe.int/eng?i=001-144673" TargetMode="External"/><Relationship Id="rId372" Type="http://schemas.openxmlformats.org/officeDocument/2006/relationships/hyperlink" Target="http://hudoc.echr.coe.int/eng?i=001-85679" TargetMode="External"/><Relationship Id="rId428" Type="http://schemas.openxmlformats.org/officeDocument/2006/relationships/hyperlink" Target="http://hudoc.echr.coe.int/eng?i=001-104495" TargetMode="External"/><Relationship Id="rId635" Type="http://schemas.openxmlformats.org/officeDocument/2006/relationships/hyperlink" Target="http://hudoc.echr.coe.int/eng?i=001-147063" TargetMode="External"/><Relationship Id="rId677" Type="http://schemas.openxmlformats.org/officeDocument/2006/relationships/hyperlink" Target="http://hudoc.echr.coe.int/eng?i=001-5220" TargetMode="External"/><Relationship Id="rId800" Type="http://schemas.openxmlformats.org/officeDocument/2006/relationships/hyperlink" Target="http://hudoc.echr.coe.int/eng?i=001-210332" TargetMode="External"/><Relationship Id="rId842" Type="http://schemas.openxmlformats.org/officeDocument/2006/relationships/hyperlink" Target="http://hudoc.echr.coe.int/eng?i=001-122763" TargetMode="External"/><Relationship Id="rId232" Type="http://schemas.openxmlformats.org/officeDocument/2006/relationships/hyperlink" Target="http://hudoc.echr.coe.int/eng?i=001-179585" TargetMode="External"/><Relationship Id="rId274" Type="http://schemas.openxmlformats.org/officeDocument/2006/relationships/hyperlink" Target="http://hudoc.echr.coe.int/eng?i=001-107703" TargetMode="External"/><Relationship Id="rId481" Type="http://schemas.openxmlformats.org/officeDocument/2006/relationships/hyperlink" Target="http://hudoc.echr.coe.int/eng?i=001-99221" TargetMode="External"/><Relationship Id="rId702" Type="http://schemas.openxmlformats.org/officeDocument/2006/relationships/hyperlink" Target="http://hudoc.echr.coe.int/eng?i=001-60953" TargetMode="External"/><Relationship Id="rId884" Type="http://schemas.openxmlformats.org/officeDocument/2006/relationships/hyperlink" Target="https://hudoc.echr.coe.int/eng?i=001-213908" TargetMode="External"/><Relationship Id="rId27" Type="http://schemas.openxmlformats.org/officeDocument/2006/relationships/hyperlink" Target="https://hudoc.echr.coe.int/eng" TargetMode="External"/><Relationship Id="rId69" Type="http://schemas.openxmlformats.org/officeDocument/2006/relationships/hyperlink" Target="http://hudoc.echr.coe.int/eng?i=001-194450" TargetMode="External"/><Relationship Id="rId134" Type="http://schemas.openxmlformats.org/officeDocument/2006/relationships/hyperlink" Target="http://hudoc.echr.coe.int/eng?i=001-159762" TargetMode="External"/><Relationship Id="rId537" Type="http://schemas.openxmlformats.org/officeDocument/2006/relationships/hyperlink" Target="http://hudoc.echr.coe.int/eng?i=001-60554" TargetMode="External"/><Relationship Id="rId579" Type="http://schemas.openxmlformats.org/officeDocument/2006/relationships/hyperlink" Target="http://hudoc.echr.coe.int/eng?i=001-148181" TargetMode="External"/><Relationship Id="rId744" Type="http://schemas.openxmlformats.org/officeDocument/2006/relationships/hyperlink" Target="http://hudoc.echr.coe.int/eng?i=001-122885" TargetMode="External"/><Relationship Id="rId786" Type="http://schemas.openxmlformats.org/officeDocument/2006/relationships/hyperlink" Target="http://hudoc.echr.coe.int/eng?i=001-192902" TargetMode="External"/><Relationship Id="rId80" Type="http://schemas.openxmlformats.org/officeDocument/2006/relationships/hyperlink" Target="http://hudoc.echr.coe.int/eng?i=001-60953" TargetMode="External"/><Relationship Id="rId176" Type="http://schemas.openxmlformats.org/officeDocument/2006/relationships/hyperlink" Target="http://hudoc.echr.coe.int/eng?i=001-187605" TargetMode="External"/><Relationship Id="rId341" Type="http://schemas.openxmlformats.org/officeDocument/2006/relationships/hyperlink" Target="http://hudoc.echr.coe.int/eng?i=001-174110" TargetMode="External"/><Relationship Id="rId383" Type="http://schemas.openxmlformats.org/officeDocument/2006/relationships/hyperlink" Target="http://hudoc.echr.coe.int/eng?i=001-168394" TargetMode="External"/><Relationship Id="rId439" Type="http://schemas.openxmlformats.org/officeDocument/2006/relationships/hyperlink" Target="http://hudoc.echr.coe.int/eng?i=001-60936" TargetMode="External"/><Relationship Id="rId590" Type="http://schemas.openxmlformats.org/officeDocument/2006/relationships/hyperlink" Target="http://hudoc.echr.coe.int/eng?i=001-89558" TargetMode="External"/><Relationship Id="rId604" Type="http://schemas.openxmlformats.org/officeDocument/2006/relationships/hyperlink" Target="http://hudoc.echr.coe.int/eng?i=001-666" TargetMode="External"/><Relationship Id="rId646" Type="http://schemas.openxmlformats.org/officeDocument/2006/relationships/hyperlink" Target="http://hudoc.echr.coe.int/eng?i=001-181370" TargetMode="External"/><Relationship Id="rId811" Type="http://schemas.openxmlformats.org/officeDocument/2006/relationships/hyperlink" Target="http://hudoc.echr.coe.int/eng?i=001-78330" TargetMode="External"/><Relationship Id="rId201" Type="http://schemas.openxmlformats.org/officeDocument/2006/relationships/hyperlink" Target="http://hudoc.echr.coe.int/eng?i=001-119244" TargetMode="External"/><Relationship Id="rId243" Type="http://schemas.openxmlformats.org/officeDocument/2006/relationships/hyperlink" Target="http://hudoc.echr.coe.int/eng?i=001-78330" TargetMode="External"/><Relationship Id="rId285" Type="http://schemas.openxmlformats.org/officeDocument/2006/relationships/hyperlink" Target="http://hudoc.echr.coe.int/eng?i=001-61637" TargetMode="External"/><Relationship Id="rId450" Type="http://schemas.openxmlformats.org/officeDocument/2006/relationships/hyperlink" Target="http://hudoc.echr.coe.int/eng?i=001-58372" TargetMode="External"/><Relationship Id="rId506" Type="http://schemas.openxmlformats.org/officeDocument/2006/relationships/hyperlink" Target="https://hudoc.echr.coe.int/eng?i=001-216157" TargetMode="External"/><Relationship Id="rId688" Type="http://schemas.openxmlformats.org/officeDocument/2006/relationships/hyperlink" Target="https://hudoc.echr.coe.int/eng?i=001-224577" TargetMode="External"/><Relationship Id="rId853" Type="http://schemas.openxmlformats.org/officeDocument/2006/relationships/hyperlink" Target="http://hudoc.echr.coe.int/eng?i=001-67864" TargetMode="External"/><Relationship Id="rId895" Type="http://schemas.openxmlformats.org/officeDocument/2006/relationships/hyperlink" Target="http://hudoc.echr.coe.int/eng?i=001-184875" TargetMode="External"/><Relationship Id="rId38" Type="http://schemas.openxmlformats.org/officeDocument/2006/relationships/hyperlink" Target="https://hudoc.echr.coe.int/eng?i=001-216937" TargetMode="External"/><Relationship Id="rId103" Type="http://schemas.openxmlformats.org/officeDocument/2006/relationships/hyperlink" Target="http://hudoc.echr.coe.int/eng?i=001-107703" TargetMode="External"/><Relationship Id="rId310" Type="http://schemas.openxmlformats.org/officeDocument/2006/relationships/hyperlink" Target="http://hudoc.echr.coe.int/eng?i=001-159250" TargetMode="External"/><Relationship Id="rId492" Type="http://schemas.openxmlformats.org/officeDocument/2006/relationships/hyperlink" Target="http://hudoc.echr.coe.int/eng?i=001-174668" TargetMode="External"/><Relationship Id="rId548" Type="http://schemas.openxmlformats.org/officeDocument/2006/relationships/hyperlink" Target="http://hudoc.echr.coe.int/eng?i=001-72015" TargetMode="External"/><Relationship Id="rId713" Type="http://schemas.openxmlformats.org/officeDocument/2006/relationships/hyperlink" Target="http://hudoc.echr.coe.int/eng?i=001-79618" TargetMode="External"/><Relationship Id="rId755" Type="http://schemas.openxmlformats.org/officeDocument/2006/relationships/hyperlink" Target="https://hudoc.echr.coe.int/?i=001-225315" TargetMode="External"/><Relationship Id="rId797" Type="http://schemas.openxmlformats.org/officeDocument/2006/relationships/hyperlink" Target="http://hudoc.echr.coe.int/eng?i=001-205817" TargetMode="External"/><Relationship Id="rId91" Type="http://schemas.openxmlformats.org/officeDocument/2006/relationships/hyperlink" Target="https://hudoc.echr.coe.int/eng?i=001-216156" TargetMode="External"/><Relationship Id="rId145" Type="http://schemas.openxmlformats.org/officeDocument/2006/relationships/hyperlink" Target="http://hudoc.echr.coe.int/eng?i=001-59689" TargetMode="External"/><Relationship Id="rId187" Type="http://schemas.openxmlformats.org/officeDocument/2006/relationships/hyperlink" Target="http://hudoc.echr.coe.int/eng?i=001-205060" TargetMode="External"/><Relationship Id="rId352" Type="http://schemas.openxmlformats.org/officeDocument/2006/relationships/hyperlink" Target="http://hudoc.echr.coe.int/eng?i=001-79604" TargetMode="External"/><Relationship Id="rId394" Type="http://schemas.openxmlformats.org/officeDocument/2006/relationships/hyperlink" Target="http://hudoc.echr.coe.int/eng?i=001-4711" TargetMode="External"/><Relationship Id="rId408" Type="http://schemas.openxmlformats.org/officeDocument/2006/relationships/hyperlink" Target="http://hudoc.echr.coe.int/eng?i=001-94854" TargetMode="External"/><Relationship Id="rId615" Type="http://schemas.openxmlformats.org/officeDocument/2006/relationships/hyperlink" Target="http://hudoc.echr.coe.int/eng?i=001-113335" TargetMode="External"/><Relationship Id="rId822" Type="http://schemas.openxmlformats.org/officeDocument/2006/relationships/hyperlink" Target="http://hudoc.echr.coe.int/eng?i=001-96022" TargetMode="External"/><Relationship Id="rId212" Type="http://schemas.openxmlformats.org/officeDocument/2006/relationships/hyperlink" Target="http://hudoc.echr.coe.int/eng?i=001-205060" TargetMode="External"/><Relationship Id="rId254" Type="http://schemas.openxmlformats.org/officeDocument/2006/relationships/hyperlink" Target="http://hudoc.echr.coe.int/eng?i=001-81728" TargetMode="External"/><Relationship Id="rId657" Type="http://schemas.openxmlformats.org/officeDocument/2006/relationships/hyperlink" Target="http://hudoc.echr.coe.int/eng?i=001-78693" TargetMode="External"/><Relationship Id="rId699" Type="http://schemas.openxmlformats.org/officeDocument/2006/relationships/hyperlink" Target="http://hudoc.echr.coe.int/eng?i=001-89558" TargetMode="External"/><Relationship Id="rId864" Type="http://schemas.openxmlformats.org/officeDocument/2006/relationships/hyperlink" Target="http://hudoc.echr.coe.int/eng?i=001-85589" TargetMode="External"/><Relationship Id="rId49" Type="http://schemas.openxmlformats.org/officeDocument/2006/relationships/hyperlink" Target="http://hudoc.echr.coe.int/eng?i=001-180514" TargetMode="External"/><Relationship Id="rId114" Type="http://schemas.openxmlformats.org/officeDocument/2006/relationships/hyperlink" Target="http://hudoc.echr.coe.int/eng?i=001-91499" TargetMode="External"/><Relationship Id="rId296" Type="http://schemas.openxmlformats.org/officeDocument/2006/relationships/hyperlink" Target="http://hudoc.echr.coe.int/eng?i=001-98443" TargetMode="External"/><Relationship Id="rId461" Type="http://schemas.openxmlformats.org/officeDocument/2006/relationships/hyperlink" Target="http://hudoc.echr.coe.int/eng?i=001-113410" TargetMode="External"/><Relationship Id="rId517" Type="http://schemas.openxmlformats.org/officeDocument/2006/relationships/hyperlink" Target="https://hudoc.echr.coe.int/eng?i=001-222320" TargetMode="External"/><Relationship Id="rId559" Type="http://schemas.openxmlformats.org/officeDocument/2006/relationships/hyperlink" Target="http://hudoc.echr.coe.int/eng?i=001-79604" TargetMode="External"/><Relationship Id="rId724" Type="http://schemas.openxmlformats.org/officeDocument/2006/relationships/hyperlink" Target="http://hudoc.echr.coe.int/eng?i=001-157705" TargetMode="External"/><Relationship Id="rId766" Type="http://schemas.openxmlformats.org/officeDocument/2006/relationships/hyperlink" Target="http://hudoc.echr.coe.int/eng?i=001-3678" TargetMode="External"/><Relationship Id="rId60" Type="http://schemas.openxmlformats.org/officeDocument/2006/relationships/hyperlink" Target="http://hudoc.echr.coe.int/eng?i=001-187605" TargetMode="External"/><Relationship Id="rId156" Type="http://schemas.openxmlformats.org/officeDocument/2006/relationships/hyperlink" Target="http://hudoc.echr.coe.int/eng?i=001-157705" TargetMode="External"/><Relationship Id="rId198" Type="http://schemas.openxmlformats.org/officeDocument/2006/relationships/hyperlink" Target="http://hudoc.echr.coe.int/eng?i=001-172684" TargetMode="External"/><Relationship Id="rId321" Type="http://schemas.openxmlformats.org/officeDocument/2006/relationships/hyperlink" Target="http://hudoc.echr.coe.int/eng?i=001-82944" TargetMode="External"/><Relationship Id="rId363" Type="http://schemas.openxmlformats.org/officeDocument/2006/relationships/hyperlink" Target="http://hudoc.echr.coe.int/eng?i=001-159250" TargetMode="External"/><Relationship Id="rId419" Type="http://schemas.openxmlformats.org/officeDocument/2006/relationships/hyperlink" Target="http://hudoc.echr.coe.int/eng?i=001-93475" TargetMode="External"/><Relationship Id="rId570" Type="http://schemas.openxmlformats.org/officeDocument/2006/relationships/hyperlink" Target="http://hudoc.echr.coe.int/eng?i=001-60554" TargetMode="External"/><Relationship Id="rId626" Type="http://schemas.openxmlformats.org/officeDocument/2006/relationships/hyperlink" Target="http://hudoc.echr.coe.int/eng?i=001-154217" TargetMode="External"/><Relationship Id="rId223" Type="http://schemas.openxmlformats.org/officeDocument/2006/relationships/hyperlink" Target="http://hudoc.echr.coe.int/eng?i=001-187605" TargetMode="External"/><Relationship Id="rId430" Type="http://schemas.openxmlformats.org/officeDocument/2006/relationships/hyperlink" Target="http://hudoc.echr.coe.int/eng?i=001-60936" TargetMode="External"/><Relationship Id="rId668" Type="http://schemas.openxmlformats.org/officeDocument/2006/relationships/hyperlink" Target="http://hudoc.echr.coe.int/eng?i=001-81950" TargetMode="External"/><Relationship Id="rId833" Type="http://schemas.openxmlformats.org/officeDocument/2006/relationships/hyperlink" Target="http://hudoc.echr.coe.int/eng?i=001-114769" TargetMode="External"/><Relationship Id="rId875" Type="http://schemas.openxmlformats.org/officeDocument/2006/relationships/hyperlink" Target="http://hudoc.echr.coe.int/eng?i=001-58012" TargetMode="External"/><Relationship Id="rId18" Type="http://schemas.openxmlformats.org/officeDocument/2006/relationships/hyperlink" Target="http://www.echr.coe.int/Documents/HUDOC_Keywords_ENG.pdf" TargetMode="External"/><Relationship Id="rId265" Type="http://schemas.openxmlformats.org/officeDocument/2006/relationships/hyperlink" Target="http://hudoc.echr.coe.int/eng?i=001-81728" TargetMode="External"/><Relationship Id="rId472" Type="http://schemas.openxmlformats.org/officeDocument/2006/relationships/hyperlink" Target="http://hudoc.echr.coe.int/eng?i=001-78693" TargetMode="External"/><Relationship Id="rId528" Type="http://schemas.openxmlformats.org/officeDocument/2006/relationships/hyperlink" Target="http://hudoc.echr.coe.int/eng?i=001-122763" TargetMode="External"/><Relationship Id="rId735" Type="http://schemas.openxmlformats.org/officeDocument/2006/relationships/hyperlink" Target="http://hudoc.echr.coe.int/eng?i=001-93475" TargetMode="External"/><Relationship Id="rId900" Type="http://schemas.openxmlformats.org/officeDocument/2006/relationships/header" Target="header1.xml"/><Relationship Id="rId125" Type="http://schemas.openxmlformats.org/officeDocument/2006/relationships/hyperlink" Target="http://hudoc.echr.coe.int/eng?i=001-76098" TargetMode="External"/><Relationship Id="rId167" Type="http://schemas.openxmlformats.org/officeDocument/2006/relationships/hyperlink" Target="http://hudoc.echr.coe.int/eng?i=001-187605" TargetMode="External"/><Relationship Id="rId332" Type="http://schemas.openxmlformats.org/officeDocument/2006/relationships/hyperlink" Target="http://hudoc.echr.coe.int/eng?i=001-142196" TargetMode="External"/><Relationship Id="rId374" Type="http://schemas.openxmlformats.org/officeDocument/2006/relationships/hyperlink" Target="https://hudoc.echr.coe.int/eng?i=001-213913" TargetMode="External"/><Relationship Id="rId581" Type="http://schemas.openxmlformats.org/officeDocument/2006/relationships/hyperlink" Target="http://hudoc.echr.coe.int/eng?i=001-22148" TargetMode="External"/><Relationship Id="rId777" Type="http://schemas.openxmlformats.org/officeDocument/2006/relationships/hyperlink" Target="https://hudoc.echr.coe.int/eng" TargetMode="External"/><Relationship Id="rId71" Type="http://schemas.openxmlformats.org/officeDocument/2006/relationships/hyperlink" Target="https://hudoc.echr.coe.int/?i=001-225019" TargetMode="External"/><Relationship Id="rId234" Type="http://schemas.openxmlformats.org/officeDocument/2006/relationships/hyperlink" Target="http://hudoc.echr.coe.int/eng?i=001-122885" TargetMode="External"/><Relationship Id="rId637" Type="http://schemas.openxmlformats.org/officeDocument/2006/relationships/hyperlink" Target="http://hudoc.echr.coe.int/eng?i=001-147058" TargetMode="External"/><Relationship Id="rId679" Type="http://schemas.openxmlformats.org/officeDocument/2006/relationships/hyperlink" Target="http://hudoc.echr.coe.int/eng?i=001-82637" TargetMode="External"/><Relationship Id="rId802" Type="http://schemas.openxmlformats.org/officeDocument/2006/relationships/hyperlink" Target="http://hudoc.echr.coe.int/eng?i=001-84054" TargetMode="External"/><Relationship Id="rId844" Type="http://schemas.openxmlformats.org/officeDocument/2006/relationships/hyperlink" Target="http://hudoc.echr.coe.int/eng?i=001-67639" TargetMode="External"/><Relationship Id="rId886" Type="http://schemas.openxmlformats.org/officeDocument/2006/relationships/hyperlink" Target="http://hudoc.echr.coe.int/eng?i=001-60416" TargetMode="External"/><Relationship Id="rId2" Type="http://schemas.openxmlformats.org/officeDocument/2006/relationships/numbering" Target="numbering.xml"/><Relationship Id="rId29" Type="http://schemas.openxmlformats.org/officeDocument/2006/relationships/hyperlink" Target="https://hudoc.echr.coe.int/eng" TargetMode="External"/><Relationship Id="rId276" Type="http://schemas.openxmlformats.org/officeDocument/2006/relationships/hyperlink" Target="http://hudoc.echr.coe.int/eng?i=001-91571" TargetMode="External"/><Relationship Id="rId441" Type="http://schemas.openxmlformats.org/officeDocument/2006/relationships/hyperlink" Target="http://hudoc.echr.coe.int/eng?i=001-60936" TargetMode="External"/><Relationship Id="rId483" Type="http://schemas.openxmlformats.org/officeDocument/2006/relationships/hyperlink" Target="http://hudoc.echr.coe.int/eng?i=001-99221" TargetMode="External"/><Relationship Id="rId539" Type="http://schemas.openxmlformats.org/officeDocument/2006/relationships/hyperlink" Target="http://hudoc.echr.coe.int/eng?i=001-187732" TargetMode="External"/><Relationship Id="rId690" Type="http://schemas.openxmlformats.org/officeDocument/2006/relationships/hyperlink" Target="http://hudoc.echr.coe.int/eng?i=001-97049" TargetMode="External"/><Relationship Id="rId704" Type="http://schemas.openxmlformats.org/officeDocument/2006/relationships/hyperlink" Target="http://hudoc.echr.coe.int/eng?i=001-5290" TargetMode="External"/><Relationship Id="rId746" Type="http://schemas.openxmlformats.org/officeDocument/2006/relationships/hyperlink" Target="http://hudoc.echr.coe.int/eng?i=001-194613" TargetMode="External"/><Relationship Id="rId40" Type="http://schemas.openxmlformats.org/officeDocument/2006/relationships/hyperlink" Target="http://hudoc.echr.coe.int/eng?i=001-58240" TargetMode="External"/><Relationship Id="rId136" Type="http://schemas.openxmlformats.org/officeDocument/2006/relationships/hyperlink" Target="http://hudoc.echr.coe.int/eng?i=001-57558" TargetMode="External"/><Relationship Id="rId178" Type="http://schemas.openxmlformats.org/officeDocument/2006/relationships/hyperlink" Target="https://hudoc.echr.coe.int/eng?i=001-213367" TargetMode="External"/><Relationship Id="rId301" Type="http://schemas.openxmlformats.org/officeDocument/2006/relationships/hyperlink" Target="http://hudoc.echr.coe.int/eng?i=001-61637" TargetMode="External"/><Relationship Id="rId343" Type="http://schemas.openxmlformats.org/officeDocument/2006/relationships/hyperlink" Target="http://hudoc.echr.coe.int/eng?i=001-72093" TargetMode="External"/><Relationship Id="rId550" Type="http://schemas.openxmlformats.org/officeDocument/2006/relationships/hyperlink" Target="http://hudoc.echr.coe.int/eng?i=001-72015" TargetMode="External"/><Relationship Id="rId788" Type="http://schemas.openxmlformats.org/officeDocument/2006/relationships/hyperlink" Target="http://hudoc.echr.coe.int/eng?i=001-2511" TargetMode="External"/><Relationship Id="rId82" Type="http://schemas.openxmlformats.org/officeDocument/2006/relationships/hyperlink" Target="http://hudoc.echr.coe.int/eng?i=001-81950" TargetMode="External"/><Relationship Id="rId203" Type="http://schemas.openxmlformats.org/officeDocument/2006/relationships/hyperlink" Target="http://hudoc.echr.coe.int/eng?i=001-158200" TargetMode="External"/><Relationship Id="rId385" Type="http://schemas.openxmlformats.org/officeDocument/2006/relationships/hyperlink" Target="http://hudoc.echr.coe.int/eng?i=001-204822" TargetMode="External"/><Relationship Id="rId592" Type="http://schemas.openxmlformats.org/officeDocument/2006/relationships/hyperlink" Target="http://hudoc.echr.coe.int/eng?i=001-172858" TargetMode="External"/><Relationship Id="rId606" Type="http://schemas.openxmlformats.org/officeDocument/2006/relationships/hyperlink" Target="http://hudoc.echr.coe.int/eng?i=001-93854" TargetMode="External"/><Relationship Id="rId648" Type="http://schemas.openxmlformats.org/officeDocument/2006/relationships/hyperlink" Target="http://hudoc.echr.coe.int/eng?i=001-180514" TargetMode="External"/><Relationship Id="rId813" Type="http://schemas.openxmlformats.org/officeDocument/2006/relationships/hyperlink" Target="http://hudoc.echr.coe.int/eng?i=001-68175" TargetMode="External"/><Relationship Id="rId855" Type="http://schemas.openxmlformats.org/officeDocument/2006/relationships/hyperlink" Target="http://hudoc.echr.coe.int/eng?i=001-142969" TargetMode="External"/><Relationship Id="rId245" Type="http://schemas.openxmlformats.org/officeDocument/2006/relationships/hyperlink" Target="http://hudoc.echr.coe.int/eng?i=001-119970" TargetMode="External"/><Relationship Id="rId287" Type="http://schemas.openxmlformats.org/officeDocument/2006/relationships/hyperlink" Target="http://hudoc.echr.coe.int/eng?i=001-58128" TargetMode="External"/><Relationship Id="rId410" Type="http://schemas.openxmlformats.org/officeDocument/2006/relationships/hyperlink" Target="http://hudoc.echr.coe.int/eng?i=001-94854" TargetMode="External"/><Relationship Id="rId452" Type="http://schemas.openxmlformats.org/officeDocument/2006/relationships/hyperlink" Target="http://hudoc.echr.coe.int/eng?i=001-107110" TargetMode="External"/><Relationship Id="rId494" Type="http://schemas.openxmlformats.org/officeDocument/2006/relationships/hyperlink" Target="http://hudoc.echr.coe.int/eng?i=001-142196" TargetMode="External"/><Relationship Id="rId508" Type="http://schemas.openxmlformats.org/officeDocument/2006/relationships/hyperlink" Target="http://hudoc.echr.coe.int/eng?i=001-79301" TargetMode="External"/><Relationship Id="rId715" Type="http://schemas.openxmlformats.org/officeDocument/2006/relationships/hyperlink" Target="http://hudoc.echr.coe.int/eng?i=001-88775" TargetMode="External"/><Relationship Id="rId897" Type="http://schemas.openxmlformats.org/officeDocument/2006/relationships/hyperlink" Target="http://hudoc.echr.coe.int/eng?i=001-81209" TargetMode="External"/><Relationship Id="rId105" Type="http://schemas.openxmlformats.org/officeDocument/2006/relationships/hyperlink" Target="http://hudoc.echr.coe.int/eng?i=001-60413" TargetMode="External"/><Relationship Id="rId147" Type="http://schemas.openxmlformats.org/officeDocument/2006/relationships/hyperlink" Target="http://hudoc.echr.coe.int/eng?i=001-158200" TargetMode="External"/><Relationship Id="rId312" Type="http://schemas.openxmlformats.org/officeDocument/2006/relationships/hyperlink" Target="http://hudoc.echr.coe.int/eng?i=001-67639" TargetMode="External"/><Relationship Id="rId354" Type="http://schemas.openxmlformats.org/officeDocument/2006/relationships/hyperlink" Target="http://hudoc.echr.coe.int/eng?i=001-67628" TargetMode="External"/><Relationship Id="rId757" Type="http://schemas.openxmlformats.org/officeDocument/2006/relationships/hyperlink" Target="http://hudoc.echr.coe.int/eng?i=001-202522" TargetMode="External"/><Relationship Id="rId799" Type="http://schemas.openxmlformats.org/officeDocument/2006/relationships/hyperlink" Target="http://hudoc.echr.coe.int/eng?i=001-145784" TargetMode="External"/><Relationship Id="rId51" Type="http://schemas.openxmlformats.org/officeDocument/2006/relationships/hyperlink" Target="http://hudoc.echr.coe.int/eng?i=001-178195" TargetMode="External"/><Relationship Id="rId93" Type="http://schemas.openxmlformats.org/officeDocument/2006/relationships/hyperlink" Target="http://hudoc.echr.coe.int/eng?i=001-96022" TargetMode="External"/><Relationship Id="rId189" Type="http://schemas.openxmlformats.org/officeDocument/2006/relationships/hyperlink" Target="http://hudoc.echr.coe.int/eng?i=001-59689" TargetMode="External"/><Relationship Id="rId396" Type="http://schemas.openxmlformats.org/officeDocument/2006/relationships/hyperlink" Target="http://hudoc.echr.coe.int/eng?i=001-58205" TargetMode="External"/><Relationship Id="rId561" Type="http://schemas.openxmlformats.org/officeDocument/2006/relationships/hyperlink" Target="http://hudoc.echr.coe.int/eng?i=001-666" TargetMode="External"/><Relationship Id="rId617" Type="http://schemas.openxmlformats.org/officeDocument/2006/relationships/hyperlink" Target="http://hudoc.echr.coe.int/eng?i=001-58262" TargetMode="External"/><Relationship Id="rId659" Type="http://schemas.openxmlformats.org/officeDocument/2006/relationships/hyperlink" Target="http://hudoc.echr.coe.int/eng?i=001-183375" TargetMode="External"/><Relationship Id="rId824" Type="http://schemas.openxmlformats.org/officeDocument/2006/relationships/hyperlink" Target="http://hudoc.echr.coe.int/eng?i=001-198480" TargetMode="External"/><Relationship Id="rId866" Type="http://schemas.openxmlformats.org/officeDocument/2006/relationships/hyperlink" Target="http://hudoc.echr.coe.int/eng?i=001-73291" TargetMode="External"/><Relationship Id="rId214" Type="http://schemas.openxmlformats.org/officeDocument/2006/relationships/hyperlink" Target="http://hudoc.echr.coe.int/eng?i=001-158200" TargetMode="External"/><Relationship Id="rId256" Type="http://schemas.openxmlformats.org/officeDocument/2006/relationships/hyperlink" Target="http://hudoc.echr.coe.int/eng?i=001-144673" TargetMode="External"/><Relationship Id="rId298" Type="http://schemas.openxmlformats.org/officeDocument/2006/relationships/hyperlink" Target="http://hudoc.echr.coe.int/eng?i=001-114240" TargetMode="External"/><Relationship Id="rId421" Type="http://schemas.openxmlformats.org/officeDocument/2006/relationships/hyperlink" Target="http://hudoc.echr.coe.int/eng?i=001-60936" TargetMode="External"/><Relationship Id="rId463" Type="http://schemas.openxmlformats.org/officeDocument/2006/relationships/hyperlink" Target="http://hudoc.echr.coe.int/eng?i=001-70720" TargetMode="External"/><Relationship Id="rId519" Type="http://schemas.openxmlformats.org/officeDocument/2006/relationships/hyperlink" Target="http://hudoc.echr.coe.int/eng?i=001-22588" TargetMode="External"/><Relationship Id="rId670" Type="http://schemas.openxmlformats.org/officeDocument/2006/relationships/hyperlink" Target="http://hudoc.echr.coe.int/eng?i=001-91571" TargetMode="External"/><Relationship Id="rId116" Type="http://schemas.openxmlformats.org/officeDocument/2006/relationships/hyperlink" Target="http://hudoc.echr.coe.int/eng?i=001-160215" TargetMode="External"/><Relationship Id="rId158" Type="http://schemas.openxmlformats.org/officeDocument/2006/relationships/hyperlink" Target="http://hudoc.echr.coe.int/eng?i=001-205060" TargetMode="External"/><Relationship Id="rId323" Type="http://schemas.openxmlformats.org/officeDocument/2006/relationships/hyperlink" Target="http://hudoc.echr.coe.int/eng?i=001-5846" TargetMode="External"/><Relationship Id="rId530" Type="http://schemas.openxmlformats.org/officeDocument/2006/relationships/hyperlink" Target="http://hudoc.echr.coe.int/eng?i=001-155631" TargetMode="External"/><Relationship Id="rId726" Type="http://schemas.openxmlformats.org/officeDocument/2006/relationships/hyperlink" Target="http://hudoc.echr.coe.int/eng?i=001-163356" TargetMode="External"/><Relationship Id="rId768" Type="http://schemas.openxmlformats.org/officeDocument/2006/relationships/hyperlink" Target="http://hudoc.echr.coe.int/eng?i=001-84351" TargetMode="External"/><Relationship Id="rId20" Type="http://schemas.openxmlformats.org/officeDocument/2006/relationships/hyperlink" Target="https://www.echr.coe.int/documents/d/echr/HUDOC_Manual_ENG" TargetMode="External"/><Relationship Id="rId62" Type="http://schemas.openxmlformats.org/officeDocument/2006/relationships/hyperlink" Target="http://hudoc.echr.coe.int/eng?i=001-187605" TargetMode="External"/><Relationship Id="rId365" Type="http://schemas.openxmlformats.org/officeDocument/2006/relationships/hyperlink" Target="http://hudoc.echr.coe.int/eng?i=001-163356" TargetMode="External"/><Relationship Id="rId572" Type="http://schemas.openxmlformats.org/officeDocument/2006/relationships/hyperlink" Target="http://hudoc.echr.coe.int/eng?i=001-57574" TargetMode="External"/><Relationship Id="rId628" Type="http://schemas.openxmlformats.org/officeDocument/2006/relationships/hyperlink" Target="http://hudoc.echr.coe.int/eng?i=001-87130" TargetMode="External"/><Relationship Id="rId835" Type="http://schemas.openxmlformats.org/officeDocument/2006/relationships/hyperlink" Target="http://hudoc.echr.coe.int/eng?i=001-81507" TargetMode="External"/><Relationship Id="rId225" Type="http://schemas.openxmlformats.org/officeDocument/2006/relationships/hyperlink" Target="http://hudoc.echr.coe.int/eng?i=001-204854" TargetMode="External"/><Relationship Id="rId267" Type="http://schemas.openxmlformats.org/officeDocument/2006/relationships/hyperlink" Target="http://hudoc.echr.coe.int/eng?i=001-88775" TargetMode="External"/><Relationship Id="rId432" Type="http://schemas.openxmlformats.org/officeDocument/2006/relationships/hyperlink" Target="http://hudoc.echr.coe.int/eng?i=001-78390" TargetMode="External"/><Relationship Id="rId474" Type="http://schemas.openxmlformats.org/officeDocument/2006/relationships/hyperlink" Target="http://hudoc.echr.coe.int/eng?i=001-113410" TargetMode="External"/><Relationship Id="rId877" Type="http://schemas.openxmlformats.org/officeDocument/2006/relationships/hyperlink" Target="http://hudoc.echr.coe.int/eng?i=001-122183" TargetMode="External"/><Relationship Id="rId127" Type="http://schemas.openxmlformats.org/officeDocument/2006/relationships/hyperlink" Target="http://hudoc.echr.coe.int/eng?i=001-60953" TargetMode="External"/><Relationship Id="rId681" Type="http://schemas.openxmlformats.org/officeDocument/2006/relationships/hyperlink" Target="http://hudoc.echr.coe.int/eng?i=001-159203" TargetMode="External"/><Relationship Id="rId737" Type="http://schemas.openxmlformats.org/officeDocument/2006/relationships/hyperlink" Target="http://hudoc.echr.coe.int/eng?i=001-111532" TargetMode="External"/><Relationship Id="rId779" Type="http://schemas.openxmlformats.org/officeDocument/2006/relationships/hyperlink" Target="http://hudoc.echr.coe.int/eng?i=001-155631" TargetMode="External"/><Relationship Id="rId902" Type="http://schemas.openxmlformats.org/officeDocument/2006/relationships/footer" Target="footer1.xml"/><Relationship Id="rId31" Type="http://schemas.openxmlformats.org/officeDocument/2006/relationships/hyperlink" Target="https://hudoc.echr.coe.int/eng" TargetMode="External"/><Relationship Id="rId73" Type="http://schemas.openxmlformats.org/officeDocument/2006/relationships/hyperlink" Target="http://hudoc.echr.coe.int/eng?i=001-207418" TargetMode="External"/><Relationship Id="rId169" Type="http://schemas.openxmlformats.org/officeDocument/2006/relationships/hyperlink" Target="http://hudoc.echr.coe.int/eng?i=001-187605" TargetMode="External"/><Relationship Id="rId334" Type="http://schemas.openxmlformats.org/officeDocument/2006/relationships/hyperlink" Target="http://hudoc.echr.coe.int/eng?i=001-85679" TargetMode="External"/><Relationship Id="rId376" Type="http://schemas.openxmlformats.org/officeDocument/2006/relationships/hyperlink" Target="http://hudoc.echr.coe.int/eng?i=001-194613" TargetMode="External"/><Relationship Id="rId541" Type="http://schemas.openxmlformats.org/officeDocument/2006/relationships/hyperlink" Target="http://hudoc.echr.coe.int/eng?i=001-87634" TargetMode="External"/><Relationship Id="rId583" Type="http://schemas.openxmlformats.org/officeDocument/2006/relationships/hyperlink" Target="http://hudoc.echr.coe.int/eng?i=001-146671" TargetMode="External"/><Relationship Id="rId639" Type="http://schemas.openxmlformats.org/officeDocument/2006/relationships/hyperlink" Target="http://hudoc.echr.coe.int/eng?i=001-147058" TargetMode="External"/><Relationship Id="rId790" Type="http://schemas.openxmlformats.org/officeDocument/2006/relationships/hyperlink" Target="http://hudoc.echr.coe.int/eng?i=001-159250" TargetMode="External"/><Relationship Id="rId804" Type="http://schemas.openxmlformats.org/officeDocument/2006/relationships/hyperlink" Target="http://hudoc.echr.coe.int/eng?i=001-187732" TargetMode="External"/><Relationship Id="rId4" Type="http://schemas.openxmlformats.org/officeDocument/2006/relationships/settings" Target="settings.xml"/><Relationship Id="rId180" Type="http://schemas.openxmlformats.org/officeDocument/2006/relationships/hyperlink" Target="http://hudoc.echr.coe.int/eng?i=001-159762" TargetMode="External"/><Relationship Id="rId236" Type="http://schemas.openxmlformats.org/officeDocument/2006/relationships/hyperlink" Target="http://hudoc.echr.coe.int/eng?i=001-158200" TargetMode="External"/><Relationship Id="rId278" Type="http://schemas.openxmlformats.org/officeDocument/2006/relationships/hyperlink" Target="http://hudoc.echr.coe.int/eng?i=001-83297" TargetMode="External"/><Relationship Id="rId401" Type="http://schemas.openxmlformats.org/officeDocument/2006/relationships/hyperlink" Target="http://hudoc.echr.coe.int/eng?i=001-94854" TargetMode="External"/><Relationship Id="rId443" Type="http://schemas.openxmlformats.org/officeDocument/2006/relationships/hyperlink" Target="http://hudoc.echr.coe.int/eng?i=001-68175" TargetMode="External"/><Relationship Id="rId650" Type="http://schemas.openxmlformats.org/officeDocument/2006/relationships/hyperlink" Target="http://hudoc.echr.coe.int/eng?i=001-101257" TargetMode="External"/><Relationship Id="rId846" Type="http://schemas.openxmlformats.org/officeDocument/2006/relationships/hyperlink" Target="http://hudoc.echr.coe.int/eng?i=001-58172" TargetMode="External"/><Relationship Id="rId888" Type="http://schemas.openxmlformats.org/officeDocument/2006/relationships/hyperlink" Target="https://hudoc.echr.coe.int/eng?i=001-217394" TargetMode="External"/><Relationship Id="rId303" Type="http://schemas.openxmlformats.org/officeDocument/2006/relationships/hyperlink" Target="http://hudoc.echr.coe.int/eng?i=001-58372" TargetMode="External"/><Relationship Id="rId485" Type="http://schemas.openxmlformats.org/officeDocument/2006/relationships/hyperlink" Target="http://hudoc.echr.coe.int/eng?i=001-88022" TargetMode="External"/><Relationship Id="rId692" Type="http://schemas.openxmlformats.org/officeDocument/2006/relationships/hyperlink" Target="http://hudoc.echr.coe.int/eng?i=001-80038" TargetMode="External"/><Relationship Id="rId706" Type="http://schemas.openxmlformats.org/officeDocument/2006/relationships/hyperlink" Target="http://hudoc.echr.coe.int/eng?i=001-113410" TargetMode="External"/><Relationship Id="rId748" Type="http://schemas.openxmlformats.org/officeDocument/2006/relationships/hyperlink" Target="http://hudoc.echr.coe.int/eng?i=001-666" TargetMode="External"/><Relationship Id="rId42" Type="http://schemas.openxmlformats.org/officeDocument/2006/relationships/hyperlink" Target="http://hudoc.echr.coe.int/eng?i=001-144673" TargetMode="External"/><Relationship Id="rId84" Type="http://schemas.openxmlformats.org/officeDocument/2006/relationships/hyperlink" Target="http://hudoc.echr.coe.int/eng?i=001-114769" TargetMode="External"/><Relationship Id="rId138" Type="http://schemas.openxmlformats.org/officeDocument/2006/relationships/hyperlink" Target="http://hudoc.echr.coe.int/eng?i=001-112446" TargetMode="External"/><Relationship Id="rId345" Type="http://schemas.openxmlformats.org/officeDocument/2006/relationships/hyperlink" Target="http://hudoc.echr.coe.int/eng?i=001-84351" TargetMode="External"/><Relationship Id="rId387" Type="http://schemas.openxmlformats.org/officeDocument/2006/relationships/hyperlink" Target="http://hudoc.echr.coe.int/eng?i=001-142196" TargetMode="External"/><Relationship Id="rId510" Type="http://schemas.openxmlformats.org/officeDocument/2006/relationships/hyperlink" Target="http://hudoc.echr.coe.int/eng?i=001-155631" TargetMode="External"/><Relationship Id="rId552" Type="http://schemas.openxmlformats.org/officeDocument/2006/relationships/hyperlink" Target="http://hudoc.echr.coe.int/eng?i=001-73731" TargetMode="External"/><Relationship Id="rId594" Type="http://schemas.openxmlformats.org/officeDocument/2006/relationships/hyperlink" Target="http://hudoc.echr.coe.int/eng?i=001-98443" TargetMode="External"/><Relationship Id="rId608" Type="http://schemas.openxmlformats.org/officeDocument/2006/relationships/hyperlink" Target="http://hudoc.echr.coe.int/eng?i=001-89558" TargetMode="External"/><Relationship Id="rId815" Type="http://schemas.openxmlformats.org/officeDocument/2006/relationships/hyperlink" Target="http://hudoc.echr.coe.int/eng?i=001-159907" TargetMode="External"/><Relationship Id="rId191" Type="http://schemas.openxmlformats.org/officeDocument/2006/relationships/hyperlink" Target="http://hudoc.echr.coe.int/eng?i=001-81950" TargetMode="External"/><Relationship Id="rId205" Type="http://schemas.openxmlformats.org/officeDocument/2006/relationships/hyperlink" Target="http://hudoc.echr.coe.int/eng?i=001-161952" TargetMode="External"/><Relationship Id="rId247" Type="http://schemas.openxmlformats.org/officeDocument/2006/relationships/hyperlink" Target="http://hudoc.echr.coe.int/eng?i=001-23889" TargetMode="External"/><Relationship Id="rId412" Type="http://schemas.openxmlformats.org/officeDocument/2006/relationships/hyperlink" Target="http://hudoc.echr.coe.int/eng?i=001-206513" TargetMode="External"/><Relationship Id="rId857" Type="http://schemas.openxmlformats.org/officeDocument/2006/relationships/hyperlink" Target="http://hudoc.echr.coe.int/eng?i=001-172858" TargetMode="External"/><Relationship Id="rId899" Type="http://schemas.openxmlformats.org/officeDocument/2006/relationships/hyperlink" Target="http://hudoc.echr.coe.int/eng?i=001-194450" TargetMode="External"/><Relationship Id="rId107" Type="http://schemas.openxmlformats.org/officeDocument/2006/relationships/hyperlink" Target="http://hudoc.echr.coe.int/eng?i=001-175668" TargetMode="External"/><Relationship Id="rId289" Type="http://schemas.openxmlformats.org/officeDocument/2006/relationships/hyperlink" Target="http://hudoc.echr.coe.int/eng?i=001-106893" TargetMode="External"/><Relationship Id="rId454" Type="http://schemas.openxmlformats.org/officeDocument/2006/relationships/hyperlink" Target="http://hudoc.echr.coe.int/eng?i=001-162211" TargetMode="External"/><Relationship Id="rId496" Type="http://schemas.openxmlformats.org/officeDocument/2006/relationships/hyperlink" Target="http://hudoc.echr.coe.int/eng?i=001-70720" TargetMode="External"/><Relationship Id="rId661" Type="http://schemas.openxmlformats.org/officeDocument/2006/relationships/hyperlink" Target="http://hudoc.echr.coe.int/eng?i=001-90651" TargetMode="External"/><Relationship Id="rId717" Type="http://schemas.openxmlformats.org/officeDocument/2006/relationships/hyperlink" Target="http://hudoc.echr.coe.int/eng?i=001-112446" TargetMode="External"/><Relationship Id="rId759" Type="http://schemas.openxmlformats.org/officeDocument/2006/relationships/hyperlink" Target="http://hudoc.echr.coe.int/eng?i=001-22598" TargetMode="External"/><Relationship Id="rId11" Type="http://schemas.openxmlformats.org/officeDocument/2006/relationships/hyperlink" Target="https://twitter.com/echrpublication" TargetMode="External"/><Relationship Id="rId53" Type="http://schemas.openxmlformats.org/officeDocument/2006/relationships/hyperlink" Target="https://hudoc.echr.coe.int/eng?i=001-216156" TargetMode="External"/><Relationship Id="rId149" Type="http://schemas.openxmlformats.org/officeDocument/2006/relationships/hyperlink" Target="http://hudoc.echr.coe.int/eng?i=001-57675" TargetMode="External"/><Relationship Id="rId314" Type="http://schemas.openxmlformats.org/officeDocument/2006/relationships/hyperlink" Target="http://hudoc.echr.coe.int/eng?i=001-22598" TargetMode="External"/><Relationship Id="rId356" Type="http://schemas.openxmlformats.org/officeDocument/2006/relationships/hyperlink" Target="http://hudoc.echr.coe.int/eng?i=001-57844" TargetMode="External"/><Relationship Id="rId398" Type="http://schemas.openxmlformats.org/officeDocument/2006/relationships/hyperlink" Target="http://hudoc.echr.coe.int/eng?i=001-94854" TargetMode="External"/><Relationship Id="rId521" Type="http://schemas.openxmlformats.org/officeDocument/2006/relationships/hyperlink" Target="http://hudoc.echr.coe.int/eng?i=001-122763" TargetMode="External"/><Relationship Id="rId563" Type="http://schemas.openxmlformats.org/officeDocument/2006/relationships/hyperlink" Target="https://hudoc.echr.coe.int/eng?i=001-217114" TargetMode="External"/><Relationship Id="rId619" Type="http://schemas.openxmlformats.org/officeDocument/2006/relationships/hyperlink" Target="http://hudoc.echr.coe.int/eng?i=001-58012" TargetMode="External"/><Relationship Id="rId770" Type="http://schemas.openxmlformats.org/officeDocument/2006/relationships/hyperlink" Target="http://hudoc.echr.coe.int/eng?i=001-168394" TargetMode="External"/><Relationship Id="rId95" Type="http://schemas.openxmlformats.org/officeDocument/2006/relationships/hyperlink" Target="http://hudoc.echr.coe.int/eng?i=001-178195" TargetMode="External"/><Relationship Id="rId160" Type="http://schemas.openxmlformats.org/officeDocument/2006/relationships/hyperlink" Target="http://hudoc.echr.coe.int/eng?i=001-118393" TargetMode="External"/><Relationship Id="rId216" Type="http://schemas.openxmlformats.org/officeDocument/2006/relationships/hyperlink" Target="http://hudoc.echr.coe.int/eng?i=001-104794" TargetMode="External"/><Relationship Id="rId423" Type="http://schemas.openxmlformats.org/officeDocument/2006/relationships/hyperlink" Target="http://hudoc.echr.coe.int/eng?i=001-78869" TargetMode="External"/><Relationship Id="rId826" Type="http://schemas.openxmlformats.org/officeDocument/2006/relationships/hyperlink" Target="http://hudoc.echr.coe.int/eng?i=001-60936" TargetMode="External"/><Relationship Id="rId868" Type="http://schemas.openxmlformats.org/officeDocument/2006/relationships/hyperlink" Target="http://hudoc.echr.coe.int/eng?i=001-186667" TargetMode="External"/><Relationship Id="rId258" Type="http://schemas.openxmlformats.org/officeDocument/2006/relationships/hyperlink" Target="http://hudoc.echr.coe.int/eng?i=001-187605" TargetMode="External"/><Relationship Id="rId465" Type="http://schemas.openxmlformats.org/officeDocument/2006/relationships/hyperlink" Target="http://hudoc.echr.coe.int/eng?i=001-85589" TargetMode="External"/><Relationship Id="rId630" Type="http://schemas.openxmlformats.org/officeDocument/2006/relationships/hyperlink" Target="http://hudoc.echr.coe.int/eng?i=001-58262" TargetMode="External"/><Relationship Id="rId672" Type="http://schemas.openxmlformats.org/officeDocument/2006/relationships/hyperlink" Target="http://hudoc.echr.coe.int/eng?i=001-174422" TargetMode="External"/><Relationship Id="rId728" Type="http://schemas.openxmlformats.org/officeDocument/2006/relationships/hyperlink" Target="http://hudoc.echr.coe.int/eng?i=001-61637" TargetMode="External"/><Relationship Id="rId22" Type="http://schemas.openxmlformats.org/officeDocument/2006/relationships/hyperlink" Target="https://hudoc.echr.coe.int/eng" TargetMode="External"/><Relationship Id="rId64" Type="http://schemas.openxmlformats.org/officeDocument/2006/relationships/hyperlink" Target="http://hudoc.echr.coe.int/eng?i=001-186667" TargetMode="External"/><Relationship Id="rId118" Type="http://schemas.openxmlformats.org/officeDocument/2006/relationships/hyperlink" Target="http://hudoc.echr.coe.int/eng?i=001-144673" TargetMode="External"/><Relationship Id="rId325" Type="http://schemas.openxmlformats.org/officeDocument/2006/relationships/hyperlink" Target="http://hudoc.echr.coe.int/eng?i=001-4728" TargetMode="External"/><Relationship Id="rId367" Type="http://schemas.openxmlformats.org/officeDocument/2006/relationships/hyperlink" Target="https://hudoc.echr.coe.int/eng?i=001-217751" TargetMode="External"/><Relationship Id="rId532" Type="http://schemas.openxmlformats.org/officeDocument/2006/relationships/hyperlink" Target="http://hudoc.echr.coe.int/eng?i=001-89558" TargetMode="External"/><Relationship Id="rId574" Type="http://schemas.openxmlformats.org/officeDocument/2006/relationships/hyperlink" Target="http://hudoc.echr.coe.int/eng?i=001-60554" TargetMode="External"/><Relationship Id="rId171" Type="http://schemas.openxmlformats.org/officeDocument/2006/relationships/hyperlink" Target="http://hudoc.echr.coe.int/eng?i=001-160429" TargetMode="External"/><Relationship Id="rId227" Type="http://schemas.openxmlformats.org/officeDocument/2006/relationships/hyperlink" Target="https://hudoc.echr.coe.int/eng" TargetMode="External"/><Relationship Id="rId781" Type="http://schemas.openxmlformats.org/officeDocument/2006/relationships/hyperlink" Target="http://hudoc.echr.coe.int/eng?i=001-74412" TargetMode="External"/><Relationship Id="rId837" Type="http://schemas.openxmlformats.org/officeDocument/2006/relationships/hyperlink" Target="http://hudoc.echr.coe.int/eng?i=001-89066" TargetMode="External"/><Relationship Id="rId879" Type="http://schemas.openxmlformats.org/officeDocument/2006/relationships/hyperlink" Target="http://hudoc.echr.coe.int/eng?i=001-118393" TargetMode="External"/><Relationship Id="rId269" Type="http://schemas.openxmlformats.org/officeDocument/2006/relationships/hyperlink" Target="http://hudoc.echr.coe.int/eng?i=001-170857" TargetMode="External"/><Relationship Id="rId434" Type="http://schemas.openxmlformats.org/officeDocument/2006/relationships/hyperlink" Target="http://hudoc.echr.coe.int/eng?i=001-60416" TargetMode="External"/><Relationship Id="rId476" Type="http://schemas.openxmlformats.org/officeDocument/2006/relationships/hyperlink" Target="http://hudoc.echr.coe.int/eng?i=001-77249" TargetMode="External"/><Relationship Id="rId641" Type="http://schemas.openxmlformats.org/officeDocument/2006/relationships/hyperlink" Target="http://hudoc.echr.coe.int" TargetMode="External"/><Relationship Id="rId683" Type="http://schemas.openxmlformats.org/officeDocument/2006/relationships/hyperlink" Target="https://hudoc.echr.coe.int/eng?i=001-216937" TargetMode="External"/><Relationship Id="rId739" Type="http://schemas.openxmlformats.org/officeDocument/2006/relationships/hyperlink" Target="http://hudoc.echr.coe.int/eng?i=001-148181" TargetMode="External"/><Relationship Id="rId890" Type="http://schemas.openxmlformats.org/officeDocument/2006/relationships/hyperlink" Target="http://hudoc.echr.coe.int/eng?i=001-204272" TargetMode="External"/><Relationship Id="rId904" Type="http://schemas.openxmlformats.org/officeDocument/2006/relationships/header" Target="header3.xml"/><Relationship Id="rId33" Type="http://schemas.openxmlformats.org/officeDocument/2006/relationships/hyperlink" Target="https://hudoc.echr.coe.int/eng" TargetMode="External"/><Relationship Id="rId129" Type="http://schemas.openxmlformats.org/officeDocument/2006/relationships/hyperlink" Target="http://hudoc.echr.coe.int/eng?i=001-154400" TargetMode="External"/><Relationship Id="rId280" Type="http://schemas.openxmlformats.org/officeDocument/2006/relationships/hyperlink" Target="http://hudoc.echr.coe.int/eng?i=001-175467" TargetMode="External"/><Relationship Id="rId336" Type="http://schemas.openxmlformats.org/officeDocument/2006/relationships/hyperlink" Target="http://hudoc.echr.coe.int/eng?i=001-79301" TargetMode="External"/><Relationship Id="rId501" Type="http://schemas.openxmlformats.org/officeDocument/2006/relationships/hyperlink" Target="http://hudoc.echr.coe.int/eng?i=001-80464" TargetMode="External"/><Relationship Id="rId543" Type="http://schemas.openxmlformats.org/officeDocument/2006/relationships/hyperlink" Target="https://hudoc.echr.coe.int/eng?i=001-217480" TargetMode="External"/><Relationship Id="rId75" Type="http://schemas.openxmlformats.org/officeDocument/2006/relationships/hyperlink" Target="http://hudoc.echr.coe.int/eng?i=001-162200" TargetMode="External"/><Relationship Id="rId140" Type="http://schemas.openxmlformats.org/officeDocument/2006/relationships/hyperlink" Target="http://hudoc.echr.coe.int/eng?i=001-206266" TargetMode="External"/><Relationship Id="rId182" Type="http://schemas.openxmlformats.org/officeDocument/2006/relationships/hyperlink" Target="https://hudoc.echr.coe.int/eng?i=001-211813" TargetMode="External"/><Relationship Id="rId378" Type="http://schemas.openxmlformats.org/officeDocument/2006/relationships/hyperlink" Target="http://hudoc.echr.coe.int/eng?i=001-58205" TargetMode="External"/><Relationship Id="rId403" Type="http://schemas.openxmlformats.org/officeDocument/2006/relationships/hyperlink" Target="http://hudoc.echr.coe.int/eng?i=001-122183" TargetMode="External"/><Relationship Id="rId585" Type="http://schemas.openxmlformats.org/officeDocument/2006/relationships/hyperlink" Target="http://hudoc.echr.coe.int/eng?i=001-187732" TargetMode="External"/><Relationship Id="rId750" Type="http://schemas.openxmlformats.org/officeDocument/2006/relationships/hyperlink" Target="http://hudoc.echr.coe.int/eng?i=001-78869" TargetMode="External"/><Relationship Id="rId792" Type="http://schemas.openxmlformats.org/officeDocument/2006/relationships/hyperlink" Target="http://hudoc.echr.coe.int/eng?i=001-86635" TargetMode="External"/><Relationship Id="rId806" Type="http://schemas.openxmlformats.org/officeDocument/2006/relationships/hyperlink" Target="http://hudoc.echr.coe.int/eng?i=001-76098" TargetMode="External"/><Relationship Id="rId848" Type="http://schemas.openxmlformats.org/officeDocument/2006/relationships/hyperlink" Target="http://hudoc.echr.coe.int/eng?i=001-59689" TargetMode="External"/><Relationship Id="rId6" Type="http://schemas.openxmlformats.org/officeDocument/2006/relationships/footnotes" Target="footnotes.xml"/><Relationship Id="rId238" Type="http://schemas.openxmlformats.org/officeDocument/2006/relationships/hyperlink" Target="http://hudoc.echr.coe.int/eng?i=001-89066" TargetMode="External"/><Relationship Id="rId445" Type="http://schemas.openxmlformats.org/officeDocument/2006/relationships/hyperlink" Target="http://hudoc.echr.coe.int/eng?i=001-202465" TargetMode="External"/><Relationship Id="rId487" Type="http://schemas.openxmlformats.org/officeDocument/2006/relationships/hyperlink" Target="http://hudoc.echr.coe.int/eng?i=001-94565" TargetMode="External"/><Relationship Id="rId610" Type="http://schemas.openxmlformats.org/officeDocument/2006/relationships/hyperlink" Target="http://hudoc.echr.coe.int/eng?i=001-59623" TargetMode="External"/><Relationship Id="rId652" Type="http://schemas.openxmlformats.org/officeDocument/2006/relationships/hyperlink" Target="http://hudoc.echr.coe.int/eng?i=001-90340" TargetMode="External"/><Relationship Id="rId694" Type="http://schemas.openxmlformats.org/officeDocument/2006/relationships/hyperlink" Target="http://hudoc.echr.coe.int/eng?i=001-60413" TargetMode="External"/><Relationship Id="rId708" Type="http://schemas.openxmlformats.org/officeDocument/2006/relationships/hyperlink" Target="https://hudoc.echr.coe.int/eng?i=001-216156" TargetMode="External"/><Relationship Id="rId291" Type="http://schemas.openxmlformats.org/officeDocument/2006/relationships/hyperlink" Target="http://hudoc.echr.coe.int/eng?i=001-61637" TargetMode="External"/><Relationship Id="rId305" Type="http://schemas.openxmlformats.org/officeDocument/2006/relationships/hyperlink" Target="http://hudoc.echr.coe.int/eng?i=001-74412" TargetMode="External"/><Relationship Id="rId347" Type="http://schemas.openxmlformats.org/officeDocument/2006/relationships/hyperlink" Target="http://hudoc.echr.coe.int/eng?i=001-2511" TargetMode="External"/><Relationship Id="rId512" Type="http://schemas.openxmlformats.org/officeDocument/2006/relationships/hyperlink" Target="http://hudoc.echr.coe.int/eng?i=001-57527" TargetMode="External"/><Relationship Id="rId44" Type="http://schemas.openxmlformats.org/officeDocument/2006/relationships/hyperlink" Target="http://hudoc.echr.coe.int/eng?i=001-210733" TargetMode="External"/><Relationship Id="rId86" Type="http://schemas.openxmlformats.org/officeDocument/2006/relationships/hyperlink" Target="http://hudoc.echr.coe.int/eng?i=001-170857" TargetMode="External"/><Relationship Id="rId151" Type="http://schemas.openxmlformats.org/officeDocument/2006/relationships/hyperlink" Target="http://hudoc.echr.coe.int/eng?i=001-59689" TargetMode="External"/><Relationship Id="rId389" Type="http://schemas.openxmlformats.org/officeDocument/2006/relationships/hyperlink" Target="http://hudoc.echr.coe.int/eng?i=001-107014" TargetMode="External"/><Relationship Id="rId554" Type="http://schemas.openxmlformats.org/officeDocument/2006/relationships/hyperlink" Target="http://hudoc.echr.coe.int/eng?i=001-79604" TargetMode="External"/><Relationship Id="rId596" Type="http://schemas.openxmlformats.org/officeDocument/2006/relationships/hyperlink" Target="http://hudoc.echr.coe.int/eng?i=001-142192" TargetMode="External"/><Relationship Id="rId761" Type="http://schemas.openxmlformats.org/officeDocument/2006/relationships/hyperlink" Target="http://hudoc.echr.coe.int/eng?i=001-145013" TargetMode="External"/><Relationship Id="rId817" Type="http://schemas.openxmlformats.org/officeDocument/2006/relationships/hyperlink" Target="https://hudoc.echr.coe.int/?i=001-225645" TargetMode="External"/><Relationship Id="rId859" Type="http://schemas.openxmlformats.org/officeDocument/2006/relationships/hyperlink" Target="http://hudoc.echr.coe.int/eng?i=001-70678" TargetMode="External"/><Relationship Id="rId193" Type="http://schemas.openxmlformats.org/officeDocument/2006/relationships/hyperlink" Target="http://hudoc.echr.coe.int/eng?i=001-144673" TargetMode="External"/><Relationship Id="rId207" Type="http://schemas.openxmlformats.org/officeDocument/2006/relationships/hyperlink" Target="http://hudoc.echr.coe.int/eng?i=001-80464" TargetMode="External"/><Relationship Id="rId249" Type="http://schemas.openxmlformats.org/officeDocument/2006/relationships/hyperlink" Target="http://hudoc.echr.coe.int/eng?i=001-60413" TargetMode="External"/><Relationship Id="rId414" Type="http://schemas.openxmlformats.org/officeDocument/2006/relationships/hyperlink" Target="http://hudoc.echr.coe.int/eng?i=001-106893" TargetMode="External"/><Relationship Id="rId456" Type="http://schemas.openxmlformats.org/officeDocument/2006/relationships/hyperlink" Target="http://hudoc.echr.coe.int/eng?i=001-162211" TargetMode="External"/><Relationship Id="rId498" Type="http://schemas.openxmlformats.org/officeDocument/2006/relationships/hyperlink" Target="http://hudoc.echr.coe.int/eng?i=001-72015" TargetMode="External"/><Relationship Id="rId621" Type="http://schemas.openxmlformats.org/officeDocument/2006/relationships/hyperlink" Target="http://hudoc.echr.coe.int/eng?i=001-113335" TargetMode="External"/><Relationship Id="rId663" Type="http://schemas.openxmlformats.org/officeDocument/2006/relationships/hyperlink" Target="http://hudoc.echr.coe.int/eng?i=001-79604" TargetMode="External"/><Relationship Id="rId870" Type="http://schemas.openxmlformats.org/officeDocument/2006/relationships/hyperlink" Target="http://hudoc.echr.coe.int/eng?i=001-58128" TargetMode="External"/><Relationship Id="rId13" Type="http://schemas.openxmlformats.org/officeDocument/2006/relationships/hyperlink" Target="http://hudoc.echr.coe.int/eng?i=001-165032" TargetMode="External"/><Relationship Id="rId109" Type="http://schemas.openxmlformats.org/officeDocument/2006/relationships/hyperlink" Target="http://hudoc.echr.coe.int/eng?i=001-57675" TargetMode="External"/><Relationship Id="rId260" Type="http://schemas.openxmlformats.org/officeDocument/2006/relationships/hyperlink" Target="http://hudoc.echr.coe.int/eng?i=001-187605" TargetMode="External"/><Relationship Id="rId316" Type="http://schemas.openxmlformats.org/officeDocument/2006/relationships/hyperlink" Target="http://hudoc.echr.coe.int/eng?i=001-57522" TargetMode="External"/><Relationship Id="rId523" Type="http://schemas.openxmlformats.org/officeDocument/2006/relationships/hyperlink" Target="http://hudoc.echr.coe.int/eng?i=001-155631" TargetMode="External"/><Relationship Id="rId719" Type="http://schemas.openxmlformats.org/officeDocument/2006/relationships/hyperlink" Target="http://hudoc.echr.coe.int/eng?i=001-67628" TargetMode="External"/><Relationship Id="rId55" Type="http://schemas.openxmlformats.org/officeDocument/2006/relationships/hyperlink" Target="http://hudoc.echr.coe.int/eng?i=001-58240" TargetMode="External"/><Relationship Id="rId97" Type="http://schemas.openxmlformats.org/officeDocument/2006/relationships/hyperlink" Target="http://hudoc.echr.coe.int/eng?i=001-158200" TargetMode="External"/><Relationship Id="rId120" Type="http://schemas.openxmlformats.org/officeDocument/2006/relationships/hyperlink" Target="http://hudoc.echr.coe.int/eng?i=001-198480" TargetMode="External"/><Relationship Id="rId358" Type="http://schemas.openxmlformats.org/officeDocument/2006/relationships/hyperlink" Target="http://hudoc.echr.coe.int/eng?i=001-72015" TargetMode="External"/><Relationship Id="rId565" Type="http://schemas.openxmlformats.org/officeDocument/2006/relationships/hyperlink" Target="http://hudoc.echr.coe.int/eng?i=001-142192" TargetMode="External"/><Relationship Id="rId730" Type="http://schemas.openxmlformats.org/officeDocument/2006/relationships/hyperlink" Target="http://hudoc.echr.coe.int/eng?i=001-160215" TargetMode="External"/><Relationship Id="rId772" Type="http://schemas.openxmlformats.org/officeDocument/2006/relationships/hyperlink" Target="http://hudoc.echr.coe.int/eng?i=001-172471" TargetMode="External"/><Relationship Id="rId828" Type="http://schemas.openxmlformats.org/officeDocument/2006/relationships/hyperlink" Target="http://hudoc.echr.coe.int/eng?i=001-88022" TargetMode="External"/><Relationship Id="rId162" Type="http://schemas.openxmlformats.org/officeDocument/2006/relationships/hyperlink" Target="http://hudoc.echr.coe.int/eng?i=001-60953" TargetMode="External"/><Relationship Id="rId218" Type="http://schemas.openxmlformats.org/officeDocument/2006/relationships/hyperlink" Target="http://hudoc.echr.coe.int/eng?i=001-142969" TargetMode="External"/><Relationship Id="rId425" Type="http://schemas.openxmlformats.org/officeDocument/2006/relationships/hyperlink" Target="http://hudoc.echr.coe.int/eng?i=001-122183" TargetMode="External"/><Relationship Id="rId467" Type="http://schemas.openxmlformats.org/officeDocument/2006/relationships/hyperlink" Target="http://hudoc.echr.coe.int/eng?i=001-82663" TargetMode="External"/><Relationship Id="rId632" Type="http://schemas.openxmlformats.org/officeDocument/2006/relationships/hyperlink" Target="http://hudoc.echr.coe.int/eng?i=001-113335" TargetMode="External"/><Relationship Id="rId271" Type="http://schemas.openxmlformats.org/officeDocument/2006/relationships/hyperlink" Target="http://hudoc.echr.coe.int/eng?i=001-87642" TargetMode="External"/><Relationship Id="rId674" Type="http://schemas.openxmlformats.org/officeDocument/2006/relationships/hyperlink" Target="http://hudoc.echr.coe.int/eng?i=001-182170" TargetMode="External"/><Relationship Id="rId881" Type="http://schemas.openxmlformats.org/officeDocument/2006/relationships/hyperlink" Target="http://hudoc.echr.coe.int/eng?i=001-60554" TargetMode="External"/><Relationship Id="rId24" Type="http://schemas.openxmlformats.org/officeDocument/2006/relationships/hyperlink" Target="http://hudoc.echr.coe.int/eng?i=001-178195" TargetMode="External"/><Relationship Id="rId66" Type="http://schemas.openxmlformats.org/officeDocument/2006/relationships/hyperlink" Target="http://hudoc.echr.coe.int/eng?i=001-148286" TargetMode="External"/><Relationship Id="rId131" Type="http://schemas.openxmlformats.org/officeDocument/2006/relationships/hyperlink" Target="http://hudoc.echr.coe.int/eng?i=001-158200" TargetMode="External"/><Relationship Id="rId327" Type="http://schemas.openxmlformats.org/officeDocument/2006/relationships/hyperlink" Target="http://hudoc.echr.coe.int/eng?i=001-23528" TargetMode="External"/><Relationship Id="rId369" Type="http://schemas.openxmlformats.org/officeDocument/2006/relationships/hyperlink" Target="http://hudoc.echr.coe.int/eng?i=001-61638" TargetMode="External"/><Relationship Id="rId534" Type="http://schemas.openxmlformats.org/officeDocument/2006/relationships/hyperlink" Target="http://hudoc.echr.coe.int/eng?i=001-122763" TargetMode="External"/><Relationship Id="rId576" Type="http://schemas.openxmlformats.org/officeDocument/2006/relationships/hyperlink" Target="http://hudoc.echr.coe.int/eng?i=001-22540" TargetMode="External"/><Relationship Id="rId741" Type="http://schemas.openxmlformats.org/officeDocument/2006/relationships/hyperlink" Target="http://hudoc.echr.coe.int/eng?i=001-160430" TargetMode="External"/><Relationship Id="rId783" Type="http://schemas.openxmlformats.org/officeDocument/2006/relationships/hyperlink" Target="http://hudoc.echr.coe.int/eng?i=001-175467" TargetMode="External"/><Relationship Id="rId839" Type="http://schemas.openxmlformats.org/officeDocument/2006/relationships/hyperlink" Target="http://hudoc.echr.coe.int/eng?i=001-58205" TargetMode="External"/><Relationship Id="rId173" Type="http://schemas.openxmlformats.org/officeDocument/2006/relationships/hyperlink" Target="http://hudoc.echr.coe.int/eng?i=001-187605" TargetMode="External"/><Relationship Id="rId229" Type="http://schemas.openxmlformats.org/officeDocument/2006/relationships/hyperlink" Target="http://hudoc.echr.coe.int/eng?i=001-204854" TargetMode="External"/><Relationship Id="rId380" Type="http://schemas.openxmlformats.org/officeDocument/2006/relationships/hyperlink" Target="http://hudoc.echr.coe.int/eng?i=001-68175" TargetMode="External"/><Relationship Id="rId436" Type="http://schemas.openxmlformats.org/officeDocument/2006/relationships/hyperlink" Target="http://hudoc.echr.coe.int/eng?i=001-58372" TargetMode="External"/><Relationship Id="rId601" Type="http://schemas.openxmlformats.org/officeDocument/2006/relationships/hyperlink" Target="http://hudoc.echr.coe.int/eng?i=001-89558" TargetMode="External"/><Relationship Id="rId643" Type="http://schemas.openxmlformats.org/officeDocument/2006/relationships/hyperlink" Target="http://hudoc.echr.coe.int/eng?i=001-82944" TargetMode="External"/><Relationship Id="rId240" Type="http://schemas.openxmlformats.org/officeDocument/2006/relationships/hyperlink" Target="http://hudoc.echr.coe.int/eng?i=001-23889" TargetMode="External"/><Relationship Id="rId478" Type="http://schemas.openxmlformats.org/officeDocument/2006/relationships/hyperlink" Target="http://hudoc.echr.coe.int/eng?i=001-142196" TargetMode="External"/><Relationship Id="rId685" Type="http://schemas.openxmlformats.org/officeDocument/2006/relationships/hyperlink" Target="https://hudoc.echr.coe.int/eng?i=001-213367" TargetMode="External"/><Relationship Id="rId850" Type="http://schemas.openxmlformats.org/officeDocument/2006/relationships/hyperlink" Target="https://hudoc.echr.coe.int/eng?i=001-217480" TargetMode="External"/><Relationship Id="rId892" Type="http://schemas.openxmlformats.org/officeDocument/2006/relationships/hyperlink" Target="http://hudoc.echr.coe.int/eng?i=001-73526" TargetMode="External"/><Relationship Id="rId906" Type="http://schemas.openxmlformats.org/officeDocument/2006/relationships/fontTable" Target="fontTable.xml"/><Relationship Id="rId35" Type="http://schemas.openxmlformats.org/officeDocument/2006/relationships/hyperlink" Target="https://hudoc.echr.coe.int/eng" TargetMode="External"/><Relationship Id="rId77" Type="http://schemas.openxmlformats.org/officeDocument/2006/relationships/hyperlink" Target="http://hudoc.echr.coe.int/eng?i=001-60953" TargetMode="External"/><Relationship Id="rId100" Type="http://schemas.openxmlformats.org/officeDocument/2006/relationships/hyperlink" Target="http://hudoc.echr.coe.int/eng?i=001-166937" TargetMode="External"/><Relationship Id="rId282" Type="http://schemas.openxmlformats.org/officeDocument/2006/relationships/hyperlink" Target="http://hudoc.echr.coe.int/eng?i=001-160215" TargetMode="External"/><Relationship Id="rId338" Type="http://schemas.openxmlformats.org/officeDocument/2006/relationships/hyperlink" Target="http://hudoc.echr.coe.int/eng?i=001-94565" TargetMode="External"/><Relationship Id="rId503" Type="http://schemas.openxmlformats.org/officeDocument/2006/relationships/hyperlink" Target="http://hudoc.echr.coe.int/eng?i=001-194448" TargetMode="External"/><Relationship Id="rId545" Type="http://schemas.openxmlformats.org/officeDocument/2006/relationships/hyperlink" Target="https://hudoc.echr.coe.int/eng?i=001-222320" TargetMode="External"/><Relationship Id="rId587" Type="http://schemas.openxmlformats.org/officeDocument/2006/relationships/hyperlink" Target="http://hudoc.echr.coe.int/eng?i=001-142192" TargetMode="External"/><Relationship Id="rId710" Type="http://schemas.openxmlformats.org/officeDocument/2006/relationships/hyperlink" Target="http://hudoc.echr.coe.int/eng?i=001-154161" TargetMode="External"/><Relationship Id="rId752" Type="http://schemas.openxmlformats.org/officeDocument/2006/relationships/hyperlink" Target="http://hudoc.echr.coe.int/eng?i=001-4728" TargetMode="External"/><Relationship Id="rId808" Type="http://schemas.openxmlformats.org/officeDocument/2006/relationships/hyperlink" Target="http://hudoc.echr.coe.int/eng?i=001-22050" TargetMode="External"/><Relationship Id="rId8" Type="http://schemas.openxmlformats.org/officeDocument/2006/relationships/hyperlink" Target="https://app.echr.coe.int/Contact/EchrContactForm/English/41" TargetMode="External"/><Relationship Id="rId142" Type="http://schemas.openxmlformats.org/officeDocument/2006/relationships/hyperlink" Target="http://hudoc.echr.coe.int/eng?i=001-112446" TargetMode="External"/><Relationship Id="rId184" Type="http://schemas.openxmlformats.org/officeDocument/2006/relationships/hyperlink" Target="http://hudoc.echr.coe.int/eng?i=001-83297" TargetMode="External"/><Relationship Id="rId391" Type="http://schemas.openxmlformats.org/officeDocument/2006/relationships/hyperlink" Target="http://hudoc.echr.coe.int/eng?i=001-72093" TargetMode="External"/><Relationship Id="rId405" Type="http://schemas.openxmlformats.org/officeDocument/2006/relationships/hyperlink" Target="http://hudoc.echr.coe.int/eng?i=001-204123" TargetMode="External"/><Relationship Id="rId447" Type="http://schemas.openxmlformats.org/officeDocument/2006/relationships/hyperlink" Target="http://hudoc.echr.coe.int/eng?i=001-58128" TargetMode="External"/><Relationship Id="rId612" Type="http://schemas.openxmlformats.org/officeDocument/2006/relationships/hyperlink" Target="http://hudoc.echr.coe.int/eng?i=001-89558" TargetMode="External"/><Relationship Id="rId794" Type="http://schemas.openxmlformats.org/officeDocument/2006/relationships/hyperlink" Target="http://hudoc.echr.coe.int/eng?i=001-142192" TargetMode="External"/><Relationship Id="rId251" Type="http://schemas.openxmlformats.org/officeDocument/2006/relationships/hyperlink" Target="http://hudoc.echr.coe.int/eng?i=001-157705" TargetMode="External"/><Relationship Id="rId489" Type="http://schemas.openxmlformats.org/officeDocument/2006/relationships/hyperlink" Target="http://hudoc.echr.coe.int/eng?i=001-174668" TargetMode="External"/><Relationship Id="rId654" Type="http://schemas.openxmlformats.org/officeDocument/2006/relationships/hyperlink" Target="http://hudoc.echr.coe.int/eng?i=001-175668" TargetMode="External"/><Relationship Id="rId696" Type="http://schemas.openxmlformats.org/officeDocument/2006/relationships/hyperlink" Target="http://hudoc.echr.coe.int/eng?i=001-206513" TargetMode="External"/><Relationship Id="rId861" Type="http://schemas.openxmlformats.org/officeDocument/2006/relationships/hyperlink" Target="http://hudoc.echr.coe.int/eng?i=001-107014" TargetMode="External"/><Relationship Id="rId46" Type="http://schemas.openxmlformats.org/officeDocument/2006/relationships/hyperlink" Target="http://hudoc.echr.coe.int/eng?i=001-91571" TargetMode="External"/><Relationship Id="rId293" Type="http://schemas.openxmlformats.org/officeDocument/2006/relationships/hyperlink" Target="http://hudoc.echr.coe.int/eng?i=001-66711" TargetMode="External"/><Relationship Id="rId307" Type="http://schemas.openxmlformats.org/officeDocument/2006/relationships/hyperlink" Target="http://hudoc.echr.coe.int/eng?i=001-58288" TargetMode="External"/><Relationship Id="rId349" Type="http://schemas.openxmlformats.org/officeDocument/2006/relationships/hyperlink" Target="http://hudoc.echr.coe.int/eng?i=001-172471" TargetMode="External"/><Relationship Id="rId514" Type="http://schemas.openxmlformats.org/officeDocument/2006/relationships/hyperlink" Target="http://hudoc.echr.coe.int/eng?i=001-122763" TargetMode="External"/><Relationship Id="rId556" Type="http://schemas.openxmlformats.org/officeDocument/2006/relationships/hyperlink" Target="http://hudoc.echr.coe.int/eng?i=001-79604" TargetMode="External"/><Relationship Id="rId721" Type="http://schemas.openxmlformats.org/officeDocument/2006/relationships/hyperlink" Target="http://hudoc.echr.coe.int/eng?i=001-96372" TargetMode="External"/><Relationship Id="rId763" Type="http://schemas.openxmlformats.org/officeDocument/2006/relationships/hyperlink" Target="http://hudoc.echr.coe.int/eng?i=001-78982" TargetMode="External"/><Relationship Id="rId88" Type="http://schemas.openxmlformats.org/officeDocument/2006/relationships/hyperlink" Target="http://hudoc.echr.coe.int/eng?i=001-61080" TargetMode="External"/><Relationship Id="rId111" Type="http://schemas.openxmlformats.org/officeDocument/2006/relationships/hyperlink" Target="http://hudoc.echr.coe.int/eng?i=001-204854" TargetMode="External"/><Relationship Id="rId153" Type="http://schemas.openxmlformats.org/officeDocument/2006/relationships/hyperlink" Target="https://hudoc.echr.coe.int/eng?i=001-167094" TargetMode="External"/><Relationship Id="rId195" Type="http://schemas.openxmlformats.org/officeDocument/2006/relationships/hyperlink" Target="http://hudoc.echr.coe.int/eng?i=001-59689" TargetMode="External"/><Relationship Id="rId209" Type="http://schemas.openxmlformats.org/officeDocument/2006/relationships/hyperlink" Target="http://hudoc.echr.coe.int/eng?i=001-83580" TargetMode="External"/><Relationship Id="rId360" Type="http://schemas.openxmlformats.org/officeDocument/2006/relationships/hyperlink" Target="http://hudoc.echr.coe.int/eng?i=001-57608" TargetMode="External"/><Relationship Id="rId416" Type="http://schemas.openxmlformats.org/officeDocument/2006/relationships/hyperlink" Target="http://hudoc.echr.coe.int/eng?i=001-61637" TargetMode="External"/><Relationship Id="rId598" Type="http://schemas.openxmlformats.org/officeDocument/2006/relationships/hyperlink" Target="http://hudoc.echr.coe.int/eng?i=001-172858" TargetMode="External"/><Relationship Id="rId819" Type="http://schemas.openxmlformats.org/officeDocument/2006/relationships/hyperlink" Target="http://hudoc.echr.coe.int/eng?i=001-23528" TargetMode="External"/><Relationship Id="rId220" Type="http://schemas.openxmlformats.org/officeDocument/2006/relationships/hyperlink" Target="http://hudoc.echr.coe.int/eng?i=001-23889" TargetMode="External"/><Relationship Id="rId458" Type="http://schemas.openxmlformats.org/officeDocument/2006/relationships/hyperlink" Target="http://hudoc.echr.coe.int/eng?i=001-80897" TargetMode="External"/><Relationship Id="rId623" Type="http://schemas.openxmlformats.org/officeDocument/2006/relationships/hyperlink" Target="http://hudoc.echr.coe.int/eng?i=001-72521" TargetMode="External"/><Relationship Id="rId665" Type="http://schemas.openxmlformats.org/officeDocument/2006/relationships/hyperlink" Target="http://hudoc.echr.coe.int/eng?i=001-80464" TargetMode="External"/><Relationship Id="rId830" Type="http://schemas.openxmlformats.org/officeDocument/2006/relationships/hyperlink" Target="http://hudoc.echr.coe.int/eng?i=001-104495" TargetMode="External"/><Relationship Id="rId872" Type="http://schemas.openxmlformats.org/officeDocument/2006/relationships/hyperlink" Target="http://hudoc.echr.coe.int/eng?i=001-87634" TargetMode="External"/><Relationship Id="rId15" Type="http://schemas.openxmlformats.org/officeDocument/2006/relationships/hyperlink" Target="http://hudoc.echr.coe.int/eng?i=001-69564" TargetMode="External"/><Relationship Id="rId57" Type="http://schemas.openxmlformats.org/officeDocument/2006/relationships/hyperlink" Target="http://hudoc.echr.coe.int/eng?i=001-158200" TargetMode="External"/><Relationship Id="rId262" Type="http://schemas.openxmlformats.org/officeDocument/2006/relationships/hyperlink" Target="http://hudoc.echr.coe.int/eng?i=001-119970" TargetMode="External"/><Relationship Id="rId318" Type="http://schemas.openxmlformats.org/officeDocument/2006/relationships/hyperlink" Target="http://hudoc.echr.coe.int/eng?i=001-23528" TargetMode="External"/><Relationship Id="rId525" Type="http://schemas.openxmlformats.org/officeDocument/2006/relationships/hyperlink" Target="http://hudoc.echr.coe.int/eng?i=001-57574" TargetMode="External"/><Relationship Id="rId567" Type="http://schemas.openxmlformats.org/officeDocument/2006/relationships/hyperlink" Target="http://hudoc.echr.coe.int/eng?i=001-22148" TargetMode="External"/><Relationship Id="rId732" Type="http://schemas.openxmlformats.org/officeDocument/2006/relationships/hyperlink" Target="http://hudoc.echr.coe.int/eng?i=001-122062" TargetMode="External"/><Relationship Id="rId99" Type="http://schemas.openxmlformats.org/officeDocument/2006/relationships/hyperlink" Target="http://hudoc.echr.coe.int/eng?i=001-160215" TargetMode="External"/><Relationship Id="rId122" Type="http://schemas.openxmlformats.org/officeDocument/2006/relationships/hyperlink" Target="http://hudoc.echr.coe.int/eng?i=001-160215" TargetMode="External"/><Relationship Id="rId164" Type="http://schemas.openxmlformats.org/officeDocument/2006/relationships/hyperlink" Target="http://hudoc.echr.coe.int/eng?i=001-83297" TargetMode="External"/><Relationship Id="rId371" Type="http://schemas.openxmlformats.org/officeDocument/2006/relationships/hyperlink" Target="http://hudoc.echr.coe.int/eng?i=001-61638" TargetMode="External"/><Relationship Id="rId774" Type="http://schemas.openxmlformats.org/officeDocument/2006/relationships/hyperlink" Target="http://hudoc.echr.coe.int/eng?i=001-61638" TargetMode="External"/><Relationship Id="rId427" Type="http://schemas.openxmlformats.org/officeDocument/2006/relationships/hyperlink" Target="http://hudoc.echr.coe.int/eng?i=001-204822" TargetMode="External"/><Relationship Id="rId469" Type="http://schemas.openxmlformats.org/officeDocument/2006/relationships/hyperlink" Target="http://hudoc.echr.coe.int/eng?i=001-72093" TargetMode="External"/><Relationship Id="rId634" Type="http://schemas.openxmlformats.org/officeDocument/2006/relationships/hyperlink" Target="http://hudoc.echr.coe.int/eng?i=001-79618" TargetMode="External"/><Relationship Id="rId676" Type="http://schemas.openxmlformats.org/officeDocument/2006/relationships/hyperlink" Target="http://hudoc.echr.coe.int/eng?i=001-112101" TargetMode="External"/><Relationship Id="rId841" Type="http://schemas.openxmlformats.org/officeDocument/2006/relationships/hyperlink" Target="https://hudoc.echr.coe.int/eng?i=001-217105" TargetMode="External"/><Relationship Id="rId883" Type="http://schemas.openxmlformats.org/officeDocument/2006/relationships/hyperlink" Target="http://hudoc.echr.coe.int/eng?i=001-66711" TargetMode="External"/><Relationship Id="rId26" Type="http://schemas.openxmlformats.org/officeDocument/2006/relationships/hyperlink" Target="https://hudoc.echr.coe.int/eng" TargetMode="External"/><Relationship Id="rId231" Type="http://schemas.openxmlformats.org/officeDocument/2006/relationships/hyperlink" Target="http://hudoc.echr.coe.int/eng?i=001-164991" TargetMode="External"/><Relationship Id="rId273" Type="http://schemas.openxmlformats.org/officeDocument/2006/relationships/hyperlink" Target="http://hudoc.echr.coe.int/eng?i=001-22050" TargetMode="External"/><Relationship Id="rId329" Type="http://schemas.openxmlformats.org/officeDocument/2006/relationships/hyperlink" Target="http://hudoc.echr.coe.int/eng?i=001-5846" TargetMode="External"/><Relationship Id="rId480" Type="http://schemas.openxmlformats.org/officeDocument/2006/relationships/hyperlink" Target="http://hudoc.echr.coe.int/eng?i=001-77249" TargetMode="External"/><Relationship Id="rId536" Type="http://schemas.openxmlformats.org/officeDocument/2006/relationships/hyperlink" Target="http://hudoc.echr.coe.int/eng?i=001-79604" TargetMode="External"/><Relationship Id="rId701" Type="http://schemas.openxmlformats.org/officeDocument/2006/relationships/hyperlink" Target="http://hudoc.echr.coe.int/eng?i=001-93854" TargetMode="External"/><Relationship Id="rId68" Type="http://schemas.openxmlformats.org/officeDocument/2006/relationships/hyperlink" Target="http://hudoc.echr.coe.int/eng?i=001-187605" TargetMode="External"/><Relationship Id="rId133" Type="http://schemas.openxmlformats.org/officeDocument/2006/relationships/hyperlink" Target="http://hudoc.echr.coe.int/eng?i=001-78330" TargetMode="External"/><Relationship Id="rId175" Type="http://schemas.openxmlformats.org/officeDocument/2006/relationships/hyperlink" Target="http://hudoc.echr.coe.int/eng?i=001-144673" TargetMode="External"/><Relationship Id="rId340" Type="http://schemas.openxmlformats.org/officeDocument/2006/relationships/hyperlink" Target="http://hudoc.echr.coe.int/eng?i=001-81209" TargetMode="External"/><Relationship Id="rId578" Type="http://schemas.openxmlformats.org/officeDocument/2006/relationships/hyperlink" Target="http://hudoc.echr.coe.int/eng?i=001-142192" TargetMode="External"/><Relationship Id="rId743" Type="http://schemas.openxmlformats.org/officeDocument/2006/relationships/hyperlink" Target="http://hudoc.echr.coe.int/eng?i=001-202465" TargetMode="External"/><Relationship Id="rId785" Type="http://schemas.openxmlformats.org/officeDocument/2006/relationships/hyperlink" Target="http://hudoc.echr.coe.int/eng?i=001-174668" TargetMode="External"/><Relationship Id="rId200" Type="http://schemas.openxmlformats.org/officeDocument/2006/relationships/hyperlink" Target="https://hudoc.echr.coe.int/eng?i=001-221542" TargetMode="External"/><Relationship Id="rId382" Type="http://schemas.openxmlformats.org/officeDocument/2006/relationships/hyperlink" Target="http://hudoc.echr.coe.int/eng?i=001-122183" TargetMode="External"/><Relationship Id="rId438" Type="http://schemas.openxmlformats.org/officeDocument/2006/relationships/hyperlink" Target="http://hudoc.echr.coe.int/eng?i=001-93475" TargetMode="External"/><Relationship Id="rId603" Type="http://schemas.openxmlformats.org/officeDocument/2006/relationships/hyperlink" Target="http://hudoc.echr.coe.int/eng?i=001-73731" TargetMode="External"/><Relationship Id="rId645" Type="http://schemas.openxmlformats.org/officeDocument/2006/relationships/hyperlink" Target="http://hudoc.echr.coe.int/eng?i=001-147058" TargetMode="External"/><Relationship Id="rId687" Type="http://schemas.openxmlformats.org/officeDocument/2006/relationships/hyperlink" Target="http://hudoc.echr.coe.int/eng?i=001-73731" TargetMode="External"/><Relationship Id="rId810" Type="http://schemas.openxmlformats.org/officeDocument/2006/relationships/hyperlink" Target="http://hudoc.echr.coe.int/eng?i=001-5846" TargetMode="External"/><Relationship Id="rId852" Type="http://schemas.openxmlformats.org/officeDocument/2006/relationships/hyperlink" Target="http://hudoc.echr.coe.int/eng?i=001-57527" TargetMode="External"/><Relationship Id="rId242" Type="http://schemas.openxmlformats.org/officeDocument/2006/relationships/hyperlink" Target="file:///C:\Users\T_Barbaresco\AppData\Roaming\OpenText\DM\Temp\Berladir" TargetMode="External"/><Relationship Id="rId284" Type="http://schemas.openxmlformats.org/officeDocument/2006/relationships/hyperlink" Target="https://echr.coe.int/Documents/Guide_Mass_protests_ENG.pdf" TargetMode="External"/><Relationship Id="rId491" Type="http://schemas.openxmlformats.org/officeDocument/2006/relationships/hyperlink" Target="http://hudoc.echr.coe.int/eng?i=001-182170" TargetMode="External"/><Relationship Id="rId505" Type="http://schemas.openxmlformats.org/officeDocument/2006/relationships/hyperlink" Target="http://hudoc.echr.coe.int/eng?i=001-93854" TargetMode="External"/><Relationship Id="rId712" Type="http://schemas.openxmlformats.org/officeDocument/2006/relationships/hyperlink" Target="http://hudoc.echr.coe.int/eng?i=001-57479" TargetMode="External"/><Relationship Id="rId894" Type="http://schemas.openxmlformats.org/officeDocument/2006/relationships/hyperlink" Target="http://hudoc.echr.coe.int/eng?i=001-205060" TargetMode="External"/><Relationship Id="rId37" Type="http://schemas.openxmlformats.org/officeDocument/2006/relationships/hyperlink" Target="http://hudoc.echr.coe.int/eng?i=001-91113" TargetMode="External"/><Relationship Id="rId79" Type="http://schemas.openxmlformats.org/officeDocument/2006/relationships/hyperlink" Target="http://hudoc.echr.coe.int/eng?i=001-154161" TargetMode="External"/><Relationship Id="rId102" Type="http://schemas.openxmlformats.org/officeDocument/2006/relationships/hyperlink" Target="http://hudoc.echr.coe.int/eng?i=001-97049" TargetMode="External"/><Relationship Id="rId144" Type="http://schemas.openxmlformats.org/officeDocument/2006/relationships/hyperlink" Target="http://hudoc.echr.coe.int/eng?i=001-81950" TargetMode="External"/><Relationship Id="rId547" Type="http://schemas.openxmlformats.org/officeDocument/2006/relationships/hyperlink" Target="http://hudoc.echr.coe.int/eng?i=001-57844" TargetMode="External"/><Relationship Id="rId589" Type="http://schemas.openxmlformats.org/officeDocument/2006/relationships/hyperlink" Target="http://hudoc.echr.coe.int/eng?i=001-79604" TargetMode="External"/><Relationship Id="rId754" Type="http://schemas.openxmlformats.org/officeDocument/2006/relationships/hyperlink" Target="http://hudoc.echr.coe.int/eng?i=001-167094" TargetMode="External"/><Relationship Id="rId796" Type="http://schemas.openxmlformats.org/officeDocument/2006/relationships/hyperlink" Target="http://hudoc.echr.coe.int/eng?i=001-187605" TargetMode="External"/><Relationship Id="rId90" Type="http://schemas.openxmlformats.org/officeDocument/2006/relationships/hyperlink" Target="http://hudoc.echr.coe.int/eng?i=001-186667" TargetMode="External"/><Relationship Id="rId186" Type="http://schemas.openxmlformats.org/officeDocument/2006/relationships/hyperlink" Target="http://hudoc.echr.coe.int/eng?i=001-205817" TargetMode="External"/><Relationship Id="rId351" Type="http://schemas.openxmlformats.org/officeDocument/2006/relationships/hyperlink" Target="http://hudoc.echr.coe.int/eng?i=001-94854" TargetMode="External"/><Relationship Id="rId393" Type="http://schemas.openxmlformats.org/officeDocument/2006/relationships/hyperlink" Target="http://hudoc.echr.coe.int/eng?i=001-107014" TargetMode="External"/><Relationship Id="rId407" Type="http://schemas.openxmlformats.org/officeDocument/2006/relationships/hyperlink" Target="http://hudoc.echr.coe.int/eng?i=001-107110" TargetMode="External"/><Relationship Id="rId449" Type="http://schemas.openxmlformats.org/officeDocument/2006/relationships/hyperlink" Target="http://hudoc.echr.coe.int/eng?i=001-58172" TargetMode="External"/><Relationship Id="rId614" Type="http://schemas.openxmlformats.org/officeDocument/2006/relationships/hyperlink" Target="http://hudoc.echr.coe.int/eng?i=001-147058" TargetMode="External"/><Relationship Id="rId656" Type="http://schemas.openxmlformats.org/officeDocument/2006/relationships/hyperlink" Target="http://hudoc.echr.coe.int/eng?i=001-61080" TargetMode="External"/><Relationship Id="rId821" Type="http://schemas.openxmlformats.org/officeDocument/2006/relationships/hyperlink" Target="http://hudoc.echr.coe.int/eng?i=001-91499" TargetMode="External"/><Relationship Id="rId863" Type="http://schemas.openxmlformats.org/officeDocument/2006/relationships/hyperlink" Target="http://hudoc.echr.coe.int/eng?i=001-107110" TargetMode="External"/><Relationship Id="rId211" Type="http://schemas.openxmlformats.org/officeDocument/2006/relationships/hyperlink" Target="http://hudoc.echr.coe.int/eng?i=001-145784" TargetMode="External"/><Relationship Id="rId253" Type="http://schemas.openxmlformats.org/officeDocument/2006/relationships/hyperlink" Target="http://hudoc.echr.coe.int/eng?i=001-78330" TargetMode="External"/><Relationship Id="rId295" Type="http://schemas.openxmlformats.org/officeDocument/2006/relationships/hyperlink" Target="http://hudoc.echr.coe.int/eng?i=001-57608" TargetMode="External"/><Relationship Id="rId309" Type="http://schemas.openxmlformats.org/officeDocument/2006/relationships/hyperlink" Target="http://hudoc.echr.coe.int/eng?i=001-58288" TargetMode="External"/><Relationship Id="rId460" Type="http://schemas.openxmlformats.org/officeDocument/2006/relationships/hyperlink" Target="http://hudoc.echr.coe.int/eng?i=001-61637" TargetMode="External"/><Relationship Id="rId516" Type="http://schemas.openxmlformats.org/officeDocument/2006/relationships/hyperlink" Target="https://hudoc.echr.coe.int/eng?i=001-213908" TargetMode="External"/><Relationship Id="rId698" Type="http://schemas.openxmlformats.org/officeDocument/2006/relationships/hyperlink" Target="https://hudoc.echr.coe.int/eng?i=001-211813" TargetMode="External"/><Relationship Id="rId48" Type="http://schemas.openxmlformats.org/officeDocument/2006/relationships/hyperlink" Target="http://hudoc.echr.coe.int/eng?i=001-158200" TargetMode="External"/><Relationship Id="rId113" Type="http://schemas.openxmlformats.org/officeDocument/2006/relationships/hyperlink" Target="http://hudoc.echr.coe.int/eng?i=001-22050" TargetMode="External"/><Relationship Id="rId320" Type="http://schemas.openxmlformats.org/officeDocument/2006/relationships/hyperlink" Target="http://hudoc.echr.coe.int/eng?i=001-82136" TargetMode="External"/><Relationship Id="rId558" Type="http://schemas.openxmlformats.org/officeDocument/2006/relationships/hyperlink" Target="http://hudoc.echr.coe.int/eng?i=001-79604" TargetMode="External"/><Relationship Id="rId723" Type="http://schemas.openxmlformats.org/officeDocument/2006/relationships/hyperlink" Target="http://hudoc.echr.coe.int/eng?i=001-159762" TargetMode="External"/><Relationship Id="rId765" Type="http://schemas.openxmlformats.org/officeDocument/2006/relationships/hyperlink" Target="http://hudoc.echr.coe.int/eng?i=001-204854" TargetMode="External"/><Relationship Id="rId155" Type="http://schemas.openxmlformats.org/officeDocument/2006/relationships/hyperlink" Target="http://hudoc.echr.coe.int/eng?i=001-126541" TargetMode="External"/><Relationship Id="rId197" Type="http://schemas.openxmlformats.org/officeDocument/2006/relationships/hyperlink" Target="http://hudoc.echr.coe.int/eng?i=001-59689" TargetMode="External"/><Relationship Id="rId362" Type="http://schemas.openxmlformats.org/officeDocument/2006/relationships/hyperlink" Target="http://hudoc.echr.coe.int/eng?i=001-57844" TargetMode="External"/><Relationship Id="rId418" Type="http://schemas.openxmlformats.org/officeDocument/2006/relationships/hyperlink" Target="http://hudoc.echr.coe.int/eng?i=001-60936" TargetMode="External"/><Relationship Id="rId625" Type="http://schemas.openxmlformats.org/officeDocument/2006/relationships/hyperlink" Target="http://hudoc.echr.coe.int/eng?i=001-92267" TargetMode="External"/><Relationship Id="rId832" Type="http://schemas.openxmlformats.org/officeDocument/2006/relationships/hyperlink" Target="http://hudoc.echr.coe.int/eng?i=001-22588" TargetMode="External"/><Relationship Id="rId222" Type="http://schemas.openxmlformats.org/officeDocument/2006/relationships/hyperlink" Target="https://hudoc.echr.coe.int/eng?i=001-224577" TargetMode="External"/><Relationship Id="rId264" Type="http://schemas.openxmlformats.org/officeDocument/2006/relationships/hyperlink" Target="http://hudoc.echr.coe.int/eng?i=001-187605" TargetMode="External"/><Relationship Id="rId471" Type="http://schemas.openxmlformats.org/officeDocument/2006/relationships/hyperlink" Target="http://hudoc.echr.coe.int/eng?i=001-61637" TargetMode="External"/><Relationship Id="rId667" Type="http://schemas.openxmlformats.org/officeDocument/2006/relationships/hyperlink" Target="http://hudoc.echr.coe.int/eng?i=001-180501" TargetMode="External"/><Relationship Id="rId874" Type="http://schemas.openxmlformats.org/officeDocument/2006/relationships/hyperlink" Target="http://hudoc.echr.coe.int/eng?i=001-24931" TargetMode="External"/><Relationship Id="rId17" Type="http://schemas.openxmlformats.org/officeDocument/2006/relationships/hyperlink" Target="https://hudoc.echr.coe.int/eng?i=001-216400" TargetMode="External"/><Relationship Id="rId59" Type="http://schemas.openxmlformats.org/officeDocument/2006/relationships/hyperlink" Target="http://hudoc.echr.coe.int/eng?i=001-187605" TargetMode="External"/><Relationship Id="rId124" Type="http://schemas.openxmlformats.org/officeDocument/2006/relationships/hyperlink" Target="http://hudoc.echr.coe.int/eng?i=001-180501" TargetMode="External"/><Relationship Id="rId527" Type="http://schemas.openxmlformats.org/officeDocument/2006/relationships/hyperlink" Target="http://hudoc.echr.coe.int/eng?i=001-89558" TargetMode="External"/><Relationship Id="rId569" Type="http://schemas.openxmlformats.org/officeDocument/2006/relationships/hyperlink" Target="http://hudoc.echr.coe.int/eng?i=001-60554" TargetMode="External"/><Relationship Id="rId734" Type="http://schemas.openxmlformats.org/officeDocument/2006/relationships/hyperlink" Target="http://hudoc.echr.coe.int/eng?i=001-110263" TargetMode="External"/><Relationship Id="rId776" Type="http://schemas.openxmlformats.org/officeDocument/2006/relationships/hyperlink" Target="https://hudoc.echr.coe.int/eng?i=001-218940" TargetMode="External"/><Relationship Id="rId70" Type="http://schemas.openxmlformats.org/officeDocument/2006/relationships/hyperlink" Target="http://hudoc.echr.coe.int/eng?i=001-198482" TargetMode="External"/><Relationship Id="rId166" Type="http://schemas.openxmlformats.org/officeDocument/2006/relationships/hyperlink" Target="http://hudoc.echr.coe.int/eng?i=001-158200" TargetMode="External"/><Relationship Id="rId331" Type="http://schemas.openxmlformats.org/officeDocument/2006/relationships/hyperlink" Target="http://hudoc.echr.coe.int/eng?i=001-61637" TargetMode="External"/><Relationship Id="rId373" Type="http://schemas.openxmlformats.org/officeDocument/2006/relationships/hyperlink" Target="http://hudoc.echr.coe.int/eng?i=001-94854" TargetMode="External"/><Relationship Id="rId429" Type="http://schemas.openxmlformats.org/officeDocument/2006/relationships/hyperlink" Target="http://hudoc.echr.coe.int/eng?i=001-58128" TargetMode="External"/><Relationship Id="rId580" Type="http://schemas.openxmlformats.org/officeDocument/2006/relationships/hyperlink" Target="https://hudoc.echr.coe.int/eng?i=001-215535" TargetMode="External"/><Relationship Id="rId636" Type="http://schemas.openxmlformats.org/officeDocument/2006/relationships/hyperlink" Target="http://hudoc.echr.coe.int/eng?i=001-57479" TargetMode="External"/><Relationship Id="rId801" Type="http://schemas.openxmlformats.org/officeDocument/2006/relationships/hyperlink" Target="http://hudoc.echr.coe.int/eng?i=001-162200" TargetMode="External"/><Relationship Id="rId1" Type="http://schemas.openxmlformats.org/officeDocument/2006/relationships/customXml" Target="../customXml/item1.xml"/><Relationship Id="rId233" Type="http://schemas.openxmlformats.org/officeDocument/2006/relationships/hyperlink" Target="http://hudoc.echr.coe.int/eng?i=001-179585" TargetMode="External"/><Relationship Id="rId440" Type="http://schemas.openxmlformats.org/officeDocument/2006/relationships/hyperlink" Target="http://hudoc.echr.coe.int/eng?i=001-68175" TargetMode="External"/><Relationship Id="rId678" Type="http://schemas.openxmlformats.org/officeDocument/2006/relationships/hyperlink" Target="http://hudoc.echr.coe.int/eng?i=001-67180" TargetMode="External"/><Relationship Id="rId843" Type="http://schemas.openxmlformats.org/officeDocument/2006/relationships/hyperlink" Target="http://hudoc.echr.coe.int/eng?i=001-87130" TargetMode="External"/><Relationship Id="rId885" Type="http://schemas.openxmlformats.org/officeDocument/2006/relationships/hyperlink" Target="http://hudoc.echr.coe.int/eng?i=001-166937" TargetMode="External"/><Relationship Id="rId28" Type="http://schemas.openxmlformats.org/officeDocument/2006/relationships/hyperlink" Target="https://hudoc.echr.coe.int/eng" TargetMode="External"/><Relationship Id="rId275" Type="http://schemas.openxmlformats.org/officeDocument/2006/relationships/hyperlink" Target="http://hudoc.echr.coe.int/eng?i=001-158200" TargetMode="External"/><Relationship Id="rId300" Type="http://schemas.openxmlformats.org/officeDocument/2006/relationships/hyperlink" Target="http://hudoc.echr.coe.int/eng?i=001-184875" TargetMode="External"/><Relationship Id="rId482" Type="http://schemas.openxmlformats.org/officeDocument/2006/relationships/hyperlink" Target="http://hudoc.echr.coe.int/eng?i=001-77249" TargetMode="External"/><Relationship Id="rId538" Type="http://schemas.openxmlformats.org/officeDocument/2006/relationships/hyperlink" Target="http://hudoc.echr.coe.int/eng?i=001-113335" TargetMode="External"/><Relationship Id="rId703" Type="http://schemas.openxmlformats.org/officeDocument/2006/relationships/hyperlink" Target="http://hudoc.echr.coe.int/eng?i=001-154735" TargetMode="External"/><Relationship Id="rId745" Type="http://schemas.openxmlformats.org/officeDocument/2006/relationships/hyperlink" Target="http://hudoc.echr.coe.int/eng?i=001-162697" TargetMode="External"/><Relationship Id="rId81" Type="http://schemas.openxmlformats.org/officeDocument/2006/relationships/hyperlink" Target="http://hudoc.echr.coe.int/eng?i=001-22414" TargetMode="External"/><Relationship Id="rId135" Type="http://schemas.openxmlformats.org/officeDocument/2006/relationships/hyperlink" Target="http://hudoc.echr.coe.int/eng?i=001-159762" TargetMode="External"/><Relationship Id="rId177" Type="http://schemas.openxmlformats.org/officeDocument/2006/relationships/hyperlink" Target="http://hudoc.echr.coe.int/eng?i=001-174422" TargetMode="External"/><Relationship Id="rId342" Type="http://schemas.openxmlformats.org/officeDocument/2006/relationships/hyperlink" Target="http://hudoc.echr.coe.int/eng?i=001-142196" TargetMode="External"/><Relationship Id="rId384" Type="http://schemas.openxmlformats.org/officeDocument/2006/relationships/hyperlink" Target="http://hudoc.echr.coe.int/eng?i=001-168394" TargetMode="External"/><Relationship Id="rId591" Type="http://schemas.openxmlformats.org/officeDocument/2006/relationships/hyperlink" Target="http://hudoc.echr.coe.int/eng?i=001-122763" TargetMode="External"/><Relationship Id="rId605" Type="http://schemas.openxmlformats.org/officeDocument/2006/relationships/hyperlink" Target="http://hudoc.echr.coe.int/eng?i=001-79604" TargetMode="External"/><Relationship Id="rId787" Type="http://schemas.openxmlformats.org/officeDocument/2006/relationships/hyperlink" Target="http://hudoc.echr.coe.int/eng?i=001-77249" TargetMode="External"/><Relationship Id="rId812" Type="http://schemas.openxmlformats.org/officeDocument/2006/relationships/hyperlink" Target="http://hudoc.echr.coe.int/eng?i=001-94793" TargetMode="External"/><Relationship Id="rId202" Type="http://schemas.openxmlformats.org/officeDocument/2006/relationships/hyperlink" Target="http://hudoc.echr.coe.int/eng?i=001-74286" TargetMode="External"/><Relationship Id="rId244" Type="http://schemas.openxmlformats.org/officeDocument/2006/relationships/hyperlink" Target="https://hudoc.echr.coe.int/eng" TargetMode="External"/><Relationship Id="rId647" Type="http://schemas.openxmlformats.org/officeDocument/2006/relationships/hyperlink" Target="http://hudoc.echr.coe.int/eng?i=001-58222" TargetMode="External"/><Relationship Id="rId689" Type="http://schemas.openxmlformats.org/officeDocument/2006/relationships/hyperlink" Target="http://hudoc.echr.coe.int/eng?i=001-72346" TargetMode="External"/><Relationship Id="rId854" Type="http://schemas.openxmlformats.org/officeDocument/2006/relationships/hyperlink" Target="https://hudoc.echr.coe.int/eng?i=001-217535" TargetMode="External"/><Relationship Id="rId896" Type="http://schemas.openxmlformats.org/officeDocument/2006/relationships/hyperlink" Target="http://hudoc.echr.coe.int/eng?i=001-194448" TargetMode="External"/><Relationship Id="rId39" Type="http://schemas.openxmlformats.org/officeDocument/2006/relationships/hyperlink" Target="https://hudoc.echr.coe.int/eng?i=001-219051" TargetMode="External"/><Relationship Id="rId286" Type="http://schemas.openxmlformats.org/officeDocument/2006/relationships/hyperlink" Target="http://hudoc.echr.coe.int/eng?i=001-58205" TargetMode="External"/><Relationship Id="rId451" Type="http://schemas.openxmlformats.org/officeDocument/2006/relationships/hyperlink" Target="http://hudoc.echr.coe.int/eng?i=001-70731" TargetMode="External"/><Relationship Id="rId493" Type="http://schemas.openxmlformats.org/officeDocument/2006/relationships/hyperlink" Target="http://hudoc.echr.coe.int/eng?i=001-162697" TargetMode="External"/><Relationship Id="rId507" Type="http://schemas.openxmlformats.org/officeDocument/2006/relationships/hyperlink" Target="http://hudoc.echr.coe.int/eng?i=001-142196" TargetMode="External"/><Relationship Id="rId549" Type="http://schemas.openxmlformats.org/officeDocument/2006/relationships/hyperlink" Target="http://hudoc.echr.coe.int/eng?i=001-72015" TargetMode="External"/><Relationship Id="rId714" Type="http://schemas.openxmlformats.org/officeDocument/2006/relationships/hyperlink" Target="https://hudoc.echr.coe.int/eng?i=001-219051" TargetMode="External"/><Relationship Id="rId756" Type="http://schemas.openxmlformats.org/officeDocument/2006/relationships/hyperlink" Target="https://hudoc.echr.coe.int/?i=001-225019" TargetMode="External"/><Relationship Id="rId50" Type="http://schemas.openxmlformats.org/officeDocument/2006/relationships/hyperlink" Target="http://hudoc.echr.coe.int/eng?i=001-209029" TargetMode="External"/><Relationship Id="rId104" Type="http://schemas.openxmlformats.org/officeDocument/2006/relationships/hyperlink" Target="http://hudoc.echr.coe.int/eng?i=001-158200" TargetMode="External"/><Relationship Id="rId146" Type="http://schemas.openxmlformats.org/officeDocument/2006/relationships/hyperlink" Target="http://hudoc.echr.coe.int/eng?i=001-76098" TargetMode="External"/><Relationship Id="rId188" Type="http://schemas.openxmlformats.org/officeDocument/2006/relationships/hyperlink" Target="http://hudoc.echr.coe.int/eng?i=001-158200" TargetMode="External"/><Relationship Id="rId311" Type="http://schemas.openxmlformats.org/officeDocument/2006/relationships/hyperlink" Target="http://hudoc.echr.coe.int/eng?i=001-111690" TargetMode="External"/><Relationship Id="rId353" Type="http://schemas.openxmlformats.org/officeDocument/2006/relationships/hyperlink" Target="http://hudoc.echr.coe.int/eng?i=001-73731" TargetMode="External"/><Relationship Id="rId395" Type="http://schemas.openxmlformats.org/officeDocument/2006/relationships/hyperlink" Target="http://hudoc.echr.coe.int/eng?i=001-66711" TargetMode="External"/><Relationship Id="rId409" Type="http://schemas.openxmlformats.org/officeDocument/2006/relationships/hyperlink" Target="http://hudoc.echr.coe.int/eng?i=001-99221" TargetMode="External"/><Relationship Id="rId560" Type="http://schemas.openxmlformats.org/officeDocument/2006/relationships/hyperlink" Target="http://hudoc.echr.coe.int/eng?i=001-73731" TargetMode="External"/><Relationship Id="rId798" Type="http://schemas.openxmlformats.org/officeDocument/2006/relationships/hyperlink" Target="http://hudoc.echr.coe.int/eng?i=001-148286" TargetMode="External"/><Relationship Id="rId92" Type="http://schemas.openxmlformats.org/officeDocument/2006/relationships/hyperlink" Target="http://hudoc.echr.coe.int/eng?i=001-159762" TargetMode="External"/><Relationship Id="rId213" Type="http://schemas.openxmlformats.org/officeDocument/2006/relationships/hyperlink" Target="http://hudoc.echr.coe.int/eng?i=001-205817" TargetMode="External"/><Relationship Id="rId420" Type="http://schemas.openxmlformats.org/officeDocument/2006/relationships/hyperlink" Target="http://hudoc.echr.coe.int/eng?i=001-122183" TargetMode="External"/><Relationship Id="rId616" Type="http://schemas.openxmlformats.org/officeDocument/2006/relationships/hyperlink" Target="http://hudoc.echr.coe.int/eng?i=001-389" TargetMode="External"/><Relationship Id="rId658" Type="http://schemas.openxmlformats.org/officeDocument/2006/relationships/hyperlink" Target="http://hudoc.echr.coe.int/eng?i=001-87642" TargetMode="External"/><Relationship Id="rId823" Type="http://schemas.openxmlformats.org/officeDocument/2006/relationships/hyperlink" Target="http://hudoc.echr.coe.int/eng?i=001-79301" TargetMode="External"/><Relationship Id="rId865" Type="http://schemas.openxmlformats.org/officeDocument/2006/relationships/hyperlink" Target="http://hudoc.echr.coe.int/eng?i=001-113335" TargetMode="External"/><Relationship Id="rId255" Type="http://schemas.openxmlformats.org/officeDocument/2006/relationships/hyperlink" Target="http://hudoc.echr.coe.int/eng?i=001-148286" TargetMode="External"/><Relationship Id="rId297" Type="http://schemas.openxmlformats.org/officeDocument/2006/relationships/hyperlink" Target="http://hudoc.echr.coe.int/eng?i=001-72015" TargetMode="External"/><Relationship Id="rId462" Type="http://schemas.openxmlformats.org/officeDocument/2006/relationships/hyperlink" Target="http://hudoc.echr.coe.int/eng?i=001-70720" TargetMode="External"/><Relationship Id="rId518" Type="http://schemas.openxmlformats.org/officeDocument/2006/relationships/hyperlink" Target="https://hudoc.echr.coe.int/eng?i=001-217480" TargetMode="External"/><Relationship Id="rId725" Type="http://schemas.openxmlformats.org/officeDocument/2006/relationships/hyperlink" Target="http://hudoc.echr.coe.int/eng?i=001-83297" TargetMode="External"/><Relationship Id="rId115" Type="http://schemas.openxmlformats.org/officeDocument/2006/relationships/hyperlink" Target="http://hudoc.echr.coe.int/eng?i=001-160215" TargetMode="External"/><Relationship Id="rId157" Type="http://schemas.openxmlformats.org/officeDocument/2006/relationships/hyperlink" Target="http://hudoc.echr.coe.int/eng?i=001-204854" TargetMode="External"/><Relationship Id="rId322" Type="http://schemas.openxmlformats.org/officeDocument/2006/relationships/hyperlink" Target="http://hudoc.echr.coe.int/eng?i=001-67180" TargetMode="External"/><Relationship Id="rId364" Type="http://schemas.openxmlformats.org/officeDocument/2006/relationships/hyperlink" Target="http://hudoc.echr.coe.int/eng?i=001-98443" TargetMode="External"/><Relationship Id="rId767" Type="http://schemas.openxmlformats.org/officeDocument/2006/relationships/hyperlink" Target="http://hudoc.echr.coe.int/eng?i=001-170857" TargetMode="External"/><Relationship Id="rId61" Type="http://schemas.openxmlformats.org/officeDocument/2006/relationships/hyperlink" Target="http://hudoc.echr.coe.int/eng?i=001-198482" TargetMode="External"/><Relationship Id="rId199" Type="http://schemas.openxmlformats.org/officeDocument/2006/relationships/hyperlink" Target="https://hudoc.echr.coe.int/eng?i=001-217105" TargetMode="External"/><Relationship Id="rId571" Type="http://schemas.openxmlformats.org/officeDocument/2006/relationships/hyperlink" Target="https://hudoc.echr.coe.int/eng?i=001-218116" TargetMode="External"/><Relationship Id="rId627" Type="http://schemas.openxmlformats.org/officeDocument/2006/relationships/hyperlink" Target="http://hudoc.echr.coe.int/eng?i=001-59623" TargetMode="External"/><Relationship Id="rId669" Type="http://schemas.openxmlformats.org/officeDocument/2006/relationships/hyperlink" Target="https://hudoc.echr.coe.int/eng?i=001-215535" TargetMode="External"/><Relationship Id="rId834" Type="http://schemas.openxmlformats.org/officeDocument/2006/relationships/hyperlink" Target="http://hudoc.echr.coe.int/eng?i=001-57574" TargetMode="External"/><Relationship Id="rId876" Type="http://schemas.openxmlformats.org/officeDocument/2006/relationships/hyperlink" Target="https://hudoc.echr.coe.int/eng?i=001-217114" TargetMode="External"/><Relationship Id="rId19" Type="http://schemas.openxmlformats.org/officeDocument/2006/relationships/hyperlink" Target="http://hudoc.echr.coe.int" TargetMode="External"/><Relationship Id="rId224" Type="http://schemas.openxmlformats.org/officeDocument/2006/relationships/hyperlink" Target="http://hudoc.echr.coe.int/eng?i=001-160430" TargetMode="External"/><Relationship Id="rId266" Type="http://schemas.openxmlformats.org/officeDocument/2006/relationships/hyperlink" Target="http://hudoc.echr.coe.int/eng?i=001-204854" TargetMode="External"/><Relationship Id="rId431" Type="http://schemas.openxmlformats.org/officeDocument/2006/relationships/hyperlink" Target="http://hudoc.echr.coe.int/eng?i=001-93475" TargetMode="External"/><Relationship Id="rId473" Type="http://schemas.openxmlformats.org/officeDocument/2006/relationships/hyperlink" Target="http://hudoc.echr.coe.int/eng?i=001-90651" TargetMode="External"/><Relationship Id="rId529" Type="http://schemas.openxmlformats.org/officeDocument/2006/relationships/hyperlink" Target="http://hudoc.echr.coe.int/eng?i=001-89558" TargetMode="External"/><Relationship Id="rId680" Type="http://schemas.openxmlformats.org/officeDocument/2006/relationships/hyperlink" Target="http://hudoc.echr.coe.int/eng" TargetMode="External"/><Relationship Id="rId736" Type="http://schemas.openxmlformats.org/officeDocument/2006/relationships/hyperlink" Target="http://hudoc.echr.coe.int/eng?i=001-111690" TargetMode="External"/><Relationship Id="rId901" Type="http://schemas.openxmlformats.org/officeDocument/2006/relationships/header" Target="header2.xml"/><Relationship Id="rId30" Type="http://schemas.openxmlformats.org/officeDocument/2006/relationships/hyperlink" Target="https://hudoc.echr.coe.int/eng" TargetMode="External"/><Relationship Id="rId126" Type="http://schemas.openxmlformats.org/officeDocument/2006/relationships/hyperlink" Target="http://hudoc.echr.coe.int/eng?i=001-158200" TargetMode="External"/><Relationship Id="rId168" Type="http://schemas.openxmlformats.org/officeDocument/2006/relationships/hyperlink" Target="http://hudoc.echr.coe.int/eng?i=001-170857" TargetMode="External"/><Relationship Id="rId333" Type="http://schemas.openxmlformats.org/officeDocument/2006/relationships/hyperlink" Target="http://hudoc.echr.coe.int/eng?i=001-58205" TargetMode="External"/><Relationship Id="rId540" Type="http://schemas.openxmlformats.org/officeDocument/2006/relationships/hyperlink" Target="http://hudoc.echr.coe.int/eng?i=001-79903" TargetMode="External"/><Relationship Id="rId778" Type="http://schemas.openxmlformats.org/officeDocument/2006/relationships/hyperlink" Target="http://hudoc.echr.coe.int/eng?i=001-119970" TargetMode="External"/><Relationship Id="rId72" Type="http://schemas.openxmlformats.org/officeDocument/2006/relationships/hyperlink" Target="http://hudoc.echr.coe.int/eng?i=001-126541" TargetMode="External"/><Relationship Id="rId375" Type="http://schemas.openxmlformats.org/officeDocument/2006/relationships/hyperlink" Target="https://hudoc.echr.coe.int/eng?i=001-217535" TargetMode="External"/><Relationship Id="rId582" Type="http://schemas.openxmlformats.org/officeDocument/2006/relationships/hyperlink" Target="http://hudoc.echr.coe.int/eng?i=001-148181" TargetMode="External"/><Relationship Id="rId638" Type="http://schemas.openxmlformats.org/officeDocument/2006/relationships/hyperlink" Target="http://hudoc.echr.coe.int/eng?i=001-147063" TargetMode="External"/><Relationship Id="rId803" Type="http://schemas.openxmlformats.org/officeDocument/2006/relationships/hyperlink" Target="http://hudoc.echr.coe.int/eng?i=001-198482" TargetMode="External"/><Relationship Id="rId845" Type="http://schemas.openxmlformats.org/officeDocument/2006/relationships/hyperlink" Target="http://hudoc.echr.coe.int/eng?i=001-72015" TargetMode="External"/><Relationship Id="rId3" Type="http://schemas.openxmlformats.org/officeDocument/2006/relationships/styles" Target="styles.xml"/><Relationship Id="rId235" Type="http://schemas.openxmlformats.org/officeDocument/2006/relationships/hyperlink" Target="http://hudoc.echr.coe.int/eng?i=001-205060" TargetMode="External"/><Relationship Id="rId277" Type="http://schemas.openxmlformats.org/officeDocument/2006/relationships/hyperlink" Target="https://hudoc.echr.coe.int/eng" TargetMode="External"/><Relationship Id="rId400" Type="http://schemas.openxmlformats.org/officeDocument/2006/relationships/hyperlink" Target="https://hudoc.echr.coe.int/eng?i=001-217394" TargetMode="External"/><Relationship Id="rId442" Type="http://schemas.openxmlformats.org/officeDocument/2006/relationships/hyperlink" Target="http://hudoc.echr.coe.int/eng?i=001-93475" TargetMode="External"/><Relationship Id="rId484" Type="http://schemas.openxmlformats.org/officeDocument/2006/relationships/hyperlink" Target="http://hudoc.echr.coe.int/eng?i=001-80038" TargetMode="External"/><Relationship Id="rId705" Type="http://schemas.openxmlformats.org/officeDocument/2006/relationships/hyperlink" Target="https://hudoc.echr.coe.int/eng?i=001-217751" TargetMode="External"/><Relationship Id="rId887" Type="http://schemas.openxmlformats.org/officeDocument/2006/relationships/hyperlink" Target="https://hudoc.echr.coe.int/eng?i=001-213913" TargetMode="External"/><Relationship Id="rId137" Type="http://schemas.openxmlformats.org/officeDocument/2006/relationships/hyperlink" Target="http://hudoc.echr.coe.int/eng?i=001-70678" TargetMode="External"/><Relationship Id="rId302" Type="http://schemas.openxmlformats.org/officeDocument/2006/relationships/hyperlink" Target="http://hudoc.echr.coe.int/eng?i=001-81209" TargetMode="External"/><Relationship Id="rId344" Type="http://schemas.openxmlformats.org/officeDocument/2006/relationships/hyperlink" Target="http://hudoc.echr.coe.int/eng?i=001-77249" TargetMode="External"/><Relationship Id="rId691" Type="http://schemas.openxmlformats.org/officeDocument/2006/relationships/hyperlink" Target="http://hudoc.echr.coe.int/eng?i=001-74286" TargetMode="External"/><Relationship Id="rId747" Type="http://schemas.openxmlformats.org/officeDocument/2006/relationships/hyperlink" Target="http://hudoc.echr.coe.int/eng?i=001-99221" TargetMode="External"/><Relationship Id="rId789" Type="http://schemas.openxmlformats.org/officeDocument/2006/relationships/hyperlink" Target="https://hudoc.echr.coe.int/eng?i=001-219484" TargetMode="External"/><Relationship Id="rId41" Type="http://schemas.openxmlformats.org/officeDocument/2006/relationships/hyperlink" Target="http://hudoc.echr.coe.int/eng?i=001-142969" TargetMode="External"/><Relationship Id="rId83" Type="http://schemas.openxmlformats.org/officeDocument/2006/relationships/hyperlink" Target="http://hudoc.echr.coe.int/eng?i=001-193593" TargetMode="External"/><Relationship Id="rId179" Type="http://schemas.openxmlformats.org/officeDocument/2006/relationships/hyperlink" Target="http://hudoc.echr.coe.int/eng?i=001-145784" TargetMode="External"/><Relationship Id="rId386" Type="http://schemas.openxmlformats.org/officeDocument/2006/relationships/hyperlink" Target="http://hudoc.echr.coe.int/eng?i=001-184875" TargetMode="External"/><Relationship Id="rId551" Type="http://schemas.openxmlformats.org/officeDocument/2006/relationships/hyperlink" Target="http://hudoc.echr.coe.int/eng?i=001-72015" TargetMode="External"/><Relationship Id="rId593" Type="http://schemas.openxmlformats.org/officeDocument/2006/relationships/hyperlink" Target="http://hudoc.echr.coe.int/eng?i=001-210332" TargetMode="External"/><Relationship Id="rId607" Type="http://schemas.openxmlformats.org/officeDocument/2006/relationships/hyperlink" Target="https://hudoc.echr.coe.int/eng?i=001-222320" TargetMode="External"/><Relationship Id="rId649" Type="http://schemas.openxmlformats.org/officeDocument/2006/relationships/hyperlink" Target="http://hudoc.echr.coe.int/eng?i=001-104794" TargetMode="External"/><Relationship Id="rId814" Type="http://schemas.openxmlformats.org/officeDocument/2006/relationships/hyperlink" Target="http://hudoc.echr.coe.int/eng?i=001-80897" TargetMode="External"/><Relationship Id="rId856" Type="http://schemas.openxmlformats.org/officeDocument/2006/relationships/hyperlink" Target="http://hudoc.echr.coe.int/eng?i=001-94854" TargetMode="External"/><Relationship Id="rId190" Type="http://schemas.openxmlformats.org/officeDocument/2006/relationships/hyperlink" Target="http://hudoc.echr.coe.int/eng?i=001-101257" TargetMode="External"/><Relationship Id="rId204" Type="http://schemas.openxmlformats.org/officeDocument/2006/relationships/hyperlink" Target="https://hudoc.echr.coe.int/eng?i=001-216156" TargetMode="External"/><Relationship Id="rId246" Type="http://schemas.openxmlformats.org/officeDocument/2006/relationships/hyperlink" Target="http://hudoc.echr.coe.int/eng?i=001-114776" TargetMode="External"/><Relationship Id="rId288" Type="http://schemas.openxmlformats.org/officeDocument/2006/relationships/hyperlink" Target="http://hudoc.echr.coe.int/eng?i=001-61637" TargetMode="External"/><Relationship Id="rId411" Type="http://schemas.openxmlformats.org/officeDocument/2006/relationships/hyperlink" Target="http://hudoc.echr.coe.int/eng?i=001-192902" TargetMode="External"/><Relationship Id="rId453" Type="http://schemas.openxmlformats.org/officeDocument/2006/relationships/hyperlink" Target="http://hudoc.echr.coe.int/eng?i=001-104495" TargetMode="External"/><Relationship Id="rId509" Type="http://schemas.openxmlformats.org/officeDocument/2006/relationships/hyperlink" Target="http://hudoc.echr.coe.int/eng?i=001-57435" TargetMode="External"/><Relationship Id="rId660" Type="http://schemas.openxmlformats.org/officeDocument/2006/relationships/hyperlink" Target="https://hudoc.echr.coe.int/eng?i=001-218116" TargetMode="External"/><Relationship Id="rId898" Type="http://schemas.openxmlformats.org/officeDocument/2006/relationships/hyperlink" Target="http://hudoc.echr.coe.int/eng?i=001-23889" TargetMode="External"/><Relationship Id="rId106" Type="http://schemas.openxmlformats.org/officeDocument/2006/relationships/hyperlink" Target="http://hudoc.echr.coe.int/eng?i=001-186667" TargetMode="External"/><Relationship Id="rId313" Type="http://schemas.openxmlformats.org/officeDocument/2006/relationships/hyperlink" Target="http://hudoc.echr.coe.int/eng?i=001-67639" TargetMode="External"/><Relationship Id="rId495" Type="http://schemas.openxmlformats.org/officeDocument/2006/relationships/hyperlink" Target="http://hudoc.echr.coe.int/eng?i=001-142196" TargetMode="External"/><Relationship Id="rId716" Type="http://schemas.openxmlformats.org/officeDocument/2006/relationships/hyperlink" Target="http://hudoc.echr.coe.int/eng?i=001-57675" TargetMode="External"/><Relationship Id="rId758" Type="http://schemas.openxmlformats.org/officeDocument/2006/relationships/hyperlink" Target="http://hudoc.echr.coe.int/eng?i=001-85679" TargetMode="External"/><Relationship Id="rId10" Type="http://schemas.openxmlformats.org/officeDocument/2006/relationships/hyperlink" Target="https://ks.echr.coe.int/" TargetMode="External"/><Relationship Id="rId52" Type="http://schemas.openxmlformats.org/officeDocument/2006/relationships/hyperlink" Target="http://hudoc.echr.coe.int/eng?i=001-202552" TargetMode="External"/><Relationship Id="rId94" Type="http://schemas.openxmlformats.org/officeDocument/2006/relationships/hyperlink" Target="http://hudoc.echr.coe.int/eng?i=001-170857" TargetMode="External"/><Relationship Id="rId148" Type="http://schemas.openxmlformats.org/officeDocument/2006/relationships/hyperlink" Target="https://hudoc.echr.coe.int/?i=001-225645" TargetMode="External"/><Relationship Id="rId355" Type="http://schemas.openxmlformats.org/officeDocument/2006/relationships/hyperlink" Target="http://hudoc.echr.coe.int/eng?i=001-172471" TargetMode="External"/><Relationship Id="rId397" Type="http://schemas.openxmlformats.org/officeDocument/2006/relationships/hyperlink" Target="http://hudoc.echr.coe.int/eng?i=001-77249" TargetMode="External"/><Relationship Id="rId520" Type="http://schemas.openxmlformats.org/officeDocument/2006/relationships/hyperlink" Target="http://hudoc.echr.coe.int/eng?i=001-57435" TargetMode="External"/><Relationship Id="rId562" Type="http://schemas.openxmlformats.org/officeDocument/2006/relationships/hyperlink" Target="http://hudoc.echr.coe.int/eng?i=001-79604" TargetMode="External"/><Relationship Id="rId618" Type="http://schemas.openxmlformats.org/officeDocument/2006/relationships/hyperlink" Target="http://hudoc.echr.coe.int/eng?i=001-59623" TargetMode="External"/><Relationship Id="rId825" Type="http://schemas.openxmlformats.org/officeDocument/2006/relationships/hyperlink" Target="http://hudoc.echr.coe.int/eng?i=001-114240" TargetMode="External"/><Relationship Id="rId215" Type="http://schemas.openxmlformats.org/officeDocument/2006/relationships/hyperlink" Target="http://hudoc.echr.coe.int/eng?i=001-96022" TargetMode="External"/><Relationship Id="rId257" Type="http://schemas.openxmlformats.org/officeDocument/2006/relationships/hyperlink" Target="http://hudoc.echr.coe.int/eng?i=001-144673" TargetMode="External"/><Relationship Id="rId422" Type="http://schemas.openxmlformats.org/officeDocument/2006/relationships/hyperlink" Target="http://hudoc.echr.coe.int/eng?i=001-184875" TargetMode="External"/><Relationship Id="rId464" Type="http://schemas.openxmlformats.org/officeDocument/2006/relationships/hyperlink" Target="http://hudoc.echr.coe.int/eng?i=001-194448" TargetMode="External"/><Relationship Id="rId867" Type="http://schemas.openxmlformats.org/officeDocument/2006/relationships/hyperlink" Target="http://hudoc.echr.coe.int/eng?i=001-72521" TargetMode="External"/><Relationship Id="rId299" Type="http://schemas.openxmlformats.org/officeDocument/2006/relationships/hyperlink" Target="http://hudoc.echr.coe.int/eng?i=001-122183" TargetMode="External"/><Relationship Id="rId727" Type="http://schemas.openxmlformats.org/officeDocument/2006/relationships/hyperlink" Target="http://hudoc.echr.coe.int/eng?i=001-104098" TargetMode="External"/><Relationship Id="rId63" Type="http://schemas.openxmlformats.org/officeDocument/2006/relationships/hyperlink" Target="http://hudoc.echr.coe.int/eng?i=001-60413" TargetMode="External"/><Relationship Id="rId159" Type="http://schemas.openxmlformats.org/officeDocument/2006/relationships/hyperlink" Target="http://hudoc.echr.coe.int/eng?i=001-170857" TargetMode="External"/><Relationship Id="rId366" Type="http://schemas.openxmlformats.org/officeDocument/2006/relationships/hyperlink" Target="http://hudoc.echr.coe.int/eng?i=001-204272" TargetMode="External"/><Relationship Id="rId573" Type="http://schemas.openxmlformats.org/officeDocument/2006/relationships/hyperlink" Target="http://hudoc.echr.coe.int/eng?i=001-60554" TargetMode="External"/><Relationship Id="rId780" Type="http://schemas.openxmlformats.org/officeDocument/2006/relationships/hyperlink" Target="http://hudoc.echr.coe.int/eng?i=001-147063" TargetMode="External"/><Relationship Id="rId226" Type="http://schemas.openxmlformats.org/officeDocument/2006/relationships/hyperlink" Target="http://hudoc.echr.coe.int/eng?i=001-187605" TargetMode="External"/><Relationship Id="rId433" Type="http://schemas.openxmlformats.org/officeDocument/2006/relationships/hyperlink" Target="http://hudoc.echr.coe.int/eng?i=001-159907" TargetMode="External"/><Relationship Id="rId878" Type="http://schemas.openxmlformats.org/officeDocument/2006/relationships/hyperlink" Target="http://hudoc.echr.coe.int/eng?i=001-98443" TargetMode="External"/><Relationship Id="rId640" Type="http://schemas.openxmlformats.org/officeDocument/2006/relationships/hyperlink" Target="http://hudoc.echr.coe.int/eng?i=001-147063" TargetMode="External"/><Relationship Id="rId738" Type="http://schemas.openxmlformats.org/officeDocument/2006/relationships/hyperlink" Target="https://hudoc.echr.coe.int/eng?i=001-222320" TargetMode="External"/><Relationship Id="rId74" Type="http://schemas.openxmlformats.org/officeDocument/2006/relationships/hyperlink" Target="http://hudoc.echr.coe.int/eng?i=001-72015" TargetMode="External"/><Relationship Id="rId377" Type="http://schemas.openxmlformats.org/officeDocument/2006/relationships/hyperlink" Target="https://hudoc.echr.coe.int/eng?i=001-217751" TargetMode="External"/><Relationship Id="rId500" Type="http://schemas.openxmlformats.org/officeDocument/2006/relationships/hyperlink" Target="http://hudoc.echr.coe.int/eng?i=001-194448" TargetMode="External"/><Relationship Id="rId584" Type="http://schemas.openxmlformats.org/officeDocument/2006/relationships/hyperlink" Target="http://hudoc.echr.coe.int/eng?i=001-142192" TargetMode="External"/><Relationship Id="rId805" Type="http://schemas.openxmlformats.org/officeDocument/2006/relationships/hyperlink" Target="http://hudoc.echr.coe.int/eng?i=001-178195" TargetMode="External"/><Relationship Id="rId5" Type="http://schemas.openxmlformats.org/officeDocument/2006/relationships/webSettings" Target="webSettings.xml"/><Relationship Id="rId237" Type="http://schemas.openxmlformats.org/officeDocument/2006/relationships/hyperlink" Target="http://hudoc.echr.coe.int/eng?i=001-78330" TargetMode="External"/><Relationship Id="rId791" Type="http://schemas.openxmlformats.org/officeDocument/2006/relationships/hyperlink" Target="http://hudoc.echr.coe.int/eng?i=001-59622" TargetMode="External"/><Relationship Id="rId889" Type="http://schemas.openxmlformats.org/officeDocument/2006/relationships/hyperlink" Target="http://hudoc.echr.coe.int/eng?i=001-210733" TargetMode="External"/><Relationship Id="rId444" Type="http://schemas.openxmlformats.org/officeDocument/2006/relationships/hyperlink" Target="http://hudoc.echr.coe.int/eng?i=001-73291" TargetMode="External"/><Relationship Id="rId651" Type="http://schemas.openxmlformats.org/officeDocument/2006/relationships/hyperlink" Target="https://hudoc.echr.coe.int/eng?i=001-217377" TargetMode="External"/><Relationship Id="rId749" Type="http://schemas.openxmlformats.org/officeDocument/2006/relationships/hyperlink" Target="http://hudoc.echr.coe.int/eng?i=001-154217" TargetMode="External"/><Relationship Id="rId290" Type="http://schemas.openxmlformats.org/officeDocument/2006/relationships/hyperlink" Target="http://hudoc.echr.coe.int/eng?i=001-77249" TargetMode="External"/><Relationship Id="rId304" Type="http://schemas.openxmlformats.org/officeDocument/2006/relationships/hyperlink" Target="http://hudoc.echr.coe.int/eng?i=001-73526" TargetMode="External"/><Relationship Id="rId388" Type="http://schemas.openxmlformats.org/officeDocument/2006/relationships/hyperlink" Target="http://hudoc.echr.coe.int/eng?i=001-204272" TargetMode="External"/><Relationship Id="rId511" Type="http://schemas.openxmlformats.org/officeDocument/2006/relationships/hyperlink" Target="http://hudoc.echr.coe.int/eng?i=001-122763" TargetMode="External"/><Relationship Id="rId609" Type="http://schemas.openxmlformats.org/officeDocument/2006/relationships/hyperlink" Target="http://hudoc.echr.coe.int/eng?i=001-72521" TargetMode="External"/><Relationship Id="rId85" Type="http://schemas.openxmlformats.org/officeDocument/2006/relationships/hyperlink" Target="http://hudoc.echr.coe.int/eng?i=001-70678" TargetMode="External"/><Relationship Id="rId150" Type="http://schemas.openxmlformats.org/officeDocument/2006/relationships/hyperlink" Target="http://hudoc.echr.coe.int/eng?i=001-80464" TargetMode="External"/><Relationship Id="rId595" Type="http://schemas.openxmlformats.org/officeDocument/2006/relationships/hyperlink" Target="http://hudoc.echr.coe.int/eng?i=001-122763" TargetMode="External"/><Relationship Id="rId816" Type="http://schemas.openxmlformats.org/officeDocument/2006/relationships/hyperlink" Target="https://hudoc.echr.coe.int/eng?i=001-221542" TargetMode="External"/><Relationship Id="rId248" Type="http://schemas.openxmlformats.org/officeDocument/2006/relationships/hyperlink" Target="http://hudoc.echr.coe.int/eng?i=001-158200" TargetMode="External"/><Relationship Id="rId455" Type="http://schemas.openxmlformats.org/officeDocument/2006/relationships/hyperlink" Target="http://hudoc.echr.coe.int/eng?i=001-162211" TargetMode="External"/><Relationship Id="rId662" Type="http://schemas.openxmlformats.org/officeDocument/2006/relationships/hyperlink" Target="http://hudoc.echr.coe.int/eng?i=001-106893" TargetMode="External"/><Relationship Id="rId12" Type="http://schemas.openxmlformats.org/officeDocument/2006/relationships/hyperlink" Target="http://hudoc.echr.coe.int/eng?i=001-57506" TargetMode="External"/><Relationship Id="rId108" Type="http://schemas.openxmlformats.org/officeDocument/2006/relationships/hyperlink" Target="https://hudoc.echr.coe.int/eng?i=001-218940" TargetMode="External"/><Relationship Id="rId315" Type="http://schemas.openxmlformats.org/officeDocument/2006/relationships/hyperlink" Target="http://hudoc.echr.coe.int/eng?i=001-23528" TargetMode="External"/><Relationship Id="rId522" Type="http://schemas.openxmlformats.org/officeDocument/2006/relationships/hyperlink" Target="http://hudoc.echr.coe.int/eng?i=001-122763" TargetMode="External"/><Relationship Id="rId96" Type="http://schemas.openxmlformats.org/officeDocument/2006/relationships/hyperlink" Target="http://hudoc.echr.coe.int/eng?i=001-158200" TargetMode="External"/><Relationship Id="rId161" Type="http://schemas.openxmlformats.org/officeDocument/2006/relationships/hyperlink" Target="http://hudoc.echr.coe.int/eng?i=001-158200" TargetMode="External"/><Relationship Id="rId399" Type="http://schemas.openxmlformats.org/officeDocument/2006/relationships/hyperlink" Target="https://hudoc.echr.coe.int/eng?i=001-211785" TargetMode="External"/><Relationship Id="rId827" Type="http://schemas.openxmlformats.org/officeDocument/2006/relationships/hyperlink" Target="http://hudoc.echr.coe.int/eng?i=001-58262" TargetMode="External"/><Relationship Id="rId259" Type="http://schemas.openxmlformats.org/officeDocument/2006/relationships/hyperlink" Target="http://hudoc.echr.coe.int/eng?i=001-112446" TargetMode="External"/><Relationship Id="rId466" Type="http://schemas.openxmlformats.org/officeDocument/2006/relationships/hyperlink" Target="http://hudoc.echr.coe.int/eng?i=001-58205" TargetMode="External"/><Relationship Id="rId673" Type="http://schemas.openxmlformats.org/officeDocument/2006/relationships/hyperlink" Target="http://hudoc.echr.coe.int/eng?i=001-82663" TargetMode="External"/><Relationship Id="rId880" Type="http://schemas.openxmlformats.org/officeDocument/2006/relationships/hyperlink" Target="http://hudoc.echr.coe.int/eng?i=001-931" TargetMode="External"/><Relationship Id="rId23" Type="http://schemas.openxmlformats.org/officeDocument/2006/relationships/hyperlink" Target="http://hudoc.echr.coe.int/eng?i=001-112101" TargetMode="External"/><Relationship Id="rId119" Type="http://schemas.openxmlformats.org/officeDocument/2006/relationships/hyperlink" Target="https://hudoc.echr.coe.int/eng?i=001-220951" TargetMode="External"/><Relationship Id="rId326" Type="http://schemas.openxmlformats.org/officeDocument/2006/relationships/hyperlink" Target="http://hudoc.echr.coe.int/eng?i=001-931" TargetMode="External"/><Relationship Id="rId533" Type="http://schemas.openxmlformats.org/officeDocument/2006/relationships/hyperlink" Target="http://hudoc.echr.coe.int/eng?i=001-210332" TargetMode="External"/><Relationship Id="rId740" Type="http://schemas.openxmlformats.org/officeDocument/2006/relationships/hyperlink" Target="http://hudoc.echr.coe.int/eng?i=001-160429" TargetMode="External"/><Relationship Id="rId838" Type="http://schemas.openxmlformats.org/officeDocument/2006/relationships/hyperlink" Target="http://hudoc.echr.coe.int/eng?i=001-207418" TargetMode="External"/><Relationship Id="rId172" Type="http://schemas.openxmlformats.org/officeDocument/2006/relationships/hyperlink" Target="https://hudoc.echr.coe.int/?i=001-225019" TargetMode="External"/><Relationship Id="rId477" Type="http://schemas.openxmlformats.org/officeDocument/2006/relationships/hyperlink" Target="http://hudoc.echr.coe.int/eng?i=001-77249" TargetMode="External"/><Relationship Id="rId600" Type="http://schemas.openxmlformats.org/officeDocument/2006/relationships/hyperlink" Target="http://hudoc.echr.coe.int/eng?i=001-72015" TargetMode="External"/><Relationship Id="rId684" Type="http://schemas.openxmlformats.org/officeDocument/2006/relationships/hyperlink" Target="http://hudoc.echr.coe.int/eng?i=001-69667" TargetMode="External"/><Relationship Id="rId337" Type="http://schemas.openxmlformats.org/officeDocument/2006/relationships/hyperlink" Target="http://hudoc.echr.coe.int/eng?i=001-90340" TargetMode="External"/><Relationship Id="rId891" Type="http://schemas.openxmlformats.org/officeDocument/2006/relationships/hyperlink" Target="http://hudoc.echr.coe.int/eng?i=001-57608" TargetMode="External"/><Relationship Id="rId905" Type="http://schemas.openxmlformats.org/officeDocument/2006/relationships/footer" Target="footer3.xml"/><Relationship Id="rId34" Type="http://schemas.openxmlformats.org/officeDocument/2006/relationships/hyperlink" Target="https://hudoc.echr.coe.int/eng" TargetMode="External"/><Relationship Id="rId544" Type="http://schemas.openxmlformats.org/officeDocument/2006/relationships/hyperlink" Target="https://hudoc.echr.coe.int/?i=001-225315" TargetMode="External"/><Relationship Id="rId751" Type="http://schemas.openxmlformats.org/officeDocument/2006/relationships/hyperlink" Target="http://hudoc.echr.coe.int/eng?i=001-79903" TargetMode="External"/><Relationship Id="rId849" Type="http://schemas.openxmlformats.org/officeDocument/2006/relationships/hyperlink" Target="http://hudoc.echr.coe.int/eng?i=001-58240" TargetMode="External"/><Relationship Id="rId183" Type="http://schemas.openxmlformats.org/officeDocument/2006/relationships/hyperlink" Target="http://hudoc.echr.coe.int/eng?i=001-91571" TargetMode="External"/><Relationship Id="rId390" Type="http://schemas.openxmlformats.org/officeDocument/2006/relationships/hyperlink" Target="http://hudoc.echr.coe.int/eng?i=001-81209" TargetMode="External"/><Relationship Id="rId404" Type="http://schemas.openxmlformats.org/officeDocument/2006/relationships/hyperlink" Target="http://hudoc.echr.coe.int/eng?i=001-168394" TargetMode="External"/><Relationship Id="rId611" Type="http://schemas.openxmlformats.org/officeDocument/2006/relationships/hyperlink" Target="http://hudoc.echr.coe.int/eng?i=001-58262" TargetMode="External"/><Relationship Id="rId250" Type="http://schemas.openxmlformats.org/officeDocument/2006/relationships/hyperlink" Target="http://hudoc.echr.coe.int/eng?i=001-78330" TargetMode="External"/><Relationship Id="rId488" Type="http://schemas.openxmlformats.org/officeDocument/2006/relationships/hyperlink" Target="http://hudoc.echr.coe.int/eng?i=001-69667" TargetMode="External"/><Relationship Id="rId695" Type="http://schemas.openxmlformats.org/officeDocument/2006/relationships/hyperlink" Target="http://hudoc.echr.coe.int/eng?i=001-389" TargetMode="External"/><Relationship Id="rId709" Type="http://schemas.openxmlformats.org/officeDocument/2006/relationships/hyperlink" Target="http://hudoc.echr.coe.int/eng?i=001-192771" TargetMode="External"/><Relationship Id="rId45" Type="http://schemas.openxmlformats.org/officeDocument/2006/relationships/hyperlink" Target="http://hudoc.echr.coe.int/eng?i=001-192771" TargetMode="External"/><Relationship Id="rId110" Type="http://schemas.openxmlformats.org/officeDocument/2006/relationships/hyperlink" Target="http://hudoc.echr.coe.int/eng?i=001-159762" TargetMode="External"/><Relationship Id="rId348" Type="http://schemas.openxmlformats.org/officeDocument/2006/relationships/hyperlink" Target="http://hudoc.echr.coe.int/eng?i=001-58128" TargetMode="External"/><Relationship Id="rId555" Type="http://schemas.openxmlformats.org/officeDocument/2006/relationships/hyperlink" Target="http://hudoc.echr.coe.int/eng?i=001-79604" TargetMode="External"/><Relationship Id="rId762" Type="http://schemas.openxmlformats.org/officeDocument/2006/relationships/hyperlink" Target="http://hudoc.echr.coe.int/eng?i=001-158200" TargetMode="External"/><Relationship Id="rId194" Type="http://schemas.openxmlformats.org/officeDocument/2006/relationships/hyperlink" Target="https://hudoc.echr.coe.int/eng?i=001-213367" TargetMode="External"/><Relationship Id="rId208" Type="http://schemas.openxmlformats.org/officeDocument/2006/relationships/hyperlink" Target="http://hudoc.echr.coe.int/eng?i=001-84054" TargetMode="External"/><Relationship Id="rId415" Type="http://schemas.openxmlformats.org/officeDocument/2006/relationships/hyperlink" Target="http://hudoc.echr.coe.int/eng?i=001-142196" TargetMode="External"/><Relationship Id="rId622" Type="http://schemas.openxmlformats.org/officeDocument/2006/relationships/hyperlink" Target="http://hudoc.echr.coe.int/eng?i=001-58222" TargetMode="External"/><Relationship Id="rId261" Type="http://schemas.openxmlformats.org/officeDocument/2006/relationships/hyperlink" Target="http://hudoc.echr.coe.int/eng?i=001-158200" TargetMode="External"/><Relationship Id="rId499" Type="http://schemas.openxmlformats.org/officeDocument/2006/relationships/hyperlink" Target="http://hudoc.echr.coe.int/eng?i=001-70720" TargetMode="External"/><Relationship Id="rId56" Type="http://schemas.openxmlformats.org/officeDocument/2006/relationships/hyperlink" Target="http://hudoc.echr.coe.int/eng?i=001-5290" TargetMode="External"/><Relationship Id="rId359" Type="http://schemas.openxmlformats.org/officeDocument/2006/relationships/hyperlink" Target="http://hudoc.echr.coe.int/eng?i=001-58288" TargetMode="External"/><Relationship Id="rId566" Type="http://schemas.openxmlformats.org/officeDocument/2006/relationships/hyperlink" Target="http://hudoc.echr.coe.int/eng?i=001-67864" TargetMode="External"/><Relationship Id="rId773" Type="http://schemas.openxmlformats.org/officeDocument/2006/relationships/hyperlink" Target="http://hudoc.echr.coe.int/eng?i=001-23125"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echr.coe.int/Documents/Guide_Art_18_ENG.pdf" TargetMode="External"/><Relationship Id="rId2" Type="http://schemas.openxmlformats.org/officeDocument/2006/relationships/hyperlink" Target="https://echr.coe.int/Documents/Guide_Mass_protests_ENG.pdf" TargetMode="External"/><Relationship Id="rId1" Type="http://schemas.openxmlformats.org/officeDocument/2006/relationships/hyperlink" Target="https://echr.coe.int/Documents/Guide_Art_9_ENG.pdf" TargetMode="External"/><Relationship Id="rId5" Type="http://schemas.openxmlformats.org/officeDocument/2006/relationships/hyperlink" Target="https://www.echr.coe.int/Documents/Guide_Art_9_ENG.pdf" TargetMode="External"/><Relationship Id="rId4" Type="http://schemas.openxmlformats.org/officeDocument/2006/relationships/hyperlink" Target="https://echr.coe.int/Documents/Guide_Mass_protests_ENG.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GREY">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8BEE9-2E81-4D46-9797-F2F080AD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40923</Words>
  <Characters>233264</Characters>
  <Application>Microsoft Office Word</Application>
  <DocSecurity>0</DocSecurity>
  <Lines>1943</Lines>
  <Paragraphs>547</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273640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Guide on Article xx of the Convention</dc:subject>
  <dc:creator/>
  <cp:keywords/>
  <dc:description/>
  <cp:lastModifiedBy/>
  <cp:revision>1</cp:revision>
  <cp:lastPrinted>2016-09-07T13:54:00Z</cp:lastPrinted>
  <dcterms:created xsi:type="dcterms:W3CDTF">2024-02-27T12:43:00Z</dcterms:created>
  <dcterms:modified xsi:type="dcterms:W3CDTF">2024-02-27T12:56:00Z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ies>
</file>