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AD77FA">
        <w:trPr>
          <w:trHeight w:val="42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2C0F09A" w:rsidR="00D70688" w:rsidRPr="00D0286A" w:rsidRDefault="00EA1DE2" w:rsidP="00D70688">
            <w:pPr>
              <w:rPr>
                <w:rFonts w:ascii="Tahoma" w:hAnsi="Tahoma" w:cs="Tahoma"/>
                <w:caps/>
                <w:color w:val="000000" w:themeColor="text1"/>
                <w:sz w:val="18"/>
                <w:szCs w:val="18"/>
                <w:highlight w:val="cyan"/>
              </w:rPr>
            </w:pPr>
            <w:r w:rsidRPr="00EA1DE2">
              <w:rPr>
                <w:rFonts w:ascii="Tahoma" w:hAnsi="Tahoma" w:cs="Tahoma"/>
                <w:caps/>
                <w:color w:val="000000" w:themeColor="text1"/>
                <w:sz w:val="18"/>
                <w:szCs w:val="18"/>
              </w:rPr>
              <w:t>12/2022/0</w:t>
            </w:r>
            <w:r w:rsidR="00974361">
              <w:rPr>
                <w:rFonts w:ascii="Tahoma" w:hAnsi="Tahoma" w:cs="Tahoma"/>
                <w:caps/>
                <w:color w:val="000000" w:themeColor="text1"/>
                <w:sz w:val="18"/>
                <w:szCs w:val="18"/>
              </w:rPr>
              <w:t>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A7490D3" w:rsidR="00D70688" w:rsidRPr="00D0286A" w:rsidRDefault="00EE7487" w:rsidP="00D70688">
            <w:pPr>
              <w:rPr>
                <w:rFonts w:ascii="Tahoma" w:hAnsi="Tahoma" w:cs="Tahoma"/>
                <w:caps/>
                <w:color w:val="000000" w:themeColor="text1"/>
                <w:sz w:val="18"/>
                <w:szCs w:val="18"/>
                <w:highlight w:val="cyan"/>
              </w:rPr>
            </w:pPr>
            <w:r w:rsidRPr="00EE7487">
              <w:rPr>
                <w:rFonts w:ascii="Tahoma" w:hAnsi="Tahoma" w:cs="Tahoma"/>
                <w:caps/>
                <w:color w:val="000000" w:themeColor="text1"/>
                <w:sz w:val="18"/>
                <w:szCs w:val="18"/>
              </w:rPr>
              <w:t>VC-3381</w:t>
            </w:r>
            <w:r w:rsidR="007F2E71">
              <w:rPr>
                <w:rFonts w:ascii="Tahoma" w:hAnsi="Tahoma" w:cs="Tahoma"/>
                <w:caps/>
                <w:color w:val="000000" w:themeColor="text1"/>
                <w:sz w:val="18"/>
                <w:szCs w:val="18"/>
              </w:rPr>
              <w:t xml:space="preserve"> /DG1</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AA525E6" w14:textId="52D76007" w:rsidR="00443A65" w:rsidRPr="00443A65" w:rsidRDefault="00443A65" w:rsidP="00EE7487">
            <w:pPr>
              <w:rPr>
                <w:sz w:val="20"/>
                <w:szCs w:val="20"/>
              </w:rPr>
            </w:pPr>
            <w:r w:rsidRPr="00443A65">
              <w:rPr>
                <w:sz w:val="20"/>
                <w:szCs w:val="20"/>
              </w:rPr>
              <w:t>Council of Europe Office in Baku</w:t>
            </w:r>
          </w:p>
          <w:p w14:paraId="0DF51A58" w14:textId="2BBBBBED" w:rsidR="00D70688" w:rsidRPr="00443A65" w:rsidRDefault="002E518B" w:rsidP="00EE7487">
            <w:pPr>
              <w:rPr>
                <w:rFonts w:ascii="Tahoma" w:hAnsi="Tahoma" w:cs="Tahoma"/>
                <w:color w:val="000000"/>
                <w:sz w:val="18"/>
                <w:szCs w:val="18"/>
              </w:rPr>
            </w:pPr>
            <w:hyperlink r:id="rId11" w:history="1">
              <w:r w:rsidR="00443A65" w:rsidRPr="006C6039">
                <w:rPr>
                  <w:rStyle w:val="Hyperlink"/>
                  <w:rFonts w:ascii="Calibri" w:hAnsi="Calibri" w:cs="Calibri"/>
                  <w:lang w:val="en-US"/>
                </w:rPr>
                <w:t>fieldbaku@coe.int</w:t>
              </w:r>
            </w:hyperlink>
            <w:r w:rsidR="00443A65">
              <w:rPr>
                <w:rFonts w:ascii="Calibri" w:hAnsi="Calibri" w:cs="Calibri"/>
                <w:lang w:val="en-US"/>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2CF8A3C" w:rsidR="003840F5" w:rsidRPr="00D0286A" w:rsidRDefault="00BD6B89" w:rsidP="00AD77FA">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w:t>
      </w:r>
      <w:r w:rsidRPr="00D0286A">
        <w:rPr>
          <w:rFonts w:ascii="Tahoma" w:hAnsi="Tahoma" w:cs="Tahoma"/>
          <w:b/>
        </w:rPr>
        <w:t>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r w:rsidR="00DA71B2" w:rsidRPr="000D371D">
        <w:rPr>
          <w:rFonts w:ascii="Tahoma" w:hAnsi="Tahoma" w:cs="Tahoma"/>
          <w:b/>
        </w:rPr>
        <w:t xml:space="preserve">for the provision of </w:t>
      </w:r>
      <w:r w:rsidR="0040252E" w:rsidRPr="0040252E">
        <w:rPr>
          <w:rFonts w:ascii="Tahoma" w:hAnsi="Tahoma" w:cs="Tahoma"/>
          <w:b/>
        </w:rPr>
        <w:t xml:space="preserve">consultancy services </w:t>
      </w:r>
      <w:r w:rsidR="00044886">
        <w:rPr>
          <w:rFonts w:ascii="Tahoma" w:hAnsi="Tahoma" w:cs="Tahoma"/>
          <w:b/>
        </w:rPr>
        <w:t xml:space="preserve">to support </w:t>
      </w:r>
      <w:r w:rsidR="00AD77FA" w:rsidRPr="00AD77FA">
        <w:rPr>
          <w:rFonts w:ascii="Tahoma" w:hAnsi="Tahoma" w:cs="Tahoma"/>
          <w:b/>
        </w:rPr>
        <w:t xml:space="preserve">implementation of the European Court of Human Rights (ECtHR) case law and judgments </w:t>
      </w:r>
      <w:r w:rsidR="00054E5E">
        <w:rPr>
          <w:rFonts w:ascii="Tahoma" w:hAnsi="Tahoma" w:cs="Tahoma"/>
          <w:b/>
        </w:rPr>
        <w:t xml:space="preserve">in the framework </w:t>
      </w:r>
      <w:r w:rsidR="00DA71B2">
        <w:rPr>
          <w:rFonts w:ascii="Tahoma" w:hAnsi="Tahoma" w:cs="Tahoma"/>
          <w:b/>
        </w:rPr>
        <w:t xml:space="preserve">of the </w:t>
      </w:r>
      <w:r w:rsidR="00D96B4A">
        <w:rPr>
          <w:rFonts w:ascii="Tahoma" w:hAnsi="Tahoma" w:cs="Tahoma"/>
          <w:b/>
        </w:rPr>
        <w:t xml:space="preserve">CoE </w:t>
      </w:r>
      <w:r w:rsidR="00DA71B2">
        <w:rPr>
          <w:rFonts w:ascii="Tahoma" w:hAnsi="Tahoma" w:cs="Tahoma"/>
          <w:b/>
        </w:rPr>
        <w:t>project “</w:t>
      </w:r>
      <w:r w:rsidR="00DA71B2" w:rsidRPr="00273AF6">
        <w:rPr>
          <w:rFonts w:ascii="Tahoma" w:hAnsi="Tahoma" w:cs="Tahoma"/>
          <w:b/>
        </w:rPr>
        <w:t xml:space="preserve">Support for the improvement of the execution of the European Court </w:t>
      </w:r>
      <w:r w:rsidR="00310245">
        <w:rPr>
          <w:rFonts w:ascii="Tahoma" w:hAnsi="Tahoma" w:cs="Tahoma"/>
          <w:b/>
        </w:rPr>
        <w:t>judgment</w:t>
      </w:r>
      <w:r w:rsidR="00DA71B2" w:rsidRPr="00273AF6">
        <w:rPr>
          <w:rFonts w:ascii="Tahoma" w:hAnsi="Tahoma" w:cs="Tahoma"/>
          <w:b/>
        </w:rPr>
        <w:t>s by Azerbaijan</w:t>
      </w:r>
      <w:r w:rsidR="00DA71B2">
        <w:rPr>
          <w:rFonts w:ascii="Tahoma" w:hAnsi="Tahoma" w:cs="Tahoma"/>
          <w:b/>
        </w:rPr>
        <w:t>”</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F7467D">
      <w:pPr>
        <w:pBdr>
          <w:top w:val="single" w:sz="2" w:space="1" w:color="FF0000"/>
          <w:left w:val="single" w:sz="2" w:space="4" w:color="FF0000"/>
          <w:bottom w:val="single" w:sz="2" w:space="1" w:color="FF0000"/>
          <w:right w:val="single" w:sz="2" w:space="8"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F7467D">
      <w:pPr>
        <w:pBdr>
          <w:top w:val="single" w:sz="2" w:space="1" w:color="FF0000"/>
          <w:left w:val="single" w:sz="2" w:space="4" w:color="FF0000"/>
          <w:bottom w:val="single" w:sz="2" w:space="1" w:color="FF0000"/>
          <w:right w:val="single" w:sz="2" w:space="8"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F7467D">
      <w:pPr>
        <w:pBdr>
          <w:top w:val="single" w:sz="2" w:space="1" w:color="FF0000"/>
          <w:left w:val="single" w:sz="2" w:space="4" w:color="FF0000"/>
          <w:bottom w:val="single" w:sz="2" w:space="1" w:color="FF0000"/>
          <w:right w:val="single" w:sz="2" w:space="8"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F7467D">
      <w:pPr>
        <w:pBdr>
          <w:top w:val="single" w:sz="2" w:space="1" w:color="FF0000"/>
          <w:left w:val="single" w:sz="2" w:space="4" w:color="FF0000"/>
          <w:bottom w:val="single" w:sz="2" w:space="1" w:color="FF0000"/>
          <w:right w:val="single" w:sz="2" w:space="8"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2E518B"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2E518B"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2E518B"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Consortium</w:t>
            </w:r>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AD77FA">
        <w:trPr>
          <w:trHeight w:val="645"/>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61C8170" w14:textId="77777777" w:rsidR="00AD77FA" w:rsidRPr="0026749F" w:rsidRDefault="00AD77FA" w:rsidP="00AD77FA">
      <w:pPr>
        <w:spacing w:line="276" w:lineRule="auto"/>
        <w:jc w:val="both"/>
        <w:rPr>
          <w:rFonts w:ascii="Tahoma" w:hAnsi="Tahoma" w:cs="Tahoma"/>
          <w:sz w:val="20"/>
          <w:szCs w:val="20"/>
        </w:rPr>
      </w:pPr>
      <w:bookmarkStart w:id="0" w:name="_Hlk118810320"/>
      <w:r w:rsidRPr="0026749F">
        <w:rPr>
          <w:rFonts w:ascii="Tahoma" w:hAnsi="Tahoma" w:cs="Tahoma"/>
          <w:sz w:val="20"/>
          <w:szCs w:val="20"/>
        </w:rPr>
        <w:t>In the framework of the Action Plan for Azerbaijan</w:t>
      </w:r>
      <w:r>
        <w:rPr>
          <w:rFonts w:ascii="Tahoma" w:hAnsi="Tahoma" w:cs="Tahoma"/>
          <w:sz w:val="20"/>
          <w:szCs w:val="20"/>
        </w:rPr>
        <w:t xml:space="preserve"> </w:t>
      </w:r>
      <w:r w:rsidRPr="00725053">
        <w:rPr>
          <w:rFonts w:ascii="Tahoma" w:hAnsi="Tahoma" w:cs="Tahoma"/>
          <w:sz w:val="20"/>
          <w:szCs w:val="20"/>
        </w:rPr>
        <w:t>2022-2025</w:t>
      </w:r>
      <w:r w:rsidRPr="0026749F">
        <w:rPr>
          <w:rFonts w:ascii="Tahoma" w:hAnsi="Tahoma" w:cs="Tahoma"/>
          <w:sz w:val="20"/>
          <w:szCs w:val="20"/>
        </w:rPr>
        <w:t xml:space="preserve">, </w:t>
      </w:r>
      <w:r w:rsidRPr="00725053">
        <w:rPr>
          <w:rFonts w:ascii="Tahoma" w:hAnsi="Tahoma" w:cs="Tahoma"/>
          <w:sz w:val="20"/>
          <w:szCs w:val="20"/>
        </w:rPr>
        <w:t>the Council of Europe and the Azerbaijani authorities have agreed to continue to</w:t>
      </w:r>
      <w:r>
        <w:rPr>
          <w:rFonts w:ascii="Tahoma" w:hAnsi="Tahoma" w:cs="Tahoma"/>
          <w:sz w:val="20"/>
          <w:szCs w:val="20"/>
        </w:rPr>
        <w:t xml:space="preserve"> </w:t>
      </w:r>
      <w:r w:rsidRPr="00725053">
        <w:rPr>
          <w:rFonts w:ascii="Tahoma" w:hAnsi="Tahoma" w:cs="Tahoma"/>
          <w:sz w:val="20"/>
          <w:szCs w:val="20"/>
        </w:rPr>
        <w:t>carry forward jointly, through co-operation programmes, reforms to</w:t>
      </w:r>
      <w:r>
        <w:rPr>
          <w:rFonts w:ascii="Tahoma" w:hAnsi="Tahoma" w:cs="Tahoma"/>
          <w:sz w:val="20"/>
          <w:szCs w:val="20"/>
        </w:rPr>
        <w:t xml:space="preserve">, </w:t>
      </w:r>
      <w:r w:rsidRPr="00E12045">
        <w:rPr>
          <w:rFonts w:ascii="Tahoma" w:hAnsi="Tahoma" w:cs="Tahoma"/>
          <w:i/>
          <w:iCs/>
          <w:sz w:val="20"/>
          <w:szCs w:val="20"/>
        </w:rPr>
        <w:t>inter alia</w:t>
      </w:r>
      <w:r>
        <w:rPr>
          <w:rFonts w:ascii="Tahoma" w:hAnsi="Tahoma" w:cs="Tahoma"/>
          <w:sz w:val="20"/>
          <w:szCs w:val="20"/>
        </w:rPr>
        <w:t>,</w:t>
      </w:r>
      <w:r w:rsidRPr="00725053">
        <w:rPr>
          <w:rFonts w:ascii="Tahoma" w:hAnsi="Tahoma" w:cs="Tahoma"/>
          <w:sz w:val="20"/>
          <w:szCs w:val="20"/>
        </w:rPr>
        <w:t xml:space="preserve"> improve the implementation of the</w:t>
      </w:r>
      <w:r>
        <w:rPr>
          <w:rFonts w:ascii="Tahoma" w:hAnsi="Tahoma" w:cs="Tahoma"/>
          <w:sz w:val="20"/>
          <w:szCs w:val="20"/>
        </w:rPr>
        <w:t xml:space="preserve"> </w:t>
      </w:r>
      <w:r w:rsidRPr="00725053">
        <w:rPr>
          <w:rFonts w:ascii="Tahoma" w:hAnsi="Tahoma" w:cs="Tahoma"/>
          <w:sz w:val="20"/>
          <w:szCs w:val="20"/>
        </w:rPr>
        <w:t>European Court of Human Rights (ECtHR) case law and judgments at the national level, improve the</w:t>
      </w:r>
      <w:r>
        <w:rPr>
          <w:rFonts w:ascii="Tahoma" w:hAnsi="Tahoma" w:cs="Tahoma"/>
          <w:sz w:val="20"/>
          <w:szCs w:val="20"/>
        </w:rPr>
        <w:t xml:space="preserve"> </w:t>
      </w:r>
      <w:r w:rsidRPr="00725053">
        <w:rPr>
          <w:rFonts w:ascii="Tahoma" w:hAnsi="Tahoma" w:cs="Tahoma"/>
          <w:sz w:val="20"/>
          <w:szCs w:val="20"/>
        </w:rPr>
        <w:t>criminal justice system and ensure fundamental freedoms, further increase the effectiveness, accountability</w:t>
      </w:r>
      <w:r>
        <w:rPr>
          <w:rFonts w:ascii="Tahoma" w:hAnsi="Tahoma" w:cs="Tahoma"/>
          <w:sz w:val="20"/>
          <w:szCs w:val="20"/>
        </w:rPr>
        <w:t xml:space="preserve"> </w:t>
      </w:r>
      <w:r w:rsidRPr="00725053">
        <w:rPr>
          <w:rFonts w:ascii="Tahoma" w:hAnsi="Tahoma" w:cs="Tahoma"/>
          <w:sz w:val="20"/>
          <w:szCs w:val="20"/>
        </w:rPr>
        <w:t>and transparency of the judiciary.</w:t>
      </w:r>
      <w:r>
        <w:rPr>
          <w:rFonts w:ascii="Tahoma" w:hAnsi="Tahoma" w:cs="Tahoma"/>
          <w:sz w:val="20"/>
          <w:szCs w:val="20"/>
        </w:rPr>
        <w:t xml:space="preserve"> </w:t>
      </w:r>
    </w:p>
    <w:p w14:paraId="4E9E80F3" w14:textId="77777777" w:rsidR="00AD77FA" w:rsidRDefault="00AD77FA" w:rsidP="00AD77FA">
      <w:pPr>
        <w:spacing w:line="276" w:lineRule="auto"/>
        <w:ind w:left="284"/>
        <w:jc w:val="both"/>
        <w:rPr>
          <w:rFonts w:ascii="Tahoma" w:hAnsi="Tahoma" w:cs="Tahoma"/>
          <w:sz w:val="20"/>
          <w:szCs w:val="20"/>
        </w:rPr>
      </w:pPr>
    </w:p>
    <w:p w14:paraId="31C5CD42" w14:textId="07E25A5B" w:rsidR="00AD77FA" w:rsidRDefault="00AD77FA" w:rsidP="00AD77FA">
      <w:pPr>
        <w:spacing w:line="276" w:lineRule="auto"/>
        <w:jc w:val="both"/>
        <w:rPr>
          <w:rFonts w:ascii="Tahoma" w:hAnsi="Tahoma" w:cs="Tahoma"/>
          <w:sz w:val="20"/>
          <w:szCs w:val="20"/>
        </w:rPr>
      </w:pPr>
      <w:r w:rsidRPr="000D371D">
        <w:rPr>
          <w:rFonts w:ascii="Tahoma" w:hAnsi="Tahoma" w:cs="Tahoma"/>
          <w:sz w:val="20"/>
          <w:szCs w:val="20"/>
        </w:rPr>
        <w:t>The Council of Europe is currently implementing a Project on</w:t>
      </w:r>
      <w:r>
        <w:rPr>
          <w:rFonts w:ascii="Tahoma" w:hAnsi="Tahoma" w:cs="Tahoma"/>
          <w:sz w:val="20"/>
          <w:szCs w:val="20"/>
        </w:rPr>
        <w:t xml:space="preserve"> </w:t>
      </w:r>
      <w:r w:rsidRPr="00E12045">
        <w:rPr>
          <w:rFonts w:ascii="Tahoma" w:hAnsi="Tahoma" w:cs="Tahoma"/>
          <w:sz w:val="20"/>
          <w:szCs w:val="20"/>
        </w:rPr>
        <w:t xml:space="preserve">“Support for the improvement of the execution of the European Court </w:t>
      </w:r>
      <w:r w:rsidR="00310245">
        <w:rPr>
          <w:rFonts w:ascii="Tahoma" w:hAnsi="Tahoma" w:cs="Tahoma"/>
          <w:sz w:val="20"/>
          <w:szCs w:val="20"/>
        </w:rPr>
        <w:t>judgment</w:t>
      </w:r>
      <w:r w:rsidRPr="00E12045">
        <w:rPr>
          <w:rFonts w:ascii="Tahoma" w:hAnsi="Tahoma" w:cs="Tahoma"/>
          <w:sz w:val="20"/>
          <w:szCs w:val="20"/>
        </w:rPr>
        <w:t>s by Azerbaijan”</w:t>
      </w:r>
      <w:r>
        <w:rPr>
          <w:rFonts w:ascii="Tahoma" w:hAnsi="Tahoma" w:cs="Tahoma"/>
          <w:sz w:val="20"/>
          <w:szCs w:val="20"/>
        </w:rPr>
        <w:t xml:space="preserve"> in order </w:t>
      </w:r>
      <w:r w:rsidRPr="00E12045">
        <w:rPr>
          <w:rFonts w:ascii="Tahoma" w:hAnsi="Tahoma" w:cs="Tahoma"/>
          <w:sz w:val="20"/>
          <w:szCs w:val="20"/>
        </w:rPr>
        <w:t xml:space="preserve">to </w:t>
      </w:r>
      <w:r>
        <w:rPr>
          <w:rFonts w:ascii="Tahoma" w:hAnsi="Tahoma" w:cs="Tahoma"/>
          <w:sz w:val="20"/>
          <w:szCs w:val="20"/>
        </w:rPr>
        <w:t xml:space="preserve">support the </w:t>
      </w:r>
      <w:r w:rsidRPr="00E12045">
        <w:rPr>
          <w:rFonts w:ascii="Tahoma" w:hAnsi="Tahoma" w:cs="Tahoma"/>
          <w:sz w:val="20"/>
          <w:szCs w:val="20"/>
        </w:rPr>
        <w:t>implementation of human rights and fundamental freedoms in Azerbaijan in line with the European Convention on Human Rights, ensure timely and effective execution of the judgments of the European Court of Human Rights (ECtHR) and other relevant instruments of the Council of Europe.  </w:t>
      </w:r>
    </w:p>
    <w:p w14:paraId="0C6034CC" w14:textId="77777777" w:rsidR="00AD77FA" w:rsidRDefault="00AD77FA" w:rsidP="00AD77FA">
      <w:pPr>
        <w:spacing w:line="276" w:lineRule="auto"/>
        <w:ind w:left="284"/>
        <w:jc w:val="both"/>
        <w:rPr>
          <w:rFonts w:ascii="Tahoma" w:hAnsi="Tahoma" w:cs="Tahoma"/>
          <w:sz w:val="20"/>
          <w:szCs w:val="20"/>
        </w:rPr>
      </w:pPr>
    </w:p>
    <w:p w14:paraId="61D62516" w14:textId="5BA64032" w:rsidR="00AD77FA" w:rsidRPr="00E12045" w:rsidRDefault="00AD77FA" w:rsidP="00AD77FA">
      <w:pPr>
        <w:spacing w:line="276" w:lineRule="auto"/>
        <w:jc w:val="both"/>
        <w:rPr>
          <w:rFonts w:ascii="Tahoma" w:hAnsi="Tahoma" w:cs="Tahoma"/>
          <w:sz w:val="20"/>
          <w:szCs w:val="20"/>
        </w:rPr>
      </w:pPr>
      <w:r w:rsidRPr="0026749F">
        <w:rPr>
          <w:rFonts w:ascii="Tahoma" w:hAnsi="Tahoma" w:cs="Tahoma"/>
          <w:sz w:val="20"/>
          <w:szCs w:val="20"/>
        </w:rPr>
        <w:t xml:space="preserve">This project </w:t>
      </w:r>
      <w:r>
        <w:rPr>
          <w:rFonts w:ascii="Tahoma" w:hAnsi="Tahoma" w:cs="Tahoma"/>
          <w:sz w:val="20"/>
          <w:szCs w:val="20"/>
        </w:rPr>
        <w:t>aims to achieve these through</w:t>
      </w:r>
      <w:r w:rsidRPr="0026749F">
        <w:rPr>
          <w:rFonts w:ascii="Tahoma" w:hAnsi="Tahoma" w:cs="Tahoma"/>
          <w:sz w:val="20"/>
          <w:szCs w:val="20"/>
        </w:rPr>
        <w:t>:</w:t>
      </w:r>
      <w:r>
        <w:rPr>
          <w:rFonts w:ascii="Tahoma" w:hAnsi="Tahoma" w:cs="Tahoma"/>
          <w:sz w:val="20"/>
          <w:szCs w:val="20"/>
        </w:rPr>
        <w:t xml:space="preserve"> s</w:t>
      </w:r>
      <w:r w:rsidRPr="00AD77FA">
        <w:rPr>
          <w:rFonts w:ascii="Tahoma" w:hAnsi="Tahoma" w:cs="Tahoma"/>
          <w:sz w:val="20"/>
          <w:szCs w:val="20"/>
        </w:rPr>
        <w:t xml:space="preserve">trengthening the capacity of national stakeholders to implement harmonised evidence-based judicial policy and practice; and, analysing and improving framework and practices for facilitation of the execution of the </w:t>
      </w:r>
      <w:r w:rsidR="00B4036A" w:rsidRPr="00AD77FA">
        <w:rPr>
          <w:rFonts w:ascii="Tahoma" w:hAnsi="Tahoma" w:cs="Tahoma"/>
          <w:sz w:val="20"/>
          <w:szCs w:val="20"/>
        </w:rPr>
        <w:t xml:space="preserve">ECtHR </w:t>
      </w:r>
      <w:r w:rsidRPr="00AD77FA">
        <w:rPr>
          <w:rFonts w:ascii="Tahoma" w:hAnsi="Tahoma" w:cs="Tahoma"/>
          <w:sz w:val="20"/>
          <w:szCs w:val="20"/>
        </w:rPr>
        <w:t xml:space="preserve">judgments. </w:t>
      </w:r>
      <w:r>
        <w:rPr>
          <w:rFonts w:ascii="Tahoma" w:hAnsi="Tahoma" w:cs="Tahoma"/>
          <w:sz w:val="20"/>
          <w:szCs w:val="20"/>
        </w:rPr>
        <w:t>T</w:t>
      </w:r>
      <w:r w:rsidRPr="00AD77FA">
        <w:rPr>
          <w:rFonts w:ascii="Tahoma" w:hAnsi="Tahoma" w:cs="Tahoma"/>
          <w:sz w:val="20"/>
          <w:szCs w:val="20"/>
        </w:rPr>
        <w:t>he Council of Europe will provide capacity building and institutional strengthening to law enforcement and judiciary (judges, prosecutors, lawyers)</w:t>
      </w:r>
      <w:r>
        <w:rPr>
          <w:rFonts w:ascii="Tahoma" w:hAnsi="Tahoma" w:cs="Tahoma"/>
          <w:sz w:val="20"/>
          <w:szCs w:val="20"/>
        </w:rPr>
        <w:t xml:space="preserve"> t</w:t>
      </w:r>
      <w:r w:rsidRPr="00AD77FA">
        <w:rPr>
          <w:rFonts w:ascii="Tahoma" w:hAnsi="Tahoma" w:cs="Tahoma"/>
          <w:sz w:val="20"/>
          <w:szCs w:val="20"/>
        </w:rPr>
        <w:t>o enhance the effective implementation of the</w:t>
      </w:r>
      <w:r w:rsidR="00F032E5">
        <w:rPr>
          <w:rFonts w:ascii="Tahoma" w:hAnsi="Tahoma" w:cs="Tahoma"/>
          <w:sz w:val="20"/>
          <w:szCs w:val="20"/>
        </w:rPr>
        <w:t xml:space="preserve"> ECtHR </w:t>
      </w:r>
      <w:r w:rsidR="00310245">
        <w:rPr>
          <w:rFonts w:ascii="Tahoma" w:hAnsi="Tahoma" w:cs="Tahoma"/>
          <w:sz w:val="20"/>
          <w:szCs w:val="20"/>
        </w:rPr>
        <w:t>judgment</w:t>
      </w:r>
      <w:r w:rsidR="00F032E5">
        <w:rPr>
          <w:rFonts w:ascii="Tahoma" w:hAnsi="Tahoma" w:cs="Tahoma"/>
          <w:sz w:val="20"/>
          <w:szCs w:val="20"/>
        </w:rPr>
        <w:t>s by Azerbaijan</w:t>
      </w:r>
      <w:r w:rsidRPr="00AD77FA">
        <w:rPr>
          <w:rFonts w:ascii="Tahoma" w:hAnsi="Tahoma" w:cs="Tahoma"/>
          <w:sz w:val="20"/>
          <w:szCs w:val="20"/>
        </w:rPr>
        <w:t xml:space="preserve">. </w:t>
      </w:r>
    </w:p>
    <w:bookmarkEnd w:id="0"/>
    <w:p w14:paraId="0FE4868D" w14:textId="77777777" w:rsidR="00AD77FA" w:rsidRPr="00E12045" w:rsidRDefault="00AD77FA" w:rsidP="00AD77FA">
      <w:pPr>
        <w:spacing w:line="276" w:lineRule="auto"/>
        <w:ind w:left="284"/>
        <w:jc w:val="both"/>
        <w:rPr>
          <w:rFonts w:ascii="Tahoma" w:hAnsi="Tahoma" w:cs="Tahoma"/>
          <w:sz w:val="20"/>
          <w:szCs w:val="20"/>
        </w:rPr>
      </w:pPr>
    </w:p>
    <w:p w14:paraId="2F408E6E" w14:textId="74D4B639"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A0055B">
        <w:rPr>
          <w:rFonts w:ascii="Tahoma" w:hAnsi="Tahoma" w:cs="Tahoma"/>
          <w:sz w:val="20"/>
          <w:szCs w:val="20"/>
        </w:rPr>
        <w:t xml:space="preserve">the Council of Europe </w:t>
      </w:r>
      <w:r w:rsidRPr="00D0286A">
        <w:rPr>
          <w:rFonts w:ascii="Tahoma" w:hAnsi="Tahoma" w:cs="Tahoma"/>
          <w:sz w:val="20"/>
          <w:szCs w:val="20"/>
        </w:rPr>
        <w:t xml:space="preserve">is looking for Provider(s) (see below) for the </w:t>
      </w:r>
      <w:r w:rsidRPr="00884150">
        <w:rPr>
          <w:rFonts w:ascii="Tahoma" w:hAnsi="Tahoma" w:cs="Tahoma"/>
          <w:sz w:val="20"/>
          <w:szCs w:val="20"/>
        </w:rPr>
        <w:t xml:space="preserve">provision of </w:t>
      </w:r>
      <w:r w:rsidR="00884150" w:rsidRPr="00884150">
        <w:rPr>
          <w:rFonts w:ascii="Tahoma" w:hAnsi="Tahoma" w:cs="Tahoma"/>
          <w:sz w:val="20"/>
          <w:szCs w:val="20"/>
        </w:rPr>
        <w:t xml:space="preserve">consultancy services </w:t>
      </w:r>
      <w:r w:rsidRPr="00884150">
        <w:rPr>
          <w:rFonts w:ascii="Tahoma" w:hAnsi="Tahoma" w:cs="Tahoma"/>
          <w:sz w:val="20"/>
          <w:szCs w:val="20"/>
        </w:rPr>
        <w:t>to be requested by the Council on an as needed basis, in compliance with the ordering procedure</w:t>
      </w:r>
      <w:r w:rsidRPr="00D0286A">
        <w:rPr>
          <w:rFonts w:ascii="Tahoma" w:hAnsi="Tahoma" w:cs="Tahoma"/>
          <w:sz w:val="20"/>
          <w:szCs w:val="20"/>
        </w:rPr>
        <w:t xml:space="preserv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155FA3">
        <w:rPr>
          <w:rFonts w:ascii="Tahoma" w:hAnsi="Tahoma" w:cs="Tahoma"/>
          <w:sz w:val="20"/>
          <w:szCs w:val="20"/>
        </w:rPr>
        <w:t>Each time an order form is sent, the selected Provider undertakes to take all the necessary measures to send it signed to the Council within 2 (two) working days after its reception.</w:t>
      </w:r>
      <w:r w:rsidRPr="00D0286A">
        <w:rPr>
          <w:rFonts w:ascii="Tahoma" w:hAnsi="Tahoma" w:cs="Tahoma"/>
          <w:sz w:val="20"/>
          <w:szCs w:val="20"/>
        </w:rPr>
        <w:t xml:space="preserve"> </w:t>
      </w:r>
    </w:p>
    <w:p w14:paraId="57266E15" w14:textId="77777777" w:rsidR="00DD3D87" w:rsidRPr="0041745B" w:rsidRDefault="00DD3D87" w:rsidP="00DD3D87">
      <w:pPr>
        <w:autoSpaceDE w:val="0"/>
        <w:autoSpaceDN w:val="0"/>
        <w:adjustRightInd w:val="0"/>
        <w:jc w:val="both"/>
        <w:rPr>
          <w:rFonts w:ascii="Arial Narrow" w:hAnsi="Arial Narrow" w:cs="Tahoma"/>
          <w:sz w:val="20"/>
          <w:szCs w:val="20"/>
          <w:lang w:val="en-US" w:eastAsia="en-US"/>
        </w:rPr>
      </w:pPr>
    </w:p>
    <w:p w14:paraId="3DCA3D39" w14:textId="014FE2E3" w:rsidR="00834455" w:rsidRDefault="00834455" w:rsidP="00834455">
      <w:pPr>
        <w:spacing w:line="276" w:lineRule="auto"/>
        <w:jc w:val="both"/>
        <w:rPr>
          <w:rFonts w:ascii="Tahoma" w:hAnsi="Tahoma" w:cs="Tahoma"/>
          <w:sz w:val="20"/>
          <w:szCs w:val="20"/>
          <w:lang w:val="en-US"/>
        </w:rPr>
      </w:pPr>
      <w:r w:rsidRPr="000C1E92">
        <w:rPr>
          <w:rFonts w:ascii="Tahoma" w:hAnsi="Tahoma" w:cs="Tahoma"/>
          <w:sz w:val="20"/>
          <w:szCs w:val="20"/>
          <w:u w:val="single"/>
          <w:lang w:val="en-US"/>
        </w:rPr>
        <w:t>The tender is divided into 2 (two) Lots.</w:t>
      </w:r>
      <w:r w:rsidRPr="000C1E92">
        <w:rPr>
          <w:rFonts w:ascii="Tahoma" w:hAnsi="Tahoma" w:cs="Tahoma"/>
          <w:sz w:val="20"/>
          <w:szCs w:val="20"/>
          <w:lang w:val="en-US"/>
        </w:rPr>
        <w:t xml:space="preserve"> Consultants may submit a tender for one or both Lots subject to the fulfillment of the criteria listed in the Tender Rules for the Lots concerned. </w:t>
      </w:r>
    </w:p>
    <w:p w14:paraId="70BFD22A" w14:textId="09EE7BD7" w:rsidR="00341F85" w:rsidRDefault="00341F85" w:rsidP="00834455">
      <w:pPr>
        <w:spacing w:line="276" w:lineRule="auto"/>
        <w:jc w:val="both"/>
        <w:rPr>
          <w:rFonts w:ascii="Tahoma" w:hAnsi="Tahoma" w:cs="Tahoma"/>
          <w:sz w:val="20"/>
          <w:szCs w:val="20"/>
          <w:lang w:val="en-US"/>
        </w:rPr>
      </w:pPr>
    </w:p>
    <w:p w14:paraId="6D1C9E79" w14:textId="77777777" w:rsidR="004B2BD6" w:rsidRPr="009926CD" w:rsidRDefault="004B2BD6" w:rsidP="004B2BD6">
      <w:pPr>
        <w:shd w:val="clear" w:color="auto" w:fill="FFFFFF" w:themeFill="background1"/>
        <w:autoSpaceDE w:val="0"/>
        <w:autoSpaceDN w:val="0"/>
        <w:adjustRightInd w:val="0"/>
        <w:jc w:val="both"/>
        <w:rPr>
          <w:rFonts w:ascii="Tahoma" w:hAnsi="Tahoma" w:cs="Tahoma"/>
          <w:noProof/>
          <w:sz w:val="20"/>
          <w:szCs w:val="20"/>
          <w:lang w:eastAsia="fr-FR"/>
        </w:rPr>
      </w:pPr>
      <w:r w:rsidRPr="009926CD">
        <w:rPr>
          <w:rFonts w:ascii="Tahoma" w:hAnsi="Tahoma" w:cs="Tahoma"/>
          <w:noProof/>
          <w:sz w:val="20"/>
          <w:szCs w:val="20"/>
          <w:lang w:eastAsia="fr-FR"/>
        </w:rPr>
        <w:t>Throughout the duration of the Framework Contract, pre-selected Providers may be asked to:</w:t>
      </w:r>
    </w:p>
    <w:p w14:paraId="7DF884DC" w14:textId="77777777" w:rsidR="004B2BD6" w:rsidRDefault="004B2BD6" w:rsidP="004B2BD6">
      <w:pPr>
        <w:shd w:val="clear" w:color="auto" w:fill="FFFFFF" w:themeFill="background1"/>
        <w:autoSpaceDE w:val="0"/>
        <w:autoSpaceDN w:val="0"/>
        <w:adjustRightInd w:val="0"/>
        <w:jc w:val="both"/>
        <w:rPr>
          <w:rFonts w:ascii="Tahoma" w:hAnsi="Tahoma" w:cs="Tahoma"/>
          <w:noProof/>
          <w:sz w:val="20"/>
          <w:szCs w:val="20"/>
          <w:lang w:eastAsia="fr-FR"/>
        </w:rPr>
      </w:pPr>
    </w:p>
    <w:p w14:paraId="12D85163" w14:textId="70D198FD" w:rsidR="005F7211" w:rsidRPr="007A0E3E" w:rsidRDefault="005F7211" w:rsidP="005F7211">
      <w:pPr>
        <w:shd w:val="clear" w:color="auto" w:fill="FFFFFF" w:themeFill="background1"/>
        <w:autoSpaceDE w:val="0"/>
        <w:autoSpaceDN w:val="0"/>
        <w:adjustRightInd w:val="0"/>
        <w:jc w:val="both"/>
        <w:rPr>
          <w:rFonts w:ascii="Calibri" w:hAnsi="Calibri" w:cs="Calibri"/>
          <w:color w:val="000000"/>
          <w:sz w:val="21"/>
          <w:szCs w:val="21"/>
          <w:lang w:val="en-US"/>
        </w:rPr>
      </w:pPr>
      <w:r w:rsidRPr="009926CD">
        <w:rPr>
          <w:rFonts w:ascii="Tahoma" w:hAnsi="Tahoma" w:cs="Tahoma"/>
          <w:noProof/>
          <w:sz w:val="20"/>
          <w:szCs w:val="20"/>
          <w:lang w:eastAsia="fr-FR"/>
        </w:rPr>
        <w:t xml:space="preserve">Under </w:t>
      </w:r>
      <w:r w:rsidRPr="009926CD">
        <w:rPr>
          <w:rFonts w:ascii="Tahoma" w:hAnsi="Tahoma" w:cs="Tahoma"/>
          <w:b/>
          <w:sz w:val="20"/>
          <w:szCs w:val="20"/>
        </w:rPr>
        <w:t xml:space="preserve">Lot 1. </w:t>
      </w:r>
      <w:r w:rsidRPr="009926CD">
        <w:rPr>
          <w:rFonts w:ascii="Tahoma" w:eastAsiaTheme="minorHAnsi" w:hAnsi="Tahoma" w:cs="Tahoma"/>
          <w:sz w:val="20"/>
          <w:szCs w:val="20"/>
          <w:lang w:eastAsia="en-US"/>
        </w:rPr>
        <w:t xml:space="preserve"> </w:t>
      </w:r>
      <w:r w:rsidR="00B4036A">
        <w:rPr>
          <w:rFonts w:ascii="Tahoma" w:eastAsiaTheme="minorHAnsi" w:hAnsi="Tahoma" w:cs="Tahoma"/>
          <w:sz w:val="20"/>
          <w:szCs w:val="20"/>
          <w:lang w:eastAsia="en-US"/>
        </w:rPr>
        <w:t>Provide consultancy services for c</w:t>
      </w:r>
      <w:r w:rsidRPr="00CE2936">
        <w:rPr>
          <w:rFonts w:ascii="Tahoma" w:eastAsiaTheme="minorHAnsi" w:hAnsi="Tahoma" w:cs="Tahoma"/>
          <w:sz w:val="20"/>
          <w:szCs w:val="20"/>
          <w:lang w:eastAsia="en-US"/>
        </w:rPr>
        <w:t xml:space="preserve">apacity development for the </w:t>
      </w:r>
      <w:r>
        <w:rPr>
          <w:rFonts w:ascii="Tahoma" w:eastAsiaTheme="minorHAnsi" w:hAnsi="Tahoma" w:cs="Tahoma"/>
          <w:sz w:val="20"/>
          <w:szCs w:val="20"/>
          <w:lang w:eastAsia="en-US"/>
        </w:rPr>
        <w:t>national</w:t>
      </w:r>
      <w:r w:rsidRPr="00CE2936">
        <w:rPr>
          <w:rFonts w:ascii="Tahoma" w:eastAsiaTheme="minorHAnsi" w:hAnsi="Tahoma" w:cs="Tahoma"/>
          <w:sz w:val="20"/>
          <w:szCs w:val="20"/>
          <w:lang w:eastAsia="en-US"/>
        </w:rPr>
        <w:t xml:space="preserve"> stakeholders </w:t>
      </w:r>
      <w:r>
        <w:rPr>
          <w:rFonts w:ascii="Tahoma" w:eastAsiaTheme="minorHAnsi" w:hAnsi="Tahoma" w:cs="Tahoma"/>
          <w:sz w:val="20"/>
          <w:szCs w:val="20"/>
          <w:lang w:eastAsia="en-US"/>
        </w:rPr>
        <w:t xml:space="preserve">to implement harmonised ECHR-compliant, evidence -based criminal, judicial policy and </w:t>
      </w:r>
      <w:r w:rsidR="00B4036A">
        <w:rPr>
          <w:rFonts w:ascii="Tahoma" w:eastAsiaTheme="minorHAnsi" w:hAnsi="Tahoma" w:cs="Tahoma"/>
          <w:sz w:val="20"/>
          <w:szCs w:val="20"/>
          <w:lang w:eastAsia="en-US"/>
        </w:rPr>
        <w:t>practices</w:t>
      </w:r>
      <w:r w:rsidR="001B57B6">
        <w:rPr>
          <w:rFonts w:ascii="Tahoma" w:eastAsiaTheme="minorHAnsi" w:hAnsi="Tahoma" w:cs="Tahoma"/>
          <w:sz w:val="20"/>
          <w:szCs w:val="20"/>
          <w:lang w:eastAsia="en-US"/>
        </w:rPr>
        <w:t xml:space="preserve"> through</w:t>
      </w:r>
      <w:r w:rsidR="00B4036A">
        <w:rPr>
          <w:rFonts w:ascii="Tahoma" w:eastAsiaTheme="minorHAnsi" w:hAnsi="Tahoma" w:cs="Tahoma"/>
          <w:sz w:val="20"/>
          <w:szCs w:val="20"/>
          <w:lang w:eastAsia="en-US"/>
        </w:rPr>
        <w:t>:</w:t>
      </w:r>
      <w:r w:rsidRPr="001E7B94">
        <w:rPr>
          <w:rFonts w:ascii="Tahoma" w:eastAsiaTheme="minorHAnsi" w:hAnsi="Tahoma" w:cs="Tahoma"/>
          <w:sz w:val="20"/>
          <w:szCs w:val="20"/>
          <w:lang w:eastAsia="en-US"/>
        </w:rPr>
        <w:t xml:space="preserve"> </w:t>
      </w:r>
    </w:p>
    <w:p w14:paraId="0FB70F3F" w14:textId="77777777" w:rsidR="005F7211" w:rsidRPr="00BF58E2" w:rsidRDefault="005F7211" w:rsidP="005F7211">
      <w:pPr>
        <w:pStyle w:val="Default"/>
        <w:jc w:val="both"/>
        <w:rPr>
          <w:rFonts w:ascii="Arial Narrow" w:hAnsi="Arial Narrow" w:cs="Tahoma"/>
          <w:b/>
          <w:sz w:val="20"/>
          <w:szCs w:val="20"/>
        </w:rPr>
      </w:pPr>
    </w:p>
    <w:p w14:paraId="7CD093EA" w14:textId="77777777" w:rsidR="005F7211" w:rsidRPr="00B819F3" w:rsidRDefault="005F7211" w:rsidP="005F7211">
      <w:pPr>
        <w:pStyle w:val="ListParagraph"/>
        <w:numPr>
          <w:ilvl w:val="0"/>
          <w:numId w:val="38"/>
        </w:numPr>
        <w:jc w:val="both"/>
        <w:rPr>
          <w:rFonts w:ascii="Tahoma" w:hAnsi="Tahoma" w:cs="Tahoma"/>
          <w:b/>
          <w:sz w:val="20"/>
          <w:szCs w:val="20"/>
          <w:lang w:eastAsia="en-US"/>
        </w:rPr>
      </w:pPr>
      <w:r>
        <w:rPr>
          <w:rFonts w:ascii="Tahoma" w:hAnsi="Tahoma" w:cs="Tahoma"/>
          <w:sz w:val="20"/>
          <w:szCs w:val="20"/>
          <w:lang w:eastAsia="en-US"/>
        </w:rPr>
        <w:t>Assessment of t</w:t>
      </w:r>
      <w:r w:rsidRPr="006849D8">
        <w:rPr>
          <w:rFonts w:ascii="Tahoma" w:hAnsi="Tahoma" w:cs="Tahoma"/>
          <w:sz w:val="20"/>
          <w:szCs w:val="20"/>
          <w:lang w:eastAsia="en-US"/>
        </w:rPr>
        <w:t xml:space="preserve">raining </w:t>
      </w:r>
      <w:r>
        <w:rPr>
          <w:rFonts w:ascii="Tahoma" w:hAnsi="Tahoma" w:cs="Tahoma"/>
          <w:sz w:val="20"/>
          <w:szCs w:val="20"/>
          <w:lang w:eastAsia="en-US"/>
        </w:rPr>
        <w:t xml:space="preserve">capacity and </w:t>
      </w:r>
      <w:r w:rsidRPr="006849D8">
        <w:rPr>
          <w:rFonts w:ascii="Tahoma" w:hAnsi="Tahoma" w:cs="Tahoma"/>
          <w:sz w:val="20"/>
          <w:szCs w:val="20"/>
          <w:lang w:eastAsia="en-US"/>
        </w:rPr>
        <w:t xml:space="preserve">needs, </w:t>
      </w:r>
      <w:r>
        <w:rPr>
          <w:rFonts w:ascii="Tahoma" w:hAnsi="Tahoma" w:cs="Tahoma"/>
          <w:sz w:val="20"/>
          <w:szCs w:val="20"/>
          <w:lang w:eastAsia="en-US"/>
        </w:rPr>
        <w:t>d</w:t>
      </w:r>
      <w:r w:rsidRPr="006849D8">
        <w:rPr>
          <w:rFonts w:ascii="Tahoma" w:hAnsi="Tahoma" w:cs="Tahoma"/>
          <w:sz w:val="20"/>
          <w:szCs w:val="20"/>
          <w:lang w:eastAsia="en-US"/>
        </w:rPr>
        <w:t>evelopment or updating of training methodology</w:t>
      </w:r>
      <w:r>
        <w:rPr>
          <w:rFonts w:ascii="Tahoma" w:hAnsi="Tahoma" w:cs="Tahoma"/>
          <w:sz w:val="20"/>
          <w:szCs w:val="20"/>
          <w:lang w:eastAsia="en-US"/>
        </w:rPr>
        <w:t xml:space="preserve">, </w:t>
      </w:r>
      <w:r w:rsidRPr="006849D8">
        <w:rPr>
          <w:rFonts w:ascii="Tahoma" w:hAnsi="Tahoma" w:cs="Tahoma"/>
          <w:sz w:val="20"/>
          <w:szCs w:val="20"/>
          <w:lang w:eastAsia="en-US"/>
        </w:rPr>
        <w:t>training modules and teaching materials</w:t>
      </w:r>
      <w:r>
        <w:rPr>
          <w:rFonts w:ascii="Tahoma" w:hAnsi="Tahoma" w:cs="Tahoma"/>
          <w:sz w:val="20"/>
          <w:szCs w:val="20"/>
          <w:lang w:eastAsia="en-US"/>
        </w:rPr>
        <w:t>;</w:t>
      </w:r>
    </w:p>
    <w:p w14:paraId="68C76267" w14:textId="618F1021" w:rsidR="005F7211" w:rsidRPr="00B819F3" w:rsidRDefault="005F7211" w:rsidP="005F7211">
      <w:pPr>
        <w:pStyle w:val="ListParagraph"/>
        <w:numPr>
          <w:ilvl w:val="0"/>
          <w:numId w:val="38"/>
        </w:numPr>
        <w:jc w:val="both"/>
        <w:rPr>
          <w:rFonts w:ascii="Tahoma" w:hAnsi="Tahoma" w:cs="Tahoma"/>
          <w:sz w:val="20"/>
          <w:szCs w:val="20"/>
          <w:lang w:eastAsia="en-US"/>
        </w:rPr>
      </w:pPr>
      <w:r w:rsidRPr="00B819F3">
        <w:rPr>
          <w:rFonts w:ascii="Tahoma" w:hAnsi="Tahoma" w:cs="Tahoma"/>
          <w:sz w:val="20"/>
          <w:szCs w:val="20"/>
          <w:lang w:eastAsia="en-US"/>
        </w:rPr>
        <w:t>Conducting trainings and/or facilitating peer to peer trainings for the justice stakeholders on topics, including but not limited to,</w:t>
      </w:r>
      <w:r>
        <w:rPr>
          <w:rFonts w:ascii="Tahoma" w:hAnsi="Tahoma" w:cs="Tahoma"/>
          <w:sz w:val="20"/>
          <w:szCs w:val="20"/>
          <w:lang w:eastAsia="en-US"/>
        </w:rPr>
        <w:t xml:space="preserve"> ECHR and other human rights instruments, </w:t>
      </w:r>
      <w:r w:rsidRPr="00084D13">
        <w:rPr>
          <w:rFonts w:ascii="Tahoma" w:hAnsi="Tahoma" w:cs="Tahoma"/>
          <w:sz w:val="20"/>
          <w:szCs w:val="20"/>
          <w:lang w:eastAsia="en-US"/>
        </w:rPr>
        <w:t>prevention and remedying of violations of the Convention for the protection of human rights and fundamental freedoms</w:t>
      </w:r>
      <w:r>
        <w:rPr>
          <w:rFonts w:ascii="Tahoma" w:hAnsi="Tahoma" w:cs="Tahoma"/>
          <w:sz w:val="20"/>
          <w:szCs w:val="20"/>
          <w:lang w:eastAsia="en-US"/>
        </w:rPr>
        <w:t>,</w:t>
      </w:r>
      <w:r w:rsidRPr="00B819F3">
        <w:rPr>
          <w:rFonts w:ascii="Tahoma" w:hAnsi="Tahoma" w:cs="Tahoma"/>
          <w:sz w:val="20"/>
          <w:szCs w:val="20"/>
          <w:lang w:eastAsia="en-US"/>
        </w:rPr>
        <w:t xml:space="preserve"> </w:t>
      </w:r>
      <w:r>
        <w:rPr>
          <w:rFonts w:ascii="Tahoma" w:hAnsi="Tahoma" w:cs="Tahoma"/>
          <w:sz w:val="20"/>
          <w:szCs w:val="20"/>
          <w:lang w:eastAsia="en-US"/>
        </w:rPr>
        <w:t xml:space="preserve">effective execution of the ECtHR </w:t>
      </w:r>
      <w:r w:rsidR="00310245">
        <w:rPr>
          <w:rFonts w:ascii="Tahoma" w:hAnsi="Tahoma" w:cs="Tahoma"/>
          <w:sz w:val="20"/>
          <w:szCs w:val="20"/>
          <w:lang w:eastAsia="en-US"/>
        </w:rPr>
        <w:t>judgment</w:t>
      </w:r>
      <w:r>
        <w:rPr>
          <w:rFonts w:ascii="Tahoma" w:hAnsi="Tahoma" w:cs="Tahoma"/>
          <w:sz w:val="20"/>
          <w:szCs w:val="20"/>
          <w:lang w:eastAsia="en-US"/>
        </w:rPr>
        <w:t xml:space="preserve">s, </w:t>
      </w:r>
      <w:r w:rsidRPr="00B819F3">
        <w:rPr>
          <w:rFonts w:ascii="Tahoma" w:hAnsi="Tahoma" w:cs="Tahoma"/>
          <w:sz w:val="20"/>
          <w:szCs w:val="20"/>
          <w:lang w:eastAsia="en-US"/>
        </w:rPr>
        <w:t xml:space="preserve">ethical conduct for criminal justice actors, </w:t>
      </w:r>
      <w:r w:rsidRPr="002D19E7">
        <w:rPr>
          <w:rFonts w:ascii="Tahoma" w:hAnsi="Tahoma" w:cs="Tahoma"/>
          <w:sz w:val="20"/>
          <w:szCs w:val="20"/>
          <w:lang w:eastAsia="en-US"/>
        </w:rPr>
        <w:t>judicial data collection, analysis and management</w:t>
      </w:r>
      <w:r w:rsidRPr="00B819F3">
        <w:rPr>
          <w:rFonts w:ascii="Tahoma" w:hAnsi="Tahoma" w:cs="Tahoma"/>
          <w:sz w:val="20"/>
          <w:szCs w:val="20"/>
          <w:lang w:eastAsia="en-US"/>
        </w:rPr>
        <w:t>, etc;</w:t>
      </w:r>
    </w:p>
    <w:p w14:paraId="441706EC" w14:textId="77777777" w:rsidR="005F7211" w:rsidRPr="0041745B" w:rsidRDefault="005F7211" w:rsidP="005F7211">
      <w:pPr>
        <w:pStyle w:val="ListParagraph"/>
        <w:numPr>
          <w:ilvl w:val="0"/>
          <w:numId w:val="38"/>
        </w:numPr>
        <w:jc w:val="both"/>
        <w:rPr>
          <w:rFonts w:ascii="Tahoma" w:hAnsi="Tahoma" w:cs="Tahoma"/>
          <w:sz w:val="20"/>
          <w:szCs w:val="20"/>
        </w:rPr>
      </w:pPr>
      <w:r w:rsidRPr="00656FF8">
        <w:rPr>
          <w:rFonts w:ascii="Tahoma" w:hAnsi="Tahoma" w:cs="Tahoma"/>
          <w:sz w:val="20"/>
          <w:szCs w:val="20"/>
        </w:rPr>
        <w:t>Participat</w:t>
      </w:r>
      <w:r w:rsidRPr="00161E6D">
        <w:rPr>
          <w:rFonts w:ascii="Tahoma" w:hAnsi="Tahoma" w:cs="Tahoma"/>
          <w:sz w:val="20"/>
          <w:szCs w:val="20"/>
        </w:rPr>
        <w:t>ion</w:t>
      </w:r>
      <w:r w:rsidRPr="0086484C">
        <w:rPr>
          <w:rFonts w:ascii="Tahoma" w:hAnsi="Tahoma" w:cs="Tahoma"/>
          <w:sz w:val="20"/>
          <w:szCs w:val="20"/>
        </w:rPr>
        <w:t xml:space="preserve"> in</w:t>
      </w:r>
      <w:r>
        <w:rPr>
          <w:rFonts w:ascii="Tahoma" w:hAnsi="Tahoma" w:cs="Tahoma"/>
          <w:sz w:val="20"/>
          <w:szCs w:val="20"/>
        </w:rPr>
        <w:t xml:space="preserve"> and/or</w:t>
      </w:r>
      <w:r w:rsidRPr="00B819F3">
        <w:rPr>
          <w:rFonts w:ascii="Tahoma" w:hAnsi="Tahoma" w:cs="Tahoma"/>
          <w:sz w:val="20"/>
          <w:szCs w:val="20"/>
        </w:rPr>
        <w:t xml:space="preserve"> facilitation of discussions</w:t>
      </w:r>
      <w:r>
        <w:rPr>
          <w:rFonts w:ascii="Tahoma" w:hAnsi="Tahoma" w:cs="Tahoma"/>
          <w:sz w:val="20"/>
          <w:szCs w:val="20"/>
        </w:rPr>
        <w:t xml:space="preserve">, </w:t>
      </w:r>
      <w:r w:rsidRPr="00B819F3">
        <w:rPr>
          <w:rFonts w:ascii="Tahoma" w:hAnsi="Tahoma" w:cs="Tahoma"/>
          <w:sz w:val="20"/>
          <w:szCs w:val="20"/>
        </w:rPr>
        <w:t xml:space="preserve">making presentations during </w:t>
      </w:r>
      <w:r>
        <w:rPr>
          <w:rFonts w:ascii="Tahoma" w:hAnsi="Tahoma" w:cs="Tahoma"/>
          <w:sz w:val="20"/>
          <w:szCs w:val="20"/>
        </w:rPr>
        <w:t xml:space="preserve">training sessions, </w:t>
      </w:r>
      <w:r w:rsidRPr="00B819F3">
        <w:rPr>
          <w:rFonts w:ascii="Tahoma" w:hAnsi="Tahoma" w:cs="Tahoma"/>
          <w:sz w:val="20"/>
          <w:szCs w:val="20"/>
        </w:rPr>
        <w:t>workshops and round-tables, providing technical</w:t>
      </w:r>
      <w:r>
        <w:rPr>
          <w:rFonts w:ascii="Tahoma" w:hAnsi="Tahoma" w:cs="Tahoma"/>
          <w:sz w:val="20"/>
          <w:szCs w:val="20"/>
        </w:rPr>
        <w:t xml:space="preserve"> </w:t>
      </w:r>
      <w:r w:rsidRPr="0041745B">
        <w:rPr>
          <w:rFonts w:ascii="Tahoma" w:hAnsi="Tahoma" w:cs="Tahoma"/>
          <w:sz w:val="20"/>
          <w:szCs w:val="20"/>
        </w:rPr>
        <w:t>advice and develop</w:t>
      </w:r>
      <w:r>
        <w:rPr>
          <w:rFonts w:ascii="Tahoma" w:hAnsi="Tahoma" w:cs="Tahoma"/>
          <w:sz w:val="20"/>
          <w:szCs w:val="20"/>
        </w:rPr>
        <w:t>ing</w:t>
      </w:r>
      <w:r w:rsidRPr="0041745B">
        <w:rPr>
          <w:rFonts w:ascii="Tahoma" w:hAnsi="Tahoma" w:cs="Tahoma"/>
          <w:sz w:val="20"/>
          <w:szCs w:val="20"/>
        </w:rPr>
        <w:t xml:space="preserve"> methodological tools</w:t>
      </w:r>
      <w:r>
        <w:rPr>
          <w:rFonts w:ascii="Tahoma" w:hAnsi="Tahoma" w:cs="Tahoma"/>
          <w:sz w:val="20"/>
          <w:szCs w:val="20"/>
        </w:rPr>
        <w:t>, proposing tools for evaluation of the outcome of the capacity development activities</w:t>
      </w:r>
      <w:r w:rsidRPr="0041745B">
        <w:rPr>
          <w:rFonts w:ascii="Tahoma" w:hAnsi="Tahoma" w:cs="Tahoma"/>
          <w:sz w:val="20"/>
          <w:szCs w:val="20"/>
        </w:rPr>
        <w:t>.</w:t>
      </w:r>
    </w:p>
    <w:p w14:paraId="42716F17" w14:textId="77777777" w:rsidR="005F7211" w:rsidRPr="000C1E92" w:rsidRDefault="005F7211" w:rsidP="005F7211">
      <w:pPr>
        <w:pStyle w:val="ListParagraph"/>
        <w:autoSpaceDE w:val="0"/>
        <w:autoSpaceDN w:val="0"/>
        <w:adjustRightInd w:val="0"/>
        <w:jc w:val="both"/>
        <w:rPr>
          <w:rFonts w:ascii="Tahoma" w:hAnsi="Tahoma" w:cs="Tahoma"/>
          <w:sz w:val="20"/>
          <w:szCs w:val="20"/>
          <w:lang w:val="en-US" w:eastAsia="en-US"/>
        </w:rPr>
      </w:pPr>
    </w:p>
    <w:p w14:paraId="14BF99A7" w14:textId="30DCA00E" w:rsidR="005F7211" w:rsidRPr="001E7B94" w:rsidRDefault="005F7211" w:rsidP="005F7211">
      <w:pPr>
        <w:jc w:val="both"/>
        <w:rPr>
          <w:rFonts w:ascii="Tahoma" w:eastAsiaTheme="minorHAnsi" w:hAnsi="Tahoma" w:cs="Tahoma"/>
          <w:sz w:val="20"/>
          <w:szCs w:val="20"/>
          <w:highlight w:val="yellow"/>
          <w:lang w:eastAsia="en-US"/>
        </w:rPr>
      </w:pPr>
      <w:r w:rsidRPr="009926CD">
        <w:rPr>
          <w:rFonts w:ascii="Tahoma" w:hAnsi="Tahoma" w:cs="Tahoma"/>
          <w:bCs/>
          <w:sz w:val="20"/>
          <w:szCs w:val="20"/>
        </w:rPr>
        <w:t xml:space="preserve">Under </w:t>
      </w:r>
      <w:r w:rsidRPr="000C1E92">
        <w:rPr>
          <w:rFonts w:ascii="Tahoma" w:hAnsi="Tahoma" w:cs="Tahoma"/>
          <w:b/>
          <w:sz w:val="20"/>
          <w:szCs w:val="20"/>
        </w:rPr>
        <w:t xml:space="preserve">Lot 2. </w:t>
      </w:r>
      <w:r w:rsidR="00B4036A">
        <w:rPr>
          <w:rFonts w:ascii="Tahoma" w:eastAsiaTheme="minorHAnsi" w:hAnsi="Tahoma" w:cs="Tahoma"/>
          <w:sz w:val="20"/>
          <w:szCs w:val="20"/>
          <w:lang w:eastAsia="en-US"/>
        </w:rPr>
        <w:t xml:space="preserve">Provide consultancy services for </w:t>
      </w:r>
      <w:r w:rsidR="00B4036A" w:rsidRPr="002D19E7">
        <w:rPr>
          <w:rFonts w:ascii="Tahoma" w:eastAsiaTheme="minorHAnsi" w:hAnsi="Tahoma" w:cs="Tahoma"/>
          <w:sz w:val="20"/>
          <w:szCs w:val="20"/>
          <w:lang w:eastAsia="en-US"/>
        </w:rPr>
        <w:t xml:space="preserve">harmonization </w:t>
      </w:r>
      <w:r w:rsidRPr="002D19E7">
        <w:rPr>
          <w:rFonts w:ascii="Tahoma" w:eastAsiaTheme="minorHAnsi" w:hAnsi="Tahoma" w:cs="Tahoma"/>
          <w:sz w:val="20"/>
          <w:szCs w:val="20"/>
          <w:lang w:eastAsia="en-US"/>
        </w:rPr>
        <w:t>and improved application of regulatory and institutional framework for the facilitation of execution of the ECtHR judgments,</w:t>
      </w:r>
      <w:r w:rsidRPr="008A588C">
        <w:rPr>
          <w:rFonts w:ascii="Tahoma" w:hAnsi="Tahoma" w:cs="Tahoma"/>
          <w:color w:val="000000" w:themeColor="text1"/>
          <w:sz w:val="20"/>
          <w:szCs w:val="20"/>
        </w:rPr>
        <w:t xml:space="preserve"> </w:t>
      </w:r>
      <w:r w:rsidRPr="00C61040">
        <w:rPr>
          <w:rFonts w:ascii="Tahoma" w:hAnsi="Tahoma" w:cs="Tahoma"/>
          <w:color w:val="000000" w:themeColor="text1"/>
          <w:sz w:val="20"/>
          <w:szCs w:val="20"/>
        </w:rPr>
        <w:t xml:space="preserve">including </w:t>
      </w:r>
      <w:r w:rsidRPr="00C80C67">
        <w:rPr>
          <w:rFonts w:ascii="Tahoma" w:hAnsi="Tahoma" w:cs="Tahoma"/>
          <w:color w:val="000000" w:themeColor="text1"/>
          <w:sz w:val="20"/>
          <w:szCs w:val="20"/>
        </w:rPr>
        <w:t>the reinforcement of the Supreme Court’s role in shaping a harmonised, ECHR-compliant judicial practice, and reinforcement of the capacity of the Government Agent’s Office staff for better execution of</w:t>
      </w:r>
      <w:r>
        <w:rPr>
          <w:rFonts w:ascii="Tahoma" w:hAnsi="Tahoma" w:cs="Tahoma"/>
          <w:color w:val="000000" w:themeColor="text1"/>
          <w:sz w:val="20"/>
          <w:szCs w:val="20"/>
        </w:rPr>
        <w:t xml:space="preserve"> ECtHR </w:t>
      </w:r>
      <w:r w:rsidR="00310245">
        <w:rPr>
          <w:rFonts w:ascii="Tahoma" w:hAnsi="Tahoma" w:cs="Tahoma"/>
          <w:color w:val="000000" w:themeColor="text1"/>
          <w:sz w:val="20"/>
          <w:szCs w:val="20"/>
        </w:rPr>
        <w:t>judgment</w:t>
      </w:r>
      <w:r>
        <w:rPr>
          <w:rFonts w:ascii="Tahoma" w:hAnsi="Tahoma" w:cs="Tahoma"/>
          <w:color w:val="000000" w:themeColor="text1"/>
          <w:sz w:val="20"/>
          <w:szCs w:val="20"/>
        </w:rPr>
        <w:t>s</w:t>
      </w:r>
      <w:r w:rsidR="001B57B6">
        <w:rPr>
          <w:rFonts w:ascii="Tahoma" w:hAnsi="Tahoma" w:cs="Tahoma"/>
          <w:color w:val="000000" w:themeColor="text1"/>
          <w:sz w:val="20"/>
          <w:szCs w:val="20"/>
        </w:rPr>
        <w:t xml:space="preserve"> </w:t>
      </w:r>
      <w:r w:rsidR="001B57B6">
        <w:rPr>
          <w:rFonts w:ascii="Tahoma" w:eastAsiaTheme="minorHAnsi" w:hAnsi="Tahoma" w:cs="Tahoma"/>
          <w:sz w:val="20"/>
          <w:szCs w:val="20"/>
          <w:lang w:eastAsia="en-US"/>
        </w:rPr>
        <w:t>through</w:t>
      </w:r>
      <w:r w:rsidR="00B4036A">
        <w:rPr>
          <w:rFonts w:ascii="Tahoma" w:hAnsi="Tahoma" w:cs="Tahoma"/>
          <w:color w:val="000000" w:themeColor="text1"/>
          <w:sz w:val="20"/>
          <w:szCs w:val="20"/>
        </w:rPr>
        <w:t>:</w:t>
      </w:r>
      <w:r>
        <w:rPr>
          <w:rFonts w:ascii="Tahoma" w:eastAsiaTheme="minorHAnsi" w:hAnsi="Tahoma" w:cs="Tahoma"/>
          <w:sz w:val="20"/>
          <w:szCs w:val="20"/>
          <w:highlight w:val="yellow"/>
          <w:lang w:eastAsia="en-US"/>
        </w:rPr>
        <w:t xml:space="preserve"> </w:t>
      </w:r>
    </w:p>
    <w:p w14:paraId="15765C69" w14:textId="77777777" w:rsidR="005F7211" w:rsidRPr="00BF58E2" w:rsidRDefault="005F7211" w:rsidP="005F7211">
      <w:pPr>
        <w:jc w:val="both"/>
        <w:rPr>
          <w:rFonts w:ascii="Arial Narrow" w:hAnsi="Arial Narrow" w:cs="Tahoma"/>
          <w:b/>
          <w:sz w:val="20"/>
          <w:szCs w:val="20"/>
        </w:rPr>
      </w:pPr>
    </w:p>
    <w:p w14:paraId="78C3D938" w14:textId="77777777" w:rsidR="005F7211" w:rsidRDefault="005F7211" w:rsidP="005F7211">
      <w:pPr>
        <w:pStyle w:val="ListParagraph"/>
        <w:numPr>
          <w:ilvl w:val="0"/>
          <w:numId w:val="39"/>
        </w:numPr>
        <w:jc w:val="both"/>
        <w:rPr>
          <w:rFonts w:ascii="Tahoma" w:hAnsi="Tahoma" w:cs="Tahoma"/>
          <w:sz w:val="20"/>
          <w:szCs w:val="20"/>
        </w:rPr>
      </w:pPr>
      <w:r w:rsidRPr="0041745B">
        <w:rPr>
          <w:rFonts w:ascii="Tahoma" w:hAnsi="Tahoma" w:cs="Tahoma"/>
          <w:sz w:val="20"/>
          <w:szCs w:val="20"/>
        </w:rPr>
        <w:t>Assess</w:t>
      </w:r>
      <w:r>
        <w:rPr>
          <w:rFonts w:ascii="Tahoma" w:hAnsi="Tahoma" w:cs="Tahoma"/>
          <w:sz w:val="20"/>
          <w:szCs w:val="20"/>
        </w:rPr>
        <w:t>ment of current legal, regulatory framework and practices</w:t>
      </w:r>
      <w:r w:rsidRPr="0041745B">
        <w:rPr>
          <w:rFonts w:ascii="Tahoma" w:hAnsi="Tahoma" w:cs="Tahoma"/>
          <w:sz w:val="20"/>
          <w:szCs w:val="20"/>
        </w:rPr>
        <w:t>;</w:t>
      </w:r>
    </w:p>
    <w:p w14:paraId="0C713893" w14:textId="77777777" w:rsidR="005F7211" w:rsidRPr="0041745B" w:rsidRDefault="005F7211" w:rsidP="005F7211">
      <w:pPr>
        <w:pStyle w:val="ListParagraph"/>
        <w:numPr>
          <w:ilvl w:val="0"/>
          <w:numId w:val="39"/>
        </w:numPr>
        <w:jc w:val="both"/>
        <w:rPr>
          <w:rFonts w:ascii="Tahoma" w:hAnsi="Tahoma" w:cs="Tahoma"/>
          <w:sz w:val="20"/>
          <w:szCs w:val="20"/>
        </w:rPr>
      </w:pPr>
      <w:r w:rsidRPr="0041745B">
        <w:rPr>
          <w:rFonts w:ascii="Tahoma" w:hAnsi="Tahoma" w:cs="Tahoma"/>
          <w:sz w:val="20"/>
          <w:szCs w:val="20"/>
        </w:rPr>
        <w:t>Assess</w:t>
      </w:r>
      <w:r>
        <w:rPr>
          <w:rFonts w:ascii="Tahoma" w:hAnsi="Tahoma" w:cs="Tahoma"/>
          <w:sz w:val="20"/>
          <w:szCs w:val="20"/>
        </w:rPr>
        <w:t xml:space="preserve">ment of </w:t>
      </w:r>
      <w:r w:rsidRPr="0041745B">
        <w:rPr>
          <w:rFonts w:ascii="Tahoma" w:hAnsi="Tahoma" w:cs="Tahoma"/>
          <w:sz w:val="20"/>
          <w:szCs w:val="20"/>
        </w:rPr>
        <w:t>institutional</w:t>
      </w:r>
      <w:r>
        <w:rPr>
          <w:rFonts w:ascii="Tahoma" w:hAnsi="Tahoma" w:cs="Tahoma"/>
          <w:sz w:val="20"/>
          <w:szCs w:val="20"/>
        </w:rPr>
        <w:t xml:space="preserve">, functional </w:t>
      </w:r>
      <w:r w:rsidRPr="0041745B">
        <w:rPr>
          <w:rFonts w:ascii="Tahoma" w:hAnsi="Tahoma" w:cs="Tahoma"/>
          <w:sz w:val="20"/>
          <w:szCs w:val="20"/>
        </w:rPr>
        <w:t>needs</w:t>
      </w:r>
      <w:r>
        <w:rPr>
          <w:rFonts w:ascii="Tahoma" w:hAnsi="Tahoma" w:cs="Tahoma"/>
          <w:sz w:val="20"/>
          <w:szCs w:val="20"/>
        </w:rPr>
        <w:t xml:space="preserve"> of justice stakeholders, including but not limited to the a</w:t>
      </w:r>
      <w:r w:rsidRPr="001E7B94">
        <w:rPr>
          <w:rFonts w:ascii="Tahoma" w:hAnsi="Tahoma" w:cs="Tahoma"/>
          <w:sz w:val="20"/>
          <w:szCs w:val="20"/>
        </w:rPr>
        <w:t>ssessment of the current data collection processes of relevant stakeholders and development of a new methodology</w:t>
      </w:r>
      <w:r>
        <w:rPr>
          <w:rFonts w:ascii="Tahoma" w:hAnsi="Tahoma" w:cs="Tahoma"/>
          <w:sz w:val="20"/>
          <w:szCs w:val="20"/>
        </w:rPr>
        <w:t xml:space="preserve"> for e</w:t>
      </w:r>
      <w:r w:rsidRPr="001E7B94">
        <w:rPr>
          <w:rFonts w:ascii="Tahoma" w:hAnsi="Tahoma" w:cs="Tahoma"/>
          <w:sz w:val="20"/>
          <w:szCs w:val="20"/>
        </w:rPr>
        <w:t>nhancement of research, analysis and data processing</w:t>
      </w:r>
      <w:r>
        <w:rPr>
          <w:rFonts w:ascii="Tahoma" w:hAnsi="Tahoma" w:cs="Tahoma"/>
          <w:sz w:val="20"/>
          <w:szCs w:val="20"/>
        </w:rPr>
        <w:t xml:space="preserve">, and news system for </w:t>
      </w:r>
      <w:r w:rsidRPr="001E7B94">
        <w:rPr>
          <w:rFonts w:ascii="Tahoma" w:hAnsi="Tahoma" w:cs="Tahoma"/>
          <w:sz w:val="20"/>
          <w:szCs w:val="20"/>
        </w:rPr>
        <w:t>data registration and case-management</w:t>
      </w:r>
      <w:r w:rsidRPr="0041745B">
        <w:rPr>
          <w:rFonts w:ascii="Tahoma" w:hAnsi="Tahoma" w:cs="Tahoma"/>
          <w:sz w:val="20"/>
          <w:szCs w:val="20"/>
        </w:rPr>
        <w:t>;</w:t>
      </w:r>
    </w:p>
    <w:p w14:paraId="6E94235C" w14:textId="77777777" w:rsidR="005F7211" w:rsidRDefault="005F7211" w:rsidP="005F7211">
      <w:pPr>
        <w:pStyle w:val="ListParagraph"/>
        <w:numPr>
          <w:ilvl w:val="0"/>
          <w:numId w:val="38"/>
        </w:numPr>
        <w:jc w:val="both"/>
        <w:rPr>
          <w:rFonts w:ascii="Tahoma" w:hAnsi="Tahoma" w:cs="Tahoma"/>
          <w:sz w:val="20"/>
          <w:szCs w:val="20"/>
        </w:rPr>
      </w:pPr>
      <w:r w:rsidRPr="0041745B">
        <w:rPr>
          <w:rFonts w:ascii="Tahoma" w:hAnsi="Tahoma" w:cs="Tahoma"/>
          <w:sz w:val="20"/>
          <w:szCs w:val="20"/>
        </w:rPr>
        <w:t>Provi</w:t>
      </w:r>
      <w:r>
        <w:rPr>
          <w:rFonts w:ascii="Tahoma" w:hAnsi="Tahoma" w:cs="Tahoma"/>
          <w:sz w:val="20"/>
          <w:szCs w:val="20"/>
        </w:rPr>
        <w:t>sion of</w:t>
      </w:r>
      <w:r w:rsidRPr="0041745B">
        <w:rPr>
          <w:rFonts w:ascii="Tahoma" w:hAnsi="Tahoma" w:cs="Tahoma"/>
          <w:sz w:val="20"/>
          <w:szCs w:val="20"/>
        </w:rPr>
        <w:t xml:space="preserve"> </w:t>
      </w:r>
      <w:r>
        <w:rPr>
          <w:rFonts w:ascii="Tahoma" w:hAnsi="Tahoma" w:cs="Tahoma"/>
          <w:sz w:val="20"/>
          <w:szCs w:val="20"/>
        </w:rPr>
        <w:t xml:space="preserve">technical assistance </w:t>
      </w:r>
      <w:r w:rsidRPr="0041745B">
        <w:rPr>
          <w:rFonts w:ascii="Tahoma" w:hAnsi="Tahoma" w:cs="Tahoma"/>
          <w:sz w:val="20"/>
          <w:szCs w:val="20"/>
        </w:rPr>
        <w:t>for</w:t>
      </w:r>
      <w:r>
        <w:rPr>
          <w:rFonts w:ascii="Tahoma" w:hAnsi="Tahoma" w:cs="Tahoma"/>
          <w:sz w:val="20"/>
          <w:szCs w:val="20"/>
        </w:rPr>
        <w:t xml:space="preserve"> improvement of legal and regulatory framework for harmonisation of human-rights compliant practices, and submission of recommendations for further institutional, structural </w:t>
      </w:r>
      <w:r w:rsidRPr="0041745B">
        <w:rPr>
          <w:rFonts w:ascii="Tahoma" w:hAnsi="Tahoma" w:cs="Tahoma"/>
          <w:sz w:val="20"/>
          <w:szCs w:val="20"/>
        </w:rPr>
        <w:t xml:space="preserve">reforms; </w:t>
      </w:r>
    </w:p>
    <w:p w14:paraId="441D76F5" w14:textId="77777777" w:rsidR="005F7211" w:rsidRPr="0041745B" w:rsidRDefault="005F7211" w:rsidP="005F7211">
      <w:pPr>
        <w:pStyle w:val="ListParagraph"/>
        <w:numPr>
          <w:ilvl w:val="0"/>
          <w:numId w:val="38"/>
        </w:numPr>
        <w:jc w:val="both"/>
        <w:rPr>
          <w:rFonts w:ascii="Tahoma" w:hAnsi="Tahoma" w:cs="Tahoma"/>
          <w:sz w:val="20"/>
          <w:szCs w:val="20"/>
        </w:rPr>
      </w:pPr>
      <w:r w:rsidRPr="0041745B">
        <w:rPr>
          <w:rFonts w:ascii="Tahoma" w:hAnsi="Tahoma" w:cs="Tahoma"/>
          <w:sz w:val="20"/>
          <w:szCs w:val="20"/>
        </w:rPr>
        <w:lastRenderedPageBreak/>
        <w:t>D</w:t>
      </w:r>
      <w:r>
        <w:rPr>
          <w:rFonts w:ascii="Tahoma" w:hAnsi="Tahoma" w:cs="Tahoma"/>
          <w:sz w:val="20"/>
          <w:szCs w:val="20"/>
        </w:rPr>
        <w:t xml:space="preserve">evelopment of and/or contributing to the development of </w:t>
      </w:r>
      <w:r w:rsidRPr="0041745B">
        <w:rPr>
          <w:rFonts w:ascii="Tahoma" w:hAnsi="Tahoma" w:cs="Tahoma"/>
          <w:sz w:val="20"/>
          <w:szCs w:val="20"/>
        </w:rPr>
        <w:t>respective strate</w:t>
      </w:r>
      <w:r>
        <w:rPr>
          <w:rFonts w:ascii="Tahoma" w:hAnsi="Tahoma" w:cs="Tahoma"/>
          <w:sz w:val="20"/>
          <w:szCs w:val="20"/>
        </w:rPr>
        <w:t>gy documents and action plans, action reports, technical consultancy papers</w:t>
      </w:r>
      <w:r w:rsidRPr="00BE724D">
        <w:rPr>
          <w:rFonts w:ascii="Tahoma" w:hAnsi="Tahoma" w:cs="Tahoma"/>
          <w:sz w:val="20"/>
          <w:szCs w:val="20"/>
        </w:rPr>
        <w:t xml:space="preserve"> </w:t>
      </w:r>
      <w:r w:rsidRPr="001E7B94">
        <w:rPr>
          <w:rFonts w:ascii="Tahoma" w:hAnsi="Tahoma" w:cs="Tahoma"/>
          <w:sz w:val="20"/>
          <w:szCs w:val="20"/>
        </w:rPr>
        <w:t xml:space="preserve">for </w:t>
      </w:r>
      <w:r>
        <w:rPr>
          <w:rFonts w:ascii="Tahoma" w:hAnsi="Tahoma" w:cs="Tahoma"/>
          <w:sz w:val="20"/>
          <w:szCs w:val="20"/>
        </w:rPr>
        <w:t xml:space="preserve">improved </w:t>
      </w:r>
      <w:r w:rsidRPr="001E7B94">
        <w:rPr>
          <w:rFonts w:ascii="Tahoma" w:hAnsi="Tahoma" w:cs="Tahoma"/>
          <w:sz w:val="20"/>
          <w:szCs w:val="20"/>
        </w:rPr>
        <w:t>execution of the ECtHR judgments</w:t>
      </w:r>
      <w:r w:rsidRPr="0041745B">
        <w:rPr>
          <w:rFonts w:ascii="Tahoma" w:hAnsi="Tahoma" w:cs="Tahoma"/>
          <w:sz w:val="20"/>
          <w:szCs w:val="20"/>
        </w:rPr>
        <w:t>;</w:t>
      </w:r>
      <w:r>
        <w:rPr>
          <w:rFonts w:ascii="Tahoma" w:hAnsi="Tahoma" w:cs="Tahoma"/>
          <w:sz w:val="20"/>
          <w:szCs w:val="20"/>
        </w:rPr>
        <w:t xml:space="preserve"> </w:t>
      </w:r>
    </w:p>
    <w:p w14:paraId="39697CA1" w14:textId="77777777" w:rsidR="005F7211" w:rsidRPr="002B3B33" w:rsidRDefault="005F7211" w:rsidP="005F7211">
      <w:pPr>
        <w:pStyle w:val="ListParagraph"/>
        <w:numPr>
          <w:ilvl w:val="0"/>
          <w:numId w:val="39"/>
        </w:numPr>
        <w:jc w:val="both"/>
        <w:rPr>
          <w:rFonts w:ascii="Tahoma" w:hAnsi="Tahoma" w:cs="Tahoma"/>
          <w:sz w:val="20"/>
          <w:szCs w:val="20"/>
        </w:rPr>
      </w:pPr>
      <w:r w:rsidRPr="008A588C">
        <w:rPr>
          <w:rFonts w:ascii="Tahoma" w:hAnsi="Tahoma" w:cs="Tahoma"/>
          <w:sz w:val="20"/>
          <w:szCs w:val="20"/>
        </w:rPr>
        <w:t>Taking part in the establishment</w:t>
      </w:r>
      <w:r>
        <w:rPr>
          <w:rFonts w:ascii="Tahoma" w:hAnsi="Tahoma" w:cs="Tahoma"/>
          <w:sz w:val="20"/>
          <w:szCs w:val="20"/>
        </w:rPr>
        <w:t xml:space="preserve"> and/or functioning</w:t>
      </w:r>
      <w:r w:rsidRPr="008A588C">
        <w:rPr>
          <w:rFonts w:ascii="Tahoma" w:hAnsi="Tahoma" w:cs="Tahoma"/>
          <w:sz w:val="20"/>
          <w:szCs w:val="20"/>
        </w:rPr>
        <w:t xml:space="preserve"> of a working group </w:t>
      </w:r>
      <w:r w:rsidRPr="00084D13">
        <w:rPr>
          <w:rFonts w:ascii="Tahoma" w:hAnsi="Tahoma" w:cs="Tahoma"/>
          <w:sz w:val="20"/>
          <w:szCs w:val="20"/>
        </w:rPr>
        <w:t xml:space="preserve">to develop </w:t>
      </w:r>
      <w:r>
        <w:rPr>
          <w:rFonts w:ascii="Tahoma" w:hAnsi="Tahoma" w:cs="Tahoma"/>
          <w:sz w:val="20"/>
          <w:szCs w:val="20"/>
        </w:rPr>
        <w:t xml:space="preserve">effective </w:t>
      </w:r>
      <w:r w:rsidRPr="008A588C">
        <w:rPr>
          <w:rFonts w:ascii="Tahoma" w:hAnsi="Tahoma" w:cs="Tahoma"/>
          <w:sz w:val="20"/>
          <w:szCs w:val="20"/>
        </w:rPr>
        <w:t>inter agency coordination mechanism;</w:t>
      </w:r>
    </w:p>
    <w:p w14:paraId="1EDF0E59" w14:textId="77777777" w:rsidR="005F7211" w:rsidRPr="00596613" w:rsidRDefault="005F7211" w:rsidP="005F7211">
      <w:pPr>
        <w:pStyle w:val="ListParagraph"/>
        <w:numPr>
          <w:ilvl w:val="0"/>
          <w:numId w:val="39"/>
        </w:numPr>
        <w:jc w:val="both"/>
        <w:rPr>
          <w:rFonts w:ascii="Tahoma" w:hAnsi="Tahoma" w:cs="Tahoma"/>
          <w:sz w:val="20"/>
          <w:szCs w:val="20"/>
        </w:rPr>
      </w:pPr>
      <w:r w:rsidRPr="00596613">
        <w:rPr>
          <w:rFonts w:ascii="Tahoma" w:hAnsi="Tahoma" w:cs="Tahoma"/>
          <w:sz w:val="20"/>
          <w:szCs w:val="20"/>
        </w:rPr>
        <w:t>Taking part in the discussion of a national action plan and strategy documents;</w:t>
      </w:r>
    </w:p>
    <w:p w14:paraId="6E362859" w14:textId="77777777" w:rsidR="005F7211" w:rsidRPr="00596613" w:rsidRDefault="005F7211" w:rsidP="005F7211">
      <w:pPr>
        <w:pStyle w:val="ListParagraph"/>
        <w:numPr>
          <w:ilvl w:val="0"/>
          <w:numId w:val="38"/>
        </w:numPr>
        <w:jc w:val="both"/>
        <w:rPr>
          <w:rFonts w:ascii="Tahoma" w:hAnsi="Tahoma" w:cs="Tahoma"/>
          <w:sz w:val="20"/>
          <w:szCs w:val="20"/>
        </w:rPr>
      </w:pPr>
      <w:r w:rsidRPr="00596613">
        <w:rPr>
          <w:rFonts w:ascii="Tahoma" w:hAnsi="Tahoma" w:cs="Tahoma"/>
          <w:sz w:val="20"/>
          <w:szCs w:val="20"/>
        </w:rPr>
        <w:t xml:space="preserve">Participation in consultation meetings, facilitation of discussions and/or making presentations during workshops and round-tables, providing technical advice and developing methodological tools. </w:t>
      </w:r>
    </w:p>
    <w:p w14:paraId="3FC113AD" w14:textId="77777777" w:rsidR="004B2BD6" w:rsidRPr="00596613" w:rsidRDefault="004B2BD6" w:rsidP="00341F85">
      <w:pPr>
        <w:spacing w:line="276" w:lineRule="auto"/>
        <w:jc w:val="both"/>
        <w:rPr>
          <w:rFonts w:ascii="Tahoma" w:hAnsi="Tahoma" w:cs="Tahoma"/>
          <w:sz w:val="20"/>
          <w:szCs w:val="20"/>
          <w:u w:val="single"/>
        </w:rPr>
      </w:pPr>
    </w:p>
    <w:p w14:paraId="473619DF" w14:textId="0418A00F" w:rsidR="00341F85" w:rsidRPr="00596613" w:rsidRDefault="00341F85" w:rsidP="00341F85">
      <w:pPr>
        <w:spacing w:line="276" w:lineRule="auto"/>
        <w:jc w:val="both"/>
        <w:rPr>
          <w:rFonts w:ascii="Tahoma" w:hAnsi="Tahoma" w:cs="Tahoma"/>
          <w:sz w:val="20"/>
          <w:szCs w:val="20"/>
        </w:rPr>
      </w:pPr>
      <w:r w:rsidRPr="00596613">
        <w:rPr>
          <w:rFonts w:ascii="Tahoma" w:hAnsi="Tahoma" w:cs="Tahoma"/>
          <w:sz w:val="20"/>
          <w:szCs w:val="20"/>
          <w:u w:val="single"/>
        </w:rPr>
        <w:t>The above list of expected deliverables is not exhaustive.</w:t>
      </w:r>
      <w:r w:rsidRPr="00596613">
        <w:rPr>
          <w:rFonts w:ascii="Tahoma" w:hAnsi="Tahoma" w:cs="Tahoma"/>
          <w:sz w:val="20"/>
          <w:szCs w:val="20"/>
        </w:rPr>
        <w:t xml:space="preserve"> The Council reserves the right to request deliverables not explicitly mentioned in the above list of expected services but related to the field of expertise object of the present Framework Contract for the lot concerned. The expected deliverables are to be requested by the Council on an as needed basis, in compliance with the ordering procedure defined below. </w:t>
      </w:r>
    </w:p>
    <w:p w14:paraId="5E69A610" w14:textId="77777777" w:rsidR="00834455" w:rsidRPr="00596613" w:rsidRDefault="00834455" w:rsidP="00B133A9">
      <w:pPr>
        <w:spacing w:line="276" w:lineRule="auto"/>
        <w:ind w:left="-142"/>
        <w:jc w:val="both"/>
        <w:rPr>
          <w:rFonts w:ascii="Tahoma" w:hAnsi="Tahoma" w:cs="Tahoma"/>
          <w:sz w:val="20"/>
          <w:szCs w:val="20"/>
        </w:rPr>
      </w:pPr>
    </w:p>
    <w:p w14:paraId="2B915655" w14:textId="77777777" w:rsidR="00B133A9" w:rsidRPr="00596613" w:rsidRDefault="00B133A9" w:rsidP="00B133A9">
      <w:pPr>
        <w:spacing w:line="276" w:lineRule="auto"/>
        <w:jc w:val="both"/>
        <w:rPr>
          <w:rFonts w:ascii="Tahoma" w:hAnsi="Tahoma" w:cs="Tahoma"/>
          <w:b/>
          <w:sz w:val="20"/>
          <w:szCs w:val="20"/>
        </w:rPr>
      </w:pPr>
      <w:r w:rsidRPr="00596613">
        <w:rPr>
          <w:rFonts w:ascii="Tahoma" w:hAnsi="Tahoma" w:cs="Tahoma"/>
          <w:b/>
          <w:sz w:val="20"/>
          <w:szCs w:val="20"/>
        </w:rPr>
        <w:t>Pooling</w:t>
      </w:r>
    </w:p>
    <w:p w14:paraId="01A9D193" w14:textId="77777777" w:rsidR="00B133A9" w:rsidRPr="00596613" w:rsidRDefault="00B133A9" w:rsidP="00B133A9">
      <w:pPr>
        <w:spacing w:line="276" w:lineRule="auto"/>
        <w:jc w:val="both"/>
        <w:rPr>
          <w:rFonts w:ascii="Tahoma" w:hAnsi="Tahoma" w:cs="Tahoma"/>
          <w:sz w:val="20"/>
          <w:szCs w:val="20"/>
        </w:rPr>
      </w:pPr>
      <w:r w:rsidRPr="0059661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596613" w:rsidRDefault="00B133A9" w:rsidP="00311C90">
      <w:pPr>
        <w:pStyle w:val="Default"/>
        <w:numPr>
          <w:ilvl w:val="0"/>
          <w:numId w:val="6"/>
        </w:numPr>
        <w:ind w:left="709"/>
        <w:rPr>
          <w:rFonts w:ascii="Tahoma" w:hAnsi="Tahoma" w:cs="Tahoma"/>
          <w:sz w:val="20"/>
          <w:szCs w:val="20"/>
        </w:rPr>
      </w:pPr>
      <w:r w:rsidRPr="00596613">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596613" w:rsidRDefault="00B133A9" w:rsidP="00311C90">
      <w:pPr>
        <w:pStyle w:val="Default"/>
        <w:numPr>
          <w:ilvl w:val="0"/>
          <w:numId w:val="6"/>
        </w:numPr>
        <w:ind w:left="709"/>
        <w:rPr>
          <w:rFonts w:ascii="Tahoma" w:hAnsi="Tahoma" w:cs="Tahoma"/>
          <w:sz w:val="20"/>
          <w:szCs w:val="20"/>
        </w:rPr>
      </w:pPr>
      <w:r w:rsidRPr="00596613">
        <w:rPr>
          <w:rFonts w:ascii="Tahoma" w:hAnsi="Tahoma" w:cs="Tahoma"/>
          <w:sz w:val="20"/>
          <w:szCs w:val="20"/>
        </w:rPr>
        <w:t>availability (including, without limitation, capacity to meet required deadlines and, where relevant, geographical location); and</w:t>
      </w:r>
    </w:p>
    <w:p w14:paraId="75D10624" w14:textId="77777777" w:rsidR="00B133A9" w:rsidRPr="00596613" w:rsidRDefault="00B133A9" w:rsidP="00311C90">
      <w:pPr>
        <w:pStyle w:val="Default"/>
        <w:numPr>
          <w:ilvl w:val="0"/>
          <w:numId w:val="6"/>
        </w:numPr>
        <w:ind w:left="709"/>
        <w:rPr>
          <w:rFonts w:ascii="Tahoma" w:hAnsi="Tahoma" w:cs="Tahoma"/>
          <w:sz w:val="20"/>
          <w:szCs w:val="20"/>
        </w:rPr>
      </w:pPr>
      <w:r w:rsidRPr="00596613">
        <w:rPr>
          <w:rFonts w:ascii="Tahoma" w:hAnsi="Tahoma" w:cs="Tahoma"/>
          <w:sz w:val="20"/>
          <w:szCs w:val="20"/>
        </w:rPr>
        <w:t>price.</w:t>
      </w:r>
    </w:p>
    <w:p w14:paraId="6EE577A1" w14:textId="5CD5CFF6" w:rsidR="00B133A9" w:rsidRPr="009F59AC" w:rsidRDefault="00B133A9" w:rsidP="00B133A9">
      <w:pPr>
        <w:spacing w:line="276" w:lineRule="auto"/>
        <w:jc w:val="both"/>
        <w:rPr>
          <w:rFonts w:ascii="Tahoma" w:hAnsi="Tahoma" w:cs="Tahoma"/>
          <w:sz w:val="20"/>
          <w:szCs w:val="20"/>
        </w:rPr>
      </w:pPr>
      <w:r w:rsidRPr="00596613">
        <w:rPr>
          <w:rFonts w:ascii="Tahoma" w:hAnsi="Tahoma" w:cs="Tahoma"/>
          <w:sz w:val="20"/>
          <w:szCs w:val="20"/>
        </w:rPr>
        <w:t>If a Provider is unable to take an Order or if no reply is given on his behalf</w:t>
      </w:r>
      <w:r w:rsidRPr="009F59AC">
        <w:rPr>
          <w:rFonts w:ascii="Tahoma" w:hAnsi="Tahoma" w:cs="Tahoma"/>
          <w:sz w:val="20"/>
          <w:szCs w:val="20"/>
        </w:rPr>
        <w:t xml:space="preserve"> within the above deadline, the Council may call on another Provider selected under that lot, using the same criteria, and so on until a suitable Provider is contracted.</w:t>
      </w:r>
      <w:r w:rsidR="00802B3F" w:rsidRPr="009F59AC">
        <w:rPr>
          <w:rFonts w:ascii="Tahoma" w:hAnsi="Tahoma" w:cs="Tahoma"/>
          <w:sz w:val="20"/>
          <w:szCs w:val="20"/>
        </w:rPr>
        <w:t xml:space="preserve"> </w:t>
      </w:r>
    </w:p>
    <w:p w14:paraId="742B528C" w14:textId="77777777" w:rsidR="00B133A9" w:rsidRPr="009F59AC"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63DAA">
        <w:rPr>
          <w:rFonts w:ascii="Tahoma" w:hAnsi="Tahoma" w:cs="Tahoma"/>
          <w:sz w:val="20"/>
          <w:szCs w:val="20"/>
        </w:rPr>
        <w:t>The Tenderer declares that they</w:t>
      </w:r>
      <w:r w:rsidR="00B133A9" w:rsidRPr="00D63DA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4D0B7D7F"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w:t>
      </w:r>
      <w:r w:rsidR="003F1218">
        <w:rPr>
          <w:rFonts w:ascii="Tahoma" w:hAnsi="Tahoma" w:cs="Tahoma"/>
          <w:color w:val="FF0000"/>
          <w:sz w:val="18"/>
          <w:szCs w:val="18"/>
        </w:rPr>
        <w:t xml:space="preserve"> </w:t>
      </w:r>
      <w:r w:rsidRPr="00D0286A">
        <w:rPr>
          <w:rFonts w:ascii="Tahoma" w:hAnsi="Tahoma" w:cs="Tahoma"/>
          <w:color w:val="FF0000"/>
          <w:sz w:val="18"/>
          <w:szCs w:val="18"/>
        </w:rPr>
        <w:t>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6908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673"/>
        <w:gridCol w:w="4185"/>
      </w:tblGrid>
      <w:tr w:rsidR="00B133A9" w:rsidRPr="00D0286A" w14:paraId="5C5B7FFB" w14:textId="77777777" w:rsidTr="00596613">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67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185"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96613">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2E518B"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67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D4683D4" w14:textId="017AC144" w:rsidR="00757D79" w:rsidRPr="007A0E3E" w:rsidRDefault="00B133A9" w:rsidP="00757D79">
            <w:pPr>
              <w:shd w:val="clear" w:color="auto" w:fill="FFFFFF" w:themeFill="background1"/>
              <w:autoSpaceDE w:val="0"/>
              <w:autoSpaceDN w:val="0"/>
              <w:adjustRightInd w:val="0"/>
              <w:jc w:val="both"/>
              <w:rPr>
                <w:rFonts w:ascii="Calibri" w:hAnsi="Calibri" w:cs="Calibri"/>
                <w:color w:val="000000"/>
                <w:sz w:val="21"/>
                <w:szCs w:val="21"/>
                <w:lang w:val="en-US"/>
              </w:rPr>
            </w:pPr>
            <w:r w:rsidRPr="00D0286A">
              <w:rPr>
                <w:rFonts w:ascii="Tahoma" w:eastAsia="Calibri" w:hAnsi="Tahoma" w:cs="Tahoma"/>
                <w:b/>
                <w:bCs/>
                <w:sz w:val="18"/>
                <w:szCs w:val="18"/>
                <w:lang w:val="en-US" w:eastAsia="en-US"/>
              </w:rPr>
              <w:t>Lot 1 -</w:t>
            </w:r>
            <w:r w:rsidR="00B4036A">
              <w:rPr>
                <w:rFonts w:ascii="Tahoma" w:eastAsiaTheme="minorHAnsi" w:hAnsi="Tahoma" w:cs="Tahoma"/>
                <w:sz w:val="20"/>
                <w:szCs w:val="20"/>
                <w:lang w:eastAsia="en-US"/>
              </w:rPr>
              <w:t>Provi</w:t>
            </w:r>
            <w:r w:rsidR="00B80187">
              <w:rPr>
                <w:rFonts w:ascii="Tahoma" w:eastAsiaTheme="minorHAnsi" w:hAnsi="Tahoma" w:cs="Tahoma"/>
                <w:sz w:val="20"/>
                <w:szCs w:val="20"/>
                <w:lang w:eastAsia="en-US"/>
              </w:rPr>
              <w:t>sion of</w:t>
            </w:r>
            <w:r w:rsidR="00B4036A">
              <w:rPr>
                <w:rFonts w:ascii="Tahoma" w:eastAsiaTheme="minorHAnsi" w:hAnsi="Tahoma" w:cs="Tahoma"/>
                <w:sz w:val="20"/>
                <w:szCs w:val="20"/>
                <w:lang w:eastAsia="en-US"/>
              </w:rPr>
              <w:t xml:space="preserve"> consultancy services for c</w:t>
            </w:r>
            <w:r w:rsidR="00B4036A" w:rsidRPr="00CE2936">
              <w:rPr>
                <w:rFonts w:ascii="Tahoma" w:eastAsiaTheme="minorHAnsi" w:hAnsi="Tahoma" w:cs="Tahoma"/>
                <w:sz w:val="20"/>
                <w:szCs w:val="20"/>
                <w:lang w:eastAsia="en-US"/>
              </w:rPr>
              <w:t xml:space="preserve">apacity </w:t>
            </w:r>
            <w:r w:rsidR="00757D79" w:rsidRPr="00CE2936">
              <w:rPr>
                <w:rFonts w:ascii="Tahoma" w:eastAsiaTheme="minorHAnsi" w:hAnsi="Tahoma" w:cs="Tahoma"/>
                <w:sz w:val="20"/>
                <w:szCs w:val="20"/>
                <w:lang w:eastAsia="en-US"/>
              </w:rPr>
              <w:t xml:space="preserve">development for the </w:t>
            </w:r>
            <w:r w:rsidR="00757D79">
              <w:rPr>
                <w:rFonts w:ascii="Tahoma" w:eastAsiaTheme="minorHAnsi" w:hAnsi="Tahoma" w:cs="Tahoma"/>
                <w:sz w:val="20"/>
                <w:szCs w:val="20"/>
                <w:lang w:eastAsia="en-US"/>
              </w:rPr>
              <w:t>national</w:t>
            </w:r>
            <w:r w:rsidR="00757D79" w:rsidRPr="00CE2936">
              <w:rPr>
                <w:rFonts w:ascii="Tahoma" w:eastAsiaTheme="minorHAnsi" w:hAnsi="Tahoma" w:cs="Tahoma"/>
                <w:sz w:val="20"/>
                <w:szCs w:val="20"/>
                <w:lang w:eastAsia="en-US"/>
              </w:rPr>
              <w:t xml:space="preserve"> stakeholders </w:t>
            </w:r>
            <w:r w:rsidR="00757D79">
              <w:rPr>
                <w:rFonts w:ascii="Tahoma" w:eastAsiaTheme="minorHAnsi" w:hAnsi="Tahoma" w:cs="Tahoma"/>
                <w:sz w:val="20"/>
                <w:szCs w:val="20"/>
                <w:lang w:eastAsia="en-US"/>
              </w:rPr>
              <w:t>to implement harmonised ECHR-compliant, evidence -based criminal, judicial policy and practi</w:t>
            </w:r>
            <w:r w:rsidR="007165D2">
              <w:rPr>
                <w:rFonts w:ascii="Tahoma" w:eastAsiaTheme="minorHAnsi" w:hAnsi="Tahoma" w:cs="Tahoma"/>
                <w:sz w:val="20"/>
                <w:szCs w:val="20"/>
                <w:lang w:eastAsia="en-US"/>
              </w:rPr>
              <w:t>c</w:t>
            </w:r>
            <w:r w:rsidR="00757D79">
              <w:rPr>
                <w:rFonts w:ascii="Tahoma" w:eastAsiaTheme="minorHAnsi" w:hAnsi="Tahoma" w:cs="Tahoma"/>
                <w:sz w:val="20"/>
                <w:szCs w:val="20"/>
                <w:lang w:eastAsia="en-US"/>
              </w:rPr>
              <w:t>e</w:t>
            </w:r>
            <w:r w:rsidR="00757D79" w:rsidRPr="001E7B94">
              <w:rPr>
                <w:rFonts w:ascii="Tahoma" w:eastAsiaTheme="minorHAnsi" w:hAnsi="Tahoma" w:cs="Tahoma"/>
                <w:sz w:val="20"/>
                <w:szCs w:val="20"/>
                <w:lang w:eastAsia="en-US"/>
              </w:rPr>
              <w:t xml:space="preserve"> </w:t>
            </w:r>
          </w:p>
          <w:p w14:paraId="4EF6A3B3" w14:textId="64A5FC0E" w:rsidR="00B133A9" w:rsidRPr="00D0286A" w:rsidRDefault="00B133A9" w:rsidP="00596613">
            <w:pPr>
              <w:shd w:val="clear" w:color="auto" w:fill="FFFFFF" w:themeFill="background1"/>
              <w:autoSpaceDE w:val="0"/>
              <w:autoSpaceDN w:val="0"/>
              <w:adjustRightInd w:val="0"/>
              <w:jc w:val="both"/>
              <w:rPr>
                <w:rFonts w:ascii="Tahoma" w:eastAsia="Calibri" w:hAnsi="Tahoma" w:cs="Tahoma"/>
                <w:b/>
                <w:bCs/>
                <w:sz w:val="16"/>
                <w:szCs w:val="16"/>
                <w:lang w:val="en-US" w:eastAsia="en-US"/>
              </w:rPr>
            </w:pPr>
          </w:p>
        </w:tc>
        <w:tc>
          <w:tcPr>
            <w:tcW w:w="418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68FFFF4" w:rsidR="00B133A9" w:rsidRPr="00D0286A" w:rsidRDefault="00C635D2"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B133A9" w:rsidRPr="00D0286A" w14:paraId="0F91EE37" w14:textId="77777777" w:rsidTr="00596613">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6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7887CB16" w:rsidR="00B133A9" w:rsidRPr="00D0286A" w:rsidRDefault="00B133A9">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757D79" w:rsidRPr="002D19E7">
              <w:rPr>
                <w:rFonts w:ascii="Tahoma" w:eastAsiaTheme="minorHAnsi" w:hAnsi="Tahoma" w:cs="Tahoma"/>
                <w:sz w:val="20"/>
                <w:szCs w:val="20"/>
                <w:lang w:eastAsia="en-US"/>
              </w:rPr>
              <w:t xml:space="preserve"> </w:t>
            </w:r>
            <w:r w:rsidR="00B4036A">
              <w:rPr>
                <w:rFonts w:ascii="Tahoma" w:eastAsiaTheme="minorHAnsi" w:hAnsi="Tahoma" w:cs="Tahoma"/>
                <w:sz w:val="20"/>
                <w:szCs w:val="20"/>
                <w:lang w:eastAsia="en-US"/>
              </w:rPr>
              <w:t>Provi</w:t>
            </w:r>
            <w:r w:rsidR="00B80187">
              <w:rPr>
                <w:rFonts w:ascii="Tahoma" w:eastAsiaTheme="minorHAnsi" w:hAnsi="Tahoma" w:cs="Tahoma"/>
                <w:sz w:val="20"/>
                <w:szCs w:val="20"/>
                <w:lang w:eastAsia="en-US"/>
              </w:rPr>
              <w:t>sion of</w:t>
            </w:r>
            <w:r w:rsidR="00B4036A">
              <w:rPr>
                <w:rFonts w:ascii="Tahoma" w:eastAsiaTheme="minorHAnsi" w:hAnsi="Tahoma" w:cs="Tahoma"/>
                <w:sz w:val="20"/>
                <w:szCs w:val="20"/>
                <w:lang w:eastAsia="en-US"/>
              </w:rPr>
              <w:t xml:space="preserve"> consultancy services for </w:t>
            </w:r>
            <w:r w:rsidR="00B4036A" w:rsidRPr="002D19E7">
              <w:rPr>
                <w:rFonts w:ascii="Tahoma" w:eastAsiaTheme="minorHAnsi" w:hAnsi="Tahoma" w:cs="Tahoma"/>
                <w:sz w:val="20"/>
                <w:szCs w:val="20"/>
                <w:lang w:eastAsia="en-US"/>
              </w:rPr>
              <w:t xml:space="preserve">harmonization </w:t>
            </w:r>
            <w:r w:rsidR="00757D79" w:rsidRPr="002D19E7">
              <w:rPr>
                <w:rFonts w:ascii="Tahoma" w:eastAsiaTheme="minorHAnsi" w:hAnsi="Tahoma" w:cs="Tahoma"/>
                <w:sz w:val="20"/>
                <w:szCs w:val="20"/>
                <w:lang w:eastAsia="en-US"/>
              </w:rPr>
              <w:t>and improved application of regulatory and institutional framework for the facilitation of execution of the ECtHR judgments,</w:t>
            </w:r>
            <w:r w:rsidR="00757D79" w:rsidRPr="008A588C">
              <w:rPr>
                <w:rFonts w:ascii="Tahoma" w:hAnsi="Tahoma" w:cs="Tahoma"/>
                <w:color w:val="000000" w:themeColor="text1"/>
                <w:sz w:val="20"/>
                <w:szCs w:val="20"/>
              </w:rPr>
              <w:t xml:space="preserve"> </w:t>
            </w:r>
            <w:r w:rsidR="00757D79" w:rsidRPr="00C61040">
              <w:rPr>
                <w:rFonts w:ascii="Tahoma" w:hAnsi="Tahoma" w:cs="Tahoma"/>
                <w:color w:val="000000" w:themeColor="text1"/>
                <w:sz w:val="20"/>
                <w:szCs w:val="20"/>
              </w:rPr>
              <w:t xml:space="preserve">including </w:t>
            </w:r>
            <w:r w:rsidR="00757D79" w:rsidRPr="00C80C67">
              <w:rPr>
                <w:rFonts w:ascii="Tahoma" w:hAnsi="Tahoma" w:cs="Tahoma"/>
                <w:color w:val="000000" w:themeColor="text1"/>
                <w:sz w:val="20"/>
                <w:szCs w:val="20"/>
              </w:rPr>
              <w:t>the reinforcement of the Supreme Court’s role in shaping a harmonised, ECHR-compliant judicial practice, and reinforcement of the capacity of the Government Agent’s Office staff for better execution of</w:t>
            </w:r>
            <w:r w:rsidR="00757D79">
              <w:rPr>
                <w:rFonts w:ascii="Tahoma" w:hAnsi="Tahoma" w:cs="Tahoma"/>
                <w:color w:val="000000" w:themeColor="text1"/>
                <w:sz w:val="20"/>
                <w:szCs w:val="20"/>
              </w:rPr>
              <w:t xml:space="preserve"> ECtHR </w:t>
            </w:r>
            <w:r w:rsidR="00310245">
              <w:rPr>
                <w:rFonts w:ascii="Tahoma" w:hAnsi="Tahoma" w:cs="Tahoma"/>
                <w:color w:val="000000" w:themeColor="text1"/>
                <w:sz w:val="20"/>
                <w:szCs w:val="20"/>
              </w:rPr>
              <w:t>judgment</w:t>
            </w:r>
            <w:r w:rsidR="00757D79">
              <w:rPr>
                <w:rFonts w:ascii="Tahoma" w:hAnsi="Tahoma" w:cs="Tahoma"/>
                <w:color w:val="000000" w:themeColor="text1"/>
                <w:sz w:val="20"/>
                <w:szCs w:val="20"/>
              </w:rPr>
              <w:t>s</w:t>
            </w:r>
          </w:p>
        </w:tc>
        <w:tc>
          <w:tcPr>
            <w:tcW w:w="41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52F5A44" w:rsidR="00B133A9" w:rsidRPr="00D0286A" w:rsidRDefault="00C635D2"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D0FAA11"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w:t>
      </w:r>
      <w:r w:rsidRPr="009F59AC">
        <w:rPr>
          <w:rFonts w:ascii="Tahoma" w:hAnsi="Tahoma" w:cs="Tahoma"/>
          <w:sz w:val="20"/>
          <w:szCs w:val="20"/>
        </w:rPr>
        <w:t xml:space="preserve">Framework Contract. </w:t>
      </w:r>
      <w:r w:rsidRPr="009F59AC">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9F59AC">
        <w:rPr>
          <w:rFonts w:ascii="Tahoma" w:hAnsi="Tahoma" w:cs="Tahoma"/>
          <w:b/>
          <w:color w:val="000000"/>
          <w:sz w:val="20"/>
          <w:szCs w:val="20"/>
          <w:lang w:eastAsia="en-US"/>
        </w:rPr>
        <w:t xml:space="preserve"> </w:t>
      </w:r>
      <w:r w:rsidRPr="009F59AC">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8FADC"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77"/>
        <w:gridCol w:w="1288"/>
        <w:gridCol w:w="1329"/>
        <w:gridCol w:w="1464"/>
      </w:tblGrid>
      <w:tr w:rsidR="003D3830" w:rsidRPr="00D0286A" w14:paraId="6BD6D58A" w14:textId="77777777" w:rsidTr="005D68B5">
        <w:trPr>
          <w:trHeight w:val="688"/>
          <w:jc w:val="center"/>
        </w:trPr>
        <w:tc>
          <w:tcPr>
            <w:tcW w:w="5977" w:type="dxa"/>
            <w:shd w:val="clear" w:color="auto" w:fill="DBE5F1" w:themeFill="accent1" w:themeFillTint="33"/>
            <w:vAlign w:val="center"/>
          </w:tcPr>
          <w:p w14:paraId="2C2B5127" w14:textId="682F96CC" w:rsidR="003D3830" w:rsidRPr="00D0286A" w:rsidRDefault="003D3830"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lastRenderedPageBreak/>
              <w:t xml:space="preserve">LOT 1 – Type of Units </w:t>
            </w:r>
            <w:r w:rsidRPr="00D0286A">
              <w:rPr>
                <w:b/>
                <w:sz w:val="18"/>
                <w:szCs w:val="18"/>
                <w:lang w:eastAsia="en-US"/>
              </w:rPr>
              <w:t>▼</w:t>
            </w:r>
          </w:p>
        </w:tc>
        <w:tc>
          <w:tcPr>
            <w:tcW w:w="1288" w:type="dxa"/>
            <w:shd w:val="clear" w:color="auto" w:fill="DBE5F1" w:themeFill="accent1" w:themeFillTint="33"/>
          </w:tcPr>
          <w:p w14:paraId="64F43F0F" w14:textId="4EF08C84" w:rsidR="003D3830" w:rsidRPr="00D0286A" w:rsidRDefault="003D3830"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 rate</w:t>
            </w:r>
          </w:p>
        </w:tc>
        <w:tc>
          <w:tcPr>
            <w:tcW w:w="1329" w:type="dxa"/>
            <w:tcBorders>
              <w:bottom w:val="single" w:sz="2" w:space="0" w:color="FF0000"/>
            </w:tcBorders>
            <w:shd w:val="clear" w:color="auto" w:fill="DBE5F1" w:themeFill="accent1" w:themeFillTint="33"/>
            <w:vAlign w:val="center"/>
          </w:tcPr>
          <w:p w14:paraId="14D50370" w14:textId="3103417E" w:rsidR="003D3830" w:rsidRPr="00D0286A" w:rsidRDefault="003D3830"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3D3830" w:rsidRPr="00D0286A" w:rsidRDefault="003D3830"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464" w:type="dxa"/>
            <w:tcBorders>
              <w:bottom w:val="single" w:sz="2" w:space="0" w:color="808080"/>
              <w:right w:val="single" w:sz="2" w:space="0" w:color="808080"/>
            </w:tcBorders>
            <w:shd w:val="clear" w:color="auto" w:fill="DBE5F1" w:themeFill="accent1" w:themeFillTint="33"/>
            <w:vAlign w:val="center"/>
          </w:tcPr>
          <w:p w14:paraId="305427AE" w14:textId="77777777" w:rsidR="003D3830" w:rsidRPr="00B53E3D" w:rsidRDefault="003D3830" w:rsidP="00512853">
            <w:pPr>
              <w:spacing w:line="276" w:lineRule="auto"/>
              <w:ind w:left="-142" w:right="-126"/>
              <w:jc w:val="center"/>
              <w:rPr>
                <w:rFonts w:ascii="Tahoma" w:hAnsi="Tahoma" w:cs="Tahoma"/>
                <w:b/>
                <w:sz w:val="18"/>
                <w:szCs w:val="18"/>
                <w:lang w:eastAsia="en-US"/>
              </w:rPr>
            </w:pPr>
            <w:r w:rsidRPr="00B53E3D">
              <w:rPr>
                <w:rFonts w:ascii="Tahoma" w:hAnsi="Tahoma" w:cs="Tahoma"/>
                <w:b/>
                <w:sz w:val="18"/>
                <w:szCs w:val="18"/>
                <w:lang w:eastAsia="en-US"/>
              </w:rPr>
              <w:t>Exclusion level</w:t>
            </w:r>
          </w:p>
          <w:p w14:paraId="27831C06" w14:textId="77777777" w:rsidR="003D3830" w:rsidRPr="00D0286A" w:rsidRDefault="003D3830" w:rsidP="00512853">
            <w:pPr>
              <w:spacing w:line="276" w:lineRule="auto"/>
              <w:ind w:left="-142" w:right="-126"/>
              <w:jc w:val="center"/>
              <w:rPr>
                <w:rFonts w:ascii="Tahoma" w:hAnsi="Tahoma" w:cs="Tahoma"/>
                <w:b/>
                <w:sz w:val="18"/>
                <w:szCs w:val="18"/>
                <w:lang w:eastAsia="en-US"/>
              </w:rPr>
            </w:pPr>
            <w:r w:rsidRPr="00B53E3D">
              <w:rPr>
                <w:b/>
                <w:sz w:val="18"/>
                <w:szCs w:val="18"/>
                <w:lang w:eastAsia="en-US"/>
              </w:rPr>
              <w:t>▼</w:t>
            </w:r>
          </w:p>
        </w:tc>
      </w:tr>
      <w:tr w:rsidR="003D3830" w:rsidRPr="00596613" w14:paraId="5A649F14" w14:textId="77777777" w:rsidTr="005D68B5">
        <w:trPr>
          <w:trHeight w:val="780"/>
          <w:jc w:val="center"/>
        </w:trPr>
        <w:tc>
          <w:tcPr>
            <w:tcW w:w="5977" w:type="dxa"/>
            <w:tcBorders>
              <w:right w:val="single" w:sz="2" w:space="0" w:color="FF0000"/>
            </w:tcBorders>
            <w:shd w:val="clear" w:color="auto" w:fill="F2F2F2" w:themeFill="background1" w:themeFillShade="F2"/>
            <w:vAlign w:val="center"/>
          </w:tcPr>
          <w:p w14:paraId="2BCAF44A" w14:textId="44B9FE1F" w:rsidR="003D3830" w:rsidRPr="00596613" w:rsidRDefault="003D3830" w:rsidP="00596613">
            <w:pPr>
              <w:spacing w:line="276" w:lineRule="auto"/>
              <w:jc w:val="both"/>
              <w:rPr>
                <w:rFonts w:ascii="Tahoma" w:hAnsi="Tahoma" w:cs="Tahoma"/>
                <w:sz w:val="18"/>
                <w:szCs w:val="18"/>
                <w:lang w:eastAsia="en-US"/>
              </w:rPr>
            </w:pPr>
            <w:r w:rsidRPr="00596613">
              <w:rPr>
                <w:rFonts w:ascii="Tahoma" w:eastAsia="Calibri" w:hAnsi="Tahoma" w:cs="Tahoma"/>
                <w:b/>
                <w:bCs/>
                <w:sz w:val="18"/>
                <w:szCs w:val="18"/>
                <w:lang w:val="en-US" w:eastAsia="en-US"/>
              </w:rPr>
              <w:t xml:space="preserve">Lot 1 - </w:t>
            </w:r>
            <w:r w:rsidRPr="00596613">
              <w:rPr>
                <w:rFonts w:ascii="Tahoma" w:eastAsiaTheme="minorHAnsi" w:hAnsi="Tahoma" w:cs="Tahoma"/>
                <w:sz w:val="20"/>
                <w:szCs w:val="20"/>
                <w:lang w:eastAsia="en-US"/>
              </w:rPr>
              <w:t>Provision of consultancy services for capacity development for the national stakeholders to implement harmonised ECHR-compliant, evidence -based criminal, judicial policy and practice</w:t>
            </w:r>
          </w:p>
        </w:tc>
        <w:tc>
          <w:tcPr>
            <w:tcW w:w="1288" w:type="dxa"/>
            <w:tcBorders>
              <w:right w:val="single" w:sz="2" w:space="0" w:color="FF0000"/>
            </w:tcBorders>
            <w:shd w:val="clear" w:color="auto" w:fill="FFFFFF" w:themeFill="background1"/>
          </w:tcPr>
          <w:p w14:paraId="4971FC6D" w14:textId="6BA86D34" w:rsidR="003D3830" w:rsidRPr="00596613" w:rsidRDefault="00CE3F45" w:rsidP="00A0651D">
            <w:pPr>
              <w:ind w:left="-37"/>
              <w:jc w:val="center"/>
              <w:rPr>
                <w:rFonts w:ascii="Tahoma" w:hAnsi="Tahoma" w:cs="Tahoma"/>
                <w:sz w:val="18"/>
                <w:szCs w:val="18"/>
                <w:lang w:eastAsia="en-US"/>
              </w:rPr>
            </w:pPr>
            <w:r>
              <w:rPr>
                <w:rFonts w:ascii="Tahoma" w:hAnsi="Tahoma" w:cs="Tahoma"/>
                <w:sz w:val="18"/>
                <w:szCs w:val="18"/>
                <w:lang w:eastAsia="en-US"/>
              </w:rPr>
              <w:t>Per service day</w:t>
            </w:r>
          </w:p>
        </w:tc>
        <w:tc>
          <w:tcPr>
            <w:tcW w:w="13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09241CD0" w:rsidR="003D3830" w:rsidRPr="00596613" w:rsidRDefault="003D3830" w:rsidP="00A0651D">
            <w:pPr>
              <w:ind w:left="-37"/>
              <w:jc w:val="center"/>
              <w:rPr>
                <w:rFonts w:ascii="Tahoma" w:hAnsi="Tahoma" w:cs="Tahoma"/>
                <w:sz w:val="18"/>
                <w:szCs w:val="18"/>
                <w:lang w:eastAsia="en-US"/>
              </w:rPr>
            </w:pPr>
          </w:p>
        </w:tc>
        <w:tc>
          <w:tcPr>
            <w:tcW w:w="146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AB699D5" w:rsidR="003D3830" w:rsidRPr="00596613" w:rsidRDefault="00974361"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w:t>
            </w:r>
            <w:r w:rsidR="00F4478E">
              <w:rPr>
                <w:rFonts w:ascii="Tahoma" w:hAnsi="Tahoma" w:cs="Tahoma"/>
                <w:sz w:val="18"/>
                <w:szCs w:val="18"/>
                <w:lang w:eastAsia="en-US"/>
              </w:rPr>
              <w:t>50</w:t>
            </w:r>
          </w:p>
        </w:tc>
      </w:tr>
    </w:tbl>
    <w:p w14:paraId="4B17550E" w14:textId="77777777" w:rsidR="006A1D4A" w:rsidRPr="00596613" w:rsidRDefault="006A1D4A" w:rsidP="006A1D4A">
      <w:pPr>
        <w:ind w:left="-142"/>
        <w:rPr>
          <w:rFonts w:ascii="Tahoma" w:hAnsi="Tahoma" w:cs="Tahoma"/>
          <w:b/>
        </w:rPr>
      </w:pPr>
      <w:bookmarkStart w:id="1" w:name="_Hlk62556255"/>
    </w:p>
    <w:p w14:paraId="6FCC62D9" w14:textId="01142D89" w:rsidR="006A1D4A" w:rsidRPr="00596613" w:rsidRDefault="006A1D4A" w:rsidP="006A1D4A">
      <w:pPr>
        <w:pBdr>
          <w:bottom w:val="single" w:sz="2" w:space="1" w:color="808080" w:themeColor="background1" w:themeShade="80"/>
        </w:pBdr>
        <w:rPr>
          <w:rFonts w:ascii="Tahoma" w:hAnsi="Tahoma" w:cs="Tahoma"/>
          <w:bCs/>
        </w:rPr>
      </w:pPr>
      <w:bookmarkStart w:id="2" w:name="_Hlk62555567"/>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6A1D4A" w:rsidRPr="00596613" w14:paraId="7A1A2C64" w14:textId="77777777" w:rsidTr="00746B75">
        <w:tc>
          <w:tcPr>
            <w:tcW w:w="8790" w:type="dxa"/>
            <w:shd w:val="clear" w:color="auto" w:fill="DBE5F1" w:themeFill="accent1" w:themeFillTint="33"/>
            <w:vAlign w:val="center"/>
          </w:tcPr>
          <w:p w14:paraId="0EF908B6" w14:textId="77777777" w:rsidR="006A1D4A" w:rsidRPr="00596613" w:rsidRDefault="006A1D4A" w:rsidP="00B37702">
            <w:pPr>
              <w:spacing w:before="120" w:after="120"/>
              <w:rPr>
                <w:rFonts w:ascii="Tahoma" w:hAnsi="Tahoma" w:cs="Tahoma"/>
                <w:sz w:val="20"/>
                <w:szCs w:val="20"/>
              </w:rPr>
            </w:pPr>
            <w:r w:rsidRPr="00596613">
              <w:rPr>
                <w:rFonts w:ascii="Tahoma" w:hAnsi="Tahoma" w:cs="Tahoma"/>
                <w:sz w:val="20"/>
                <w:szCs w:val="20"/>
              </w:rPr>
              <w:t>This Framework Contract</w:t>
            </w:r>
            <w:r w:rsidRPr="00596613">
              <w:rPr>
                <w:rFonts w:ascii="Tahoma" w:eastAsia="Calibri" w:hAnsi="Tahoma" w:cs="Tahoma"/>
                <w:sz w:val="20"/>
                <w:szCs w:val="20"/>
                <w:lang w:val="en-US" w:eastAsia="en-US"/>
              </w:rPr>
              <w:t xml:space="preserve"> takes effect as from the date of its signature by both parties and is</w:t>
            </w:r>
            <w:r w:rsidRPr="0059661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4-01-31T00:00:00Z">
                <w:dateFormat w:val="dd/MM/yyyy"/>
                <w:lid w:val="fr-FR"/>
                <w:storeMappedDataAs w:val="dateTime"/>
                <w:calendar w:val="gregorian"/>
              </w:date>
            </w:sdtPr>
            <w:sdtEndPr>
              <w:rPr>
                <w:rStyle w:val="Style71"/>
              </w:rPr>
            </w:sdtEndPr>
            <w:sdtContent>
              <w:p w14:paraId="02CFD48F" w14:textId="1F703594" w:rsidR="006A1D4A" w:rsidRPr="00596613" w:rsidRDefault="00E600F6" w:rsidP="00B37702">
                <w:pPr>
                  <w:spacing w:before="120" w:after="120"/>
                  <w:rPr>
                    <w:rFonts w:ascii="Tahoma" w:hAnsi="Tahoma" w:cs="Tahoma"/>
                    <w:sz w:val="20"/>
                    <w:szCs w:val="20"/>
                  </w:rPr>
                </w:pPr>
                <w:r w:rsidRPr="00596613">
                  <w:rPr>
                    <w:rStyle w:val="Style71"/>
                    <w:rFonts w:ascii="Tahoma" w:hAnsi="Tahoma" w:cs="Tahoma"/>
                    <w:szCs w:val="20"/>
                    <w:lang w:val="fr-FR"/>
                  </w:rPr>
                  <w:t>31/01/2024</w:t>
                </w:r>
              </w:p>
            </w:sdtContent>
          </w:sdt>
        </w:tc>
      </w:tr>
      <w:tr w:rsidR="006A1D4A" w:rsidRPr="00596613" w14:paraId="50EFB9E2" w14:textId="77777777" w:rsidTr="00746B75">
        <w:tc>
          <w:tcPr>
            <w:tcW w:w="8790" w:type="dxa"/>
            <w:shd w:val="clear" w:color="auto" w:fill="DBE5F1" w:themeFill="accent1" w:themeFillTint="33"/>
            <w:vAlign w:val="center"/>
          </w:tcPr>
          <w:p w14:paraId="5925EC3E" w14:textId="52351FCE" w:rsidR="006A1D4A" w:rsidRPr="00596613" w:rsidRDefault="006A1D4A" w:rsidP="00B37702">
            <w:pPr>
              <w:spacing w:before="120" w:after="120"/>
              <w:rPr>
                <w:rFonts w:ascii="Tahoma" w:hAnsi="Tahoma" w:cs="Tahoma"/>
                <w:sz w:val="20"/>
                <w:szCs w:val="20"/>
              </w:rPr>
            </w:pPr>
            <w:r w:rsidRPr="00596613">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4-02-29T00:00:00Z">
                <w:dateFormat w:val="dd/MM/yyyy"/>
                <w:lid w:val="fr-FR"/>
                <w:storeMappedDataAs w:val="dateTime"/>
                <w:calendar w:val="gregorian"/>
              </w:date>
            </w:sdtPr>
            <w:sdtEndPr>
              <w:rPr>
                <w:rStyle w:val="Style71"/>
              </w:rPr>
            </w:sdtEndPr>
            <w:sdtContent>
              <w:p w14:paraId="1EE4F74B" w14:textId="60AF7F9F" w:rsidR="006A1D4A" w:rsidRPr="00596613" w:rsidRDefault="006F028E" w:rsidP="00B37702">
                <w:pPr>
                  <w:spacing w:before="120" w:after="120"/>
                  <w:rPr>
                    <w:rStyle w:val="Style71"/>
                    <w:rFonts w:ascii="Tahoma" w:hAnsi="Tahoma" w:cs="Tahoma"/>
                  </w:rPr>
                </w:pPr>
                <w:r w:rsidRPr="00596613">
                  <w:rPr>
                    <w:rStyle w:val="Style71"/>
                    <w:rFonts w:ascii="Tahoma" w:hAnsi="Tahoma" w:cs="Tahoma"/>
                    <w:szCs w:val="20"/>
                    <w:lang w:val="fr-FR"/>
                  </w:rPr>
                  <w:t>29/02/2024</w:t>
                </w:r>
              </w:p>
            </w:sdtContent>
          </w:sdt>
        </w:tc>
      </w:tr>
    </w:tbl>
    <w:p w14:paraId="17BAF170" w14:textId="77777777" w:rsidR="006A1D4A" w:rsidRPr="00596613" w:rsidRDefault="006A1D4A" w:rsidP="006A1D4A">
      <w:pPr>
        <w:pBdr>
          <w:bottom w:val="single" w:sz="2" w:space="0" w:color="808080" w:themeColor="background1" w:themeShade="80"/>
        </w:pBdr>
        <w:rPr>
          <w:rFonts w:ascii="Tahoma" w:hAnsi="Tahoma" w:cs="Tahoma"/>
          <w:b/>
        </w:rPr>
      </w:pPr>
    </w:p>
    <w:bookmarkEnd w:id="1"/>
    <w:bookmarkEnd w:id="2"/>
    <w:p w14:paraId="3A849A7D" w14:textId="77777777" w:rsidR="006A1D4A" w:rsidRPr="00596613" w:rsidRDefault="006A1D4A" w:rsidP="00B133A9">
      <w:pPr>
        <w:spacing w:before="60" w:after="120"/>
        <w:ind w:left="-142"/>
        <w:rPr>
          <w:rFonts w:ascii="Tahoma" w:hAnsi="Tahoma" w:cs="Tahoma"/>
          <w:sz w:val="20"/>
          <w:szCs w:val="20"/>
        </w:rPr>
      </w:pPr>
    </w:p>
    <w:p w14:paraId="6022B3E4" w14:textId="77777777" w:rsidR="00B133A9" w:rsidRPr="00596613"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596613">
        <w:rPr>
          <w:rFonts w:ascii="Tahoma" w:hAnsi="Tahoma" w:cs="Tahoma"/>
          <w:color w:val="FF0000"/>
          <w:sz w:val="20"/>
          <w:szCs w:val="20"/>
        </w:rPr>
        <w:t>The Provider shall indicate its proposed fee(s) in the box(es) below.</w:t>
      </w:r>
    </w:p>
    <w:p w14:paraId="2E5C213F" w14:textId="77777777" w:rsidR="00B133A9" w:rsidRPr="00596613" w:rsidRDefault="00B133A9" w:rsidP="00B133A9">
      <w:pPr>
        <w:spacing w:line="276" w:lineRule="auto"/>
        <w:ind w:left="-142"/>
        <w:jc w:val="both"/>
        <w:rPr>
          <w:rFonts w:ascii="Tahoma" w:hAnsi="Tahoma" w:cs="Tahoma"/>
          <w:sz w:val="18"/>
          <w:szCs w:val="18"/>
          <w:lang w:eastAsia="en-US"/>
        </w:rPr>
      </w:pPr>
      <w:r w:rsidRPr="00596613">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814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84"/>
        <w:gridCol w:w="1285"/>
        <w:gridCol w:w="1326"/>
        <w:gridCol w:w="1463"/>
      </w:tblGrid>
      <w:tr w:rsidR="003D3830" w:rsidRPr="00596613" w14:paraId="477D284D" w14:textId="77777777" w:rsidTr="005D68B5">
        <w:trPr>
          <w:trHeight w:val="688"/>
          <w:jc w:val="center"/>
        </w:trPr>
        <w:tc>
          <w:tcPr>
            <w:tcW w:w="5984" w:type="dxa"/>
            <w:shd w:val="clear" w:color="auto" w:fill="DBE5F1" w:themeFill="accent1" w:themeFillTint="33"/>
            <w:vAlign w:val="center"/>
          </w:tcPr>
          <w:p w14:paraId="1F744B8D" w14:textId="50A41CE6" w:rsidR="003D3830" w:rsidRPr="00596613" w:rsidRDefault="003D3830" w:rsidP="00512853">
            <w:pPr>
              <w:tabs>
                <w:tab w:val="left" w:pos="0"/>
              </w:tabs>
              <w:spacing w:line="276" w:lineRule="auto"/>
              <w:ind w:left="-142"/>
              <w:jc w:val="center"/>
              <w:rPr>
                <w:rFonts w:ascii="Tahoma" w:hAnsi="Tahoma" w:cs="Tahoma"/>
                <w:b/>
                <w:sz w:val="18"/>
                <w:szCs w:val="18"/>
                <w:lang w:eastAsia="en-US"/>
              </w:rPr>
            </w:pPr>
            <w:r w:rsidRPr="00596613">
              <w:rPr>
                <w:rFonts w:ascii="Tahoma" w:hAnsi="Tahoma" w:cs="Tahoma"/>
                <w:b/>
                <w:sz w:val="18"/>
                <w:szCs w:val="18"/>
                <w:lang w:eastAsia="en-US"/>
              </w:rPr>
              <w:t xml:space="preserve">LOT 2 – Type of Units </w:t>
            </w:r>
            <w:r w:rsidRPr="00596613">
              <w:rPr>
                <w:b/>
                <w:sz w:val="18"/>
                <w:szCs w:val="18"/>
                <w:lang w:eastAsia="en-US"/>
              </w:rPr>
              <w:t>▼</w:t>
            </w:r>
          </w:p>
        </w:tc>
        <w:tc>
          <w:tcPr>
            <w:tcW w:w="1285" w:type="dxa"/>
            <w:shd w:val="clear" w:color="auto" w:fill="DBE5F1" w:themeFill="accent1" w:themeFillTint="33"/>
          </w:tcPr>
          <w:p w14:paraId="7451DE1A" w14:textId="6FCD1576" w:rsidR="003D3830" w:rsidRPr="00596613" w:rsidRDefault="003D3830"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 rate</w:t>
            </w:r>
          </w:p>
        </w:tc>
        <w:tc>
          <w:tcPr>
            <w:tcW w:w="1326" w:type="dxa"/>
            <w:tcBorders>
              <w:bottom w:val="single" w:sz="2" w:space="0" w:color="FF0000"/>
            </w:tcBorders>
            <w:shd w:val="clear" w:color="auto" w:fill="DBE5F1" w:themeFill="accent1" w:themeFillTint="33"/>
            <w:vAlign w:val="center"/>
          </w:tcPr>
          <w:p w14:paraId="4B8315A5" w14:textId="00F28E83" w:rsidR="003D3830" w:rsidRPr="00596613" w:rsidRDefault="003D3830" w:rsidP="00512853">
            <w:pPr>
              <w:spacing w:line="276" w:lineRule="auto"/>
              <w:ind w:left="-142" w:right="-154"/>
              <w:jc w:val="center"/>
              <w:rPr>
                <w:rFonts w:ascii="Tahoma" w:hAnsi="Tahoma" w:cs="Tahoma"/>
                <w:b/>
                <w:sz w:val="18"/>
                <w:szCs w:val="18"/>
                <w:lang w:eastAsia="en-US"/>
              </w:rPr>
            </w:pPr>
            <w:r w:rsidRPr="00596613">
              <w:rPr>
                <w:rFonts w:ascii="Tahoma" w:hAnsi="Tahoma" w:cs="Tahoma"/>
                <w:b/>
                <w:sz w:val="18"/>
                <w:szCs w:val="18"/>
                <w:lang w:eastAsia="en-US"/>
              </w:rPr>
              <w:t>Unit fee</w:t>
            </w:r>
          </w:p>
          <w:p w14:paraId="7EE24855" w14:textId="77777777" w:rsidR="003D3830" w:rsidRPr="00596613" w:rsidRDefault="003D3830" w:rsidP="00512853">
            <w:pPr>
              <w:spacing w:line="276" w:lineRule="auto"/>
              <w:ind w:left="-142" w:right="-219"/>
              <w:jc w:val="center"/>
              <w:rPr>
                <w:rFonts w:ascii="Tahoma" w:hAnsi="Tahoma" w:cs="Tahoma"/>
                <w:b/>
                <w:sz w:val="18"/>
                <w:szCs w:val="18"/>
                <w:lang w:eastAsia="en-US"/>
              </w:rPr>
            </w:pPr>
            <w:r w:rsidRPr="00596613">
              <w:rPr>
                <w:b/>
                <w:sz w:val="18"/>
                <w:szCs w:val="18"/>
                <w:lang w:eastAsia="en-US"/>
              </w:rPr>
              <w:t>▼</w:t>
            </w:r>
          </w:p>
        </w:tc>
        <w:tc>
          <w:tcPr>
            <w:tcW w:w="1463" w:type="dxa"/>
            <w:tcBorders>
              <w:bottom w:val="single" w:sz="2" w:space="0" w:color="808080"/>
              <w:right w:val="single" w:sz="2" w:space="0" w:color="808080"/>
            </w:tcBorders>
            <w:shd w:val="clear" w:color="auto" w:fill="DBE5F1" w:themeFill="accent1" w:themeFillTint="33"/>
            <w:vAlign w:val="center"/>
          </w:tcPr>
          <w:p w14:paraId="49FDEC93" w14:textId="77777777" w:rsidR="003D3830" w:rsidRPr="00596613" w:rsidRDefault="003D3830" w:rsidP="00512853">
            <w:pPr>
              <w:spacing w:line="276" w:lineRule="auto"/>
              <w:ind w:left="-142" w:right="-126"/>
              <w:jc w:val="center"/>
              <w:rPr>
                <w:rFonts w:ascii="Tahoma" w:hAnsi="Tahoma" w:cs="Tahoma"/>
                <w:b/>
                <w:sz w:val="18"/>
                <w:szCs w:val="18"/>
                <w:lang w:eastAsia="en-US"/>
              </w:rPr>
            </w:pPr>
            <w:r w:rsidRPr="00596613">
              <w:rPr>
                <w:rFonts w:ascii="Tahoma" w:hAnsi="Tahoma" w:cs="Tahoma"/>
                <w:b/>
                <w:sz w:val="18"/>
                <w:szCs w:val="18"/>
                <w:lang w:eastAsia="en-US"/>
              </w:rPr>
              <w:t>Exclusion level</w:t>
            </w:r>
          </w:p>
          <w:p w14:paraId="2D699B72" w14:textId="77777777" w:rsidR="003D3830" w:rsidRPr="00596613" w:rsidRDefault="003D3830" w:rsidP="00512853">
            <w:pPr>
              <w:spacing w:line="276" w:lineRule="auto"/>
              <w:ind w:left="-142" w:right="-126"/>
              <w:jc w:val="center"/>
              <w:rPr>
                <w:rFonts w:ascii="Tahoma" w:hAnsi="Tahoma" w:cs="Tahoma"/>
                <w:b/>
                <w:sz w:val="18"/>
                <w:szCs w:val="18"/>
                <w:lang w:eastAsia="en-US"/>
              </w:rPr>
            </w:pPr>
            <w:r w:rsidRPr="00596613">
              <w:rPr>
                <w:b/>
                <w:sz w:val="18"/>
                <w:szCs w:val="18"/>
                <w:lang w:eastAsia="en-US"/>
              </w:rPr>
              <w:t>▼</w:t>
            </w:r>
          </w:p>
        </w:tc>
      </w:tr>
      <w:tr w:rsidR="003D3830" w:rsidRPr="00D0286A" w14:paraId="4C29C9B9" w14:textId="77777777" w:rsidTr="005D68B5">
        <w:trPr>
          <w:trHeight w:val="780"/>
          <w:jc w:val="center"/>
        </w:trPr>
        <w:tc>
          <w:tcPr>
            <w:tcW w:w="5984" w:type="dxa"/>
            <w:tcBorders>
              <w:right w:val="single" w:sz="2" w:space="0" w:color="FF0000"/>
            </w:tcBorders>
            <w:shd w:val="clear" w:color="auto" w:fill="F2F2F2" w:themeFill="background1" w:themeFillShade="F2"/>
            <w:vAlign w:val="center"/>
          </w:tcPr>
          <w:p w14:paraId="277FDB2E" w14:textId="181B5809" w:rsidR="003D3830" w:rsidRPr="00596613" w:rsidRDefault="003D3830" w:rsidP="00596613">
            <w:pPr>
              <w:spacing w:line="276" w:lineRule="auto"/>
              <w:jc w:val="both"/>
              <w:rPr>
                <w:rFonts w:ascii="Tahoma" w:hAnsi="Tahoma" w:cs="Tahoma"/>
                <w:sz w:val="18"/>
                <w:szCs w:val="18"/>
                <w:lang w:eastAsia="en-US"/>
              </w:rPr>
            </w:pPr>
            <w:r w:rsidRPr="00596613">
              <w:rPr>
                <w:rFonts w:ascii="Tahoma" w:eastAsia="Calibri" w:hAnsi="Tahoma" w:cs="Tahoma"/>
                <w:b/>
                <w:bCs/>
                <w:sz w:val="18"/>
                <w:szCs w:val="18"/>
                <w:lang w:val="en-US" w:eastAsia="en-US"/>
              </w:rPr>
              <w:t>Lot 2</w:t>
            </w:r>
            <w:r w:rsidRPr="00596613">
              <w:rPr>
                <w:rFonts w:ascii="Tahoma" w:eastAsia="Calibri" w:hAnsi="Tahoma" w:cs="Tahoma"/>
                <w:bCs/>
                <w:sz w:val="18"/>
                <w:szCs w:val="18"/>
                <w:lang w:val="en-US" w:eastAsia="en-US"/>
              </w:rPr>
              <w:t xml:space="preserve"> -</w:t>
            </w:r>
            <w:r w:rsidRPr="00596613">
              <w:rPr>
                <w:rFonts w:ascii="Tahoma" w:eastAsiaTheme="minorHAnsi" w:hAnsi="Tahoma" w:cs="Tahoma"/>
                <w:sz w:val="20"/>
                <w:szCs w:val="20"/>
                <w:lang w:eastAsia="en-US"/>
              </w:rPr>
              <w:t xml:space="preserve"> Provision of consultancy services for harmonization and improved application of regulatory and institutional framework for the facilitation of execution of the ECtHR judgments,</w:t>
            </w:r>
            <w:r w:rsidRPr="00596613">
              <w:rPr>
                <w:rFonts w:ascii="Tahoma" w:hAnsi="Tahoma" w:cs="Tahoma"/>
                <w:color w:val="000000" w:themeColor="text1"/>
                <w:sz w:val="20"/>
                <w:szCs w:val="20"/>
              </w:rPr>
              <w:t xml:space="preserve"> including the reinforcement of the Supreme Court’s role in shaping a harmonised, ECHR-compliant judicial practice, and reinforcement of the capacity of the Government Agent’s Office staff for better execution of ECtHR judgments</w:t>
            </w:r>
          </w:p>
        </w:tc>
        <w:tc>
          <w:tcPr>
            <w:tcW w:w="1285" w:type="dxa"/>
            <w:tcBorders>
              <w:right w:val="single" w:sz="2" w:space="0" w:color="FF0000"/>
            </w:tcBorders>
            <w:shd w:val="clear" w:color="auto" w:fill="FFFFFF" w:themeFill="background1"/>
          </w:tcPr>
          <w:p w14:paraId="55CB26C0" w14:textId="41245C95" w:rsidR="003D3830" w:rsidRPr="00596613" w:rsidRDefault="00CE3F45" w:rsidP="00A0651D">
            <w:pPr>
              <w:ind w:left="-65"/>
              <w:jc w:val="center"/>
              <w:rPr>
                <w:rFonts w:ascii="Tahoma" w:hAnsi="Tahoma" w:cs="Tahoma"/>
                <w:sz w:val="18"/>
                <w:szCs w:val="18"/>
                <w:lang w:eastAsia="en-US"/>
              </w:rPr>
            </w:pPr>
            <w:r>
              <w:rPr>
                <w:rFonts w:ascii="Tahoma" w:hAnsi="Tahoma" w:cs="Tahoma"/>
                <w:sz w:val="18"/>
                <w:szCs w:val="18"/>
                <w:lang w:eastAsia="en-US"/>
              </w:rPr>
              <w:t>Per service day</w:t>
            </w:r>
          </w:p>
        </w:tc>
        <w:tc>
          <w:tcPr>
            <w:tcW w:w="13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03C2733A" w:rsidR="003D3830" w:rsidRPr="00596613" w:rsidRDefault="003D3830" w:rsidP="00A0651D">
            <w:pPr>
              <w:ind w:left="-65"/>
              <w:jc w:val="center"/>
              <w:rPr>
                <w:rFonts w:ascii="Tahoma" w:hAnsi="Tahoma" w:cs="Tahoma"/>
                <w:sz w:val="18"/>
                <w:szCs w:val="18"/>
                <w:lang w:eastAsia="en-US"/>
              </w:rPr>
            </w:pPr>
          </w:p>
        </w:tc>
        <w:tc>
          <w:tcPr>
            <w:tcW w:w="146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8E164BE" w:rsidR="003D3830" w:rsidRPr="00596613" w:rsidRDefault="00974361"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w:t>
            </w:r>
            <w:r w:rsidR="00631B78">
              <w:rPr>
                <w:rFonts w:ascii="Tahoma" w:hAnsi="Tahoma" w:cs="Tahoma"/>
                <w:sz w:val="18"/>
                <w:szCs w:val="18"/>
                <w:lang w:eastAsia="en-US"/>
              </w:rPr>
              <w:t>50</w:t>
            </w:r>
          </w:p>
        </w:tc>
      </w:tr>
    </w:tbl>
    <w:p w14:paraId="5C6C1A24" w14:textId="77777777" w:rsidR="006A1D4A" w:rsidRDefault="006A1D4A" w:rsidP="006A1D4A">
      <w:pPr>
        <w:rPr>
          <w:rFonts w:ascii="Tahoma" w:hAnsi="Tahoma" w:cs="Tahoma"/>
          <w:b/>
        </w:rPr>
      </w:pPr>
    </w:p>
    <w:p w14:paraId="1D2228C5" w14:textId="4D5959D3" w:rsidR="006A1D4A" w:rsidRPr="00026E8A" w:rsidRDefault="006A1D4A" w:rsidP="006A1D4A">
      <w:pPr>
        <w:pBdr>
          <w:bottom w:val="single" w:sz="2" w:space="1" w:color="808080" w:themeColor="background1" w:themeShade="80"/>
        </w:pBdr>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6A1D4A" w:rsidRPr="00A93BE5" w14:paraId="7E40F8CF" w14:textId="77777777" w:rsidTr="00746B75">
        <w:tc>
          <w:tcPr>
            <w:tcW w:w="8790" w:type="dxa"/>
            <w:shd w:val="clear" w:color="auto" w:fill="DBE5F1" w:themeFill="accent1" w:themeFillTint="33"/>
            <w:vAlign w:val="center"/>
          </w:tcPr>
          <w:p w14:paraId="4282CDDB" w14:textId="77777777" w:rsidR="006A1D4A" w:rsidRPr="00A93BE5" w:rsidRDefault="006A1D4A" w:rsidP="00B37702">
            <w:pPr>
              <w:spacing w:before="120" w:after="120"/>
              <w:rPr>
                <w:rFonts w:ascii="Tahoma" w:hAnsi="Tahoma" w:cs="Tahoma"/>
                <w:sz w:val="20"/>
                <w:szCs w:val="20"/>
              </w:rPr>
            </w:pPr>
            <w:r w:rsidRPr="00A93BE5">
              <w:rPr>
                <w:rFonts w:ascii="Tahoma" w:hAnsi="Tahoma" w:cs="Tahoma"/>
                <w:sz w:val="20"/>
                <w:szCs w:val="20"/>
              </w:rPr>
              <w:t>This Framework Contract</w:t>
            </w:r>
            <w:r w:rsidRPr="00A93BE5">
              <w:rPr>
                <w:rFonts w:ascii="Tahoma" w:eastAsia="Calibri" w:hAnsi="Tahoma" w:cs="Tahoma"/>
                <w:sz w:val="20"/>
                <w:szCs w:val="20"/>
                <w:lang w:val="en-US" w:eastAsia="en-US"/>
              </w:rPr>
              <w:t xml:space="preserve"> takes effect as from the date of its signature by both parties and is</w:t>
            </w:r>
            <w:r w:rsidRPr="00A93BE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450554309"/>
              <w:placeholder>
                <w:docPart w:val="9787AAA7F5D146ABB5DB16CF6D86F1D6"/>
              </w:placeholder>
              <w:date w:fullDate="2024-01-31T00:00:00Z">
                <w:dateFormat w:val="dd/MM/yyyy"/>
                <w:lid w:val="fr-FR"/>
                <w:storeMappedDataAs w:val="dateTime"/>
                <w:calendar w:val="gregorian"/>
              </w:date>
            </w:sdtPr>
            <w:sdtEndPr>
              <w:rPr>
                <w:rStyle w:val="Heading1Char"/>
              </w:rPr>
            </w:sdtEndPr>
            <w:sdtContent>
              <w:p w14:paraId="2F201E8E" w14:textId="375BA77C" w:rsidR="006A1D4A" w:rsidRPr="00A93BE5" w:rsidRDefault="00E600F6" w:rsidP="00B37702">
                <w:pPr>
                  <w:spacing w:before="120" w:after="120"/>
                  <w:rPr>
                    <w:rFonts w:ascii="Tahoma" w:hAnsi="Tahoma" w:cs="Tahoma"/>
                    <w:sz w:val="20"/>
                    <w:szCs w:val="20"/>
                  </w:rPr>
                </w:pPr>
                <w:r>
                  <w:rPr>
                    <w:rStyle w:val="Heading1Char"/>
                    <w:rFonts w:ascii="Tahoma" w:hAnsi="Tahoma" w:cs="Tahoma"/>
                    <w:b w:val="0"/>
                    <w:bCs w:val="0"/>
                    <w:sz w:val="20"/>
                    <w:szCs w:val="20"/>
                    <w:lang w:val="fr-FR"/>
                  </w:rPr>
                  <w:t>31/01/2024</w:t>
                </w:r>
              </w:p>
            </w:sdtContent>
          </w:sdt>
        </w:tc>
      </w:tr>
      <w:tr w:rsidR="006A1D4A" w:rsidRPr="00026E8A" w14:paraId="52F8510F" w14:textId="77777777" w:rsidTr="00746B75">
        <w:tc>
          <w:tcPr>
            <w:tcW w:w="8790" w:type="dxa"/>
            <w:shd w:val="clear" w:color="auto" w:fill="DBE5F1" w:themeFill="accent1" w:themeFillTint="33"/>
            <w:vAlign w:val="center"/>
          </w:tcPr>
          <w:p w14:paraId="1D962B7E" w14:textId="5B1200EB" w:rsidR="006A1D4A" w:rsidRPr="00A93BE5" w:rsidRDefault="006A1D4A" w:rsidP="00B37702">
            <w:pPr>
              <w:spacing w:before="120" w:after="120"/>
              <w:rPr>
                <w:rFonts w:ascii="Tahoma" w:hAnsi="Tahoma" w:cs="Tahoma"/>
                <w:sz w:val="20"/>
                <w:szCs w:val="20"/>
              </w:rPr>
            </w:pPr>
            <w:r w:rsidRPr="00A93BE5">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339819806"/>
              <w:placeholder>
                <w:docPart w:val="7EED68DA96B9478595644BC6ED0DE5E5"/>
              </w:placeholder>
              <w:date w:fullDate="2024-02-29T00:00:00Z">
                <w:dateFormat w:val="dd/MM/yyyy"/>
                <w:lid w:val="fr-FR"/>
                <w:storeMappedDataAs w:val="dateTime"/>
                <w:calendar w:val="gregorian"/>
              </w:date>
            </w:sdtPr>
            <w:sdtEndPr>
              <w:rPr>
                <w:rStyle w:val="Heading1Char"/>
              </w:rPr>
            </w:sdtEndPr>
            <w:sdtContent>
              <w:p w14:paraId="250F31DA" w14:textId="51CCA357" w:rsidR="006A1D4A" w:rsidRPr="0055590D" w:rsidRDefault="006F028E" w:rsidP="00B37702">
                <w:pPr>
                  <w:spacing w:before="120" w:after="120"/>
                  <w:rPr>
                    <w:rStyle w:val="Style71"/>
                    <w:rFonts w:ascii="Tahoma" w:hAnsi="Tahoma" w:cs="Tahoma"/>
                    <w:b/>
                    <w:bCs/>
                  </w:rPr>
                </w:pPr>
                <w:r>
                  <w:rPr>
                    <w:rStyle w:val="Heading1Char"/>
                    <w:rFonts w:ascii="Tahoma" w:hAnsi="Tahoma" w:cs="Tahoma"/>
                    <w:b w:val="0"/>
                    <w:bCs w:val="0"/>
                    <w:sz w:val="20"/>
                    <w:szCs w:val="20"/>
                    <w:lang w:val="fr-FR"/>
                  </w:rPr>
                  <w:t>29/02/2024</w:t>
                </w:r>
              </w:p>
            </w:sdtContent>
          </w:sdt>
        </w:tc>
      </w:tr>
    </w:tbl>
    <w:p w14:paraId="1B4A96A0" w14:textId="77777777" w:rsidR="006A1D4A" w:rsidRPr="00026E8A" w:rsidRDefault="006A1D4A" w:rsidP="006A1D4A">
      <w:pPr>
        <w:pBdr>
          <w:bottom w:val="single" w:sz="2" w:space="0" w:color="808080" w:themeColor="background1" w:themeShade="80"/>
        </w:pBdr>
        <w:rPr>
          <w:rFonts w:ascii="Tahoma" w:hAnsi="Tahoma" w:cs="Tahoma"/>
          <w:b/>
          <w:highlight w:val="cyan"/>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Declare that neither I, nor the Provider I represent, are in any of the situations listed in the exclusion criteria as reproduced in the Tender File;</w:t>
      </w:r>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8AD2E97" w14:textId="1DCE2063" w:rsidR="00C92B98" w:rsidRPr="004E6E54"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w:t>
      </w:r>
      <w:r w:rsidR="00DB3002" w:rsidRPr="004E6E54">
        <w:rPr>
          <w:rFonts w:ascii="Tahoma" w:hAnsi="Tahoma" w:cs="Tahoma"/>
          <w:sz w:val="20"/>
          <w:szCs w:val="20"/>
        </w:rPr>
        <w:t>am not a retired Council of Europe staff member or a Council of Europe staff member having benefitted from an early departure scheme;</w:t>
      </w:r>
    </w:p>
    <w:p w14:paraId="3B315FA5" w14:textId="5848ED6D" w:rsidR="00825DA6" w:rsidRPr="004E6E54" w:rsidRDefault="00825DA6" w:rsidP="00825DA6">
      <w:pPr>
        <w:numPr>
          <w:ilvl w:val="0"/>
          <w:numId w:val="2"/>
        </w:numPr>
        <w:tabs>
          <w:tab w:val="left" w:pos="284"/>
        </w:tabs>
        <w:ind w:left="284" w:right="283" w:hanging="284"/>
        <w:jc w:val="both"/>
        <w:rPr>
          <w:rFonts w:ascii="Tahoma" w:hAnsi="Tahoma" w:cs="Tahoma"/>
          <w:sz w:val="20"/>
          <w:szCs w:val="20"/>
        </w:rPr>
      </w:pPr>
      <w:r w:rsidRPr="004E6E54">
        <w:rPr>
          <w:rFonts w:ascii="Tahoma" w:hAnsi="Tahoma" w:cs="Tahoma"/>
          <w:sz w:val="20"/>
          <w:szCs w:val="20"/>
          <w:lang w:val="en-US"/>
        </w:rPr>
        <w:t>Declare that, in the previous three years, neither I, nor the Provider I represent, ha</w:t>
      </w:r>
      <w:r w:rsidR="00905782" w:rsidRPr="004E6E54">
        <w:rPr>
          <w:rFonts w:ascii="Tahoma" w:hAnsi="Tahoma" w:cs="Tahoma"/>
          <w:sz w:val="20"/>
          <w:szCs w:val="20"/>
          <w:lang w:val="en-US"/>
        </w:rPr>
        <w:t>ve</w:t>
      </w:r>
      <w:r w:rsidRPr="004E6E54">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4E6E54" w:rsidRDefault="003215FC" w:rsidP="00311C90">
      <w:pPr>
        <w:numPr>
          <w:ilvl w:val="0"/>
          <w:numId w:val="2"/>
        </w:numPr>
        <w:tabs>
          <w:tab w:val="left" w:pos="284"/>
        </w:tabs>
        <w:ind w:left="284" w:right="283" w:hanging="284"/>
        <w:jc w:val="both"/>
        <w:rPr>
          <w:rFonts w:ascii="Tahoma" w:hAnsi="Tahoma" w:cs="Tahoma"/>
          <w:color w:val="000000"/>
          <w:sz w:val="20"/>
          <w:szCs w:val="20"/>
        </w:rPr>
      </w:pPr>
      <w:r w:rsidRPr="004E6E54">
        <w:rPr>
          <w:rFonts w:ascii="Tahoma" w:hAnsi="Tahoma" w:cs="Tahoma"/>
          <w:color w:val="000000"/>
          <w:sz w:val="20"/>
          <w:szCs w:val="20"/>
        </w:rPr>
        <w:t>D</w:t>
      </w:r>
      <w:r w:rsidR="003A0F5F" w:rsidRPr="004E6E54">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4E6E54">
        <w:rPr>
          <w:rFonts w:ascii="Tahoma" w:hAnsi="Tahoma" w:cs="Tahoma"/>
          <w:sz w:val="20"/>
          <w:szCs w:val="20"/>
        </w:rPr>
        <w:t>U</w:t>
      </w:r>
      <w:r w:rsidR="003A0F5F" w:rsidRPr="004E6E54">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w:t>
      </w:r>
      <w:r w:rsidR="003A0F5F" w:rsidRPr="00D0286A">
        <w:rPr>
          <w:rFonts w:ascii="Tahoma" w:hAnsi="Tahoma" w:cs="Tahoma"/>
          <w:sz w:val="20"/>
          <w:szCs w:val="20"/>
        </w:rPr>
        <w:t>,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5997"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4CFB6D43" w:rsidR="003A0F5F" w:rsidRPr="00D0286A" w:rsidRDefault="00F54073" w:rsidP="003A0F5F">
            <w:pPr>
              <w:rPr>
                <w:rFonts w:ascii="Tahoma" w:hAnsi="Tahoma" w:cs="Tahoma"/>
                <w:sz w:val="20"/>
                <w:szCs w:val="20"/>
              </w:rPr>
            </w:pPr>
            <w:r>
              <w:rPr>
                <w:rFonts w:ascii="Tahoma" w:hAnsi="Tahoma" w:cs="Tahoma"/>
                <w:sz w:val="20"/>
                <w:szCs w:val="20"/>
              </w:rPr>
              <w:t xml:space="preserve">Petr Sich, </w:t>
            </w:r>
            <w:r w:rsidR="003F08E5">
              <w:rPr>
                <w:rFonts w:ascii="Tahoma" w:hAnsi="Tahoma" w:cs="Tahoma"/>
                <w:sz w:val="20"/>
                <w:szCs w:val="20"/>
              </w:rPr>
              <w:t xml:space="preserve">Head of the Council of Europe Office in Baku </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50568CB3" w:rsidR="003A0F5F" w:rsidRPr="00D0286A" w:rsidRDefault="00DD4C16" w:rsidP="003A0F5F">
            <w:pPr>
              <w:rPr>
                <w:rFonts w:ascii="Tahoma" w:hAnsi="Tahoma" w:cs="Tahoma"/>
                <w:sz w:val="20"/>
                <w:szCs w:val="20"/>
              </w:rPr>
            </w:pPr>
            <w:r w:rsidRPr="00D0286A">
              <w:rPr>
                <w:rFonts w:ascii="Tahoma" w:hAnsi="Tahoma" w:cs="Tahoma"/>
                <w:sz w:val="20"/>
                <w:szCs w:val="20"/>
              </w:rPr>
              <w:t>In</w:t>
            </w:r>
            <w:r w:rsidR="003734B4">
              <w:rPr>
                <w:rFonts w:ascii="Tahoma" w:hAnsi="Tahoma" w:cs="Tahoma"/>
                <w:sz w:val="20"/>
                <w:szCs w:val="20"/>
              </w:rPr>
              <w:t xml:space="preserve"> Baku</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9"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3"/>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3BE6" w14:textId="77777777" w:rsidR="002E518B" w:rsidRDefault="002E518B" w:rsidP="00D50F13">
      <w:r>
        <w:separator/>
      </w:r>
    </w:p>
  </w:endnote>
  <w:endnote w:type="continuationSeparator" w:id="0">
    <w:p w14:paraId="719C7FAC" w14:textId="77777777" w:rsidR="002E518B" w:rsidRDefault="002E518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8E6ECF5" w:rsidR="00E320C9" w:rsidRPr="00AE2D2B" w:rsidRDefault="005902FA" w:rsidP="004965C8">
          <w:pPr>
            <w:rPr>
              <w:rFonts w:ascii="Arial Narrow" w:hAnsi="Arial Narrow"/>
              <w:caps/>
              <w:color w:val="000000"/>
              <w:sz w:val="18"/>
              <w:szCs w:val="18"/>
              <w:highlight w:val="cyan"/>
            </w:rPr>
          </w:pPr>
          <w:r w:rsidRPr="005902FA">
            <w:rPr>
              <w:rFonts w:ascii="Arial Narrow" w:hAnsi="Arial Narrow"/>
              <w:caps/>
              <w:color w:val="000000"/>
              <w:sz w:val="18"/>
              <w:szCs w:val="18"/>
            </w:rPr>
            <w:t>12/2022/0</w:t>
          </w:r>
          <w:r w:rsidR="00974361">
            <w:rPr>
              <w:rFonts w:ascii="Arial Narrow" w:hAnsi="Arial Narrow"/>
              <w:caps/>
              <w:color w:val="000000"/>
              <w:sz w:val="18"/>
              <w:szCs w:val="18"/>
            </w:rPr>
            <w:t>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E14D" w14:textId="77777777" w:rsidR="002E518B" w:rsidRDefault="002E518B" w:rsidP="00D50F13">
      <w:r>
        <w:separator/>
      </w:r>
    </w:p>
  </w:footnote>
  <w:footnote w:type="continuationSeparator" w:id="0">
    <w:p w14:paraId="09035CDE" w14:textId="77777777" w:rsidR="002E518B" w:rsidRDefault="002E518B"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1D1"/>
    <w:multiLevelType w:val="hybridMultilevel"/>
    <w:tmpl w:val="DA06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C233F"/>
    <w:multiLevelType w:val="hybridMultilevel"/>
    <w:tmpl w:val="DA1E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37"/>
  </w:num>
  <w:num w:numId="3">
    <w:abstractNumId w:val="3"/>
  </w:num>
  <w:num w:numId="4">
    <w:abstractNumId w:val="2"/>
  </w:num>
  <w:num w:numId="5">
    <w:abstractNumId w:val="18"/>
  </w:num>
  <w:num w:numId="6">
    <w:abstractNumId w:val="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0"/>
  </w:num>
  <w:num w:numId="10">
    <w:abstractNumId w:val="13"/>
  </w:num>
  <w:num w:numId="11">
    <w:abstractNumId w:val="7"/>
  </w:num>
  <w:num w:numId="12">
    <w:abstractNumId w:val="31"/>
  </w:num>
  <w:num w:numId="13">
    <w:abstractNumId w:val="1"/>
  </w:num>
  <w:num w:numId="14">
    <w:abstractNumId w:val="16"/>
  </w:num>
  <w:num w:numId="15">
    <w:abstractNumId w:val="23"/>
  </w:num>
  <w:num w:numId="16">
    <w:abstractNumId w:val="35"/>
  </w:num>
  <w:num w:numId="17">
    <w:abstractNumId w:val="10"/>
  </w:num>
  <w:num w:numId="18">
    <w:abstractNumId w:val="34"/>
  </w:num>
  <w:num w:numId="19">
    <w:abstractNumId w:val="26"/>
  </w:num>
  <w:num w:numId="20">
    <w:abstractNumId w:val="20"/>
  </w:num>
  <w:num w:numId="21">
    <w:abstractNumId w:val="17"/>
  </w:num>
  <w:num w:numId="22">
    <w:abstractNumId w:val="6"/>
  </w:num>
  <w:num w:numId="23">
    <w:abstractNumId w:val="15"/>
  </w:num>
  <w:num w:numId="24">
    <w:abstractNumId w:val="11"/>
  </w:num>
  <w:num w:numId="25">
    <w:abstractNumId w:val="8"/>
  </w:num>
  <w:num w:numId="26">
    <w:abstractNumId w:val="33"/>
  </w:num>
  <w:num w:numId="27">
    <w:abstractNumId w:val="27"/>
  </w:num>
  <w:num w:numId="28">
    <w:abstractNumId w:val="28"/>
  </w:num>
  <w:num w:numId="29">
    <w:abstractNumId w:val="4"/>
  </w:num>
  <w:num w:numId="30">
    <w:abstractNumId w:val="29"/>
  </w:num>
  <w:num w:numId="31">
    <w:abstractNumId w:val="25"/>
  </w:num>
  <w:num w:numId="32">
    <w:abstractNumId w:val="21"/>
  </w:num>
  <w:num w:numId="33">
    <w:abstractNumId w:val="24"/>
  </w:num>
  <w:num w:numId="34">
    <w:abstractNumId w:val="9"/>
  </w:num>
  <w:num w:numId="35">
    <w:abstractNumId w:val="38"/>
  </w:num>
  <w:num w:numId="36">
    <w:abstractNumId w:val="12"/>
  </w:num>
  <w:num w:numId="37">
    <w:abstractNumId w:val="14"/>
  </w:num>
  <w:num w:numId="38">
    <w:abstractNumId w:val="32"/>
  </w:num>
  <w:num w:numId="3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3C3D"/>
    <w:rsid w:val="00044886"/>
    <w:rsid w:val="000478B8"/>
    <w:rsid w:val="00051901"/>
    <w:rsid w:val="00054E5E"/>
    <w:rsid w:val="0007017A"/>
    <w:rsid w:val="00072FB8"/>
    <w:rsid w:val="00075E56"/>
    <w:rsid w:val="0008106F"/>
    <w:rsid w:val="000837E6"/>
    <w:rsid w:val="000841B9"/>
    <w:rsid w:val="00084509"/>
    <w:rsid w:val="000852FE"/>
    <w:rsid w:val="00093155"/>
    <w:rsid w:val="000966F4"/>
    <w:rsid w:val="000A0D8A"/>
    <w:rsid w:val="000A19C2"/>
    <w:rsid w:val="000A508A"/>
    <w:rsid w:val="000B2584"/>
    <w:rsid w:val="000B26A2"/>
    <w:rsid w:val="000B4274"/>
    <w:rsid w:val="000C2A8A"/>
    <w:rsid w:val="000C4D6D"/>
    <w:rsid w:val="000D3674"/>
    <w:rsid w:val="000D62CF"/>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43937"/>
    <w:rsid w:val="00150C0F"/>
    <w:rsid w:val="00155FA3"/>
    <w:rsid w:val="00160002"/>
    <w:rsid w:val="0016172B"/>
    <w:rsid w:val="00162598"/>
    <w:rsid w:val="00166C98"/>
    <w:rsid w:val="00183E4D"/>
    <w:rsid w:val="0019283C"/>
    <w:rsid w:val="001A09C0"/>
    <w:rsid w:val="001A207E"/>
    <w:rsid w:val="001A28AE"/>
    <w:rsid w:val="001A5371"/>
    <w:rsid w:val="001B0127"/>
    <w:rsid w:val="001B138A"/>
    <w:rsid w:val="001B57B6"/>
    <w:rsid w:val="001C4BA2"/>
    <w:rsid w:val="001C5538"/>
    <w:rsid w:val="001C6878"/>
    <w:rsid w:val="001D40AD"/>
    <w:rsid w:val="001D5926"/>
    <w:rsid w:val="001D5CF8"/>
    <w:rsid w:val="001E5424"/>
    <w:rsid w:val="001F5A87"/>
    <w:rsid w:val="002019A5"/>
    <w:rsid w:val="002111B3"/>
    <w:rsid w:val="00211D01"/>
    <w:rsid w:val="002133FA"/>
    <w:rsid w:val="00213A16"/>
    <w:rsid w:val="00224129"/>
    <w:rsid w:val="00225B0D"/>
    <w:rsid w:val="002336A0"/>
    <w:rsid w:val="0023513D"/>
    <w:rsid w:val="002470B9"/>
    <w:rsid w:val="00251355"/>
    <w:rsid w:val="00252393"/>
    <w:rsid w:val="0026665C"/>
    <w:rsid w:val="00273D5B"/>
    <w:rsid w:val="002818A7"/>
    <w:rsid w:val="00290EAC"/>
    <w:rsid w:val="00293CBB"/>
    <w:rsid w:val="00294937"/>
    <w:rsid w:val="002A2C42"/>
    <w:rsid w:val="002A56A1"/>
    <w:rsid w:val="002B4786"/>
    <w:rsid w:val="002C6F98"/>
    <w:rsid w:val="002D5425"/>
    <w:rsid w:val="002D5DC0"/>
    <w:rsid w:val="002E518B"/>
    <w:rsid w:val="002E5606"/>
    <w:rsid w:val="00300098"/>
    <w:rsid w:val="00310245"/>
    <w:rsid w:val="00311C90"/>
    <w:rsid w:val="00320711"/>
    <w:rsid w:val="003215FC"/>
    <w:rsid w:val="00325D17"/>
    <w:rsid w:val="00332AF4"/>
    <w:rsid w:val="00332B1E"/>
    <w:rsid w:val="003347E8"/>
    <w:rsid w:val="00341F85"/>
    <w:rsid w:val="00342EB3"/>
    <w:rsid w:val="0034681E"/>
    <w:rsid w:val="00350F4E"/>
    <w:rsid w:val="0035108E"/>
    <w:rsid w:val="00361219"/>
    <w:rsid w:val="003705A6"/>
    <w:rsid w:val="003712F2"/>
    <w:rsid w:val="00371509"/>
    <w:rsid w:val="00371F0B"/>
    <w:rsid w:val="003734B4"/>
    <w:rsid w:val="003840F5"/>
    <w:rsid w:val="00386026"/>
    <w:rsid w:val="0039258A"/>
    <w:rsid w:val="00393451"/>
    <w:rsid w:val="00393749"/>
    <w:rsid w:val="00394B2C"/>
    <w:rsid w:val="00395336"/>
    <w:rsid w:val="003A0F5F"/>
    <w:rsid w:val="003B0B5F"/>
    <w:rsid w:val="003B1C2E"/>
    <w:rsid w:val="003B2E7E"/>
    <w:rsid w:val="003B43F7"/>
    <w:rsid w:val="003C1D13"/>
    <w:rsid w:val="003D3830"/>
    <w:rsid w:val="003E2D84"/>
    <w:rsid w:val="003E693C"/>
    <w:rsid w:val="003E6D30"/>
    <w:rsid w:val="003F08E5"/>
    <w:rsid w:val="003F1218"/>
    <w:rsid w:val="003F2595"/>
    <w:rsid w:val="003F5956"/>
    <w:rsid w:val="003F7D5B"/>
    <w:rsid w:val="00402529"/>
    <w:rsid w:val="0040252E"/>
    <w:rsid w:val="004070EE"/>
    <w:rsid w:val="004121E2"/>
    <w:rsid w:val="00415503"/>
    <w:rsid w:val="00420E9A"/>
    <w:rsid w:val="00432F42"/>
    <w:rsid w:val="00437926"/>
    <w:rsid w:val="00441D52"/>
    <w:rsid w:val="00443A65"/>
    <w:rsid w:val="004470B4"/>
    <w:rsid w:val="004553C9"/>
    <w:rsid w:val="00456407"/>
    <w:rsid w:val="00456D5C"/>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2BD6"/>
    <w:rsid w:val="004B302C"/>
    <w:rsid w:val="004B3F9D"/>
    <w:rsid w:val="004C3551"/>
    <w:rsid w:val="004C6F59"/>
    <w:rsid w:val="004D084E"/>
    <w:rsid w:val="004E044B"/>
    <w:rsid w:val="004E1F03"/>
    <w:rsid w:val="004E67E1"/>
    <w:rsid w:val="004E6E54"/>
    <w:rsid w:val="004E796F"/>
    <w:rsid w:val="004E7A45"/>
    <w:rsid w:val="004E7D01"/>
    <w:rsid w:val="004F2CFB"/>
    <w:rsid w:val="004F613A"/>
    <w:rsid w:val="004F71A4"/>
    <w:rsid w:val="00523268"/>
    <w:rsid w:val="00527592"/>
    <w:rsid w:val="0053377B"/>
    <w:rsid w:val="00542FEE"/>
    <w:rsid w:val="00550849"/>
    <w:rsid w:val="00554E65"/>
    <w:rsid w:val="0055590D"/>
    <w:rsid w:val="00566A81"/>
    <w:rsid w:val="00567F3E"/>
    <w:rsid w:val="005845C2"/>
    <w:rsid w:val="005902FA"/>
    <w:rsid w:val="0059166D"/>
    <w:rsid w:val="00594413"/>
    <w:rsid w:val="00596613"/>
    <w:rsid w:val="005A6974"/>
    <w:rsid w:val="005B0752"/>
    <w:rsid w:val="005B732C"/>
    <w:rsid w:val="005C5D6E"/>
    <w:rsid w:val="005D68B5"/>
    <w:rsid w:val="005E2710"/>
    <w:rsid w:val="005E5511"/>
    <w:rsid w:val="005E6780"/>
    <w:rsid w:val="005F65E7"/>
    <w:rsid w:val="005F7211"/>
    <w:rsid w:val="005F7249"/>
    <w:rsid w:val="00602C82"/>
    <w:rsid w:val="00611175"/>
    <w:rsid w:val="00613313"/>
    <w:rsid w:val="006232B4"/>
    <w:rsid w:val="00630B61"/>
    <w:rsid w:val="00631386"/>
    <w:rsid w:val="00631B78"/>
    <w:rsid w:val="00640FFB"/>
    <w:rsid w:val="006426F7"/>
    <w:rsid w:val="00642825"/>
    <w:rsid w:val="00647C28"/>
    <w:rsid w:val="00650573"/>
    <w:rsid w:val="00653BB6"/>
    <w:rsid w:val="006558F9"/>
    <w:rsid w:val="00660256"/>
    <w:rsid w:val="00662182"/>
    <w:rsid w:val="00662FF0"/>
    <w:rsid w:val="006717A7"/>
    <w:rsid w:val="0067529C"/>
    <w:rsid w:val="006771B6"/>
    <w:rsid w:val="00680325"/>
    <w:rsid w:val="00687D63"/>
    <w:rsid w:val="006912CB"/>
    <w:rsid w:val="006A1D4A"/>
    <w:rsid w:val="006A43E4"/>
    <w:rsid w:val="006A4D84"/>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28E"/>
    <w:rsid w:val="006F040B"/>
    <w:rsid w:val="00711683"/>
    <w:rsid w:val="00712D43"/>
    <w:rsid w:val="00714D53"/>
    <w:rsid w:val="007165D2"/>
    <w:rsid w:val="00717259"/>
    <w:rsid w:val="0072200B"/>
    <w:rsid w:val="007332D8"/>
    <w:rsid w:val="00743F00"/>
    <w:rsid w:val="00746B75"/>
    <w:rsid w:val="00747ADB"/>
    <w:rsid w:val="00751959"/>
    <w:rsid w:val="007556CC"/>
    <w:rsid w:val="007573B9"/>
    <w:rsid w:val="00757D79"/>
    <w:rsid w:val="00762290"/>
    <w:rsid w:val="00762726"/>
    <w:rsid w:val="00764810"/>
    <w:rsid w:val="00766341"/>
    <w:rsid w:val="00766990"/>
    <w:rsid w:val="00766CF1"/>
    <w:rsid w:val="00773F2B"/>
    <w:rsid w:val="007771F8"/>
    <w:rsid w:val="007860E1"/>
    <w:rsid w:val="007867C0"/>
    <w:rsid w:val="0079040A"/>
    <w:rsid w:val="007918E6"/>
    <w:rsid w:val="00791E04"/>
    <w:rsid w:val="00792B49"/>
    <w:rsid w:val="007935F8"/>
    <w:rsid w:val="007960C5"/>
    <w:rsid w:val="007A1FC9"/>
    <w:rsid w:val="007A3AD2"/>
    <w:rsid w:val="007B0925"/>
    <w:rsid w:val="007C267B"/>
    <w:rsid w:val="007C4BED"/>
    <w:rsid w:val="007D46B2"/>
    <w:rsid w:val="007D5A74"/>
    <w:rsid w:val="007E2621"/>
    <w:rsid w:val="007E335A"/>
    <w:rsid w:val="007F2E71"/>
    <w:rsid w:val="007F79F8"/>
    <w:rsid w:val="00802B3F"/>
    <w:rsid w:val="00806CD2"/>
    <w:rsid w:val="00810D55"/>
    <w:rsid w:val="00812B47"/>
    <w:rsid w:val="00812FBB"/>
    <w:rsid w:val="00821937"/>
    <w:rsid w:val="0082549E"/>
    <w:rsid w:val="00825DA6"/>
    <w:rsid w:val="00826BA5"/>
    <w:rsid w:val="00826C49"/>
    <w:rsid w:val="0083377F"/>
    <w:rsid w:val="00834455"/>
    <w:rsid w:val="00840C1E"/>
    <w:rsid w:val="00847F47"/>
    <w:rsid w:val="00851230"/>
    <w:rsid w:val="00856AE8"/>
    <w:rsid w:val="0085784E"/>
    <w:rsid w:val="00860FEB"/>
    <w:rsid w:val="008628C7"/>
    <w:rsid w:val="008679FA"/>
    <w:rsid w:val="008713A9"/>
    <w:rsid w:val="00873161"/>
    <w:rsid w:val="00873212"/>
    <w:rsid w:val="00883C2D"/>
    <w:rsid w:val="00884150"/>
    <w:rsid w:val="008871ED"/>
    <w:rsid w:val="00887B2A"/>
    <w:rsid w:val="00890F8A"/>
    <w:rsid w:val="00892D73"/>
    <w:rsid w:val="008A486B"/>
    <w:rsid w:val="008B3EEE"/>
    <w:rsid w:val="008B6FDD"/>
    <w:rsid w:val="008C0AFB"/>
    <w:rsid w:val="008C754F"/>
    <w:rsid w:val="008D0D34"/>
    <w:rsid w:val="008D113B"/>
    <w:rsid w:val="008D3220"/>
    <w:rsid w:val="008E3228"/>
    <w:rsid w:val="008F1C9A"/>
    <w:rsid w:val="008F2664"/>
    <w:rsid w:val="008F2DBD"/>
    <w:rsid w:val="008F3844"/>
    <w:rsid w:val="008F3D21"/>
    <w:rsid w:val="00901C1A"/>
    <w:rsid w:val="00904B93"/>
    <w:rsid w:val="00905782"/>
    <w:rsid w:val="009058FD"/>
    <w:rsid w:val="00906E71"/>
    <w:rsid w:val="009117D6"/>
    <w:rsid w:val="009214B5"/>
    <w:rsid w:val="0093185B"/>
    <w:rsid w:val="00932E61"/>
    <w:rsid w:val="0095095F"/>
    <w:rsid w:val="00956F45"/>
    <w:rsid w:val="0097037F"/>
    <w:rsid w:val="00973EF1"/>
    <w:rsid w:val="00974361"/>
    <w:rsid w:val="0098229E"/>
    <w:rsid w:val="00982E85"/>
    <w:rsid w:val="00987B83"/>
    <w:rsid w:val="00990987"/>
    <w:rsid w:val="0099327E"/>
    <w:rsid w:val="009A100B"/>
    <w:rsid w:val="009A5B27"/>
    <w:rsid w:val="009B76BE"/>
    <w:rsid w:val="009C258F"/>
    <w:rsid w:val="009D290D"/>
    <w:rsid w:val="009E0C9B"/>
    <w:rsid w:val="009E4346"/>
    <w:rsid w:val="009E55DF"/>
    <w:rsid w:val="009F32D6"/>
    <w:rsid w:val="009F49A6"/>
    <w:rsid w:val="009F59AC"/>
    <w:rsid w:val="009F6493"/>
    <w:rsid w:val="00A00374"/>
    <w:rsid w:val="00A0055B"/>
    <w:rsid w:val="00A015BB"/>
    <w:rsid w:val="00A01BC9"/>
    <w:rsid w:val="00A06007"/>
    <w:rsid w:val="00A0651D"/>
    <w:rsid w:val="00A12241"/>
    <w:rsid w:val="00A30FC9"/>
    <w:rsid w:val="00A34538"/>
    <w:rsid w:val="00A40899"/>
    <w:rsid w:val="00A45B35"/>
    <w:rsid w:val="00A51EDA"/>
    <w:rsid w:val="00A53368"/>
    <w:rsid w:val="00A535BA"/>
    <w:rsid w:val="00A53A4C"/>
    <w:rsid w:val="00A53BF2"/>
    <w:rsid w:val="00A56E78"/>
    <w:rsid w:val="00A65785"/>
    <w:rsid w:val="00A675CC"/>
    <w:rsid w:val="00A707AA"/>
    <w:rsid w:val="00A77DE0"/>
    <w:rsid w:val="00A8461F"/>
    <w:rsid w:val="00A85379"/>
    <w:rsid w:val="00A8672C"/>
    <w:rsid w:val="00A86F36"/>
    <w:rsid w:val="00A93BE5"/>
    <w:rsid w:val="00A96A37"/>
    <w:rsid w:val="00AA1957"/>
    <w:rsid w:val="00AA7B01"/>
    <w:rsid w:val="00AB03AB"/>
    <w:rsid w:val="00AB13EF"/>
    <w:rsid w:val="00AB1B8D"/>
    <w:rsid w:val="00AD33C7"/>
    <w:rsid w:val="00AD423A"/>
    <w:rsid w:val="00AD5E4A"/>
    <w:rsid w:val="00AD77F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036A"/>
    <w:rsid w:val="00B4255E"/>
    <w:rsid w:val="00B43A63"/>
    <w:rsid w:val="00B441EB"/>
    <w:rsid w:val="00B50164"/>
    <w:rsid w:val="00B51E46"/>
    <w:rsid w:val="00B53E3D"/>
    <w:rsid w:val="00B5712C"/>
    <w:rsid w:val="00B608D4"/>
    <w:rsid w:val="00B60F30"/>
    <w:rsid w:val="00B653B9"/>
    <w:rsid w:val="00B72357"/>
    <w:rsid w:val="00B74DC5"/>
    <w:rsid w:val="00B80187"/>
    <w:rsid w:val="00B92256"/>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35D2"/>
    <w:rsid w:val="00C674A5"/>
    <w:rsid w:val="00C70E44"/>
    <w:rsid w:val="00C73C2F"/>
    <w:rsid w:val="00C7643B"/>
    <w:rsid w:val="00C8260C"/>
    <w:rsid w:val="00C840FE"/>
    <w:rsid w:val="00CA4416"/>
    <w:rsid w:val="00CA6E6F"/>
    <w:rsid w:val="00CB6DE9"/>
    <w:rsid w:val="00CD061B"/>
    <w:rsid w:val="00CE0F61"/>
    <w:rsid w:val="00CE3F45"/>
    <w:rsid w:val="00CE4E5E"/>
    <w:rsid w:val="00CE58F8"/>
    <w:rsid w:val="00CF333A"/>
    <w:rsid w:val="00CF59FB"/>
    <w:rsid w:val="00D0286A"/>
    <w:rsid w:val="00D04381"/>
    <w:rsid w:val="00D10FC0"/>
    <w:rsid w:val="00D11491"/>
    <w:rsid w:val="00D121FC"/>
    <w:rsid w:val="00D135C6"/>
    <w:rsid w:val="00D14044"/>
    <w:rsid w:val="00D21549"/>
    <w:rsid w:val="00D225E4"/>
    <w:rsid w:val="00D25795"/>
    <w:rsid w:val="00D322CA"/>
    <w:rsid w:val="00D33266"/>
    <w:rsid w:val="00D338C6"/>
    <w:rsid w:val="00D34C9B"/>
    <w:rsid w:val="00D417C2"/>
    <w:rsid w:val="00D44009"/>
    <w:rsid w:val="00D47F70"/>
    <w:rsid w:val="00D50229"/>
    <w:rsid w:val="00D50F13"/>
    <w:rsid w:val="00D51502"/>
    <w:rsid w:val="00D51A94"/>
    <w:rsid w:val="00D52157"/>
    <w:rsid w:val="00D5261C"/>
    <w:rsid w:val="00D5513E"/>
    <w:rsid w:val="00D6387E"/>
    <w:rsid w:val="00D63DAA"/>
    <w:rsid w:val="00D70688"/>
    <w:rsid w:val="00D73100"/>
    <w:rsid w:val="00D73D5B"/>
    <w:rsid w:val="00D75EED"/>
    <w:rsid w:val="00D777C0"/>
    <w:rsid w:val="00D90F8E"/>
    <w:rsid w:val="00D965FE"/>
    <w:rsid w:val="00D96B4A"/>
    <w:rsid w:val="00DA71B2"/>
    <w:rsid w:val="00DB3002"/>
    <w:rsid w:val="00DC3F97"/>
    <w:rsid w:val="00DC408A"/>
    <w:rsid w:val="00DD3D8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1EDB"/>
    <w:rsid w:val="00E320C9"/>
    <w:rsid w:val="00E36E93"/>
    <w:rsid w:val="00E41727"/>
    <w:rsid w:val="00E44537"/>
    <w:rsid w:val="00E56FDA"/>
    <w:rsid w:val="00E57189"/>
    <w:rsid w:val="00E600F6"/>
    <w:rsid w:val="00E774F8"/>
    <w:rsid w:val="00E81D73"/>
    <w:rsid w:val="00E8416F"/>
    <w:rsid w:val="00E90DC4"/>
    <w:rsid w:val="00E9309D"/>
    <w:rsid w:val="00E94437"/>
    <w:rsid w:val="00EA1DE2"/>
    <w:rsid w:val="00EA472D"/>
    <w:rsid w:val="00EB550D"/>
    <w:rsid w:val="00EB6C90"/>
    <w:rsid w:val="00EC08A1"/>
    <w:rsid w:val="00EE1D09"/>
    <w:rsid w:val="00EE5970"/>
    <w:rsid w:val="00EE7240"/>
    <w:rsid w:val="00EE7487"/>
    <w:rsid w:val="00EF66B8"/>
    <w:rsid w:val="00F032E5"/>
    <w:rsid w:val="00F069C5"/>
    <w:rsid w:val="00F130D7"/>
    <w:rsid w:val="00F17C76"/>
    <w:rsid w:val="00F21315"/>
    <w:rsid w:val="00F25459"/>
    <w:rsid w:val="00F26952"/>
    <w:rsid w:val="00F270C4"/>
    <w:rsid w:val="00F30E47"/>
    <w:rsid w:val="00F407B0"/>
    <w:rsid w:val="00F4478E"/>
    <w:rsid w:val="00F45817"/>
    <w:rsid w:val="00F47865"/>
    <w:rsid w:val="00F520F1"/>
    <w:rsid w:val="00F54073"/>
    <w:rsid w:val="00F56296"/>
    <w:rsid w:val="00F56682"/>
    <w:rsid w:val="00F57BB6"/>
    <w:rsid w:val="00F57EC4"/>
    <w:rsid w:val="00F6665F"/>
    <w:rsid w:val="00F7467D"/>
    <w:rsid w:val="00F75021"/>
    <w:rsid w:val="00F75E68"/>
    <w:rsid w:val="00F77E7D"/>
    <w:rsid w:val="00F84B26"/>
    <w:rsid w:val="00F963E8"/>
    <w:rsid w:val="00FA7021"/>
    <w:rsid w:val="00FA70E6"/>
    <w:rsid w:val="00FB168A"/>
    <w:rsid w:val="00FC453F"/>
    <w:rsid w:val="00FC72C5"/>
    <w:rsid w:val="00FC7A03"/>
    <w:rsid w:val="00FC7E0E"/>
    <w:rsid w:val="00FD4486"/>
    <w:rsid w:val="00FE1164"/>
    <w:rsid w:val="00FE4C32"/>
    <w:rsid w:val="00FE4FEF"/>
    <w:rsid w:val="00FF2F8C"/>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Recommendation,Colorful List - Accent 11,List Paragraph2,Dot pt,F5 List Paragraph,List Paragraph1,List Paragraph Char Char Char,Indicator Text,Numbered Para 1,Bullet 1,Bullet Points,MAIN CONTENT,Normal numbered,Issue Action POC,3"/>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AD77FA"/>
    <w:rPr>
      <w:color w:val="800080" w:themeColor="followedHyperlink"/>
      <w:u w:val="single"/>
    </w:rPr>
  </w:style>
  <w:style w:type="character" w:customStyle="1" w:styleId="ListParagraphChar">
    <w:name w:val="List Paragraph Char"/>
    <w:aliases w:val="Recommendation Char,Colorful List - Accent 11 Char,List Paragraph2 Char,Dot pt Char,F5 List Paragraph Char,List Paragraph1 Char,List Paragraph Char Char Char Char,Indicator Text Char,Numbered Para 1 Char,Bullet 1 Char,3 Char"/>
    <w:basedOn w:val="DefaultParagraphFont"/>
    <w:link w:val="ListParagraph"/>
    <w:uiPriority w:val="34"/>
    <w:rsid w:val="00834455"/>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4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eldbaku@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9787AAA7F5D146ABB5DB16CF6D86F1D6"/>
        <w:category>
          <w:name w:val="General"/>
          <w:gallery w:val="placeholder"/>
        </w:category>
        <w:types>
          <w:type w:val="bbPlcHdr"/>
        </w:types>
        <w:behaviors>
          <w:behavior w:val="content"/>
        </w:behaviors>
        <w:guid w:val="{FE0D2EA9-E786-46A3-91BB-C2B3CEB27769}"/>
      </w:docPartPr>
      <w:docPartBody>
        <w:p w:rsidR="0093387A" w:rsidRDefault="00B1718D" w:rsidP="00B1718D">
          <w:pPr>
            <w:pStyle w:val="9787AAA7F5D146ABB5DB16CF6D86F1D6"/>
          </w:pPr>
          <w:r w:rsidRPr="00802563">
            <w:rPr>
              <w:rStyle w:val="PlaceholderText"/>
              <w:rFonts w:ascii="Arial Narrow" w:hAnsi="Arial Narrow"/>
              <w:sz w:val="20"/>
              <w:szCs w:val="20"/>
              <w:highlight w:val="cyan"/>
            </w:rPr>
            <w:t>date</w:t>
          </w:r>
        </w:p>
      </w:docPartBody>
    </w:docPart>
    <w:docPart>
      <w:docPartPr>
        <w:name w:val="7EED68DA96B9478595644BC6ED0DE5E5"/>
        <w:category>
          <w:name w:val="General"/>
          <w:gallery w:val="placeholder"/>
        </w:category>
        <w:types>
          <w:type w:val="bbPlcHdr"/>
        </w:types>
        <w:behaviors>
          <w:behavior w:val="content"/>
        </w:behaviors>
        <w:guid w:val="{0AE9526D-D0C4-4DCF-A12F-9C1F86D9D314}"/>
      </w:docPartPr>
      <w:docPartBody>
        <w:p w:rsidR="0093387A" w:rsidRDefault="00B1718D" w:rsidP="00B1718D">
          <w:pPr>
            <w:pStyle w:val="7EED68DA96B9478595644BC6ED0DE5E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13261"/>
    <w:rsid w:val="00164B1D"/>
    <w:rsid w:val="001A48DD"/>
    <w:rsid w:val="004540A1"/>
    <w:rsid w:val="005B591B"/>
    <w:rsid w:val="007A72E0"/>
    <w:rsid w:val="0093387A"/>
    <w:rsid w:val="009C0606"/>
    <w:rsid w:val="00B1718D"/>
    <w:rsid w:val="00B93E95"/>
    <w:rsid w:val="00BC7717"/>
    <w:rsid w:val="00C92072"/>
    <w:rsid w:val="00E1531F"/>
    <w:rsid w:val="00F060E0"/>
    <w:rsid w:val="00F73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718D"/>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9787AAA7F5D146ABB5DB16CF6D86F1D6">
    <w:name w:val="9787AAA7F5D146ABB5DB16CF6D86F1D6"/>
    <w:rsid w:val="00B1718D"/>
  </w:style>
  <w:style w:type="paragraph" w:customStyle="1" w:styleId="7EED68DA96B9478595644BC6ED0DE5E5">
    <w:name w:val="7EED68DA96B9478595644BC6ED0DE5E5"/>
    <w:rsid w:val="00B1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6753</Words>
  <Characters>38495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2022-12-13T06:21:00Z</dcterms:created>
  <dcterms:modified xsi:type="dcterms:W3CDTF">2022-12-13T06:49:00Z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