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0A53D9D1" w:rsidR="00D82C18" w:rsidRPr="00B56791" w:rsidRDefault="00B3608C" w:rsidP="00B40FCA">
      <w:pPr>
        <w:rPr>
          <w:rFonts w:ascii="Verdana" w:hAnsi="Verdana"/>
          <w:b/>
          <w:bCs/>
        </w:rPr>
      </w:pPr>
      <w:r>
        <w:rPr>
          <w:rFonts w:ascii="Verdana" w:hAnsi="Verdana"/>
          <w:b/>
          <w:sz w:val="28"/>
        </w:rPr>
        <w:t xml:space="preserve">Mësimi 1.5 </w:t>
      </w:r>
      <w:r>
        <w:rPr>
          <w:rFonts w:ascii="Verdana" w:hAnsi="Verdana"/>
          <w:b/>
          <w:color w:val="000000" w:themeColor="text1"/>
          <w:sz w:val="28"/>
        </w:rPr>
        <w:t>Metodat joformale të bashkëpunimit ndërkombëtar (versioni online)</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3E7F4B7B" w:rsidR="00D82C18" w:rsidRPr="00773F6C" w:rsidRDefault="00C115FC" w:rsidP="00144D95">
            <w:pPr>
              <w:spacing w:before="120" w:after="120" w:line="260" w:lineRule="atLeast"/>
              <w:rPr>
                <w:rFonts w:ascii="Verdana" w:hAnsi="Verdana"/>
                <w:sz w:val="22"/>
                <w:szCs w:val="22"/>
              </w:rPr>
            </w:pPr>
            <w:r>
              <w:rPr>
                <w:rFonts w:ascii="Verdana" w:hAnsi="Verdana"/>
                <w:sz w:val="22"/>
              </w:rPr>
              <w:t>Mësimi 1.5</w:t>
            </w:r>
            <w:r>
              <w:rPr>
                <w:rFonts w:ascii="Verdana" w:hAnsi="Verdana"/>
                <w:color w:val="000000" w:themeColor="text1"/>
                <w:sz w:val="28"/>
              </w:rPr>
              <w:t xml:space="preserve"> </w:t>
            </w:r>
            <w:r>
              <w:rPr>
                <w:rFonts w:ascii="Verdana" w:hAnsi="Verdana"/>
                <w:color w:val="000000" w:themeColor="text1"/>
                <w:sz w:val="22"/>
              </w:rPr>
              <w:t>Metodat joformale të bashkëpunimit ndërkombëtar (versioni online)</w:t>
            </w:r>
          </w:p>
        </w:tc>
        <w:tc>
          <w:tcPr>
            <w:tcW w:w="2165" w:type="dxa"/>
            <w:shd w:val="clear" w:color="auto" w:fill="DEEAF6" w:themeFill="accent5" w:themeFillTint="33"/>
            <w:vAlign w:val="center"/>
          </w:tcPr>
          <w:p w14:paraId="30B631DA" w14:textId="0BE20C8B" w:rsidR="00D82C18" w:rsidRPr="00D82C18" w:rsidRDefault="00D82C18" w:rsidP="00144D95">
            <w:pPr>
              <w:spacing w:before="120" w:after="120" w:line="260" w:lineRule="atLeast"/>
              <w:rPr>
                <w:rFonts w:ascii="Verdana" w:hAnsi="Verdana"/>
                <w:sz w:val="22"/>
                <w:szCs w:val="22"/>
              </w:rPr>
            </w:pPr>
            <w:r>
              <w:rPr>
                <w:rFonts w:ascii="Verdana" w:hAnsi="Verdana"/>
                <w:sz w:val="22"/>
              </w:rPr>
              <w:t xml:space="preserve">Kohëzgjatja: </w:t>
            </w:r>
            <w:r>
              <w:rPr>
                <w:rFonts w:ascii="Verdana" w:hAnsi="Verdana"/>
                <w:color w:val="000000" w:themeColor="text1"/>
                <w:sz w:val="22"/>
              </w:rPr>
              <w:t xml:space="preserve">60 minuta </w:t>
            </w:r>
          </w:p>
        </w:tc>
      </w:tr>
      <w:tr w:rsidR="00E7344B" w:rsidRPr="00D82C18" w14:paraId="7C1107AB" w14:textId="77777777" w:rsidTr="00B56791">
        <w:trPr>
          <w:trHeight w:val="1376"/>
        </w:trPr>
        <w:tc>
          <w:tcPr>
            <w:tcW w:w="9010" w:type="dxa"/>
            <w:gridSpan w:val="3"/>
            <w:vAlign w:val="center"/>
          </w:tcPr>
          <w:p w14:paraId="0B1C3404" w14:textId="68B9BEF1" w:rsidR="00E7344B" w:rsidRPr="000F7896" w:rsidRDefault="00E7344B" w:rsidP="00144D95">
            <w:pPr>
              <w:spacing w:before="120" w:after="120" w:line="260" w:lineRule="atLeast"/>
              <w:rPr>
                <w:rFonts w:ascii="Verdana" w:hAnsi="Verdana"/>
                <w:b/>
                <w:sz w:val="22"/>
                <w:szCs w:val="22"/>
              </w:rPr>
            </w:pPr>
            <w:r>
              <w:rPr>
                <w:rFonts w:ascii="Verdana" w:hAnsi="Verdana"/>
                <w:b/>
                <w:sz w:val="22"/>
              </w:rPr>
              <w:t xml:space="preserve">Burimet e nevojshme: </w:t>
            </w:r>
          </w:p>
          <w:p w14:paraId="0270BF17" w14:textId="77777777" w:rsidR="005C0A4A" w:rsidRPr="00BB0C1B" w:rsidRDefault="005C0A4A" w:rsidP="00144D95">
            <w:pPr>
              <w:pStyle w:val="bul1"/>
              <w:numPr>
                <w:ilvl w:val="0"/>
                <w:numId w:val="6"/>
              </w:numPr>
              <w:spacing w:before="120" w:after="120" w:line="260" w:lineRule="atLeast"/>
              <w:rPr>
                <w:rFonts w:ascii="Symbol" w:hAnsi="Symbol"/>
              </w:rPr>
            </w:pPr>
            <w:r>
              <w:t xml:space="preserve">PC/Laptop ngarkuar me versione softuerësh të pajtueshëm me materialet e përgatitura </w:t>
            </w:r>
          </w:p>
          <w:p w14:paraId="3A5F9545" w14:textId="77777777" w:rsidR="005C0A4A" w:rsidRPr="00BB0C1B" w:rsidRDefault="005C0A4A" w:rsidP="00144D95">
            <w:pPr>
              <w:pStyle w:val="bul1"/>
              <w:numPr>
                <w:ilvl w:val="0"/>
                <w:numId w:val="6"/>
              </w:numPr>
              <w:spacing w:before="120" w:after="120" w:line="260" w:lineRule="atLeast"/>
              <w:rPr>
                <w:rFonts w:ascii="Symbol" w:hAnsi="Symbol"/>
              </w:rPr>
            </w:pPr>
            <w:r>
              <w:t>Qasje në internet</w:t>
            </w:r>
          </w:p>
          <w:p w14:paraId="7FEE4F95" w14:textId="77777777" w:rsidR="005C0A4A" w:rsidRPr="000F7896" w:rsidRDefault="005C0A4A" w:rsidP="00144D95">
            <w:pPr>
              <w:pStyle w:val="bul1"/>
              <w:numPr>
                <w:ilvl w:val="0"/>
                <w:numId w:val="6"/>
              </w:numPr>
              <w:spacing w:before="120" w:after="120" w:line="260" w:lineRule="atLeast"/>
              <w:rPr>
                <w:rFonts w:ascii="Symbol" w:hAnsi="Symbol"/>
              </w:rPr>
            </w:pPr>
            <w:r>
              <w:t>Qasja në softuerin/platformën e konferencave online.</w:t>
            </w:r>
          </w:p>
          <w:p w14:paraId="746FFDF6" w14:textId="77777777" w:rsidR="005C0A4A" w:rsidRPr="003406F3" w:rsidRDefault="005C0A4A" w:rsidP="00144D95">
            <w:pPr>
              <w:pStyle w:val="bul1"/>
              <w:numPr>
                <w:ilvl w:val="0"/>
                <w:numId w:val="6"/>
              </w:numPr>
              <w:spacing w:before="120" w:after="120" w:line="260" w:lineRule="atLeast"/>
              <w:rPr>
                <w:szCs w:val="18"/>
              </w:rPr>
            </w:pPr>
            <w:r>
              <w:t>Projektor dhe ekran për shfaqje</w:t>
            </w:r>
          </w:p>
          <w:p w14:paraId="14CF9EF0" w14:textId="076EC9DF" w:rsidR="000F7896" w:rsidRPr="000F7896" w:rsidRDefault="005C0A4A" w:rsidP="00144D95">
            <w:pPr>
              <w:pStyle w:val="bul1"/>
              <w:numPr>
                <w:ilvl w:val="0"/>
                <w:numId w:val="6"/>
              </w:numPr>
              <w:spacing w:before="120" w:after="120" w:line="260" w:lineRule="atLeast"/>
            </w:pPr>
            <w:r>
              <w:t>Fletore për shënime dhe lapsa kimik</w:t>
            </w:r>
          </w:p>
        </w:tc>
      </w:tr>
      <w:tr w:rsidR="00E7344B" w:rsidRPr="00D82C18" w14:paraId="635F2EFD" w14:textId="77777777" w:rsidTr="004D35F1">
        <w:trPr>
          <w:trHeight w:val="2051"/>
        </w:trPr>
        <w:tc>
          <w:tcPr>
            <w:tcW w:w="9010" w:type="dxa"/>
            <w:gridSpan w:val="3"/>
            <w:vAlign w:val="center"/>
          </w:tcPr>
          <w:p w14:paraId="34602AF3" w14:textId="6240823C" w:rsidR="00A03CF0" w:rsidRDefault="00A03CF0" w:rsidP="00144D95">
            <w:pPr>
              <w:spacing w:before="120" w:after="120" w:line="260" w:lineRule="atLeast"/>
              <w:rPr>
                <w:rFonts w:ascii="Verdana" w:hAnsi="Verdana"/>
                <w:b/>
                <w:sz w:val="22"/>
                <w:szCs w:val="22"/>
              </w:rPr>
            </w:pPr>
            <w:r>
              <w:rPr>
                <w:rFonts w:ascii="Verdana" w:hAnsi="Verdana"/>
                <w:b/>
                <w:sz w:val="22"/>
              </w:rPr>
              <w:t xml:space="preserve">Qëllimi i seancës:  </w:t>
            </w:r>
          </w:p>
          <w:p w14:paraId="303D581E" w14:textId="18C2C813" w:rsidR="00B56791" w:rsidRDefault="00B56791" w:rsidP="00144D95">
            <w:pPr>
              <w:spacing w:before="120" w:after="120" w:line="260" w:lineRule="atLeast"/>
              <w:jc w:val="both"/>
              <w:rPr>
                <w:rFonts w:ascii="Verdana" w:eastAsia="Times New Roman" w:hAnsi="Verdana" w:cs="Arial"/>
                <w:color w:val="000000"/>
                <w:sz w:val="18"/>
                <w:szCs w:val="18"/>
              </w:rPr>
            </w:pPr>
            <w:r>
              <w:rPr>
                <w:rFonts w:ascii="Verdana" w:hAnsi="Verdana"/>
                <w:color w:val="000000"/>
                <w:sz w:val="18"/>
              </w:rPr>
              <w:t>Kjo seancë ka për qëllim prezantimin dhe diskutimin rreth mënyrave joformale të bashkëpunimit përmes përdorimit të kanaleve të komunikimit të vendosura në nivelin e policisë, prokurorisë dhe gjykatës. Numri i shembujve të organizatave ndërkombëtare dhe rrjetet e tyre të bashkëpunimit janë në dispozicion dhe disa nga më të suksesshmit janë paraqitur këtu.</w:t>
            </w:r>
          </w:p>
          <w:p w14:paraId="6F6C295C" w14:textId="792DC784" w:rsidR="00260809" w:rsidRDefault="00260809" w:rsidP="00144D95">
            <w:pPr>
              <w:spacing w:before="120" w:after="120" w:line="260" w:lineRule="atLeast"/>
              <w:jc w:val="both"/>
              <w:rPr>
                <w:rFonts w:ascii="Verdana" w:eastAsia="Times New Roman" w:hAnsi="Verdana" w:cs="Arial"/>
                <w:color w:val="000000"/>
                <w:sz w:val="18"/>
                <w:szCs w:val="18"/>
              </w:rPr>
            </w:pPr>
            <w:r>
              <w:rPr>
                <w:rFonts w:ascii="Verdana" w:hAnsi="Verdana"/>
                <w:color w:val="000000"/>
                <w:sz w:val="18"/>
              </w:rPr>
              <w:t>Eksperti duhet të paraqesë mundësitë e përdorimit të këtyre rrjeteve, procedurave dhe pikave të kontaktit për komunikim të shpejtë dhe shkëmbim jo vetëm të informacionit, por edhe të provave, nëse është e mundur dhe e pranueshme gjithashtu.</w:t>
            </w:r>
          </w:p>
          <w:p w14:paraId="3FE58655" w14:textId="3D56E9F0" w:rsidR="00A03CF0" w:rsidRPr="00303F75" w:rsidRDefault="00260809" w:rsidP="00144D95">
            <w:pPr>
              <w:spacing w:before="120" w:after="120" w:line="260" w:lineRule="atLeast"/>
              <w:jc w:val="both"/>
              <w:rPr>
                <w:rFonts w:ascii="Verdana" w:hAnsi="Verdana"/>
                <w:sz w:val="18"/>
                <w:szCs w:val="18"/>
              </w:rPr>
            </w:pPr>
            <w:r>
              <w:rPr>
                <w:rFonts w:ascii="Verdana" w:hAnsi="Verdana"/>
                <w:color w:val="000000"/>
                <w:sz w:val="18"/>
              </w:rPr>
              <w:t>Pika kryesore e seancës duhet të jetë që mekanizmat në dispozicion të përdoren në mënyrën më efikase për reagimin në shtypjen e krimit kibernetik.</w:t>
            </w:r>
          </w:p>
        </w:tc>
      </w:tr>
      <w:tr w:rsidR="00A03CF0" w:rsidRPr="00D82C18" w14:paraId="1B5A80A7" w14:textId="77777777" w:rsidTr="00F1338F">
        <w:trPr>
          <w:trHeight w:val="5894"/>
        </w:trPr>
        <w:tc>
          <w:tcPr>
            <w:tcW w:w="9010" w:type="dxa"/>
            <w:gridSpan w:val="3"/>
          </w:tcPr>
          <w:p w14:paraId="559A7E05" w14:textId="3672F16C" w:rsidR="00A03CF0" w:rsidRPr="00271010" w:rsidRDefault="00271010" w:rsidP="00144D95">
            <w:pPr>
              <w:spacing w:before="120" w:after="120" w:line="260" w:lineRule="atLeast"/>
              <w:rPr>
                <w:rFonts w:ascii="Verdana" w:hAnsi="Verdana"/>
                <w:b/>
                <w:sz w:val="22"/>
                <w:szCs w:val="22"/>
              </w:rPr>
            </w:pPr>
            <w:r>
              <w:rPr>
                <w:rFonts w:ascii="Verdana" w:hAnsi="Verdana"/>
                <w:b/>
                <w:sz w:val="22"/>
              </w:rPr>
              <w:t>Objektivat:</w:t>
            </w:r>
          </w:p>
          <w:p w14:paraId="6597F9C3" w14:textId="22CF7BDB" w:rsidR="003B34C4" w:rsidRDefault="003B34C4" w:rsidP="00144D95">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Pr>
                <w:rFonts w:ascii="Verdana" w:hAnsi="Verdana"/>
                <w:sz w:val="18"/>
              </w:rPr>
              <w:t>të kuptuarit e ndryshimeve ndërmjet ndihmës juridike të ndërsjellë zyrtare dhe joformale në çështjet penale</w:t>
            </w:r>
          </w:p>
          <w:p w14:paraId="28D2B558" w14:textId="125593F8" w:rsidR="00260809" w:rsidRDefault="00260809" w:rsidP="00144D95">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Pr>
                <w:rFonts w:ascii="Verdana" w:hAnsi="Verdana"/>
                <w:sz w:val="18"/>
              </w:rPr>
              <w:t>marrja e informacioneve dhe njohurive shtesë në lidhje me Organizatat dhe Rrjetet Ndërkombëtare për organizimin, konfigurimin dhe kompetencat e krimit kibernetik</w:t>
            </w:r>
          </w:p>
          <w:p w14:paraId="3683C4F7" w14:textId="092B4E1A" w:rsidR="00260809" w:rsidRDefault="00260809" w:rsidP="00144D95">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Pr>
                <w:rFonts w:ascii="Verdana" w:hAnsi="Verdana"/>
                <w:sz w:val="18"/>
              </w:rPr>
              <w:t>analizimi dhe të kuptuarit në mënyrë plotësuese i zbatimit të Konventës së Krimit Kibernetik të Këshillit të Evropës, neni 35</w:t>
            </w:r>
          </w:p>
          <w:p w14:paraId="61ABEAC5" w14:textId="6C96ADDC" w:rsidR="004D35F1" w:rsidRPr="00144D95" w:rsidRDefault="00260809" w:rsidP="00144D95">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Pr>
                <w:rFonts w:ascii="Verdana" w:hAnsi="Verdana"/>
                <w:sz w:val="18"/>
              </w:rPr>
              <w:t>rritja e vetëdijesimit në lidhje me disa nga zgjidhjet e ndërtimit të kapaciteteve për përmirësimin e bashkëpunimit</w:t>
            </w:r>
          </w:p>
        </w:tc>
      </w:tr>
      <w:tr w:rsidR="005703B7" w:rsidRPr="00D82C18" w14:paraId="03110757" w14:textId="77777777" w:rsidTr="00D62E5F">
        <w:trPr>
          <w:trHeight w:val="3230"/>
        </w:trPr>
        <w:tc>
          <w:tcPr>
            <w:tcW w:w="9010" w:type="dxa"/>
            <w:gridSpan w:val="3"/>
            <w:tcBorders>
              <w:bottom w:val="single" w:sz="4" w:space="0" w:color="auto"/>
            </w:tcBorders>
            <w:vAlign w:val="center"/>
          </w:tcPr>
          <w:p w14:paraId="7A064E85" w14:textId="39A6E0DE" w:rsidR="005703B7" w:rsidRDefault="00E95703" w:rsidP="00144D95">
            <w:pPr>
              <w:spacing w:before="120" w:after="120" w:line="260" w:lineRule="atLeast"/>
              <w:rPr>
                <w:rFonts w:ascii="Verdana" w:hAnsi="Verdana"/>
                <w:b/>
                <w:color w:val="000000" w:themeColor="text1"/>
                <w:sz w:val="22"/>
                <w:szCs w:val="22"/>
              </w:rPr>
            </w:pPr>
            <w:r>
              <w:rPr>
                <w:rFonts w:ascii="Verdana" w:hAnsi="Verdana"/>
                <w:b/>
                <w:color w:val="000000" w:themeColor="text1"/>
                <w:sz w:val="22"/>
              </w:rPr>
              <w:lastRenderedPageBreak/>
              <w:t>Udhëzimi për trajnerë</w:t>
            </w:r>
          </w:p>
          <w:p w14:paraId="4A62EF5F" w14:textId="0CCF50E3" w:rsidR="004D35F1" w:rsidRDefault="004D35F1" w:rsidP="00144D95">
            <w:pPr>
              <w:spacing w:before="120" w:after="120" w:line="260" w:lineRule="atLeast"/>
              <w:rPr>
                <w:rFonts w:ascii="Verdana" w:hAnsi="Verdana"/>
                <w:bCs/>
                <w:color w:val="000000" w:themeColor="text1"/>
                <w:sz w:val="18"/>
                <w:szCs w:val="18"/>
              </w:rPr>
            </w:pPr>
            <w:r>
              <w:rPr>
                <w:rFonts w:ascii="Verdana" w:hAnsi="Verdana"/>
                <w:color w:val="000000" w:themeColor="text1"/>
                <w:sz w:val="18"/>
              </w:rPr>
              <w:t>Gjatë seancës duhet të merren parasysh temat vijuese:</w:t>
            </w:r>
          </w:p>
          <w:p w14:paraId="085EBD28" w14:textId="44FE38B9" w:rsidR="003B34C4" w:rsidRDefault="003B34C4" w:rsidP="00144D95">
            <w:pPr>
              <w:pStyle w:val="ListParagraph"/>
              <w:numPr>
                <w:ilvl w:val="0"/>
                <w:numId w:val="21"/>
              </w:numPr>
              <w:spacing w:before="120" w:after="120" w:line="260" w:lineRule="atLeast"/>
              <w:contextualSpacing w:val="0"/>
              <w:rPr>
                <w:rFonts w:ascii="Verdana" w:hAnsi="Verdana"/>
                <w:bCs/>
                <w:color w:val="000000" w:themeColor="text1"/>
                <w:sz w:val="18"/>
                <w:szCs w:val="18"/>
              </w:rPr>
            </w:pPr>
            <w:r>
              <w:rPr>
                <w:rFonts w:ascii="Verdana" w:hAnsi="Verdana"/>
                <w:color w:val="000000" w:themeColor="text1"/>
                <w:sz w:val="18"/>
              </w:rPr>
              <w:t>Ndihma juridike e ndërsjellë zyrtare dhe joformale në çështjet penale, shembuj të saj, dhe konsideratat dhe rekomandimet kryesore</w:t>
            </w:r>
          </w:p>
          <w:p w14:paraId="41C2B660" w14:textId="21E0796A" w:rsidR="00D62E5F" w:rsidRPr="00B40FCA" w:rsidRDefault="00260809" w:rsidP="00144D95">
            <w:pPr>
              <w:pStyle w:val="ListParagraph"/>
              <w:widowControl w:val="0"/>
              <w:numPr>
                <w:ilvl w:val="0"/>
                <w:numId w:val="15"/>
              </w:numPr>
              <w:spacing w:before="120" w:after="120" w:line="260" w:lineRule="atLeast"/>
              <w:contextualSpacing w:val="0"/>
              <w:jc w:val="both"/>
              <w:rPr>
                <w:rFonts w:ascii="Verdana" w:hAnsi="Verdana" w:cs="Arial"/>
                <w:sz w:val="18"/>
                <w:szCs w:val="18"/>
              </w:rPr>
            </w:pPr>
            <w:r>
              <w:rPr>
                <w:rFonts w:ascii="Verdana" w:hAnsi="Verdana"/>
                <w:sz w:val="18"/>
              </w:rPr>
              <w:t>Organizatat dhe rrjetet ndërkombëtare të specializuara në përvojën dhe mundësitë e bashkëpunimit jozyrtar dhe zyrtar lidhur me krimin kibernetik (INTERPOL NCB dhe NCRP, mekanizmat e BE-së, EUROPOL, EC3, EUROJUST, EJCN, EJN)</w:t>
            </w:r>
          </w:p>
          <w:p w14:paraId="490380C6" w14:textId="4C29F883" w:rsidR="00260809" w:rsidRPr="00B40FCA" w:rsidRDefault="00260809" w:rsidP="00144D95">
            <w:pPr>
              <w:pStyle w:val="ListParagraph"/>
              <w:widowControl w:val="0"/>
              <w:numPr>
                <w:ilvl w:val="0"/>
                <w:numId w:val="15"/>
              </w:numPr>
              <w:spacing w:before="120" w:after="120" w:line="260" w:lineRule="atLeast"/>
              <w:contextualSpacing w:val="0"/>
              <w:jc w:val="both"/>
              <w:rPr>
                <w:rFonts w:ascii="Verdana" w:hAnsi="Verdana" w:cs="Arial"/>
                <w:sz w:val="18"/>
                <w:szCs w:val="18"/>
              </w:rPr>
            </w:pPr>
            <w:r>
              <w:rPr>
                <w:rFonts w:ascii="Verdana" w:hAnsi="Verdana"/>
                <w:sz w:val="18"/>
              </w:rPr>
              <w:t>Konventa e Këshillit të Evropës për krimin kibernetik 24/7 Rrjeti i pikave të kontaktit për konfigurimin e shpejtë të reagimit të krimit kibernetik dhe përvojat në shkëmbimin e informacionit</w:t>
            </w:r>
          </w:p>
          <w:p w14:paraId="5EFF4BEF" w14:textId="5458F1AE" w:rsidR="00F824B2" w:rsidRPr="00144D95" w:rsidRDefault="000668D4" w:rsidP="00144D95">
            <w:pPr>
              <w:pStyle w:val="ListParagraph"/>
              <w:widowControl w:val="0"/>
              <w:numPr>
                <w:ilvl w:val="0"/>
                <w:numId w:val="15"/>
              </w:numPr>
              <w:spacing w:before="120" w:after="120" w:line="260" w:lineRule="atLeast"/>
              <w:contextualSpacing w:val="0"/>
              <w:jc w:val="both"/>
              <w:rPr>
                <w:rFonts w:ascii="Verdana" w:hAnsi="Verdana" w:cs="Arial"/>
                <w:sz w:val="18"/>
                <w:szCs w:val="18"/>
              </w:rPr>
            </w:pPr>
            <w:r>
              <w:rPr>
                <w:rFonts w:ascii="Verdana" w:hAnsi="Verdana"/>
                <w:sz w:val="18"/>
              </w:rPr>
              <w:t>Përvoja e ndërtimit të kapaciteteve për reagimin ndërkombëtar ndaj krimit kibernetik (mund të rregullohet)</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144D95">
            <w:pPr>
              <w:spacing w:before="120" w:after="120" w:line="260" w:lineRule="atLeast"/>
              <w:rPr>
                <w:rFonts w:ascii="Verdana" w:hAnsi="Verdana"/>
                <w:b/>
                <w:sz w:val="28"/>
                <w:szCs w:val="28"/>
              </w:rPr>
            </w:pPr>
            <w:r>
              <w:rPr>
                <w:rFonts w:ascii="Verdana" w:hAnsi="Verdana"/>
                <w:b/>
                <w:sz w:val="28"/>
              </w:rPr>
              <w:t>Përmbajtja e Mësimit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144D95">
            <w:pPr>
              <w:spacing w:before="120" w:after="120" w:line="260" w:lineRule="atLeast"/>
              <w:jc w:val="center"/>
              <w:rPr>
                <w:rFonts w:ascii="Verdana" w:hAnsi="Verdana"/>
                <w:b/>
                <w:sz w:val="22"/>
                <w:szCs w:val="22"/>
              </w:rPr>
            </w:pPr>
            <w:r>
              <w:rPr>
                <w:rFonts w:ascii="Verdana" w:hAnsi="Verdana"/>
                <w:b/>
                <w:sz w:val="22"/>
              </w:rPr>
              <w:t>Numrat e slajdeve</w:t>
            </w:r>
          </w:p>
        </w:tc>
        <w:tc>
          <w:tcPr>
            <w:tcW w:w="7485" w:type="dxa"/>
            <w:gridSpan w:val="2"/>
            <w:shd w:val="clear" w:color="auto" w:fill="D9E2F3" w:themeFill="accent1" w:themeFillTint="33"/>
            <w:vAlign w:val="center"/>
          </w:tcPr>
          <w:p w14:paraId="2DA616FC" w14:textId="77777777" w:rsidR="00D82C18" w:rsidRPr="00E13BE7" w:rsidRDefault="00E13BE7" w:rsidP="00144D95">
            <w:pPr>
              <w:spacing w:before="120" w:after="120" w:line="260" w:lineRule="atLeast"/>
              <w:rPr>
                <w:rFonts w:ascii="Verdana" w:hAnsi="Verdana"/>
                <w:b/>
                <w:sz w:val="22"/>
                <w:szCs w:val="22"/>
              </w:rPr>
            </w:pPr>
            <w:r>
              <w:rPr>
                <w:rFonts w:ascii="Verdana" w:hAnsi="Verdana"/>
                <w:b/>
                <w:sz w:val="22"/>
              </w:rPr>
              <w:t>Përmbajtja</w:t>
            </w:r>
          </w:p>
        </w:tc>
      </w:tr>
      <w:tr w:rsidR="00F1574D" w:rsidRPr="00D82C18" w14:paraId="11A12D7E" w14:textId="77777777" w:rsidTr="00BD7897">
        <w:trPr>
          <w:trHeight w:val="1043"/>
        </w:trPr>
        <w:tc>
          <w:tcPr>
            <w:tcW w:w="1525" w:type="dxa"/>
            <w:vAlign w:val="center"/>
          </w:tcPr>
          <w:p w14:paraId="67083237" w14:textId="7BCA6E59" w:rsidR="00D82C18" w:rsidRDefault="003630ED" w:rsidP="00144D95">
            <w:pPr>
              <w:spacing w:before="120" w:after="120" w:line="260" w:lineRule="atLeast"/>
              <w:jc w:val="center"/>
              <w:rPr>
                <w:rFonts w:ascii="Verdana" w:hAnsi="Verdana"/>
                <w:sz w:val="18"/>
                <w:szCs w:val="18"/>
              </w:rPr>
            </w:pPr>
            <w:r>
              <w:rPr>
                <w:rFonts w:ascii="Verdana" w:hAnsi="Verdana"/>
                <w:sz w:val="18"/>
              </w:rPr>
              <w:t>1 deri 3</w:t>
            </w:r>
          </w:p>
          <w:p w14:paraId="5A89CF27" w14:textId="71EEF2DB" w:rsidR="00F1574D" w:rsidRPr="00F62A15" w:rsidRDefault="00F1574D" w:rsidP="00144D95">
            <w:pPr>
              <w:spacing w:before="120" w:after="120" w:line="260" w:lineRule="atLeast"/>
              <w:jc w:val="center"/>
              <w:rPr>
                <w:rFonts w:ascii="Verdana" w:hAnsi="Verdana"/>
                <w:sz w:val="18"/>
                <w:szCs w:val="18"/>
              </w:rPr>
            </w:pPr>
          </w:p>
        </w:tc>
        <w:tc>
          <w:tcPr>
            <w:tcW w:w="7485" w:type="dxa"/>
            <w:gridSpan w:val="2"/>
            <w:vAlign w:val="center"/>
          </w:tcPr>
          <w:p w14:paraId="36345B59" w14:textId="733C7D58" w:rsidR="00556D69" w:rsidRPr="00556D69" w:rsidRDefault="00556D69" w:rsidP="00144D95">
            <w:pPr>
              <w:spacing w:before="120" w:after="120" w:line="260" w:lineRule="atLeast"/>
              <w:jc w:val="both"/>
              <w:rPr>
                <w:rFonts w:ascii="Verdana" w:hAnsi="Verdana"/>
                <w:color w:val="FF0000"/>
                <w:sz w:val="18"/>
                <w:szCs w:val="18"/>
              </w:rPr>
            </w:pPr>
            <w:r>
              <w:rPr>
                <w:rFonts w:ascii="Verdana" w:hAnsi="Verdana"/>
                <w:color w:val="000000" w:themeColor="text1"/>
                <w:sz w:val="18"/>
              </w:rPr>
              <w:t xml:space="preserve">Slajdet e hapjes janë hyrja në seancë dhe përfshijnë agjendën dhe objektivat e seancës së bashku me disa nëntema të reja nga trajnimi Hyrës.  </w:t>
            </w:r>
          </w:p>
        </w:tc>
      </w:tr>
      <w:tr w:rsidR="00A60446" w:rsidRPr="00D82C18" w14:paraId="42D2960A" w14:textId="77777777" w:rsidTr="00F1574D">
        <w:trPr>
          <w:trHeight w:val="1880"/>
        </w:trPr>
        <w:tc>
          <w:tcPr>
            <w:tcW w:w="1525" w:type="dxa"/>
            <w:vAlign w:val="center"/>
          </w:tcPr>
          <w:p w14:paraId="3DAC33AA" w14:textId="6C93D7E1" w:rsidR="00A60446" w:rsidRDefault="005C0A4A" w:rsidP="00144D95">
            <w:pPr>
              <w:spacing w:before="120" w:after="120" w:line="260" w:lineRule="atLeast"/>
              <w:jc w:val="center"/>
              <w:rPr>
                <w:rFonts w:ascii="Verdana" w:hAnsi="Verdana"/>
                <w:sz w:val="18"/>
                <w:szCs w:val="18"/>
              </w:rPr>
            </w:pPr>
            <w:r>
              <w:rPr>
                <w:rFonts w:ascii="Verdana" w:hAnsi="Verdana"/>
                <w:sz w:val="18"/>
              </w:rPr>
              <w:t>4 deri 6</w:t>
            </w:r>
          </w:p>
        </w:tc>
        <w:tc>
          <w:tcPr>
            <w:tcW w:w="7485" w:type="dxa"/>
            <w:gridSpan w:val="2"/>
            <w:vAlign w:val="center"/>
          </w:tcPr>
          <w:p w14:paraId="5929DC54" w14:textId="77777777" w:rsidR="003B34C4" w:rsidRDefault="003B34C4" w:rsidP="00144D95">
            <w:pPr>
              <w:pStyle w:val="Subtitle"/>
              <w:spacing w:before="120" w:line="260" w:lineRule="atLeast"/>
              <w:rPr>
                <w:rFonts w:ascii="Verdana" w:eastAsia="Times New Roman" w:hAnsi="Verdana"/>
                <w:szCs w:val="18"/>
              </w:rPr>
            </w:pPr>
            <w:r>
              <w:rPr>
                <w:rFonts w:ascii="Verdana" w:hAnsi="Verdana"/>
              </w:rPr>
              <w:t xml:space="preserve">Këto slajde japin pasqyrë në ndryshimet ndërmjet ndihmës juridike zyrtare dhe të ashtuquajtur joformale, në çështjet penale. </w:t>
            </w:r>
          </w:p>
          <w:p w14:paraId="4BCB6BBA" w14:textId="77777777" w:rsidR="003B34C4" w:rsidRDefault="003B34C4" w:rsidP="00144D95">
            <w:pPr>
              <w:pStyle w:val="Subtitle"/>
              <w:spacing w:before="120" w:line="260" w:lineRule="atLeast"/>
              <w:rPr>
                <w:rFonts w:ascii="MinionPro-Regular" w:eastAsia="MS PGothic" w:hAnsi="MinionPro-Regular" w:cs="MS PGothic" w:hint="eastAsia"/>
                <w:kern w:val="24"/>
                <w:sz w:val="36"/>
                <w:szCs w:val="36"/>
              </w:rPr>
            </w:pPr>
            <w:r>
              <w:rPr>
                <w:rFonts w:ascii="Verdana" w:hAnsi="Verdana"/>
              </w:rPr>
              <w:t>Prokurorët ose gjyqtarët që bëjnë një kërkesë zyrtare gjithmonë duhet të pohojnë detyrimin ndërkombëtar të një shteti të kërkuar për të ndihmuar kur një detyrim i tillë ekziston me anë të një instrumenti ndërkombëtar. Po kështu, autoriteti të cilit i shkruhet letra e kërkesës duhet gjithashtu të përcaktohet.</w:t>
            </w:r>
            <w:r>
              <w:rPr>
                <w:rFonts w:ascii="MinionPro-Regular" w:hAnsi="MinionPro-Regular"/>
                <w:sz w:val="36"/>
              </w:rPr>
              <w:t xml:space="preserve"> </w:t>
            </w:r>
          </w:p>
          <w:p w14:paraId="1246D7D4" w14:textId="52B41A91" w:rsidR="00A60446" w:rsidRDefault="003B34C4" w:rsidP="00144D95">
            <w:pPr>
              <w:pStyle w:val="Subtitle"/>
              <w:spacing w:before="120" w:line="260" w:lineRule="atLeast"/>
              <w:rPr>
                <w:rFonts w:ascii="Verdana" w:eastAsia="Times New Roman" w:hAnsi="Verdana"/>
                <w:szCs w:val="18"/>
              </w:rPr>
            </w:pPr>
            <w:r>
              <w:rPr>
                <w:rFonts w:ascii="Verdana" w:hAnsi="Verdana"/>
              </w:rPr>
              <w:t xml:space="preserve">Ndihma administrative mund, dhe duhet të përdoret gjithashtu kur bëni kërkesa për mbledhjen e provave në një shtet ku nuk kërkohet të ushtrohet asnjë kompetencë shtrënguese (p.sh. një urdhër gjykate) për të marrë provat. Një qasje e tillë zvogëlon rrezikun e vonesës dhe do të mirëpritet nga shumica e shteteve. </w:t>
            </w:r>
          </w:p>
        </w:tc>
      </w:tr>
      <w:tr w:rsidR="003B34C4" w:rsidRPr="00D82C18" w14:paraId="19763061" w14:textId="77777777" w:rsidTr="00F1574D">
        <w:trPr>
          <w:trHeight w:val="1880"/>
        </w:trPr>
        <w:tc>
          <w:tcPr>
            <w:tcW w:w="1525" w:type="dxa"/>
            <w:vAlign w:val="center"/>
          </w:tcPr>
          <w:p w14:paraId="58BC834A" w14:textId="701813E0" w:rsidR="003B34C4" w:rsidRDefault="003B34C4" w:rsidP="00144D95">
            <w:pPr>
              <w:spacing w:before="120" w:after="120" w:line="260" w:lineRule="atLeast"/>
              <w:jc w:val="center"/>
              <w:rPr>
                <w:rFonts w:ascii="Verdana" w:hAnsi="Verdana"/>
                <w:sz w:val="18"/>
                <w:szCs w:val="18"/>
              </w:rPr>
            </w:pPr>
            <w:r>
              <w:rPr>
                <w:rFonts w:ascii="Verdana" w:hAnsi="Verdana"/>
                <w:sz w:val="18"/>
              </w:rPr>
              <w:t>7 deri 8</w:t>
            </w:r>
          </w:p>
        </w:tc>
        <w:tc>
          <w:tcPr>
            <w:tcW w:w="7485" w:type="dxa"/>
            <w:gridSpan w:val="2"/>
            <w:vAlign w:val="center"/>
          </w:tcPr>
          <w:p w14:paraId="7391A0F1" w14:textId="77777777" w:rsidR="003B34C4" w:rsidRDefault="003B34C4" w:rsidP="00144D95">
            <w:pPr>
              <w:pStyle w:val="Subtitle"/>
              <w:spacing w:before="120" w:line="260" w:lineRule="atLeast"/>
              <w:rPr>
                <w:rFonts w:ascii="MinionPro-Bold" w:eastAsia="MS PGothic" w:hAnsi="MinionPro-Bold" w:cs="MS PGothic" w:hint="eastAsia"/>
                <w:iCs w:val="0"/>
                <w:kern w:val="24"/>
                <w:sz w:val="36"/>
                <w:szCs w:val="36"/>
              </w:rPr>
            </w:pPr>
            <w:r>
              <w:rPr>
                <w:rFonts w:ascii="Verdana" w:hAnsi="Verdana"/>
              </w:rPr>
              <w:t>Këto slajde japin disa shembuj për ndihmë zyrtare dhe joformale.</w:t>
            </w:r>
            <w:r>
              <w:rPr>
                <w:rFonts w:ascii="MinionPro-Bold" w:hAnsi="MinionPro-Bold"/>
                <w:sz w:val="36"/>
              </w:rPr>
              <w:t xml:space="preserve"> </w:t>
            </w:r>
          </w:p>
          <w:p w14:paraId="4DCD3927" w14:textId="77777777" w:rsidR="003B34C4" w:rsidRDefault="003B34C4" w:rsidP="00144D95">
            <w:pPr>
              <w:pStyle w:val="Subtitle"/>
              <w:spacing w:before="120" w:line="260" w:lineRule="atLeast"/>
              <w:rPr>
                <w:rFonts w:ascii="MinionPro-Regular" w:eastAsia="MS PGothic" w:hAnsi="MinionPro-Regular" w:cs="MS PGothic" w:hint="eastAsia"/>
                <w:kern w:val="24"/>
                <w:sz w:val="36"/>
                <w:szCs w:val="36"/>
              </w:rPr>
            </w:pPr>
            <w:r>
              <w:rPr>
                <w:rFonts w:ascii="Verdana" w:hAnsi="Verdana"/>
              </w:rPr>
              <w:t>Duhet të mbahet mend se regjimi i ndihmës së ndërsjellë juridike është ai për marrjen e provave; kështu, marrja e inteligjencës dhe gjetja e të dyshuarve ose të arratisurve zakonisht duhet të kërkohet vetëm përmes ndihmës administrative për të cilën, sigurisht, marrëveshja mund të jetë ose të mos jetë e afërt.</w:t>
            </w:r>
            <w:r>
              <w:rPr>
                <w:rFonts w:ascii="MinionPro-Regular" w:hAnsi="MinionPro-Regular"/>
                <w:sz w:val="36"/>
              </w:rPr>
              <w:t xml:space="preserve"> </w:t>
            </w:r>
          </w:p>
          <w:p w14:paraId="307F7D37" w14:textId="11D5AFFD" w:rsidR="003B34C4" w:rsidRPr="003B34C4" w:rsidRDefault="003B34C4" w:rsidP="00144D95">
            <w:pPr>
              <w:pStyle w:val="Subtitle"/>
              <w:spacing w:before="120" w:line="260" w:lineRule="atLeast"/>
              <w:rPr>
                <w:rFonts w:ascii="Verdana" w:eastAsia="Times New Roman" w:hAnsi="Verdana"/>
                <w:szCs w:val="18"/>
              </w:rPr>
            </w:pPr>
            <w:r>
              <w:rPr>
                <w:rFonts w:ascii="Verdana" w:hAnsi="Verdana"/>
              </w:rPr>
              <w:t>Megjithëse nuk mund të bëhet asnjë listë përfundimtare e llojit të hetimeve që mund të merren në mënyrë joformale, disa vëzhgime të përgjithshme mund të jenë të dobishme.</w:t>
            </w:r>
          </w:p>
          <w:p w14:paraId="53059D73" w14:textId="441803FC" w:rsidR="003B34C4" w:rsidRPr="003B34C4" w:rsidRDefault="003B34C4" w:rsidP="00144D95">
            <w:pPr>
              <w:pStyle w:val="Subtitle"/>
              <w:spacing w:before="120" w:line="260" w:lineRule="atLeast"/>
              <w:rPr>
                <w:rFonts w:ascii="Verdana" w:eastAsia="Times New Roman" w:hAnsi="Verdana"/>
                <w:szCs w:val="18"/>
              </w:rPr>
            </w:pPr>
            <w:r>
              <w:rPr>
                <w:rFonts w:ascii="Verdana" w:hAnsi="Verdana"/>
              </w:rPr>
              <w:t>Sidoqoftë, ndryshimet nga shteti në shtet duhet të kihen gjithmonë parasysh.</w:t>
            </w:r>
          </w:p>
        </w:tc>
      </w:tr>
      <w:tr w:rsidR="003B34C4" w:rsidRPr="00D82C18" w14:paraId="2DD044A7" w14:textId="77777777" w:rsidTr="0023008E">
        <w:trPr>
          <w:trHeight w:val="1070"/>
        </w:trPr>
        <w:tc>
          <w:tcPr>
            <w:tcW w:w="1525" w:type="dxa"/>
            <w:vAlign w:val="center"/>
          </w:tcPr>
          <w:p w14:paraId="4CFF30A3" w14:textId="7980C6F2" w:rsidR="003B34C4" w:rsidRDefault="003B34C4" w:rsidP="00144D95">
            <w:pPr>
              <w:spacing w:before="120" w:after="120" w:line="260" w:lineRule="atLeast"/>
              <w:jc w:val="center"/>
              <w:rPr>
                <w:rFonts w:ascii="Verdana" w:hAnsi="Verdana"/>
                <w:sz w:val="18"/>
                <w:szCs w:val="18"/>
              </w:rPr>
            </w:pPr>
            <w:r>
              <w:rPr>
                <w:rFonts w:ascii="Verdana" w:hAnsi="Verdana"/>
                <w:sz w:val="18"/>
              </w:rPr>
              <w:t>9 deri 12</w:t>
            </w:r>
          </w:p>
        </w:tc>
        <w:tc>
          <w:tcPr>
            <w:tcW w:w="7485" w:type="dxa"/>
            <w:gridSpan w:val="2"/>
            <w:vAlign w:val="center"/>
          </w:tcPr>
          <w:p w14:paraId="31B8105B" w14:textId="77777777" w:rsidR="0023008E" w:rsidRDefault="003B34C4" w:rsidP="00144D95">
            <w:pPr>
              <w:pStyle w:val="Subtitle"/>
              <w:spacing w:before="120" w:line="260" w:lineRule="atLeast"/>
              <w:rPr>
                <w:rFonts w:ascii="MinionPro-Regular" w:eastAsia="MS PGothic" w:hAnsi="MinionPro-Regular" w:cs="MS PGothic" w:hint="eastAsia"/>
                <w:kern w:val="24"/>
                <w:sz w:val="36"/>
                <w:szCs w:val="36"/>
              </w:rPr>
            </w:pPr>
            <w:r>
              <w:rPr>
                <w:rFonts w:ascii="Verdana" w:hAnsi="Verdana"/>
              </w:rPr>
              <w:t>Këto slajde shqyrtojnë pranueshmërinë e provave të marra përmes ndihmës joformale dhe disa shqyrtimeve dhe rekomandimeve kryesore.</w:t>
            </w:r>
            <w:r>
              <w:rPr>
                <w:rFonts w:ascii="MinionPro-Regular" w:hAnsi="MinionPro-Regular"/>
                <w:sz w:val="36"/>
              </w:rPr>
              <w:t xml:space="preserve"> </w:t>
            </w:r>
          </w:p>
          <w:p w14:paraId="76167D24" w14:textId="77777777" w:rsidR="0023008E" w:rsidRDefault="0023008E" w:rsidP="00144D95">
            <w:pPr>
              <w:pStyle w:val="Subtitle"/>
              <w:spacing w:before="120" w:line="260" w:lineRule="atLeast"/>
              <w:rPr>
                <w:rFonts w:ascii="MinionPro-Regular" w:eastAsia="MS PGothic" w:hAnsi="MinionPro-Regular" w:cs="MS PGothic" w:hint="eastAsia"/>
                <w:kern w:val="24"/>
                <w:sz w:val="36"/>
                <w:szCs w:val="36"/>
              </w:rPr>
            </w:pPr>
            <w:r>
              <w:rPr>
                <w:rFonts w:ascii="Verdana" w:hAnsi="Verdana"/>
              </w:rPr>
              <w:t>Çdo shqyrtim i ndihmës administrative nuk duhet të neglizhojë përdorimin në të cilin mund të bëhet një ndihmë e tillë për t'i hapur rrugë një kërkese të mëvonshme, zyrtare.</w:t>
            </w:r>
            <w:r>
              <w:rPr>
                <w:rFonts w:ascii="MinionPro-Regular" w:hAnsi="MinionPro-Regular"/>
                <w:sz w:val="36"/>
              </w:rPr>
              <w:t xml:space="preserve"> </w:t>
            </w:r>
          </w:p>
          <w:p w14:paraId="74F9CA3C" w14:textId="57CBC956" w:rsidR="0023008E" w:rsidRPr="0023008E" w:rsidRDefault="0023008E" w:rsidP="00144D95">
            <w:pPr>
              <w:pStyle w:val="Subtitle"/>
              <w:spacing w:before="120" w:line="260" w:lineRule="atLeast"/>
              <w:rPr>
                <w:rFonts w:ascii="Verdana" w:eastAsia="Times New Roman" w:hAnsi="Verdana"/>
                <w:szCs w:val="18"/>
              </w:rPr>
            </w:pPr>
            <w:r>
              <w:rPr>
                <w:rFonts w:ascii="Verdana" w:hAnsi="Verdana"/>
              </w:rPr>
              <w:lastRenderedPageBreak/>
              <w:t>Vështirësia e mundshme që mund të çojë në mosrespektimin e këtyre elementeve mund të jetë që (në shtetet me një parim përjashtues në lidhje me provat) prova të tilla do të përjashtohen; përveç kësaj, por jo më pak të rëndësishme, veprimet e papërshtatshme me anë të një kërkese joformale mund të irritojnë autoritetet e shtetit të huaj, të cilat mund të jenë më pak të prirë të ndihmojnë me ndonjë kërkesë të ardhshme.</w:t>
            </w:r>
          </w:p>
        </w:tc>
      </w:tr>
      <w:tr w:rsidR="00F1574D" w:rsidRPr="00D82C18" w14:paraId="65F07CB5" w14:textId="77777777" w:rsidTr="00F1574D">
        <w:trPr>
          <w:trHeight w:val="1880"/>
        </w:trPr>
        <w:tc>
          <w:tcPr>
            <w:tcW w:w="1525" w:type="dxa"/>
            <w:vAlign w:val="center"/>
          </w:tcPr>
          <w:p w14:paraId="6F5AEB2D" w14:textId="00B08DFC" w:rsidR="00F1574D" w:rsidRPr="003630ED" w:rsidRDefault="0023008E" w:rsidP="00144D95">
            <w:pPr>
              <w:spacing w:before="120" w:after="120" w:line="260" w:lineRule="atLeast"/>
              <w:jc w:val="center"/>
              <w:rPr>
                <w:rFonts w:ascii="Verdana" w:hAnsi="Verdana"/>
                <w:sz w:val="18"/>
                <w:szCs w:val="18"/>
              </w:rPr>
            </w:pPr>
            <w:r>
              <w:rPr>
                <w:rFonts w:ascii="Verdana" w:hAnsi="Verdana"/>
                <w:sz w:val="18"/>
              </w:rPr>
              <w:lastRenderedPageBreak/>
              <w:t>13 - 15</w:t>
            </w:r>
          </w:p>
        </w:tc>
        <w:tc>
          <w:tcPr>
            <w:tcW w:w="7485" w:type="dxa"/>
            <w:gridSpan w:val="2"/>
            <w:vAlign w:val="center"/>
          </w:tcPr>
          <w:p w14:paraId="4F294926" w14:textId="77777777" w:rsidR="0045500D" w:rsidRDefault="00151E6A" w:rsidP="00144D95">
            <w:pPr>
              <w:pStyle w:val="Subtitle"/>
              <w:spacing w:before="120" w:line="260" w:lineRule="atLeast"/>
              <w:rPr>
                <w:rFonts w:ascii="Verdana" w:eastAsia="Times New Roman" w:hAnsi="Verdana"/>
                <w:szCs w:val="18"/>
              </w:rPr>
            </w:pPr>
            <w:r>
              <w:rPr>
                <w:rFonts w:ascii="Verdana" w:hAnsi="Verdana"/>
              </w:rPr>
              <w:t xml:space="preserve">Këto slajde shpjegojnë konfigurimin dhe mundësitë për përdorimin e INTERPOL-it si rrjet joformal për shkëmbim informacioni. </w:t>
            </w:r>
          </w:p>
          <w:p w14:paraId="0F942724" w14:textId="77777777" w:rsidR="0045500D" w:rsidRDefault="0045500D" w:rsidP="00144D95">
            <w:pPr>
              <w:pStyle w:val="Subtitle"/>
              <w:spacing w:before="120" w:line="260" w:lineRule="atLeast"/>
              <w:rPr>
                <w:rFonts w:eastAsia="MS PGothic" w:hAnsi="Calibri" w:cs="MS PGothic"/>
                <w:kern w:val="24"/>
              </w:rPr>
            </w:pPr>
            <w:r>
              <w:rPr>
                <w:rFonts w:ascii="Verdana" w:hAnsi="Verdana"/>
              </w:rPr>
              <w:t>Secili prej vendeve anëtare ka një Zyrë Qendrore Kombëtare të INTERPOL-it (NCB). Kjo lidh autoritetet kombëtare të zbatimit të ligjit me vendet e tjera dhe me Sekretariatin e Përgjithshëm përmes rrjetit tonë të sigurt global të komunikimit policor të quajtur I-24/7.</w:t>
            </w:r>
            <w:r>
              <w:t xml:space="preserve"> </w:t>
            </w:r>
          </w:p>
          <w:p w14:paraId="5A97A890" w14:textId="4AE6B3FF" w:rsidR="0045500D" w:rsidRPr="0045500D" w:rsidRDefault="0045500D" w:rsidP="00144D95">
            <w:pPr>
              <w:pStyle w:val="Subtitle"/>
              <w:spacing w:before="120" w:line="260" w:lineRule="atLeast"/>
              <w:rPr>
                <w:rFonts w:ascii="Verdana" w:eastAsia="Times New Roman" w:hAnsi="Verdana"/>
                <w:szCs w:val="18"/>
              </w:rPr>
            </w:pPr>
            <w:r>
              <w:rPr>
                <w:rFonts w:ascii="Verdana" w:hAnsi="Verdana"/>
              </w:rPr>
              <w:t>NCB-të kontribuojnë me të dhëna kombëtare të krimit në bazat tona të të dhënave globale, në përputhje me ligjet e tyre përkatëse kombëtare. Kjo siguron që të dhënat e sakta të jenë në vendin e duhur në kohën e duhur për të lejuar policinë të identifikojë një trend, të parandalojë një krim, ose të arrestojë një kriminel. Për shembull, njoftimet tona të kuqe paralajmërojnë policinë në të gjitha vendet për personat në kërkim.</w:t>
            </w:r>
          </w:p>
          <w:p w14:paraId="649FEA68" w14:textId="41AE39F7" w:rsidR="0045500D" w:rsidRPr="0045500D" w:rsidRDefault="0045500D" w:rsidP="00144D95">
            <w:pPr>
              <w:pStyle w:val="Subtitle"/>
              <w:spacing w:before="120" w:line="260" w:lineRule="atLeast"/>
              <w:rPr>
                <w:rFonts w:ascii="Verdana" w:eastAsia="Times New Roman" w:hAnsi="Verdana"/>
                <w:szCs w:val="18"/>
              </w:rPr>
            </w:pPr>
            <w:r>
              <w:rPr>
                <w:rFonts w:ascii="Verdana" w:hAnsi="Verdana"/>
              </w:rPr>
              <w:t>NCB-të bashkëpunojnë në hetimet, operacionet dhe arrestimet ndërkufitare. Për të ndërmarrë hetime përtej kufijve kombëtarë, ato mund të kërkojnë bashkëpunim nga çdo NCB tjetër.</w:t>
            </w:r>
          </w:p>
        </w:tc>
      </w:tr>
      <w:tr w:rsidR="00F1574D" w:rsidRPr="00D82C18" w14:paraId="15587DD6" w14:textId="77777777" w:rsidTr="00F1574D">
        <w:trPr>
          <w:trHeight w:val="1916"/>
        </w:trPr>
        <w:tc>
          <w:tcPr>
            <w:tcW w:w="1525" w:type="dxa"/>
            <w:vAlign w:val="center"/>
          </w:tcPr>
          <w:p w14:paraId="65C32028" w14:textId="06D4BC58" w:rsidR="00F1574D" w:rsidRDefault="0023008E" w:rsidP="00144D95">
            <w:pPr>
              <w:spacing w:before="120" w:after="120" w:line="260" w:lineRule="atLeast"/>
              <w:jc w:val="center"/>
              <w:rPr>
                <w:rFonts w:ascii="Verdana" w:hAnsi="Verdana"/>
                <w:sz w:val="18"/>
                <w:szCs w:val="18"/>
              </w:rPr>
            </w:pPr>
            <w:r>
              <w:rPr>
                <w:rFonts w:ascii="Verdana" w:hAnsi="Verdana"/>
                <w:sz w:val="18"/>
              </w:rPr>
              <w:t>16 deri 18</w:t>
            </w:r>
          </w:p>
        </w:tc>
        <w:tc>
          <w:tcPr>
            <w:tcW w:w="7485" w:type="dxa"/>
            <w:gridSpan w:val="2"/>
            <w:vAlign w:val="center"/>
          </w:tcPr>
          <w:p w14:paraId="72E93026" w14:textId="21AFCAAC" w:rsidR="0023008E" w:rsidRDefault="00FE45CA" w:rsidP="00144D95">
            <w:pPr>
              <w:pStyle w:val="Subtitle"/>
              <w:spacing w:before="120" w:line="260" w:lineRule="atLeast"/>
              <w:rPr>
                <w:rFonts w:ascii="Verdana" w:eastAsia="Times New Roman" w:hAnsi="Verdana"/>
              </w:rPr>
            </w:pPr>
            <w:r>
              <w:rPr>
                <w:rFonts w:ascii="Verdana" w:hAnsi="Verdana"/>
              </w:rPr>
              <w:t>Këto slajde shpjegojnë instrumentet e Bashkimit Evropian në lidhje me NJN-në.</w:t>
            </w:r>
            <w:r>
              <w:t xml:space="preserve"> </w:t>
            </w:r>
            <w:r>
              <w:rPr>
                <w:rFonts w:ascii="Verdana" w:hAnsi="Verdana"/>
              </w:rPr>
              <w:t>Konventa e BE-së e vitit 2000 për të inkurajuar dhe lehtësuar ndihmën e ndërsjellë ndërmjet autoriteteve gjyqësore, policore dhe doganore për çështjet penale dhe për të përmirësuar shpejtësinë dhe efikasitetin e bashkëpunimit gjyqësor. Ajo plotëson Konventën e vitit 1959 të Këshillit të Evropës për Ndihmën e Ndërsjellë në Çështjet Penale dhe Protokollin e saj të vitit 1978.</w:t>
            </w:r>
          </w:p>
          <w:p w14:paraId="2E42FEAB" w14:textId="77777777" w:rsidR="005C0A4A" w:rsidRPr="005C0A4A" w:rsidRDefault="005C0A4A" w:rsidP="00144D95">
            <w:pPr>
              <w:spacing w:before="120" w:after="120" w:line="260" w:lineRule="atLeast"/>
              <w:jc w:val="both"/>
              <w:rPr>
                <w:rFonts w:ascii="Verdana" w:hAnsi="Verdana"/>
                <w:iCs/>
                <w:sz w:val="18"/>
                <w:szCs w:val="18"/>
              </w:rPr>
            </w:pPr>
            <w:r>
              <w:rPr>
                <w:rFonts w:ascii="Verdana" w:hAnsi="Verdana"/>
                <w:sz w:val="18"/>
              </w:rPr>
              <w:t xml:space="preserve">Këto slajde paraqesin fushën e punës së EUROPOL dhe qendrës së tij EC3 në lidhje me këtë. </w:t>
            </w:r>
          </w:p>
          <w:p w14:paraId="09B58FC0" w14:textId="4F92C958" w:rsidR="0023008E" w:rsidRPr="005C0A4A" w:rsidRDefault="005C0A4A" w:rsidP="00144D95">
            <w:pPr>
              <w:spacing w:before="120" w:after="120" w:line="260" w:lineRule="atLeast"/>
              <w:jc w:val="both"/>
              <w:rPr>
                <w:rFonts w:ascii="Verdana" w:hAnsi="Verdana"/>
                <w:sz w:val="18"/>
                <w:szCs w:val="18"/>
              </w:rPr>
            </w:pPr>
            <w:r>
              <w:rPr>
                <w:rFonts w:ascii="Verdana" w:hAnsi="Verdana"/>
                <w:sz w:val="18"/>
              </w:rPr>
              <w:t>Europol ka krijuar Qendrën Evropiane të Krimit Kibernetik (EC3) në vitin 2013 për të forcuar reagimin e zbatimit të ligjit ndaj krimit kibernetik në BE dhe kështu të ndihmojë në mbrojtjen e qytetarëve, bizneseve dhe qeverive evropiane nga krimi në internet. Që nga themelimi i saj, EC3 ka dhënë kontribut të rëndësishëm në luftën kundër krimit kibernetik: ajo ka qenë e përfshirë në dhjetëra operacione të profilit të lartë dhe qindra angazhime në vend të mbështetjes operative duke rezultuar në qindra arrestime dhe ka analizuar qindra mijëra dosje, shumica dërrmuese e të cilave janë provuar se janë me qëllim të keq.</w:t>
            </w:r>
          </w:p>
        </w:tc>
      </w:tr>
      <w:tr w:rsidR="00F1574D" w:rsidRPr="00D82C18" w14:paraId="3C4A313A" w14:textId="77777777" w:rsidTr="00F1574D">
        <w:trPr>
          <w:trHeight w:val="890"/>
        </w:trPr>
        <w:tc>
          <w:tcPr>
            <w:tcW w:w="1525" w:type="dxa"/>
            <w:vAlign w:val="center"/>
          </w:tcPr>
          <w:p w14:paraId="00098EC4" w14:textId="321109A9" w:rsidR="00F1574D" w:rsidRPr="006B6FDF" w:rsidRDefault="005C0A4A" w:rsidP="00144D95">
            <w:pPr>
              <w:spacing w:before="120" w:after="120" w:line="260" w:lineRule="atLeast"/>
              <w:jc w:val="center"/>
              <w:rPr>
                <w:rFonts w:ascii="Verdana" w:hAnsi="Verdana"/>
                <w:sz w:val="18"/>
                <w:szCs w:val="18"/>
              </w:rPr>
            </w:pPr>
            <w:r>
              <w:rPr>
                <w:rFonts w:ascii="Verdana" w:hAnsi="Verdana"/>
                <w:sz w:val="18"/>
              </w:rPr>
              <w:t>19 deri 22</w:t>
            </w:r>
          </w:p>
        </w:tc>
        <w:tc>
          <w:tcPr>
            <w:tcW w:w="7485" w:type="dxa"/>
            <w:gridSpan w:val="2"/>
            <w:vAlign w:val="center"/>
          </w:tcPr>
          <w:p w14:paraId="6E72154C" w14:textId="283A7FE8" w:rsidR="00A31FA0" w:rsidRPr="00A31FA0" w:rsidRDefault="00A31FA0" w:rsidP="00144D95">
            <w:pPr>
              <w:pStyle w:val="Subtitle"/>
              <w:spacing w:before="120" w:line="260" w:lineRule="atLeast"/>
              <w:rPr>
                <w:rFonts w:ascii="Verdana" w:eastAsia="Times New Roman" w:hAnsi="Verdana"/>
              </w:rPr>
            </w:pPr>
            <w:r>
              <w:rPr>
                <w:rFonts w:ascii="Verdana" w:hAnsi="Verdana"/>
              </w:rPr>
              <w:t>Këto slajde paraqesin fushën e punës së EUROJUST dhe në lidhje me këtë.</w:t>
            </w:r>
            <w:r>
              <w:t xml:space="preserve"> </w:t>
            </w:r>
            <w:r>
              <w:rPr>
                <w:rFonts w:ascii="Verdana" w:hAnsi="Verdana"/>
              </w:rPr>
              <w:t>Për të forcuar luftën kundër krimit të organizuar të rëndë, Këshilli Evropian, në Konkluzionin e tij 46, ka rënë dakord që duhet të ngrihet një njësi (Eurojust), e përbërë nga prokurorë kombëtar, magjistratë ose zyrtarët policorë me kompetencë ekuivalente, të shkëputur nga secili shtet anëtar në përputhje me sistemin e vet ligjor.</w:t>
            </w:r>
          </w:p>
          <w:p w14:paraId="1C27728F" w14:textId="77777777" w:rsidR="00556D69" w:rsidRDefault="00A31FA0" w:rsidP="00144D95">
            <w:pPr>
              <w:pStyle w:val="Subtitle"/>
              <w:spacing w:beforeLines="20" w:before="48" w:afterLines="120" w:after="288" w:line="260" w:lineRule="atLeast"/>
              <w:rPr>
                <w:rFonts w:ascii="Verdana" w:eastAsia="Times New Roman" w:hAnsi="Verdana"/>
              </w:rPr>
            </w:pPr>
            <w:r>
              <w:rPr>
                <w:rFonts w:ascii="Verdana" w:hAnsi="Verdana"/>
              </w:rPr>
              <w:t>Në korrik të vitit 2013, Komisioni Evropian paraqiti një propozim në Parlamentin Evropian dhe në Këshill për një rregullore të re për Eurojust për të siguruar një 'kornizë të vetme dhe të rinovuar ligjore për një Agjenci të re për Bashkëpunimin me Drejtësinë Penale (Eurojust)', pasardhësi ligjor i Eurojust siç është themeluar në vitin 2002.</w:t>
            </w:r>
          </w:p>
          <w:p w14:paraId="30629AB6" w14:textId="77777777" w:rsidR="005C0A4A" w:rsidRPr="00A31FA0" w:rsidRDefault="005C0A4A" w:rsidP="00144D95">
            <w:pPr>
              <w:spacing w:beforeLines="20" w:before="48" w:afterLines="120" w:after="288" w:line="260" w:lineRule="atLeast"/>
              <w:jc w:val="both"/>
              <w:rPr>
                <w:rFonts w:ascii="Verdana" w:eastAsia="Times New Roman" w:hAnsi="Verdana"/>
                <w:sz w:val="18"/>
                <w:szCs w:val="18"/>
              </w:rPr>
            </w:pPr>
            <w:r>
              <w:rPr>
                <w:rFonts w:ascii="Verdana" w:hAnsi="Verdana"/>
                <w:sz w:val="18"/>
              </w:rPr>
              <w:t xml:space="preserve">Rrjeti Gjyqësor Evropian për Krimin Kibernetik (EJCN) është krijuar në vitin </w:t>
            </w:r>
            <w:r>
              <w:rPr>
                <w:rFonts w:ascii="Verdana" w:hAnsi="Verdana"/>
                <w:sz w:val="18"/>
              </w:rPr>
              <w:lastRenderedPageBreak/>
              <w:t>2016, gjatë Presidencës holandeze të BE-së, për të nxitur kontaktet ndërmjet praktikuesve të specializuar në kundërshtimin e sfidave të paraqitura nga krimi kibernetik, krimi i mundësuar nga kibernetika dhe hetimet në hapësirën kibernetike dhe rritja e efikasitetit të hetimeve dhe ndjekjes penale.</w:t>
            </w:r>
          </w:p>
          <w:p w14:paraId="09B693A1" w14:textId="51D60BE3" w:rsidR="005C0A4A" w:rsidRPr="005C0A4A" w:rsidRDefault="005C0A4A" w:rsidP="00144D95">
            <w:pPr>
              <w:spacing w:beforeLines="20" w:before="48" w:afterLines="120" w:after="288" w:line="260" w:lineRule="atLeast"/>
              <w:jc w:val="both"/>
            </w:pPr>
            <w:r>
              <w:rPr>
                <w:rFonts w:ascii="Verdana" w:hAnsi="Verdana"/>
                <w:sz w:val="18"/>
              </w:rPr>
              <w:t>EJCN lehtëson dhe rrit bashkëpunimin ndërmjet autoriteteve gjyqësore kompetente duke mundësuar shkëmbimin e ekspertizës, praktikave më të mira dhe njohurive të tjera të rëndësishme në lidhje me hetimin dhe ndjekjen penale të krimit kibernetik. Rrjeti gjithashtu nxit dialogun ndërmjet aktorëve të ndryshëm që luajnë rol në sigurimin e sundimit të ligjit në hapësirën kibernetike.</w:t>
            </w:r>
          </w:p>
        </w:tc>
      </w:tr>
      <w:tr w:rsidR="00F1574D" w:rsidRPr="00D82C18" w14:paraId="720470D6" w14:textId="77777777" w:rsidTr="00F1574D">
        <w:trPr>
          <w:trHeight w:val="1169"/>
        </w:trPr>
        <w:tc>
          <w:tcPr>
            <w:tcW w:w="1525" w:type="dxa"/>
            <w:vAlign w:val="center"/>
          </w:tcPr>
          <w:p w14:paraId="61FD9F0D" w14:textId="03BDE9BD" w:rsidR="00F1574D" w:rsidRPr="006527C6" w:rsidRDefault="00A31FA0" w:rsidP="00144D95">
            <w:pPr>
              <w:spacing w:before="120" w:after="120" w:line="260" w:lineRule="atLeast"/>
              <w:jc w:val="center"/>
              <w:rPr>
                <w:rFonts w:ascii="Verdana" w:hAnsi="Verdana"/>
                <w:sz w:val="18"/>
                <w:szCs w:val="18"/>
              </w:rPr>
            </w:pPr>
            <w:r>
              <w:rPr>
                <w:rFonts w:ascii="Verdana" w:hAnsi="Verdana"/>
                <w:sz w:val="18"/>
              </w:rPr>
              <w:lastRenderedPageBreak/>
              <w:t>23 deri 28</w:t>
            </w:r>
          </w:p>
        </w:tc>
        <w:tc>
          <w:tcPr>
            <w:tcW w:w="7485" w:type="dxa"/>
            <w:gridSpan w:val="2"/>
            <w:vAlign w:val="center"/>
          </w:tcPr>
          <w:p w14:paraId="40B913F5" w14:textId="77777777" w:rsidR="00A31FA0" w:rsidRDefault="005F709E" w:rsidP="00144D95">
            <w:pPr>
              <w:pStyle w:val="Subtitle"/>
              <w:spacing w:before="120" w:line="260" w:lineRule="atLeast"/>
              <w:rPr>
                <w:rFonts w:ascii="Arial" w:eastAsia="MS PGothic" w:hAnsi="Arial" w:cs="MS PGothic"/>
                <w:kern w:val="24"/>
              </w:rPr>
            </w:pPr>
            <w:r>
              <w:rPr>
                <w:rFonts w:ascii="Verdana" w:hAnsi="Verdana"/>
              </w:rPr>
              <w:t>Këto slajde mbulojnë Rrjetin e Pikave të Kontaktit 24/7 për Krimin Kibernetik të Këshillit të Evropës 24/7.</w:t>
            </w:r>
            <w:r>
              <w:rPr>
                <w:rFonts w:ascii="Arial" w:hAnsi="Arial"/>
              </w:rPr>
              <w:t xml:space="preserve"> </w:t>
            </w:r>
          </w:p>
          <w:p w14:paraId="2E63EC97" w14:textId="77777777" w:rsidR="00A31FA0" w:rsidRDefault="00A31FA0" w:rsidP="00144D95">
            <w:pPr>
              <w:pStyle w:val="Subtitle"/>
              <w:spacing w:before="120" w:line="260" w:lineRule="atLeast"/>
              <w:rPr>
                <w:rFonts w:ascii="Arial" w:eastAsia="MS PGothic" w:hAnsi="Arial" w:cs="MS PGothic"/>
                <w:kern w:val="24"/>
              </w:rPr>
            </w:pPr>
            <w:r>
              <w:rPr>
                <w:rFonts w:ascii="Verdana" w:hAnsi="Verdana"/>
              </w:rPr>
              <w:t>Sipas nenit 35 të Konventës, secila palë ka detyrimin të caktojë një pikë kontakti në dispozicion 24 orë në ditë, 7 ditë në javë në mënyrë që të sigurojë ndihmë të menjëhershme në hetime dhe procedura brenda fushës së këtij Kapitulli, veçanërisht siç përcaktohet në nenin 35, paragrafi 1) pika c). Është arritur pajtimi që krijimi i këtij rrjeti është ndër mjetet më të rëndësishme të siguruara nga kjo Konventë për të siguruar që Palët mund të përgjigjen në mënyrë efektive ndaj sfidave të zbatimit të ligjit të paraqitura nga krimi lidhur me kompjuterë.</w:t>
            </w:r>
            <w:r>
              <w:rPr>
                <w:rFonts w:ascii="Arial" w:hAnsi="Arial"/>
              </w:rPr>
              <w:t xml:space="preserve"> </w:t>
            </w:r>
          </w:p>
          <w:p w14:paraId="59CB9448" w14:textId="603ECEB0" w:rsidR="005F709E" w:rsidRPr="005F709E" w:rsidRDefault="00A31FA0" w:rsidP="00144D95">
            <w:pPr>
              <w:pStyle w:val="Subtitle"/>
              <w:spacing w:before="120" w:line="260" w:lineRule="atLeast"/>
              <w:rPr>
                <w:rFonts w:ascii="Verdana" w:hAnsi="Verdana"/>
                <w:szCs w:val="18"/>
              </w:rPr>
            </w:pPr>
            <w:r>
              <w:rPr>
                <w:rFonts w:ascii="Verdana" w:hAnsi="Verdana"/>
              </w:rPr>
              <w:t xml:space="preserve">Secila palë është e lirë të përcaktojë se ku mund të vendosë pikën e kontaktit brenda strukturës së saj të zbatimit të ligjit. Disa palë mund të dëshirojnë të vendosin kontaktin 24/7 brenda autoritetit të tyre qendror për ndihmë të ndërsjellë, disa mund të besojnë se vendndodhja më e mirë është me një njësi policie të specializuar në luftimin e krimeve kompjuterike apo që ndërlidhen me kompjuterë, megjithatë zgjedhjet e tjera mund të jenë të përshtatshme për një Palë të veçantë, duke pasur parasysh strukturën e saj qeveritare dhe sistemin ligjor. </w:t>
            </w:r>
          </w:p>
        </w:tc>
      </w:tr>
      <w:tr w:rsidR="00F1574D" w:rsidRPr="00D82C18" w14:paraId="0A65AD6F" w14:textId="77777777" w:rsidTr="00F1574D">
        <w:trPr>
          <w:trHeight w:val="1313"/>
        </w:trPr>
        <w:tc>
          <w:tcPr>
            <w:tcW w:w="1525" w:type="dxa"/>
            <w:vAlign w:val="center"/>
          </w:tcPr>
          <w:p w14:paraId="55312634" w14:textId="38E64E0C" w:rsidR="00F1574D" w:rsidRPr="006527C6" w:rsidRDefault="0064085A" w:rsidP="00144D95">
            <w:pPr>
              <w:spacing w:before="120" w:after="120" w:line="260" w:lineRule="atLeast"/>
              <w:jc w:val="center"/>
              <w:rPr>
                <w:rFonts w:ascii="Verdana" w:hAnsi="Verdana"/>
                <w:sz w:val="18"/>
                <w:szCs w:val="18"/>
              </w:rPr>
            </w:pPr>
            <w:r>
              <w:rPr>
                <w:rFonts w:ascii="Verdana" w:hAnsi="Verdana"/>
                <w:sz w:val="18"/>
              </w:rPr>
              <w:t>29 deri 37</w:t>
            </w:r>
          </w:p>
        </w:tc>
        <w:tc>
          <w:tcPr>
            <w:tcW w:w="7485" w:type="dxa"/>
            <w:gridSpan w:val="2"/>
            <w:vAlign w:val="center"/>
          </w:tcPr>
          <w:p w14:paraId="59937E6B" w14:textId="51DAF59E" w:rsidR="00A31FA0" w:rsidRPr="00A31FA0" w:rsidRDefault="00AE5CF6" w:rsidP="00144D95">
            <w:pPr>
              <w:spacing w:before="120" w:after="120" w:line="260" w:lineRule="atLeast"/>
              <w:rPr>
                <w:rFonts w:ascii="Verdana" w:eastAsia="MS PGothic" w:hAnsi="Verdana" w:cs="MS PGothic"/>
                <w:color w:val="000000" w:themeColor="text1"/>
                <w:kern w:val="24"/>
                <w:sz w:val="18"/>
                <w:szCs w:val="18"/>
              </w:rPr>
            </w:pPr>
            <w:r>
              <w:rPr>
                <w:rFonts w:ascii="Verdana" w:hAnsi="Verdana"/>
                <w:sz w:val="18"/>
              </w:rPr>
              <w:t>Këto slajde paraqesin përpjekjet për ndërtimin e kapaciteteve nën një nga projektet e Këshillit të Evropës që synon posaçërisht përmirësimin e bashkëpunimit ndërkombëtar. Gjetjet e raporteve rajonale të prodhuara nga projektet Cybercrime@EaP mund të përdoren si burim për të diskutuar qasje më praktike, për përmirësimin e bashkëpunimit.</w:t>
            </w:r>
          </w:p>
        </w:tc>
      </w:tr>
      <w:tr w:rsidR="005F709E" w:rsidRPr="00D82C18" w14:paraId="1918B48F" w14:textId="77777777" w:rsidTr="00F1574D">
        <w:trPr>
          <w:trHeight w:val="1313"/>
        </w:trPr>
        <w:tc>
          <w:tcPr>
            <w:tcW w:w="1525" w:type="dxa"/>
            <w:vAlign w:val="center"/>
          </w:tcPr>
          <w:p w14:paraId="224BC13F" w14:textId="2FD6A3F1" w:rsidR="005F709E" w:rsidRDefault="0064085A" w:rsidP="00144D95">
            <w:pPr>
              <w:spacing w:before="120" w:after="120" w:line="260" w:lineRule="atLeast"/>
              <w:jc w:val="center"/>
              <w:rPr>
                <w:rFonts w:ascii="Verdana" w:hAnsi="Verdana"/>
                <w:sz w:val="18"/>
                <w:szCs w:val="18"/>
              </w:rPr>
            </w:pPr>
            <w:r>
              <w:rPr>
                <w:rFonts w:ascii="Verdana" w:hAnsi="Verdana"/>
                <w:sz w:val="18"/>
              </w:rPr>
              <w:t>38 deri 40</w:t>
            </w:r>
          </w:p>
        </w:tc>
        <w:tc>
          <w:tcPr>
            <w:tcW w:w="7485" w:type="dxa"/>
            <w:gridSpan w:val="2"/>
            <w:vAlign w:val="center"/>
          </w:tcPr>
          <w:p w14:paraId="2E2377DE" w14:textId="77777777" w:rsidR="005F709E" w:rsidRDefault="005F709E" w:rsidP="00144D95">
            <w:pPr>
              <w:spacing w:before="120" w:after="120" w:line="260" w:lineRule="atLeast"/>
              <w:jc w:val="both"/>
              <w:rPr>
                <w:rFonts w:ascii="Verdana" w:hAnsi="Verdana"/>
                <w:sz w:val="18"/>
                <w:szCs w:val="18"/>
              </w:rPr>
            </w:pPr>
            <w:r>
              <w:rPr>
                <w:rFonts w:ascii="Verdana" w:hAnsi="Verdana"/>
                <w:sz w:val="18"/>
              </w:rPr>
              <w:t xml:space="preserve">Slajdet e fundit i lejojnë trajnerit të rishikojë objektivat e të nxënit me audiencën në mënyrë që ata të jenë të sigurt se janë arritur. Është gjithashtu një mundësi për pjesëmarrësit të ngrenë çdo çështje që mund të mbetet e pazgjidhur ose kur ata nuk i kanë kuptuar plotësisht temat e paraqitura.  </w:t>
            </w:r>
          </w:p>
          <w:p w14:paraId="4F4159A3" w14:textId="21BA5D76" w:rsidR="005F709E" w:rsidRDefault="005F709E" w:rsidP="00144D95">
            <w:pPr>
              <w:spacing w:before="120" w:after="120" w:line="260" w:lineRule="atLeast"/>
              <w:jc w:val="both"/>
              <w:rPr>
                <w:rFonts w:ascii="Verdana" w:hAnsi="Verdana"/>
                <w:sz w:val="18"/>
                <w:szCs w:val="18"/>
              </w:rPr>
            </w:pPr>
            <w:r>
              <w:rPr>
                <w:rFonts w:ascii="Verdana" w:hAnsi="Verdana"/>
                <w:sz w:val="18"/>
              </w:rPr>
              <w:t>Për më tepër, trajneri mund të përdorë seancën për të kontrolluar njohuritë e marra duke bërë pyetje për pjesëmarrësit. Kjo është e rëndësishme pasi nuk ka vlerësim zyrtar për kursin.</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144D95">
            <w:pPr>
              <w:spacing w:before="120" w:after="120" w:line="260" w:lineRule="atLeast"/>
              <w:rPr>
                <w:rFonts w:ascii="Verdana" w:hAnsi="Verdana"/>
                <w:b/>
                <w:sz w:val="22"/>
                <w:szCs w:val="22"/>
              </w:rPr>
            </w:pPr>
            <w:r>
              <w:rPr>
                <w:rFonts w:ascii="Verdana" w:hAnsi="Verdana"/>
                <w:b/>
                <w:sz w:val="22"/>
              </w:rPr>
              <w:t>Ushtrime praktike</w:t>
            </w:r>
          </w:p>
          <w:p w14:paraId="04D65D89" w14:textId="0EFF7125" w:rsidR="00CB3026" w:rsidRPr="00CB3026" w:rsidRDefault="00CB3026" w:rsidP="00144D95">
            <w:pPr>
              <w:spacing w:before="120" w:after="120" w:line="260" w:lineRule="atLeast"/>
              <w:rPr>
                <w:rFonts w:ascii="Verdana" w:hAnsi="Verdana"/>
                <w:sz w:val="18"/>
                <w:szCs w:val="18"/>
              </w:rPr>
            </w:pPr>
            <w:r>
              <w:rPr>
                <w:rFonts w:ascii="Verdana" w:hAnsi="Verdana"/>
                <w:color w:val="000000" w:themeColor="text1"/>
                <w:sz w:val="18"/>
              </w:rPr>
              <w:t>Nuk ka ushtrime praktike të parapara me këtë mësim.</w:t>
            </w:r>
          </w:p>
        </w:tc>
      </w:tr>
      <w:tr w:rsidR="00CB3026" w:rsidRPr="00D82C18" w14:paraId="603967A2" w14:textId="77777777" w:rsidTr="00F1574D">
        <w:tc>
          <w:tcPr>
            <w:tcW w:w="9010" w:type="dxa"/>
            <w:gridSpan w:val="3"/>
            <w:vAlign w:val="center"/>
          </w:tcPr>
          <w:p w14:paraId="57B48D1E" w14:textId="77777777" w:rsidR="00CB3026" w:rsidRDefault="00CB3026" w:rsidP="00144D95">
            <w:pPr>
              <w:spacing w:before="120" w:after="120" w:line="260" w:lineRule="atLeast"/>
              <w:rPr>
                <w:rFonts w:ascii="Verdana" w:hAnsi="Verdana"/>
                <w:b/>
                <w:sz w:val="22"/>
                <w:szCs w:val="22"/>
              </w:rPr>
            </w:pPr>
            <w:r>
              <w:rPr>
                <w:rFonts w:ascii="Verdana" w:hAnsi="Verdana"/>
                <w:b/>
                <w:sz w:val="22"/>
              </w:rPr>
              <w:t>Vlerësimi/Kontrolli i njohurive</w:t>
            </w:r>
          </w:p>
          <w:p w14:paraId="4496975B" w14:textId="1B3740FD" w:rsidR="00CB3026" w:rsidRPr="00CB3026" w:rsidRDefault="00CB3026" w:rsidP="00144D95">
            <w:pPr>
              <w:spacing w:before="120" w:after="120" w:line="260" w:lineRule="atLeast"/>
              <w:rPr>
                <w:rFonts w:ascii="Verdana" w:hAnsi="Verdana"/>
                <w:sz w:val="18"/>
                <w:szCs w:val="18"/>
              </w:rPr>
            </w:pPr>
            <w:r>
              <w:rPr>
                <w:rFonts w:ascii="Verdana" w:hAnsi="Verdana"/>
                <w:color w:val="000000" w:themeColor="text1"/>
                <w:sz w:val="18"/>
              </w:rPr>
              <w:t>Asnjë kontroll ose vlerësim i njohurive nuk është kërkuar për këtë seancë.</w:t>
            </w:r>
          </w:p>
        </w:tc>
      </w:tr>
    </w:tbl>
    <w:p w14:paraId="15498912" w14:textId="77777777" w:rsidR="00D82C18" w:rsidRPr="00D82C18" w:rsidRDefault="00D82C18" w:rsidP="00144D95">
      <w:pPr>
        <w:spacing w:before="120" w:after="120" w:line="260" w:lineRule="atLeast"/>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MinionPro-Regular">
    <w:altName w:val="Cambria"/>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Pro-Bold">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CCA1946"/>
    <w:multiLevelType w:val="hybridMultilevel"/>
    <w:tmpl w:val="345AB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12"/>
  </w:num>
  <w:num w:numId="4">
    <w:abstractNumId w:val="10"/>
  </w:num>
  <w:num w:numId="5">
    <w:abstractNumId w:val="11"/>
  </w:num>
  <w:num w:numId="6">
    <w:abstractNumId w:val="20"/>
  </w:num>
  <w:num w:numId="7">
    <w:abstractNumId w:val="6"/>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8"/>
  </w:num>
  <w:num w:numId="10">
    <w:abstractNumId w:val="3"/>
  </w:num>
  <w:num w:numId="11">
    <w:abstractNumId w:val="13"/>
  </w:num>
  <w:num w:numId="12">
    <w:abstractNumId w:val="17"/>
  </w:num>
  <w:num w:numId="13">
    <w:abstractNumId w:val="4"/>
  </w:num>
  <w:num w:numId="14">
    <w:abstractNumId w:val="8"/>
  </w:num>
  <w:num w:numId="15">
    <w:abstractNumId w:val="16"/>
  </w:num>
  <w:num w:numId="16">
    <w:abstractNumId w:val="1"/>
  </w:num>
  <w:num w:numId="17">
    <w:abstractNumId w:val="2"/>
  </w:num>
  <w:num w:numId="18">
    <w:abstractNumId w:val="19"/>
  </w:num>
  <w:num w:numId="19">
    <w:abstractNumId w:val="14"/>
  </w:num>
  <w:num w:numId="20">
    <w:abstractNumId w:val="5"/>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6EAD"/>
    <w:rsid w:val="000668D4"/>
    <w:rsid w:val="000C40EE"/>
    <w:rsid w:val="000F7896"/>
    <w:rsid w:val="00144D95"/>
    <w:rsid w:val="00151E6A"/>
    <w:rsid w:val="001D603D"/>
    <w:rsid w:val="0023008E"/>
    <w:rsid w:val="00260809"/>
    <w:rsid w:val="00271010"/>
    <w:rsid w:val="002E3ECE"/>
    <w:rsid w:val="002F3B54"/>
    <w:rsid w:val="00303F75"/>
    <w:rsid w:val="0034224C"/>
    <w:rsid w:val="00342639"/>
    <w:rsid w:val="003453F7"/>
    <w:rsid w:val="003630ED"/>
    <w:rsid w:val="003A435F"/>
    <w:rsid w:val="003B34C4"/>
    <w:rsid w:val="003F6587"/>
    <w:rsid w:val="00450007"/>
    <w:rsid w:val="0045500D"/>
    <w:rsid w:val="00457DD3"/>
    <w:rsid w:val="004B7351"/>
    <w:rsid w:val="004D35F1"/>
    <w:rsid w:val="00556D69"/>
    <w:rsid w:val="005703B7"/>
    <w:rsid w:val="005A4E47"/>
    <w:rsid w:val="005C0A4A"/>
    <w:rsid w:val="005D4432"/>
    <w:rsid w:val="005D7794"/>
    <w:rsid w:val="005F709E"/>
    <w:rsid w:val="0064085A"/>
    <w:rsid w:val="006527C6"/>
    <w:rsid w:val="006B6FDF"/>
    <w:rsid w:val="0075334E"/>
    <w:rsid w:val="007678A6"/>
    <w:rsid w:val="00773F6C"/>
    <w:rsid w:val="0080315D"/>
    <w:rsid w:val="008147B2"/>
    <w:rsid w:val="00844FBF"/>
    <w:rsid w:val="008817F1"/>
    <w:rsid w:val="008A4C93"/>
    <w:rsid w:val="008E3FE7"/>
    <w:rsid w:val="00951791"/>
    <w:rsid w:val="009D1DB1"/>
    <w:rsid w:val="009F336B"/>
    <w:rsid w:val="00A03CF0"/>
    <w:rsid w:val="00A31FA0"/>
    <w:rsid w:val="00A342ED"/>
    <w:rsid w:val="00A4110D"/>
    <w:rsid w:val="00A60446"/>
    <w:rsid w:val="00A734A5"/>
    <w:rsid w:val="00A76996"/>
    <w:rsid w:val="00AA5742"/>
    <w:rsid w:val="00AB07AA"/>
    <w:rsid w:val="00AE5CF6"/>
    <w:rsid w:val="00B3608C"/>
    <w:rsid w:val="00B40FCA"/>
    <w:rsid w:val="00B56791"/>
    <w:rsid w:val="00BD7897"/>
    <w:rsid w:val="00C115FC"/>
    <w:rsid w:val="00C541A2"/>
    <w:rsid w:val="00CB02C4"/>
    <w:rsid w:val="00CB3026"/>
    <w:rsid w:val="00CC1F79"/>
    <w:rsid w:val="00CC2222"/>
    <w:rsid w:val="00D62E5F"/>
    <w:rsid w:val="00D82C18"/>
    <w:rsid w:val="00E13BE7"/>
    <w:rsid w:val="00E7344B"/>
    <w:rsid w:val="00E95703"/>
    <w:rsid w:val="00EE1E16"/>
    <w:rsid w:val="00F1338F"/>
    <w:rsid w:val="00F1574D"/>
    <w:rsid w:val="00F504D6"/>
    <w:rsid w:val="00F62A15"/>
    <w:rsid w:val="00F650D1"/>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A4A"/>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1604</Words>
  <Characters>9143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7</cp:revision>
  <dcterms:created xsi:type="dcterms:W3CDTF">2020-10-21T11:27:00Z</dcterms:created>
  <dcterms:modified xsi:type="dcterms:W3CDTF">2021-05-04T12:13:00Z</dcterms:modified>
</cp:coreProperties>
</file>