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495B11" w14:textId="77777777" w:rsidR="00D82C18" w:rsidRPr="00773F6C" w:rsidRDefault="00B3608C" w:rsidP="00397D09">
      <w:pPr>
        <w:spacing w:before="120" w:after="120" w:line="260" w:lineRule="atLeast"/>
        <w:rPr>
          <w:rFonts w:ascii="Verdana" w:hAnsi="Verdana"/>
          <w:b/>
          <w:bCs/>
        </w:rPr>
      </w:pPr>
      <w:r>
        <w:rPr>
          <w:rFonts w:ascii="Verdana" w:hAnsi="Verdana"/>
          <w:b/>
          <w:sz w:val="28"/>
        </w:rPr>
        <w:t xml:space="preserve">Mësimi 1.3 </w:t>
      </w:r>
      <w:r>
        <w:rPr>
          <w:rFonts w:ascii="Verdana" w:hAnsi="Verdana"/>
          <w:b/>
          <w:color w:val="000000" w:themeColor="text1"/>
          <w:sz w:val="28"/>
        </w:rPr>
        <w:t>Bashkëpunimi ndërkombëtar në ekonominë globale</w:t>
      </w:r>
    </w:p>
    <w:p w14:paraId="0637752B" w14:textId="77777777" w:rsidR="00C115FC" w:rsidRPr="00C115FC" w:rsidRDefault="00C115FC" w:rsidP="00397D09">
      <w:pPr>
        <w:spacing w:before="120" w:after="120" w:line="260" w:lineRule="atLeast"/>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137121B4" w14:textId="77777777" w:rsidTr="00F1574D">
        <w:trPr>
          <w:trHeight w:val="872"/>
        </w:trPr>
        <w:tc>
          <w:tcPr>
            <w:tcW w:w="6845" w:type="dxa"/>
            <w:gridSpan w:val="2"/>
            <w:shd w:val="clear" w:color="auto" w:fill="DEEAF6" w:themeFill="accent5" w:themeFillTint="33"/>
            <w:vAlign w:val="center"/>
          </w:tcPr>
          <w:p w14:paraId="674C34CB" w14:textId="0A71D610" w:rsidR="00D82C18" w:rsidRPr="00A95D42" w:rsidRDefault="00C115FC" w:rsidP="00397D09">
            <w:pPr>
              <w:spacing w:before="120" w:after="120" w:line="260" w:lineRule="atLeast"/>
              <w:rPr>
                <w:rFonts w:ascii="Verdana" w:hAnsi="Verdana"/>
                <w:sz w:val="22"/>
                <w:szCs w:val="22"/>
              </w:rPr>
            </w:pPr>
            <w:r>
              <w:rPr>
                <w:rFonts w:ascii="Verdana" w:hAnsi="Verdana"/>
                <w:sz w:val="22"/>
              </w:rPr>
              <w:t>Mësimi 1.3.</w:t>
            </w:r>
            <w:r>
              <w:rPr>
                <w:rFonts w:ascii="Verdana" w:hAnsi="Verdana"/>
                <w:color w:val="000000" w:themeColor="text1"/>
                <w:sz w:val="28"/>
              </w:rPr>
              <w:t xml:space="preserve"> </w:t>
            </w:r>
            <w:r>
              <w:rPr>
                <w:rFonts w:ascii="Verdana" w:hAnsi="Verdana"/>
                <w:color w:val="000000" w:themeColor="text1"/>
                <w:sz w:val="22"/>
              </w:rPr>
              <w:t>Bashkëpunimi ndërkombëtar në ekonominë globale</w:t>
            </w:r>
          </w:p>
        </w:tc>
        <w:tc>
          <w:tcPr>
            <w:tcW w:w="2165" w:type="dxa"/>
            <w:shd w:val="clear" w:color="auto" w:fill="DEEAF6" w:themeFill="accent5" w:themeFillTint="33"/>
            <w:vAlign w:val="center"/>
          </w:tcPr>
          <w:p w14:paraId="71924515" w14:textId="77777777" w:rsidR="00D82C18" w:rsidRPr="00D82C18" w:rsidRDefault="00D82C18" w:rsidP="00397D09">
            <w:pPr>
              <w:spacing w:before="120" w:after="120" w:line="260" w:lineRule="atLeast"/>
              <w:rPr>
                <w:rFonts w:ascii="Verdana" w:hAnsi="Verdana"/>
                <w:sz w:val="22"/>
                <w:szCs w:val="22"/>
              </w:rPr>
            </w:pPr>
            <w:r>
              <w:rPr>
                <w:rFonts w:ascii="Verdana" w:hAnsi="Verdana"/>
                <w:sz w:val="22"/>
              </w:rPr>
              <w:t xml:space="preserve">Kohëzgjatja: </w:t>
            </w:r>
            <w:r>
              <w:rPr>
                <w:rFonts w:ascii="Verdana" w:hAnsi="Verdana"/>
                <w:color w:val="000000" w:themeColor="text1"/>
                <w:sz w:val="22"/>
              </w:rPr>
              <w:t xml:space="preserve">90 minuta </w:t>
            </w:r>
          </w:p>
        </w:tc>
      </w:tr>
      <w:tr w:rsidR="00E7344B" w:rsidRPr="00D82C18" w14:paraId="3575B95B" w14:textId="77777777" w:rsidTr="004D35F1">
        <w:trPr>
          <w:trHeight w:val="2096"/>
        </w:trPr>
        <w:tc>
          <w:tcPr>
            <w:tcW w:w="9010" w:type="dxa"/>
            <w:gridSpan w:val="3"/>
            <w:vAlign w:val="center"/>
          </w:tcPr>
          <w:p w14:paraId="7626BF98" w14:textId="77777777" w:rsidR="00E7344B" w:rsidRPr="000F7896" w:rsidRDefault="00E7344B" w:rsidP="00397D09">
            <w:pPr>
              <w:spacing w:before="120" w:after="120" w:line="260" w:lineRule="atLeast"/>
              <w:rPr>
                <w:rFonts w:ascii="Verdana" w:hAnsi="Verdana"/>
                <w:b/>
                <w:sz w:val="22"/>
                <w:szCs w:val="22"/>
              </w:rPr>
            </w:pPr>
            <w:r>
              <w:rPr>
                <w:rFonts w:ascii="Verdana" w:hAnsi="Verdana"/>
                <w:b/>
                <w:sz w:val="22"/>
              </w:rPr>
              <w:t xml:space="preserve">Burimet e nevojshme: </w:t>
            </w:r>
          </w:p>
          <w:p w14:paraId="479115D1" w14:textId="77777777" w:rsidR="000F7896" w:rsidRPr="000F7896" w:rsidRDefault="000F7896" w:rsidP="00397D09">
            <w:pPr>
              <w:pStyle w:val="bul1"/>
              <w:numPr>
                <w:ilvl w:val="0"/>
                <w:numId w:val="6"/>
              </w:numPr>
              <w:spacing w:before="120" w:after="120" w:line="260" w:lineRule="atLeast"/>
              <w:rPr>
                <w:rFonts w:ascii="Symbol" w:hAnsi="Symbol"/>
              </w:rPr>
            </w:pPr>
            <w:r>
              <w:t xml:space="preserve">PC/Laptop ngarkuar me versione softuerësh të pajtueshëm me materialet e përgatitura </w:t>
            </w:r>
          </w:p>
          <w:p w14:paraId="23FEC679" w14:textId="77777777" w:rsidR="000F7896" w:rsidRPr="000F7896" w:rsidRDefault="000F7896" w:rsidP="00397D09">
            <w:pPr>
              <w:pStyle w:val="bul1"/>
              <w:numPr>
                <w:ilvl w:val="0"/>
                <w:numId w:val="6"/>
              </w:numPr>
              <w:spacing w:before="120" w:after="120" w:line="260" w:lineRule="atLeast"/>
              <w:rPr>
                <w:rFonts w:ascii="Symbol" w:hAnsi="Symbol"/>
              </w:rPr>
            </w:pPr>
            <w:r>
              <w:t xml:space="preserve">Qasje në internet (nëse ka) </w:t>
            </w:r>
          </w:p>
          <w:p w14:paraId="0010D7BE" w14:textId="77777777" w:rsidR="000F7896" w:rsidRPr="00773F6C" w:rsidRDefault="000F7896" w:rsidP="00397D09">
            <w:pPr>
              <w:pStyle w:val="bul1"/>
              <w:numPr>
                <w:ilvl w:val="0"/>
                <w:numId w:val="6"/>
              </w:numPr>
              <w:spacing w:before="120" w:after="120" w:line="260" w:lineRule="atLeast"/>
              <w:rPr>
                <w:rFonts w:ascii="Symbol" w:hAnsi="Symbol"/>
              </w:rPr>
            </w:pPr>
            <w:r>
              <w:t>PowerPoint apo softuerë tjerë prezantimi</w:t>
            </w:r>
          </w:p>
          <w:p w14:paraId="213147F3" w14:textId="77777777" w:rsidR="00773F6C" w:rsidRPr="000F7896" w:rsidRDefault="00773F6C" w:rsidP="00397D09">
            <w:pPr>
              <w:pStyle w:val="bul1"/>
              <w:numPr>
                <w:ilvl w:val="0"/>
                <w:numId w:val="6"/>
              </w:numPr>
              <w:spacing w:before="120" w:after="120" w:line="260" w:lineRule="atLeast"/>
              <w:rPr>
                <w:rFonts w:ascii="Symbol" w:hAnsi="Symbol"/>
              </w:rPr>
            </w:pPr>
            <w:r>
              <w:t>Përmbledhje e rastit studimor në version elektronik dhe/ose të shtypur</w:t>
            </w:r>
          </w:p>
          <w:p w14:paraId="7AA20A65" w14:textId="77777777" w:rsidR="000F7896" w:rsidRPr="000F7896" w:rsidRDefault="00773F6C" w:rsidP="00397D09">
            <w:pPr>
              <w:pStyle w:val="bul1"/>
              <w:numPr>
                <w:ilvl w:val="0"/>
                <w:numId w:val="6"/>
              </w:numPr>
              <w:spacing w:before="120" w:after="120" w:line="260" w:lineRule="atLeast"/>
            </w:pPr>
            <w:r>
              <w:t>Broshurat 1, 2, 3 dhe 4 në version elektronik dhe/ose të shtypur</w:t>
            </w:r>
          </w:p>
        </w:tc>
      </w:tr>
      <w:tr w:rsidR="00E7344B" w:rsidRPr="00D82C18" w14:paraId="355D006B" w14:textId="77777777" w:rsidTr="004D35F1">
        <w:trPr>
          <w:trHeight w:val="2051"/>
        </w:trPr>
        <w:tc>
          <w:tcPr>
            <w:tcW w:w="9010" w:type="dxa"/>
            <w:gridSpan w:val="3"/>
            <w:vAlign w:val="center"/>
          </w:tcPr>
          <w:p w14:paraId="0054AADC" w14:textId="77777777" w:rsidR="00A03CF0" w:rsidRDefault="00A03CF0" w:rsidP="00397D09">
            <w:pPr>
              <w:spacing w:before="120" w:after="120" w:line="260" w:lineRule="atLeast"/>
              <w:rPr>
                <w:rFonts w:ascii="Verdana" w:hAnsi="Verdana"/>
                <w:b/>
                <w:sz w:val="22"/>
                <w:szCs w:val="22"/>
              </w:rPr>
            </w:pPr>
            <w:r>
              <w:rPr>
                <w:rFonts w:ascii="Verdana" w:hAnsi="Verdana"/>
                <w:b/>
                <w:sz w:val="22"/>
              </w:rPr>
              <w:t xml:space="preserve">Qëllimi i seancës:  </w:t>
            </w:r>
          </w:p>
          <w:p w14:paraId="5A6A26BD" w14:textId="4C2DD231" w:rsidR="00A03CF0" w:rsidRPr="00BA3312" w:rsidRDefault="004D35F1" w:rsidP="00397D09">
            <w:pPr>
              <w:widowControl w:val="0"/>
              <w:spacing w:before="120" w:after="120" w:line="260" w:lineRule="atLeast"/>
              <w:jc w:val="both"/>
              <w:rPr>
                <w:rFonts w:ascii="Verdana" w:hAnsi="Verdana" w:cs="Arial"/>
                <w:sz w:val="18"/>
                <w:szCs w:val="18"/>
              </w:rPr>
            </w:pPr>
            <w:r>
              <w:rPr>
                <w:rFonts w:ascii="Verdana" w:hAnsi="Verdana"/>
                <w:sz w:val="18"/>
              </w:rPr>
              <w:t xml:space="preserve">Kjo seancë është krijuar për të qenë si hyrje e përgjithshme në temë dhe një kujtesë e disa informacioneve nga kursi hyrës. Kjo seancë do të japë një përmbledhje të nevojës për bashkëpunim ndërkombëtar dhe do t'u ofrojë pjesëmarrësve një hyrje të përgjithshme mbi çështjet. Në të do të diskutohen sfidat me të cilat përballet marrja e provave elektronike në një ekonomi globale, me fokus në Konventën e Budapestit dhe nevojën për të qenë të vetëdijshëm për mjetet në dispozicion për bashkëpunimin ndërkombëtar. </w:t>
            </w:r>
          </w:p>
        </w:tc>
      </w:tr>
      <w:tr w:rsidR="00A03CF0" w:rsidRPr="00D82C18" w14:paraId="79A27A75" w14:textId="77777777" w:rsidTr="00F1574D">
        <w:trPr>
          <w:trHeight w:val="5894"/>
        </w:trPr>
        <w:tc>
          <w:tcPr>
            <w:tcW w:w="9010" w:type="dxa"/>
            <w:gridSpan w:val="3"/>
            <w:vAlign w:val="center"/>
          </w:tcPr>
          <w:p w14:paraId="4E0068BC" w14:textId="77777777" w:rsidR="00A03CF0" w:rsidRPr="0069167B" w:rsidRDefault="00271010" w:rsidP="00397D09">
            <w:pPr>
              <w:spacing w:before="120" w:after="120" w:line="260" w:lineRule="atLeast"/>
              <w:rPr>
                <w:rFonts w:ascii="Verdana" w:hAnsi="Verdana"/>
                <w:b/>
                <w:sz w:val="22"/>
                <w:szCs w:val="22"/>
              </w:rPr>
            </w:pPr>
            <w:r>
              <w:rPr>
                <w:rFonts w:ascii="Verdana" w:hAnsi="Verdana"/>
                <w:b/>
                <w:sz w:val="22"/>
              </w:rPr>
              <w:t>Objektivat:</w:t>
            </w:r>
          </w:p>
          <w:p w14:paraId="00BEE01F" w14:textId="77777777" w:rsidR="0069167B" w:rsidRPr="0069167B" w:rsidRDefault="0069167B" w:rsidP="00397D09">
            <w:pPr>
              <w:spacing w:before="120" w:after="120" w:line="260" w:lineRule="atLeast"/>
              <w:rPr>
                <w:rFonts w:ascii="Verdana" w:hAnsi="Verdana"/>
                <w:b/>
                <w:sz w:val="18"/>
                <w:szCs w:val="18"/>
              </w:rPr>
            </w:pPr>
          </w:p>
          <w:p w14:paraId="35A8C759" w14:textId="77777777" w:rsidR="0069167B" w:rsidRPr="0069167B" w:rsidRDefault="000F7896" w:rsidP="00397D09">
            <w:pPr>
              <w:tabs>
                <w:tab w:val="left" w:pos="426"/>
                <w:tab w:val="left" w:pos="851"/>
              </w:tabs>
              <w:spacing w:before="120" w:after="120" w:line="260" w:lineRule="atLeast"/>
              <w:jc w:val="both"/>
              <w:rPr>
                <w:rFonts w:ascii="Verdana" w:eastAsia="Times New Roman" w:hAnsi="Verdana" w:cs="Times New Roman"/>
                <w:sz w:val="18"/>
                <w:szCs w:val="18"/>
              </w:rPr>
            </w:pPr>
            <w:r>
              <w:rPr>
                <w:rFonts w:ascii="Verdana" w:hAnsi="Verdana"/>
                <w:sz w:val="18"/>
              </w:rPr>
              <w:t>Deri në fund të kësaj seance pjesëmarrësit do të jenë në gjendje të:</w:t>
            </w:r>
          </w:p>
          <w:p w14:paraId="26F4831E" w14:textId="77777777" w:rsidR="0069167B" w:rsidRPr="0069167B" w:rsidRDefault="00A95D42" w:rsidP="00397D09">
            <w:pPr>
              <w:pStyle w:val="ListParagraph"/>
              <w:numPr>
                <w:ilvl w:val="0"/>
                <w:numId w:val="16"/>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Pr>
                <w:rFonts w:ascii="Verdana" w:hAnsi="Verdana"/>
                <w:sz w:val="18"/>
              </w:rPr>
              <w:t>K</w:t>
            </w:r>
            <w:r w:rsidR="004D35F1">
              <w:rPr>
                <w:rFonts w:ascii="Verdana" w:hAnsi="Verdana"/>
                <w:sz w:val="18"/>
              </w:rPr>
              <w:t>upt</w:t>
            </w:r>
            <w:r>
              <w:rPr>
                <w:rFonts w:ascii="Verdana" w:hAnsi="Verdana"/>
                <w:sz w:val="18"/>
              </w:rPr>
              <w:t xml:space="preserve">ojnë </w:t>
            </w:r>
            <w:r w:rsidR="004D35F1">
              <w:rPr>
                <w:rFonts w:ascii="Verdana" w:hAnsi="Verdana"/>
                <w:sz w:val="18"/>
              </w:rPr>
              <w:t>dimensioni</w:t>
            </w:r>
            <w:r>
              <w:rPr>
                <w:rFonts w:ascii="Verdana" w:hAnsi="Verdana"/>
                <w:sz w:val="18"/>
              </w:rPr>
              <w:t>n</w:t>
            </w:r>
            <w:r w:rsidR="004D35F1">
              <w:rPr>
                <w:rFonts w:ascii="Verdana" w:hAnsi="Verdana"/>
                <w:sz w:val="18"/>
              </w:rPr>
              <w:t xml:space="preserve"> global të internetit dhe dimensionit ndërkombëtar të krimit kibernetik</w:t>
            </w:r>
          </w:p>
          <w:p w14:paraId="0D56D66A" w14:textId="77777777" w:rsidR="0069167B" w:rsidRPr="0069167B" w:rsidRDefault="004D35F1" w:rsidP="00397D09">
            <w:pPr>
              <w:pStyle w:val="ListParagraph"/>
              <w:numPr>
                <w:ilvl w:val="0"/>
                <w:numId w:val="16"/>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Pr>
                <w:rFonts w:ascii="Verdana" w:hAnsi="Verdana"/>
                <w:sz w:val="18"/>
              </w:rPr>
              <w:t>Shpjeg</w:t>
            </w:r>
            <w:r w:rsidR="00A95D42">
              <w:rPr>
                <w:rFonts w:ascii="Verdana" w:hAnsi="Verdana"/>
                <w:sz w:val="18"/>
              </w:rPr>
              <w:t>ojnë</w:t>
            </w:r>
            <w:r>
              <w:rPr>
                <w:rFonts w:ascii="Verdana" w:hAnsi="Verdana"/>
                <w:sz w:val="18"/>
              </w:rPr>
              <w:t xml:space="preserve"> rëndësi</w:t>
            </w:r>
            <w:r w:rsidR="00A95D42">
              <w:rPr>
                <w:rFonts w:ascii="Verdana" w:hAnsi="Verdana"/>
                <w:sz w:val="18"/>
              </w:rPr>
              <w:t>n</w:t>
            </w:r>
            <w:r>
              <w:rPr>
                <w:rFonts w:ascii="Verdana" w:hAnsi="Verdana"/>
                <w:sz w:val="18"/>
              </w:rPr>
              <w:t xml:space="preserve">ë </w:t>
            </w:r>
            <w:r w:rsidR="00A95D42">
              <w:rPr>
                <w:rFonts w:ascii="Verdana" w:hAnsi="Verdana"/>
                <w:sz w:val="18"/>
              </w:rPr>
              <w:t>e</w:t>
            </w:r>
            <w:r>
              <w:rPr>
                <w:rFonts w:ascii="Verdana" w:hAnsi="Verdana"/>
                <w:sz w:val="18"/>
              </w:rPr>
              <w:t xml:space="preserve"> bashkëpunimit ndërkombëtar dhe njohja e instrumenteve në dispozicion për bashkëpunimin ndërkombëtar në fushën e krimit kibernetik</w:t>
            </w:r>
          </w:p>
          <w:p w14:paraId="576C630B" w14:textId="77777777" w:rsidR="0069167B" w:rsidRPr="0069167B" w:rsidRDefault="004D35F1" w:rsidP="00397D09">
            <w:pPr>
              <w:pStyle w:val="ListParagraph"/>
              <w:numPr>
                <w:ilvl w:val="0"/>
                <w:numId w:val="16"/>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Pr>
                <w:rFonts w:ascii="Verdana" w:hAnsi="Verdana"/>
                <w:sz w:val="18"/>
              </w:rPr>
              <w:t>Identifikojnë nevojën për kanale shumë të shpejta dhe efikase për bashkëpunim ndërkombëtar dhe instrumentet në dispozicion, mënyrat e përdorimit të tyre, afatet kohore dhe efektivitetin</w:t>
            </w:r>
          </w:p>
          <w:p w14:paraId="74208239" w14:textId="77777777" w:rsidR="0069167B" w:rsidRPr="0069167B" w:rsidRDefault="004D35F1" w:rsidP="00397D09">
            <w:pPr>
              <w:pStyle w:val="ListParagraph"/>
              <w:numPr>
                <w:ilvl w:val="0"/>
                <w:numId w:val="16"/>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Pr>
                <w:rFonts w:ascii="Verdana" w:hAnsi="Verdana"/>
                <w:sz w:val="18"/>
              </w:rPr>
              <w:t>Përshkruajnë përpjekjet nga organizatat ndërkombëtare në lidhje me zbatimin e modaliteteve të reja të bashkëpunimit ndërkombëtar</w:t>
            </w:r>
          </w:p>
          <w:p w14:paraId="1E30ADC2" w14:textId="77777777" w:rsidR="004D35F1" w:rsidRPr="0069167B" w:rsidRDefault="004D35F1" w:rsidP="00397D09">
            <w:pPr>
              <w:pStyle w:val="ListParagraph"/>
              <w:numPr>
                <w:ilvl w:val="0"/>
                <w:numId w:val="16"/>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Pr>
                <w:rFonts w:ascii="Verdana" w:hAnsi="Verdana"/>
                <w:sz w:val="18"/>
              </w:rPr>
              <w:t xml:space="preserve">Diskutojnë mbi Konventën e Budapestit mbi krimin kibernetik - identifikojnë parimet e saj të përgjithshme </w:t>
            </w:r>
          </w:p>
          <w:p w14:paraId="4F07CF24" w14:textId="77777777" w:rsidR="004D35F1" w:rsidRPr="00A95D42" w:rsidRDefault="004D35F1" w:rsidP="00397D09">
            <w:pPr>
              <w:pStyle w:val="bul1"/>
              <w:numPr>
                <w:ilvl w:val="0"/>
                <w:numId w:val="0"/>
              </w:numPr>
              <w:spacing w:before="120" w:after="120" w:line="260" w:lineRule="atLeast"/>
            </w:pPr>
          </w:p>
        </w:tc>
      </w:tr>
      <w:tr w:rsidR="005703B7" w:rsidRPr="00D82C18" w14:paraId="51E7F1AA" w14:textId="77777777" w:rsidTr="00BA3312">
        <w:trPr>
          <w:trHeight w:val="4580"/>
        </w:trPr>
        <w:tc>
          <w:tcPr>
            <w:tcW w:w="9010" w:type="dxa"/>
            <w:gridSpan w:val="3"/>
            <w:tcBorders>
              <w:bottom w:val="single" w:sz="4" w:space="0" w:color="auto"/>
            </w:tcBorders>
            <w:vAlign w:val="center"/>
          </w:tcPr>
          <w:p w14:paraId="6940C74C" w14:textId="77777777" w:rsidR="005703B7" w:rsidRDefault="00E95703" w:rsidP="00397D09">
            <w:pPr>
              <w:spacing w:before="120" w:after="120" w:line="260" w:lineRule="atLeast"/>
              <w:rPr>
                <w:rFonts w:ascii="Verdana" w:hAnsi="Verdana"/>
                <w:b/>
                <w:color w:val="000000" w:themeColor="text1"/>
                <w:sz w:val="22"/>
                <w:szCs w:val="22"/>
              </w:rPr>
            </w:pPr>
            <w:r>
              <w:rPr>
                <w:rFonts w:ascii="Verdana" w:hAnsi="Verdana"/>
                <w:b/>
                <w:color w:val="000000" w:themeColor="text1"/>
                <w:sz w:val="22"/>
              </w:rPr>
              <w:lastRenderedPageBreak/>
              <w:t>Udhëzimi për trajnerë</w:t>
            </w:r>
          </w:p>
          <w:p w14:paraId="752AA4EB" w14:textId="77777777" w:rsidR="0069167B" w:rsidRDefault="004D35F1" w:rsidP="00397D09">
            <w:pPr>
              <w:spacing w:beforeLines="20" w:before="48" w:afterLines="120" w:after="288" w:line="260" w:lineRule="atLeast"/>
              <w:jc w:val="both"/>
              <w:rPr>
                <w:rFonts w:ascii="Verdana" w:hAnsi="Verdana"/>
                <w:bCs/>
                <w:color w:val="000000" w:themeColor="text1"/>
                <w:sz w:val="18"/>
                <w:szCs w:val="18"/>
              </w:rPr>
            </w:pPr>
            <w:r>
              <w:rPr>
                <w:rFonts w:ascii="Verdana" w:hAnsi="Verdana"/>
                <w:color w:val="000000" w:themeColor="text1"/>
                <w:sz w:val="18"/>
              </w:rPr>
              <w:t>Gjatë seancës duhet të merren parasysh temat vijuese:</w:t>
            </w:r>
          </w:p>
          <w:p w14:paraId="0005C44F" w14:textId="77777777" w:rsidR="0069167B" w:rsidRPr="00397D09" w:rsidRDefault="004D35F1" w:rsidP="00397D09">
            <w:pPr>
              <w:pStyle w:val="ListParagraph"/>
              <w:numPr>
                <w:ilvl w:val="0"/>
                <w:numId w:val="16"/>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397D09">
              <w:rPr>
                <w:rFonts w:ascii="Verdana" w:eastAsia="Times New Roman" w:hAnsi="Verdana" w:cs="Times New Roman"/>
                <w:sz w:val="18"/>
                <w:szCs w:val="18"/>
              </w:rPr>
              <w:t xml:space="preserve">Diskutimi mbi krimin kibernetik dhe provat elektronike duke u fokusuar në karakteristikat e tyre kryesore përcaktuese </w:t>
            </w:r>
          </w:p>
          <w:p w14:paraId="7848C4C4" w14:textId="77777777" w:rsidR="0069167B" w:rsidRPr="00397D09" w:rsidRDefault="004D35F1" w:rsidP="00397D09">
            <w:pPr>
              <w:pStyle w:val="ListParagraph"/>
              <w:numPr>
                <w:ilvl w:val="0"/>
                <w:numId w:val="16"/>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397D09">
              <w:rPr>
                <w:rFonts w:ascii="Verdana" w:eastAsia="Times New Roman" w:hAnsi="Verdana" w:cs="Times New Roman"/>
                <w:sz w:val="18"/>
                <w:szCs w:val="18"/>
              </w:rPr>
              <w:t xml:space="preserve">Çfarë sfidash përfshihen në marrjen e provave elektronike në një ekonomi globale - kjo do të përfshijë, ndër të tjera, shqyrtimin e problemit </w:t>
            </w:r>
          </w:p>
          <w:p w14:paraId="1AB18AA5" w14:textId="77777777" w:rsidR="0069167B" w:rsidRPr="00397D09" w:rsidRDefault="004D35F1" w:rsidP="00397D09">
            <w:pPr>
              <w:pStyle w:val="ListParagraph"/>
              <w:numPr>
                <w:ilvl w:val="0"/>
                <w:numId w:val="16"/>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397D09">
              <w:rPr>
                <w:rFonts w:ascii="Verdana" w:eastAsia="Times New Roman" w:hAnsi="Verdana" w:cs="Times New Roman"/>
                <w:sz w:val="18"/>
                <w:szCs w:val="18"/>
              </w:rPr>
              <w:t xml:space="preserve">Nevoja për bashkëpunim ndërkombëtar dhe të jenë të vetëdijshëm për mjetet në dispozicion.  Kjo do të përfshijë një diskutim të shkurtër mbi bashkëpunimin zyrtar dhe joformal (me fokus në Konventën e Budapestit). </w:t>
            </w:r>
          </w:p>
          <w:p w14:paraId="28208B86" w14:textId="77777777" w:rsidR="0069167B" w:rsidRPr="00397D09" w:rsidRDefault="004D35F1" w:rsidP="00397D09">
            <w:pPr>
              <w:pStyle w:val="ListParagraph"/>
              <w:numPr>
                <w:ilvl w:val="0"/>
                <w:numId w:val="16"/>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397D09">
              <w:rPr>
                <w:rFonts w:ascii="Verdana" w:eastAsia="Times New Roman" w:hAnsi="Verdana" w:cs="Times New Roman"/>
                <w:sz w:val="18"/>
                <w:szCs w:val="18"/>
              </w:rPr>
              <w:t>Bashkëpunimi zyrtar (ndihma juridike e ndërsjellë në çështjet penale - shkëmbimi i provave)</w:t>
            </w:r>
          </w:p>
          <w:p w14:paraId="03955446" w14:textId="77777777" w:rsidR="0069167B" w:rsidRPr="00397D09" w:rsidRDefault="004D35F1" w:rsidP="00397D09">
            <w:pPr>
              <w:pStyle w:val="ListParagraph"/>
              <w:numPr>
                <w:ilvl w:val="0"/>
                <w:numId w:val="16"/>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397D09">
              <w:rPr>
                <w:rFonts w:ascii="Verdana" w:eastAsia="Times New Roman" w:hAnsi="Verdana" w:cs="Times New Roman"/>
                <w:sz w:val="18"/>
                <w:szCs w:val="18"/>
              </w:rPr>
              <w:t>Bashkëpunimi pothuajse joformal (shkëmbimi i informacionit bazuar në disa rregulla / strukturë - p.sh. Interpol)</w:t>
            </w:r>
          </w:p>
          <w:p w14:paraId="12CEA493" w14:textId="77777777" w:rsidR="0069167B" w:rsidRPr="00397D09" w:rsidRDefault="004D35F1" w:rsidP="00397D09">
            <w:pPr>
              <w:pStyle w:val="ListParagraph"/>
              <w:numPr>
                <w:ilvl w:val="0"/>
                <w:numId w:val="16"/>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397D09">
              <w:rPr>
                <w:rFonts w:ascii="Verdana" w:eastAsia="Times New Roman" w:hAnsi="Verdana" w:cs="Times New Roman"/>
                <w:sz w:val="18"/>
                <w:szCs w:val="18"/>
              </w:rPr>
              <w:t xml:space="preserve">bashkëpunimi joformal (shkëmbimi i informacionit në mënyrë joformale - p.sh. bashkëpunimi polici me polici) </w:t>
            </w:r>
          </w:p>
          <w:p w14:paraId="1C8C5626" w14:textId="77777777" w:rsidR="0069167B" w:rsidRPr="00397D09" w:rsidRDefault="004D35F1" w:rsidP="00397D09">
            <w:pPr>
              <w:pStyle w:val="ListParagraph"/>
              <w:numPr>
                <w:ilvl w:val="0"/>
                <w:numId w:val="16"/>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397D09">
              <w:rPr>
                <w:rFonts w:ascii="Verdana" w:eastAsia="Times New Roman" w:hAnsi="Verdana" w:cs="Times New Roman"/>
                <w:sz w:val="18"/>
                <w:szCs w:val="18"/>
              </w:rPr>
              <w:t>Bashkëpunimi i sektorit privat (shkëmbimi i informacionit ndërmjet sektorit privat dhe zbatimit të ligjit)</w:t>
            </w:r>
          </w:p>
          <w:p w14:paraId="5DC7B7ED" w14:textId="7B28241E" w:rsidR="00006EAD" w:rsidRPr="00BA3312" w:rsidRDefault="004D35F1" w:rsidP="00397D09">
            <w:pPr>
              <w:pStyle w:val="ListParagraph"/>
              <w:numPr>
                <w:ilvl w:val="0"/>
                <w:numId w:val="16"/>
              </w:numPr>
              <w:tabs>
                <w:tab w:val="left" w:pos="426"/>
                <w:tab w:val="left" w:pos="851"/>
              </w:tabs>
              <w:spacing w:before="120" w:after="120" w:line="260" w:lineRule="atLeast"/>
              <w:contextualSpacing w:val="0"/>
              <w:jc w:val="both"/>
              <w:rPr>
                <w:rFonts w:ascii="Verdana" w:hAnsi="Verdana"/>
                <w:bCs/>
                <w:color w:val="000000" w:themeColor="text1"/>
                <w:sz w:val="18"/>
                <w:szCs w:val="18"/>
              </w:rPr>
            </w:pPr>
            <w:r w:rsidRPr="00397D09">
              <w:rPr>
                <w:rFonts w:ascii="Verdana" w:eastAsia="Times New Roman" w:hAnsi="Verdana" w:cs="Times New Roman"/>
                <w:sz w:val="18"/>
                <w:szCs w:val="18"/>
              </w:rPr>
              <w:t>Duhet të përdoret një rast studimi që mund të ilustrojë sfida të tilla</w:t>
            </w:r>
          </w:p>
        </w:tc>
      </w:tr>
      <w:tr w:rsidR="005A4E47" w:rsidRPr="00D82C18" w14:paraId="01DB913C"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4A2ED62E" w14:textId="77777777" w:rsidR="005A4E47" w:rsidRPr="00CB3026" w:rsidRDefault="005A4E47" w:rsidP="00397D09">
            <w:pPr>
              <w:spacing w:before="120" w:after="120" w:line="260" w:lineRule="atLeast"/>
              <w:rPr>
                <w:rFonts w:ascii="Verdana" w:hAnsi="Verdana"/>
                <w:b/>
                <w:sz w:val="28"/>
                <w:szCs w:val="28"/>
              </w:rPr>
            </w:pPr>
            <w:r>
              <w:rPr>
                <w:rFonts w:ascii="Verdana" w:hAnsi="Verdana"/>
                <w:b/>
                <w:sz w:val="28"/>
              </w:rPr>
              <w:t>Përmbajtja e Mësimit</w:t>
            </w:r>
          </w:p>
        </w:tc>
      </w:tr>
      <w:tr w:rsidR="00F1574D" w:rsidRPr="00D82C18" w14:paraId="2B426152" w14:textId="77777777" w:rsidTr="00F1574D">
        <w:trPr>
          <w:trHeight w:val="629"/>
        </w:trPr>
        <w:tc>
          <w:tcPr>
            <w:tcW w:w="1525" w:type="dxa"/>
            <w:shd w:val="clear" w:color="auto" w:fill="D9E2F3" w:themeFill="accent1" w:themeFillTint="33"/>
            <w:vAlign w:val="center"/>
          </w:tcPr>
          <w:p w14:paraId="5F5F5B33" w14:textId="77777777" w:rsidR="00D82C18" w:rsidRPr="00E13BE7" w:rsidRDefault="00E13BE7" w:rsidP="00397D09">
            <w:pPr>
              <w:spacing w:before="120" w:after="120" w:line="260" w:lineRule="atLeast"/>
              <w:jc w:val="center"/>
              <w:rPr>
                <w:rFonts w:ascii="Verdana" w:hAnsi="Verdana"/>
                <w:b/>
                <w:sz w:val="22"/>
                <w:szCs w:val="22"/>
              </w:rPr>
            </w:pPr>
            <w:r>
              <w:rPr>
                <w:rFonts w:ascii="Verdana" w:hAnsi="Verdana"/>
                <w:b/>
                <w:sz w:val="22"/>
              </w:rPr>
              <w:t>Numrat e slajdeve</w:t>
            </w:r>
          </w:p>
        </w:tc>
        <w:tc>
          <w:tcPr>
            <w:tcW w:w="7485" w:type="dxa"/>
            <w:gridSpan w:val="2"/>
            <w:shd w:val="clear" w:color="auto" w:fill="D9E2F3" w:themeFill="accent1" w:themeFillTint="33"/>
            <w:vAlign w:val="center"/>
          </w:tcPr>
          <w:p w14:paraId="683A9A67" w14:textId="77777777" w:rsidR="00D82C18" w:rsidRPr="00E13BE7" w:rsidRDefault="00E13BE7" w:rsidP="00397D09">
            <w:pPr>
              <w:spacing w:before="120" w:after="120" w:line="260" w:lineRule="atLeast"/>
              <w:rPr>
                <w:rFonts w:ascii="Verdana" w:hAnsi="Verdana"/>
                <w:b/>
                <w:sz w:val="22"/>
                <w:szCs w:val="22"/>
              </w:rPr>
            </w:pPr>
            <w:r>
              <w:rPr>
                <w:rFonts w:ascii="Verdana" w:hAnsi="Verdana"/>
                <w:b/>
                <w:sz w:val="22"/>
              </w:rPr>
              <w:t>Përmbajtja</w:t>
            </w:r>
          </w:p>
        </w:tc>
      </w:tr>
      <w:tr w:rsidR="00F1574D" w:rsidRPr="00D82C18" w14:paraId="40FA0D94" w14:textId="77777777" w:rsidTr="00BD7897">
        <w:trPr>
          <w:trHeight w:val="1043"/>
        </w:trPr>
        <w:tc>
          <w:tcPr>
            <w:tcW w:w="1525" w:type="dxa"/>
            <w:vAlign w:val="center"/>
          </w:tcPr>
          <w:p w14:paraId="2C9C62F4" w14:textId="77777777" w:rsidR="00D82C18" w:rsidRDefault="003630ED" w:rsidP="00397D09">
            <w:pPr>
              <w:spacing w:before="120" w:after="120" w:line="260" w:lineRule="atLeast"/>
              <w:jc w:val="center"/>
              <w:rPr>
                <w:rFonts w:ascii="Verdana" w:hAnsi="Verdana"/>
                <w:sz w:val="18"/>
                <w:szCs w:val="18"/>
              </w:rPr>
            </w:pPr>
            <w:r>
              <w:rPr>
                <w:rFonts w:ascii="Verdana" w:hAnsi="Verdana"/>
                <w:sz w:val="18"/>
              </w:rPr>
              <w:t>1 deri 3</w:t>
            </w:r>
          </w:p>
          <w:p w14:paraId="068CEE28" w14:textId="77777777" w:rsidR="00F1574D" w:rsidRPr="00F62A15" w:rsidRDefault="00F1574D" w:rsidP="00397D09">
            <w:pPr>
              <w:spacing w:before="120" w:after="120" w:line="260" w:lineRule="atLeast"/>
              <w:jc w:val="center"/>
              <w:rPr>
                <w:rFonts w:ascii="Verdana" w:hAnsi="Verdana"/>
                <w:sz w:val="18"/>
                <w:szCs w:val="18"/>
              </w:rPr>
            </w:pPr>
          </w:p>
        </w:tc>
        <w:tc>
          <w:tcPr>
            <w:tcW w:w="7485" w:type="dxa"/>
            <w:gridSpan w:val="2"/>
            <w:vAlign w:val="center"/>
          </w:tcPr>
          <w:p w14:paraId="77A99D07" w14:textId="4DFE7D85" w:rsidR="00556D69" w:rsidRPr="00556D69" w:rsidRDefault="00556D69" w:rsidP="00397D09">
            <w:pPr>
              <w:spacing w:before="120" w:after="120" w:line="260" w:lineRule="atLeast"/>
              <w:jc w:val="both"/>
              <w:rPr>
                <w:rFonts w:ascii="Verdana" w:hAnsi="Verdana"/>
                <w:color w:val="FF0000"/>
                <w:sz w:val="18"/>
                <w:szCs w:val="18"/>
              </w:rPr>
            </w:pPr>
            <w:r>
              <w:rPr>
                <w:rFonts w:ascii="Verdana" w:hAnsi="Verdana"/>
                <w:color w:val="000000" w:themeColor="text1"/>
                <w:sz w:val="18"/>
              </w:rPr>
              <w:t xml:space="preserve">Slajdet e hapjes janë hyrja në seancë dhe përfshijnë agjendën dhe objektivat e seancës së bashku me disa nëntema të reja nga trajnimi Hyrës.  </w:t>
            </w:r>
          </w:p>
        </w:tc>
      </w:tr>
      <w:tr w:rsidR="00F1574D" w:rsidRPr="00D82C18" w14:paraId="4D6276C4" w14:textId="77777777" w:rsidTr="00F1574D">
        <w:trPr>
          <w:trHeight w:val="1880"/>
        </w:trPr>
        <w:tc>
          <w:tcPr>
            <w:tcW w:w="1525" w:type="dxa"/>
            <w:vAlign w:val="center"/>
          </w:tcPr>
          <w:p w14:paraId="53E7C04E" w14:textId="77777777" w:rsidR="00F1574D" w:rsidRPr="003630ED" w:rsidRDefault="0069167B" w:rsidP="00397D09">
            <w:pPr>
              <w:spacing w:before="120" w:after="120" w:line="260" w:lineRule="atLeast"/>
              <w:jc w:val="center"/>
              <w:rPr>
                <w:rFonts w:ascii="Verdana" w:hAnsi="Verdana"/>
                <w:sz w:val="18"/>
                <w:szCs w:val="18"/>
              </w:rPr>
            </w:pPr>
            <w:r>
              <w:rPr>
                <w:rFonts w:ascii="Verdana" w:hAnsi="Verdana"/>
                <w:sz w:val="18"/>
              </w:rPr>
              <w:t>4 - 6</w:t>
            </w:r>
          </w:p>
        </w:tc>
        <w:tc>
          <w:tcPr>
            <w:tcW w:w="7485" w:type="dxa"/>
            <w:gridSpan w:val="2"/>
            <w:vAlign w:val="center"/>
          </w:tcPr>
          <w:p w14:paraId="7CC94C7F" w14:textId="77777777" w:rsidR="00BD7897" w:rsidRPr="00BD7897" w:rsidRDefault="00556D69" w:rsidP="00397D09">
            <w:pPr>
              <w:pStyle w:val="Subtitle"/>
              <w:spacing w:before="120" w:line="260" w:lineRule="atLeast"/>
              <w:rPr>
                <w:rFonts w:ascii="Verdana" w:eastAsia="Times New Roman" w:hAnsi="Verdana"/>
              </w:rPr>
            </w:pPr>
            <w:r>
              <w:rPr>
                <w:rFonts w:ascii="Verdana" w:hAnsi="Verdana"/>
              </w:rPr>
              <w:t xml:space="preserve">Këto slajde vendosin “skenën” për pyetjet themelore në lidhje me ndihmën juridike të ndërsjellë në çështjet penale. Eksperti duhet t'i paraqesë ato si një parathënie të procedurave pasuese që do të ndodhin. </w:t>
            </w:r>
          </w:p>
          <w:p w14:paraId="51888E02" w14:textId="77777777" w:rsidR="00BD7897" w:rsidRPr="00BD7897" w:rsidRDefault="00BD7897" w:rsidP="00397D09">
            <w:pPr>
              <w:pStyle w:val="Subtitle"/>
              <w:spacing w:before="120" w:line="260" w:lineRule="atLeast"/>
              <w:rPr>
                <w:rFonts w:ascii="Verdana" w:eastAsia="Times New Roman" w:hAnsi="Verdana"/>
              </w:rPr>
            </w:pPr>
            <w:r>
              <w:rPr>
                <w:rFonts w:ascii="Verdana" w:hAnsi="Verdana"/>
              </w:rPr>
              <w:t xml:space="preserve">Në procedurat e NJN-së, ashtu si në hetimet e brendshme, autoritetet kompetente do të ballafaqohen me pyetje në lidhje me juridiksionin ose kompetencën territoriale, të autoritetit dhe të autoritetit të brendshëm të autoritetit/autoriteteve kërkuese. Si në shumë vende, vendi i kryerjes do të jetë fakti përcaktues për krijimin e kompetencës së duhur. </w:t>
            </w:r>
          </w:p>
          <w:p w14:paraId="2D666CA3" w14:textId="37224370" w:rsidR="00CB3026" w:rsidRPr="00CB3026" w:rsidRDefault="00BD7897" w:rsidP="00397D09">
            <w:pPr>
              <w:pStyle w:val="Subtitle"/>
              <w:spacing w:before="120" w:line="260" w:lineRule="atLeast"/>
              <w:rPr>
                <w:rFonts w:ascii="Verdana" w:eastAsia="Times New Roman" w:hAnsi="Verdana"/>
              </w:rPr>
            </w:pPr>
            <w:r>
              <w:rPr>
                <w:rFonts w:ascii="Verdana" w:hAnsi="Verdana"/>
              </w:rPr>
              <w:t>Pjesëmarrësit duhet të jenë të vetëdijshëm se ka disa vështirësi në lidhje me hetimet që tejkalojnë kufijtë e brendshëm. Ato mund të jenë faktor kufizues si nevoja për hetim ndërkufitar dhe qasja në vendin e ruajtjes së të dhënave në mjedisin teknik "cloud-re" të shpjeguara gjatë seancës së provave elektronike në trajnimin Hyrës.</w:t>
            </w:r>
          </w:p>
        </w:tc>
      </w:tr>
      <w:tr w:rsidR="00F1574D" w:rsidRPr="00D82C18" w14:paraId="5F23599E" w14:textId="77777777" w:rsidTr="00F1574D">
        <w:trPr>
          <w:trHeight w:val="1916"/>
        </w:trPr>
        <w:tc>
          <w:tcPr>
            <w:tcW w:w="1525" w:type="dxa"/>
            <w:vAlign w:val="center"/>
          </w:tcPr>
          <w:p w14:paraId="557316F7" w14:textId="77777777" w:rsidR="00F1574D" w:rsidRDefault="00BD7897" w:rsidP="00397D09">
            <w:pPr>
              <w:spacing w:before="120" w:after="120" w:line="260" w:lineRule="atLeast"/>
              <w:jc w:val="center"/>
              <w:rPr>
                <w:rFonts w:ascii="Verdana" w:hAnsi="Verdana"/>
                <w:sz w:val="18"/>
                <w:szCs w:val="18"/>
              </w:rPr>
            </w:pPr>
            <w:r>
              <w:rPr>
                <w:rFonts w:ascii="Verdana" w:hAnsi="Verdana"/>
                <w:sz w:val="18"/>
              </w:rPr>
              <w:t>7 deri 20</w:t>
            </w:r>
          </w:p>
        </w:tc>
        <w:tc>
          <w:tcPr>
            <w:tcW w:w="7485" w:type="dxa"/>
            <w:gridSpan w:val="2"/>
            <w:vAlign w:val="center"/>
          </w:tcPr>
          <w:p w14:paraId="3B44F2CC" w14:textId="77777777" w:rsidR="00556D69" w:rsidRDefault="00FE45CA" w:rsidP="00397D09">
            <w:pPr>
              <w:pStyle w:val="Subtitle"/>
              <w:spacing w:before="120" w:line="260" w:lineRule="atLeast"/>
              <w:rPr>
                <w:rFonts w:ascii="Verdana" w:eastAsia="Times New Roman" w:hAnsi="Verdana"/>
              </w:rPr>
            </w:pPr>
            <w:r>
              <w:rPr>
                <w:rFonts w:ascii="Verdana" w:hAnsi="Verdana"/>
              </w:rPr>
              <w:t>Këto slajde freskojnë kujtesën e pjesëmarrësve për shumë organizata ndërkombëtare të cilat përpiqen të gjejnë qasje adekuate ndaj fenomenit të krimit kibernetik. Interpol, Rrjeti CoP 24/7, Europol, Eurojust, Rrjeti Evropian Gjyqësor për Krimin Kibernetik, Këshilli i Evropës, Kombet e Bashkuara, G8, Bashkimi Afrikan dhe shembujt e Komonuelthit paraqiten me materiale shtesë të hollësishme në shënimet e secilit slajd.</w:t>
            </w:r>
          </w:p>
        </w:tc>
      </w:tr>
      <w:tr w:rsidR="00F1574D" w:rsidRPr="00D82C18" w14:paraId="29E81B49" w14:textId="77777777" w:rsidTr="006B6FDF">
        <w:trPr>
          <w:trHeight w:val="440"/>
        </w:trPr>
        <w:tc>
          <w:tcPr>
            <w:tcW w:w="1525" w:type="dxa"/>
            <w:vAlign w:val="center"/>
          </w:tcPr>
          <w:p w14:paraId="6A31F69C" w14:textId="77777777" w:rsidR="00556D69" w:rsidRDefault="00BD7897" w:rsidP="00397D09">
            <w:pPr>
              <w:spacing w:before="120" w:after="120" w:line="260" w:lineRule="atLeast"/>
              <w:jc w:val="center"/>
              <w:rPr>
                <w:rFonts w:ascii="Verdana" w:hAnsi="Verdana"/>
                <w:sz w:val="18"/>
                <w:szCs w:val="18"/>
              </w:rPr>
            </w:pPr>
            <w:r>
              <w:rPr>
                <w:rFonts w:ascii="Verdana" w:hAnsi="Verdana"/>
                <w:sz w:val="18"/>
              </w:rPr>
              <w:lastRenderedPageBreak/>
              <w:t>21 deri 28</w:t>
            </w:r>
          </w:p>
        </w:tc>
        <w:tc>
          <w:tcPr>
            <w:tcW w:w="7485" w:type="dxa"/>
            <w:gridSpan w:val="2"/>
            <w:vAlign w:val="center"/>
          </w:tcPr>
          <w:p w14:paraId="19CEB450" w14:textId="77777777" w:rsidR="00450007" w:rsidRPr="0034224C" w:rsidRDefault="00BD7897" w:rsidP="00397D09">
            <w:pPr>
              <w:pStyle w:val="Subtitle"/>
              <w:spacing w:before="120" w:line="260" w:lineRule="atLeast"/>
              <w:rPr>
                <w:rFonts w:ascii="Verdana" w:eastAsia="Times New Roman" w:hAnsi="Verdana"/>
              </w:rPr>
            </w:pPr>
            <w:r>
              <w:rPr>
                <w:rFonts w:ascii="Verdana" w:hAnsi="Verdana"/>
              </w:rPr>
              <w:t>Këto slajde freskojnë kujtesën e pjesëmarrësve në lidhje me nenet e bashkëpunimit ndërkombëtar të Konventës së Budapestit dhe parimet e saj të përgjithshme dhe kompetencat specifike procedurale së bashku me mjetet e bashkëpunimit ndërkombëtar në kuptimin e përgjithshëm siç janë Traktatet e Ndihmës Juridike të Ndërsjellë dhe Ligjet e Ndihmës Juridike të Ndërsjellë.</w:t>
            </w:r>
          </w:p>
        </w:tc>
      </w:tr>
      <w:tr w:rsidR="00F1574D" w:rsidRPr="00D82C18" w14:paraId="51DC5092" w14:textId="77777777" w:rsidTr="00F1574D">
        <w:trPr>
          <w:trHeight w:val="890"/>
        </w:trPr>
        <w:tc>
          <w:tcPr>
            <w:tcW w:w="1525" w:type="dxa"/>
            <w:vAlign w:val="center"/>
          </w:tcPr>
          <w:p w14:paraId="486B782A" w14:textId="77777777" w:rsidR="00F1574D" w:rsidRPr="006B6FDF" w:rsidRDefault="006B6FDF" w:rsidP="00397D09">
            <w:pPr>
              <w:spacing w:before="120" w:after="120" w:line="260" w:lineRule="atLeast"/>
              <w:jc w:val="center"/>
              <w:rPr>
                <w:rFonts w:ascii="Verdana" w:hAnsi="Verdana"/>
                <w:sz w:val="18"/>
                <w:szCs w:val="18"/>
              </w:rPr>
            </w:pPr>
            <w:r>
              <w:rPr>
                <w:rFonts w:ascii="Verdana" w:hAnsi="Verdana"/>
                <w:sz w:val="18"/>
              </w:rPr>
              <w:t>29 deri 34</w:t>
            </w:r>
          </w:p>
        </w:tc>
        <w:tc>
          <w:tcPr>
            <w:tcW w:w="7485" w:type="dxa"/>
            <w:gridSpan w:val="2"/>
            <w:vAlign w:val="center"/>
          </w:tcPr>
          <w:p w14:paraId="5DEDC962" w14:textId="77777777" w:rsidR="00AB07AA" w:rsidRDefault="003F6587" w:rsidP="00397D09">
            <w:pPr>
              <w:spacing w:before="120" w:after="120" w:line="260" w:lineRule="atLeast"/>
              <w:jc w:val="both"/>
              <w:rPr>
                <w:rFonts w:ascii="Verdana" w:hAnsi="Verdana"/>
                <w:sz w:val="18"/>
                <w:szCs w:val="18"/>
              </w:rPr>
            </w:pPr>
            <w:r>
              <w:rPr>
                <w:rFonts w:ascii="Verdana" w:hAnsi="Verdana"/>
                <w:sz w:val="18"/>
              </w:rPr>
              <w:t xml:space="preserve">Këto slajde paraqesin disa nga karakteristikat ekzistuese kryesore përcaktuese të koncepteve si "krimi kompjuterik" dhe "krimi rrjeti" së bashku me klasifikimin e veprave ekzistuese bazuar në dispozitat e Konventës së Budapestit. </w:t>
            </w:r>
          </w:p>
          <w:p w14:paraId="0653A48C" w14:textId="77777777" w:rsidR="00556D69" w:rsidRPr="006527C6" w:rsidRDefault="00CC2222" w:rsidP="00397D09">
            <w:pPr>
              <w:spacing w:before="120" w:after="120" w:line="260" w:lineRule="atLeast"/>
              <w:jc w:val="both"/>
              <w:rPr>
                <w:rFonts w:ascii="Verdana" w:hAnsi="Verdana"/>
                <w:sz w:val="18"/>
                <w:szCs w:val="18"/>
              </w:rPr>
            </w:pPr>
            <w:r>
              <w:rPr>
                <w:rFonts w:ascii="Verdana" w:hAnsi="Verdana"/>
                <w:sz w:val="18"/>
              </w:rPr>
              <w:t>Eksperti duhet t'u shpjegojë pjesëmarrësve se për shkak të zhvillimit të teknologjisë nuk duhet të pritet që të gjitha krimet të konsiderohen si krim kibernetik por vetëm forma të cilat përcaktohen si të tilla nga ligji ose ato varen nga TIK-u për kryerjen e tij.</w:t>
            </w:r>
          </w:p>
        </w:tc>
      </w:tr>
      <w:tr w:rsidR="00F1574D" w:rsidRPr="00D82C18" w14:paraId="50619A3F" w14:textId="77777777" w:rsidTr="00F1574D">
        <w:trPr>
          <w:trHeight w:val="1295"/>
        </w:trPr>
        <w:tc>
          <w:tcPr>
            <w:tcW w:w="1525" w:type="dxa"/>
            <w:vAlign w:val="center"/>
          </w:tcPr>
          <w:p w14:paraId="0C0BD658" w14:textId="77777777" w:rsidR="00F1574D" w:rsidRPr="003F6587" w:rsidRDefault="00CC2222" w:rsidP="00397D09">
            <w:pPr>
              <w:spacing w:before="120" w:after="120" w:line="260" w:lineRule="atLeast"/>
              <w:jc w:val="center"/>
              <w:rPr>
                <w:rFonts w:ascii="Verdana" w:hAnsi="Verdana"/>
                <w:sz w:val="18"/>
                <w:szCs w:val="18"/>
              </w:rPr>
            </w:pPr>
            <w:r>
              <w:rPr>
                <w:rFonts w:ascii="Verdana" w:hAnsi="Verdana"/>
                <w:sz w:val="18"/>
              </w:rPr>
              <w:t>35 deri 44</w:t>
            </w:r>
          </w:p>
        </w:tc>
        <w:tc>
          <w:tcPr>
            <w:tcW w:w="7485" w:type="dxa"/>
            <w:gridSpan w:val="2"/>
            <w:vAlign w:val="center"/>
          </w:tcPr>
          <w:p w14:paraId="3D2AB7A0" w14:textId="77777777" w:rsidR="00AB07AA" w:rsidRDefault="00AB07AA" w:rsidP="00397D09">
            <w:pPr>
              <w:spacing w:before="120" w:after="120" w:line="260" w:lineRule="atLeast"/>
              <w:jc w:val="both"/>
              <w:rPr>
                <w:rFonts w:ascii="Verdana" w:hAnsi="Verdana"/>
                <w:sz w:val="18"/>
                <w:szCs w:val="18"/>
              </w:rPr>
            </w:pPr>
            <w:r>
              <w:rPr>
                <w:rFonts w:ascii="Verdana" w:hAnsi="Verdana"/>
                <w:sz w:val="18"/>
              </w:rPr>
              <w:t>Këto slajde paraqesin ekspozimin elektronik të provave ndaj sfidave shumë më të rëndësishme për gjetjen, blerjen, analizimin dhe përdorimin e tyre gjatë procedurave penale. Slajdet do të mbulojnë disa nga aspektet e rëndësishme të tij si sfida e shpejtësisë, kohës, atribuimit dhe sfidës së sistemeve ligjore dhe rregullave të aplikuara.</w:t>
            </w:r>
          </w:p>
          <w:p w14:paraId="2AD33DCF" w14:textId="77777777" w:rsidR="00AB07AA" w:rsidRDefault="00AB07AA" w:rsidP="00397D09">
            <w:pPr>
              <w:spacing w:before="120" w:after="120" w:line="260" w:lineRule="atLeast"/>
              <w:jc w:val="both"/>
              <w:rPr>
                <w:rFonts w:ascii="Verdana" w:hAnsi="Verdana"/>
                <w:sz w:val="18"/>
                <w:szCs w:val="18"/>
              </w:rPr>
            </w:pPr>
            <w:r>
              <w:rPr>
                <w:rFonts w:ascii="Verdana" w:hAnsi="Verdana"/>
                <w:sz w:val="18"/>
              </w:rPr>
              <w:t>Shpejtësia është thelbësore për gjetjen dhe marrjen e provave elektronike. Vende të ndryshme kanë rregulla të ndryshme në lidhje me mbajtjen dhe ruajtjen e provave elektronike. Disa vende kanë regjim të mbajtjes së të dhënave ndërsa të tjerat jo. Sidoqoftë, nuk duhet të merret si e mirëqenë që provat elektronike do të jenë të mundshme për marrje për një kohë të pacaktuar. Përkundrazi, duhet kuptuar që duhet të ndërmerren veprime sa më shpejt të jetë e mundur për sigurimin e tyre.</w:t>
            </w:r>
          </w:p>
          <w:p w14:paraId="04F6E906" w14:textId="77777777" w:rsidR="00AB07AA" w:rsidRPr="00AB07AA" w:rsidRDefault="00AB07AA" w:rsidP="00397D09">
            <w:pPr>
              <w:spacing w:before="120" w:after="120" w:line="260" w:lineRule="atLeast"/>
              <w:jc w:val="both"/>
              <w:rPr>
                <w:rFonts w:ascii="Verdana" w:hAnsi="Verdana"/>
                <w:sz w:val="18"/>
                <w:szCs w:val="18"/>
              </w:rPr>
            </w:pPr>
            <w:r>
              <w:rPr>
                <w:rFonts w:ascii="Verdana" w:hAnsi="Verdana"/>
                <w:sz w:val="18"/>
              </w:rPr>
              <w:t>Koha mund të neglizhohet si pjesë e rëndësishme e hetimit të krimit kibernetik dhe gjetjes dhe marrjes së provave elektronike. Janë 24 zona kohore në botë dhe diferenca maksimale në kohë mund të jetë deri në 12 orë. Duke pasur në mendje që një sekondë mund të bëjë dallimin ndërmjet një përdoruesi dhe një tjetër të adresës IP dinamike, është me rëndësi thelbësore që koha e saktë e kryerjes së krimit të përcaktohet si duhet.</w:t>
            </w:r>
          </w:p>
          <w:p w14:paraId="0F562ED9" w14:textId="77777777" w:rsidR="00AB07AA" w:rsidRPr="00AB07AA" w:rsidRDefault="00AB07AA" w:rsidP="00397D09">
            <w:pPr>
              <w:spacing w:before="120" w:after="120" w:line="260" w:lineRule="atLeast"/>
              <w:jc w:val="both"/>
              <w:rPr>
                <w:rFonts w:ascii="Verdana" w:hAnsi="Verdana"/>
                <w:sz w:val="18"/>
                <w:szCs w:val="18"/>
              </w:rPr>
            </w:pPr>
            <w:r>
              <w:rPr>
                <w:rFonts w:ascii="Verdana" w:hAnsi="Verdana"/>
                <w:sz w:val="18"/>
              </w:rPr>
              <w:t>Provat elektronike kanë një burim. Burimi është program kompjuterik ekzekutues i kompjuterit i përdorur nga njeriu. Lidhja ndërmjet tyre duhet të vendoset për të identifikuar të dyshuarin e vërtetë, më vonë të pandehurin. Rëndësia kryesore është që ky proces të ndërmerret në përputhje me ligjet procedurale në fuqi. Nëse jo, e gjithë procedura është në rrezik për t'u shfuqizuar në shkallën e dytë ose më vonë të apelit.</w:t>
            </w:r>
          </w:p>
          <w:p w14:paraId="301C7FDA" w14:textId="6DEC9A99" w:rsidR="00556D69" w:rsidRPr="00BA3312" w:rsidRDefault="00AB07AA" w:rsidP="00397D09">
            <w:pPr>
              <w:spacing w:before="120" w:after="120" w:line="260" w:lineRule="atLeast"/>
              <w:jc w:val="both"/>
              <w:rPr>
                <w:rFonts w:ascii="Verdana" w:hAnsi="Verdana"/>
                <w:sz w:val="18"/>
                <w:szCs w:val="18"/>
              </w:rPr>
            </w:pPr>
            <w:r>
              <w:rPr>
                <w:rFonts w:ascii="Verdana" w:hAnsi="Verdana"/>
                <w:sz w:val="18"/>
              </w:rPr>
              <w:t>Bota në vitin 2020 ka 195 vende dhe disa sisteme të ndryshme ligjore. Sistemet e drejtësisë penale janë komplekse, dhe në ditët e sotme mund të jenë jo vetëm ato klasike si Ligji Zakonor ose Civil, por edhe hibride, si dhe kombinimi i procedurave të ndryshme nga disa sisteme. Në bashkëpunimin ndërkombëtar, ky fakt duhet të respektohet dhe shqyrtohet gjithashtu.</w:t>
            </w:r>
          </w:p>
        </w:tc>
      </w:tr>
      <w:tr w:rsidR="00F1574D" w:rsidRPr="00D82C18" w14:paraId="34FC47CA" w14:textId="77777777" w:rsidTr="00F1574D">
        <w:trPr>
          <w:trHeight w:val="1259"/>
        </w:trPr>
        <w:tc>
          <w:tcPr>
            <w:tcW w:w="1525" w:type="dxa"/>
            <w:vAlign w:val="center"/>
          </w:tcPr>
          <w:p w14:paraId="4B674ABD" w14:textId="77777777" w:rsidR="00F1574D" w:rsidRPr="006527C6" w:rsidRDefault="00AB07AA" w:rsidP="00397D09">
            <w:pPr>
              <w:spacing w:before="120" w:after="120" w:line="260" w:lineRule="atLeast"/>
              <w:jc w:val="center"/>
              <w:rPr>
                <w:rFonts w:ascii="Verdana" w:hAnsi="Verdana"/>
                <w:sz w:val="18"/>
                <w:szCs w:val="18"/>
              </w:rPr>
            </w:pPr>
            <w:r>
              <w:rPr>
                <w:rFonts w:ascii="Verdana" w:hAnsi="Verdana"/>
                <w:sz w:val="18"/>
              </w:rPr>
              <w:t>45 deri 50</w:t>
            </w:r>
          </w:p>
        </w:tc>
        <w:tc>
          <w:tcPr>
            <w:tcW w:w="7485" w:type="dxa"/>
            <w:gridSpan w:val="2"/>
            <w:vAlign w:val="center"/>
          </w:tcPr>
          <w:p w14:paraId="54AB050F" w14:textId="77777777" w:rsidR="00556D69" w:rsidRPr="00AB07AA" w:rsidRDefault="006527C6" w:rsidP="00397D09">
            <w:pPr>
              <w:pStyle w:val="Subtitle"/>
              <w:spacing w:before="120" w:line="260" w:lineRule="atLeast"/>
              <w:rPr>
                <w:rFonts w:ascii="Verdana" w:hAnsi="Verdana"/>
                <w:szCs w:val="18"/>
              </w:rPr>
            </w:pPr>
            <w:r>
              <w:rPr>
                <w:rFonts w:ascii="Verdana" w:hAnsi="Verdana"/>
              </w:rPr>
              <w:t>Këto slajde mbulojnë aspektet e bashkëpunimit në formën, kapacitetin gjysmë joformal, joformal dhe në sektorin privat.</w:t>
            </w:r>
          </w:p>
          <w:p w14:paraId="3FEDE678" w14:textId="77777777" w:rsidR="00AB07AA" w:rsidRPr="00AB07AA" w:rsidRDefault="00AB07AA" w:rsidP="00397D09">
            <w:pPr>
              <w:spacing w:before="120" w:after="120" w:line="260" w:lineRule="atLeast"/>
              <w:jc w:val="both"/>
              <w:rPr>
                <w:rFonts w:ascii="Verdana" w:hAnsi="Verdana"/>
                <w:sz w:val="18"/>
                <w:szCs w:val="18"/>
              </w:rPr>
            </w:pPr>
            <w:r>
              <w:rPr>
                <w:rFonts w:ascii="Verdana" w:hAnsi="Verdana"/>
                <w:sz w:val="18"/>
              </w:rPr>
              <w:t xml:space="preserve">Bashkëpunimi zyrtar është forma më e pranishme e bashkëpunimit ndërkombëtar. Ka aspektet e tij pozitive dhe negative. Sidoqoftë, duket se aspektet negative tejkalojnë ato pozitive dhe se ato janë më shumë problem sesa zgjidhje sot. </w:t>
            </w:r>
          </w:p>
          <w:p w14:paraId="74C90A8C" w14:textId="77777777" w:rsidR="00AB07AA" w:rsidRPr="00AB07AA" w:rsidRDefault="00AB07AA" w:rsidP="00397D09">
            <w:pPr>
              <w:spacing w:before="120" w:after="120" w:line="260" w:lineRule="atLeast"/>
              <w:jc w:val="both"/>
              <w:rPr>
                <w:rFonts w:ascii="Verdana" w:hAnsi="Verdana"/>
                <w:sz w:val="18"/>
                <w:szCs w:val="18"/>
              </w:rPr>
            </w:pPr>
            <w:r>
              <w:rPr>
                <w:rFonts w:ascii="Verdana" w:hAnsi="Verdana"/>
                <w:sz w:val="18"/>
              </w:rPr>
              <w:t xml:space="preserve">Bashkëpunimi pothuajse joformal është mjaft i popullarizuar në mesin e AZL-ve dhe prokurorisë pasi ai përdor kanale të komunikimit të cilat janë vendosur </w:t>
            </w:r>
            <w:r>
              <w:rPr>
                <w:rFonts w:ascii="Verdana" w:hAnsi="Verdana"/>
                <w:sz w:val="18"/>
              </w:rPr>
              <w:lastRenderedPageBreak/>
              <w:t>zyrtarisht, por pa nevojë për marrjen e miratimeve ose urdhrave të ndryshëm nga autoritete të ndryshme kompetente të drejtpërdrejtë ose të lidhur. Sidoqoftë, çështja e pranueshmërisë së provave mund të jetë problem më vonë në procedurë.</w:t>
            </w:r>
          </w:p>
          <w:p w14:paraId="1709735F" w14:textId="77777777" w:rsidR="00AB07AA" w:rsidRPr="00AB07AA" w:rsidRDefault="00AB07AA" w:rsidP="00397D09">
            <w:pPr>
              <w:spacing w:before="120" w:after="120" w:line="260" w:lineRule="atLeast"/>
              <w:jc w:val="both"/>
              <w:rPr>
                <w:rFonts w:ascii="Verdana" w:hAnsi="Verdana"/>
                <w:sz w:val="18"/>
                <w:szCs w:val="18"/>
              </w:rPr>
            </w:pPr>
            <w:r>
              <w:rPr>
                <w:rFonts w:ascii="Verdana" w:hAnsi="Verdana"/>
                <w:sz w:val="18"/>
              </w:rPr>
              <w:t>Bashkëpunimi joformal është zakonisht fillimi i të gjitha hetimeve të krimit kibernetik si në nivelin vendas ashtu edhe në atë ndërkombëtar. Sidoqoftë, ai ka aspekte të shumta negative të cilat duhet të adresohen.</w:t>
            </w:r>
          </w:p>
          <w:p w14:paraId="52012B7C" w14:textId="77777777" w:rsidR="00AB07AA" w:rsidRPr="00AB07AA" w:rsidRDefault="00AB07AA" w:rsidP="00397D09">
            <w:pPr>
              <w:spacing w:before="120" w:after="120" w:line="260" w:lineRule="atLeast"/>
              <w:jc w:val="both"/>
              <w:rPr>
                <w:rFonts w:ascii="Verdana" w:hAnsi="Verdana"/>
                <w:sz w:val="18"/>
                <w:szCs w:val="18"/>
              </w:rPr>
            </w:pPr>
            <w:r>
              <w:rPr>
                <w:rFonts w:ascii="Verdana" w:hAnsi="Verdana"/>
                <w:sz w:val="18"/>
              </w:rPr>
              <w:t xml:space="preserve">Bashkëpunimi i sektorit publik-privat në krimin kibernetik në lidhje me aspektet ndërkombëtare të krimit është komponent jashtëzakonisht i rëndësishëm i fazës së hetimit dhe gjykimit. Ofruesit e sektorit privat të shërbimeve të lidhura me teknologjitë e informacionit dhe komunikimit (TIK) janë mbajtësit kryesorë të informacionit më të dobishëm për hetuesit e krimit, prokurorët dhe gjyqtarët. </w:t>
            </w:r>
          </w:p>
          <w:p w14:paraId="1866A608" w14:textId="3881FDA6" w:rsidR="00AB07AA" w:rsidRPr="00AB07AA" w:rsidRDefault="00AB07AA" w:rsidP="00397D09">
            <w:pPr>
              <w:spacing w:before="120" w:after="120" w:line="260" w:lineRule="atLeast"/>
              <w:jc w:val="both"/>
              <w:rPr>
                <w:rFonts w:ascii="Verdana" w:hAnsi="Verdana"/>
                <w:sz w:val="18"/>
                <w:szCs w:val="18"/>
              </w:rPr>
            </w:pPr>
            <w:r>
              <w:rPr>
                <w:rFonts w:ascii="Verdana" w:hAnsi="Verdana"/>
                <w:sz w:val="18"/>
              </w:rPr>
              <w:t>Bashkëpunimi me ta në gjetjen e mënyrave se si të shpejtohet bashkëpunimi dhe si ta bëjmë atë më të saktë dhe të dobishëm është i një rëndësie shumë të madhe nëse dëshiron të arrihet shpejtësia në zbulimin dhe marrjen e provave. Kështu, brenda kufijve ligjorë, të gjitha format e një bashkëpunimi të tillë duhet të hulumtohen dhe vendosen jo vetëm në bazë të masave dhe urdhrave detyrues, por në marrëveshjet vullnetare dhe forma të ngjashme të bashkëpunimit.</w:t>
            </w:r>
          </w:p>
        </w:tc>
      </w:tr>
      <w:tr w:rsidR="00F1574D" w:rsidRPr="00D82C18" w14:paraId="7D486546" w14:textId="77777777" w:rsidTr="00F1574D">
        <w:trPr>
          <w:trHeight w:val="1169"/>
        </w:trPr>
        <w:tc>
          <w:tcPr>
            <w:tcW w:w="1525" w:type="dxa"/>
            <w:vAlign w:val="center"/>
          </w:tcPr>
          <w:p w14:paraId="4D5AE3C7" w14:textId="77777777" w:rsidR="00F1574D" w:rsidRPr="006527C6" w:rsidRDefault="0069167B" w:rsidP="00397D09">
            <w:pPr>
              <w:spacing w:before="120" w:after="120" w:line="260" w:lineRule="atLeast"/>
              <w:jc w:val="center"/>
              <w:rPr>
                <w:rFonts w:ascii="Verdana" w:hAnsi="Verdana"/>
                <w:sz w:val="18"/>
                <w:szCs w:val="18"/>
              </w:rPr>
            </w:pPr>
            <w:r>
              <w:rPr>
                <w:rFonts w:ascii="Verdana" w:hAnsi="Verdana"/>
                <w:sz w:val="18"/>
              </w:rPr>
              <w:lastRenderedPageBreak/>
              <w:t>51 deri 56</w:t>
            </w:r>
          </w:p>
        </w:tc>
        <w:tc>
          <w:tcPr>
            <w:tcW w:w="7485" w:type="dxa"/>
            <w:gridSpan w:val="2"/>
            <w:vAlign w:val="center"/>
          </w:tcPr>
          <w:p w14:paraId="32E12981" w14:textId="77777777" w:rsidR="00AB07AA" w:rsidRDefault="00AB07AA" w:rsidP="00397D09">
            <w:pPr>
              <w:pStyle w:val="Subtitle"/>
              <w:spacing w:before="120" w:line="260" w:lineRule="atLeast"/>
              <w:rPr>
                <w:rFonts w:ascii="Verdana" w:hAnsi="Verdana"/>
                <w:szCs w:val="18"/>
              </w:rPr>
            </w:pPr>
            <w:r>
              <w:rPr>
                <w:rFonts w:ascii="Verdana" w:hAnsi="Verdana"/>
              </w:rPr>
              <w:t xml:space="preserve">Studimi i rastit është planifikuar të organizohet për ilustrimin e sfidave të përshkruara. </w:t>
            </w:r>
          </w:p>
          <w:p w14:paraId="0301F609" w14:textId="77777777" w:rsidR="00556D69" w:rsidRDefault="00AB07AA" w:rsidP="00397D09">
            <w:pPr>
              <w:pStyle w:val="Subtitle"/>
              <w:spacing w:before="120" w:line="260" w:lineRule="atLeast"/>
              <w:rPr>
                <w:rFonts w:ascii="Verdana" w:eastAsia="Times New Roman" w:hAnsi="Verdana"/>
              </w:rPr>
            </w:pPr>
            <w:r>
              <w:rPr>
                <w:rFonts w:ascii="Verdana" w:hAnsi="Verdana"/>
              </w:rPr>
              <w:t>Materiali i studimit të rastit është dhënë në dosjen e seancës dhe trajnimeve.</w:t>
            </w:r>
          </w:p>
        </w:tc>
      </w:tr>
      <w:tr w:rsidR="00F1574D" w:rsidRPr="00D82C18" w14:paraId="5E1922D3" w14:textId="77777777" w:rsidTr="00F1574D">
        <w:trPr>
          <w:trHeight w:val="1313"/>
        </w:trPr>
        <w:tc>
          <w:tcPr>
            <w:tcW w:w="1525" w:type="dxa"/>
            <w:vAlign w:val="center"/>
          </w:tcPr>
          <w:p w14:paraId="5D621C80" w14:textId="77777777" w:rsidR="00F1574D" w:rsidRPr="006527C6" w:rsidRDefault="0080315D" w:rsidP="00397D09">
            <w:pPr>
              <w:spacing w:before="120" w:after="120" w:line="260" w:lineRule="atLeast"/>
              <w:jc w:val="center"/>
              <w:rPr>
                <w:rFonts w:ascii="Verdana" w:hAnsi="Verdana"/>
                <w:sz w:val="18"/>
                <w:szCs w:val="18"/>
              </w:rPr>
            </w:pPr>
            <w:r>
              <w:rPr>
                <w:rFonts w:ascii="Verdana" w:hAnsi="Verdana"/>
                <w:sz w:val="18"/>
              </w:rPr>
              <w:t>57 deri 59</w:t>
            </w:r>
          </w:p>
        </w:tc>
        <w:tc>
          <w:tcPr>
            <w:tcW w:w="7485" w:type="dxa"/>
            <w:gridSpan w:val="2"/>
            <w:vAlign w:val="center"/>
          </w:tcPr>
          <w:p w14:paraId="17EC44D3" w14:textId="77777777" w:rsidR="006527C6" w:rsidRDefault="007678A6" w:rsidP="00397D09">
            <w:pPr>
              <w:spacing w:before="120" w:after="120" w:line="260" w:lineRule="atLeast"/>
              <w:jc w:val="both"/>
              <w:rPr>
                <w:rFonts w:ascii="Verdana" w:hAnsi="Verdana"/>
                <w:sz w:val="18"/>
                <w:szCs w:val="18"/>
              </w:rPr>
            </w:pPr>
            <w:r>
              <w:rPr>
                <w:rFonts w:ascii="Verdana" w:hAnsi="Verdana"/>
                <w:sz w:val="18"/>
              </w:rPr>
              <w:t>Slajdet e fundit i lejojnë trajnerit të rishikojë objektivat e të nxënit me audiencën në mënyrë që ata të jenë të sigurt se janë arritur. Është gjithashtu një mundësi për pjesëmarrësit të ngrenë çdo çështje që mund të mbetet e pazgjidhur ose kur ata nuk i kanë kuptuar plotësisht temat e paraqitura.  Për më tepër, trajneri mund të përdorë seancën për të kontrolluar njohuritë e marra duke bërë pyetje për pjesëmarrësit.  Kjo është e rëndësishme pasi nuk ka vlerësim zyrtar për kursin.</w:t>
            </w:r>
          </w:p>
        </w:tc>
      </w:tr>
      <w:tr w:rsidR="00CB3026" w:rsidRPr="00D82C18" w14:paraId="41D31FE8" w14:textId="77777777" w:rsidTr="00F1574D">
        <w:trPr>
          <w:trHeight w:val="890"/>
        </w:trPr>
        <w:tc>
          <w:tcPr>
            <w:tcW w:w="9010" w:type="dxa"/>
            <w:gridSpan w:val="3"/>
            <w:vAlign w:val="center"/>
          </w:tcPr>
          <w:p w14:paraId="0559E022" w14:textId="77777777" w:rsidR="00CB3026" w:rsidRDefault="00CB3026" w:rsidP="00397D09">
            <w:pPr>
              <w:spacing w:before="120" w:after="120" w:line="260" w:lineRule="atLeast"/>
              <w:rPr>
                <w:rFonts w:ascii="Verdana" w:hAnsi="Verdana"/>
                <w:b/>
                <w:sz w:val="22"/>
                <w:szCs w:val="22"/>
              </w:rPr>
            </w:pPr>
            <w:r>
              <w:rPr>
                <w:rFonts w:ascii="Verdana" w:hAnsi="Verdana"/>
                <w:b/>
                <w:sz w:val="22"/>
              </w:rPr>
              <w:t>Ushtrime praktike</w:t>
            </w:r>
          </w:p>
          <w:p w14:paraId="63F825E8" w14:textId="77777777" w:rsidR="00CB3026" w:rsidRPr="00CB3026" w:rsidRDefault="0069167B" w:rsidP="00397D09">
            <w:pPr>
              <w:spacing w:before="120" w:after="120" w:line="260" w:lineRule="atLeast"/>
              <w:rPr>
                <w:rFonts w:ascii="Verdana" w:hAnsi="Verdana"/>
                <w:sz w:val="18"/>
                <w:szCs w:val="18"/>
              </w:rPr>
            </w:pPr>
            <w:r>
              <w:rPr>
                <w:rFonts w:ascii="Verdana" w:hAnsi="Verdana"/>
                <w:color w:val="000000" w:themeColor="text1"/>
                <w:sz w:val="18"/>
              </w:rPr>
              <w:t>Studimi i rastit parashihet në këtë mësim.</w:t>
            </w:r>
          </w:p>
        </w:tc>
      </w:tr>
      <w:tr w:rsidR="00CB3026" w:rsidRPr="00D82C18" w14:paraId="506FECA0" w14:textId="77777777" w:rsidTr="00F1574D">
        <w:tc>
          <w:tcPr>
            <w:tcW w:w="9010" w:type="dxa"/>
            <w:gridSpan w:val="3"/>
            <w:vAlign w:val="center"/>
          </w:tcPr>
          <w:p w14:paraId="5B7BCCF7" w14:textId="77777777" w:rsidR="00CB3026" w:rsidRDefault="00CB3026" w:rsidP="00397D09">
            <w:pPr>
              <w:spacing w:before="120" w:after="120" w:line="260" w:lineRule="atLeast"/>
              <w:rPr>
                <w:rFonts w:ascii="Verdana" w:hAnsi="Verdana"/>
                <w:b/>
                <w:sz w:val="22"/>
                <w:szCs w:val="22"/>
              </w:rPr>
            </w:pPr>
            <w:r>
              <w:rPr>
                <w:rFonts w:ascii="Verdana" w:hAnsi="Verdana"/>
                <w:b/>
                <w:sz w:val="22"/>
              </w:rPr>
              <w:t>Vlerësimi/Kontrolli i njohurive</w:t>
            </w:r>
          </w:p>
          <w:p w14:paraId="3772F6B9" w14:textId="77777777" w:rsidR="00CB3026" w:rsidRPr="00CB3026" w:rsidRDefault="00CB3026" w:rsidP="00397D09">
            <w:pPr>
              <w:spacing w:before="120" w:after="120" w:line="260" w:lineRule="atLeast"/>
              <w:rPr>
                <w:rFonts w:ascii="Verdana" w:hAnsi="Verdana"/>
                <w:sz w:val="18"/>
                <w:szCs w:val="18"/>
              </w:rPr>
            </w:pPr>
            <w:r>
              <w:rPr>
                <w:rFonts w:ascii="Verdana" w:hAnsi="Verdana"/>
                <w:color w:val="000000" w:themeColor="text1"/>
                <w:sz w:val="18"/>
              </w:rPr>
              <w:t>Asnjë kontroll ose vlerësim i njohurive nuk është kërkuar për këtë seancë.</w:t>
            </w:r>
          </w:p>
        </w:tc>
      </w:tr>
    </w:tbl>
    <w:p w14:paraId="70D592A9" w14:textId="77777777" w:rsidR="00D82C18" w:rsidRPr="00D82C18" w:rsidRDefault="00D82C18" w:rsidP="00397D09">
      <w:pPr>
        <w:spacing w:before="120" w:after="120" w:line="260" w:lineRule="atLeast"/>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01B38A4"/>
    <w:multiLevelType w:val="hybridMultilevel"/>
    <w:tmpl w:val="5E74F4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9"/>
  </w:num>
  <w:num w:numId="4">
    <w:abstractNumId w:val="7"/>
  </w:num>
  <w:num w:numId="5">
    <w:abstractNumId w:val="8"/>
  </w:num>
  <w:num w:numId="6">
    <w:abstractNumId w:val="16"/>
  </w:num>
  <w:num w:numId="7">
    <w:abstractNumId w:val="4"/>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5"/>
  </w:num>
  <w:num w:numId="10">
    <w:abstractNumId w:val="1"/>
  </w:num>
  <w:num w:numId="11">
    <w:abstractNumId w:val="10"/>
  </w:num>
  <w:num w:numId="12">
    <w:abstractNumId w:val="14"/>
  </w:num>
  <w:num w:numId="13">
    <w:abstractNumId w:val="3"/>
  </w:num>
  <w:num w:numId="14">
    <w:abstractNumId w:val="5"/>
  </w:num>
  <w:num w:numId="15">
    <w:abstractNumId w:val="12"/>
  </w:num>
  <w:num w:numId="16">
    <w:abstractNumId w:val="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006EAD"/>
    <w:rsid w:val="000C40EE"/>
    <w:rsid w:val="000F7896"/>
    <w:rsid w:val="001D603D"/>
    <w:rsid w:val="00271010"/>
    <w:rsid w:val="002E3ECE"/>
    <w:rsid w:val="002F3B54"/>
    <w:rsid w:val="0034224C"/>
    <w:rsid w:val="00342639"/>
    <w:rsid w:val="003453F7"/>
    <w:rsid w:val="003630ED"/>
    <w:rsid w:val="00397D09"/>
    <w:rsid w:val="003A435F"/>
    <w:rsid w:val="003F6587"/>
    <w:rsid w:val="00450007"/>
    <w:rsid w:val="00457DD3"/>
    <w:rsid w:val="004B7351"/>
    <w:rsid w:val="004D35F1"/>
    <w:rsid w:val="00556D69"/>
    <w:rsid w:val="005703B7"/>
    <w:rsid w:val="005A4E47"/>
    <w:rsid w:val="005D4432"/>
    <w:rsid w:val="006527C6"/>
    <w:rsid w:val="0069167B"/>
    <w:rsid w:val="006B6FDF"/>
    <w:rsid w:val="0075334E"/>
    <w:rsid w:val="007678A6"/>
    <w:rsid w:val="00773F6C"/>
    <w:rsid w:val="0080315D"/>
    <w:rsid w:val="00844FBF"/>
    <w:rsid w:val="008817F1"/>
    <w:rsid w:val="008A4C93"/>
    <w:rsid w:val="008E3FE7"/>
    <w:rsid w:val="00951791"/>
    <w:rsid w:val="009D1DB1"/>
    <w:rsid w:val="009F336B"/>
    <w:rsid w:val="00A03CF0"/>
    <w:rsid w:val="00A342ED"/>
    <w:rsid w:val="00A4110D"/>
    <w:rsid w:val="00A734A5"/>
    <w:rsid w:val="00A76996"/>
    <w:rsid w:val="00A95D42"/>
    <w:rsid w:val="00AA5742"/>
    <w:rsid w:val="00AB07AA"/>
    <w:rsid w:val="00B3608C"/>
    <w:rsid w:val="00BA3312"/>
    <w:rsid w:val="00BD7897"/>
    <w:rsid w:val="00C115FC"/>
    <w:rsid w:val="00C541A2"/>
    <w:rsid w:val="00CA7409"/>
    <w:rsid w:val="00CB02C4"/>
    <w:rsid w:val="00CB3026"/>
    <w:rsid w:val="00CC1F79"/>
    <w:rsid w:val="00CC2222"/>
    <w:rsid w:val="00CE5CBC"/>
    <w:rsid w:val="00D82C18"/>
    <w:rsid w:val="00E13BE7"/>
    <w:rsid w:val="00E7344B"/>
    <w:rsid w:val="00E95703"/>
    <w:rsid w:val="00F1574D"/>
    <w:rsid w:val="00F504D6"/>
    <w:rsid w:val="00F62A15"/>
    <w:rsid w:val="00F955B5"/>
    <w:rsid w:val="00FB6DE5"/>
    <w:rsid w:val="00FE45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BD505"/>
  <w15:docId w15:val="{E070CCA4-E668-4A9F-9931-74709E767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5CBC"/>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sq-AL"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1482</Words>
  <Characters>8451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8</cp:revision>
  <dcterms:created xsi:type="dcterms:W3CDTF">2020-09-04T12:48:00Z</dcterms:created>
  <dcterms:modified xsi:type="dcterms:W3CDTF">2021-05-04T12:16:00Z</dcterms:modified>
</cp:coreProperties>
</file>