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98724" w14:textId="0819E879" w:rsidR="00BA319A" w:rsidRPr="008444B8" w:rsidRDefault="00B3608C" w:rsidP="008444B8">
      <w:pPr>
        <w:spacing w:before="120" w:after="120" w:line="260" w:lineRule="atLeast"/>
        <w:rPr>
          <w:rFonts w:ascii="Verdana" w:hAnsi="Verdana"/>
          <w:b/>
          <w:bCs/>
          <w:color w:val="000000" w:themeColor="text1"/>
          <w:sz w:val="28"/>
          <w:szCs w:val="28"/>
        </w:rPr>
      </w:pPr>
      <w:r w:rsidRPr="008444B8">
        <w:rPr>
          <w:rFonts w:ascii="Verdana" w:hAnsi="Verdana"/>
          <w:b/>
          <w:sz w:val="28"/>
        </w:rPr>
        <w:t xml:space="preserve">Mësimi 2.3 </w:t>
      </w:r>
      <w:r w:rsidRPr="008444B8">
        <w:rPr>
          <w:rFonts w:ascii="Verdana" w:hAnsi="Verdana"/>
          <w:b/>
          <w:color w:val="000000" w:themeColor="text1"/>
          <w:sz w:val="28"/>
        </w:rPr>
        <w:t xml:space="preserve">Zbatimi i Marrjes së Provave Elektronike nëpërmjet Mekanizmave të Bashkëpunimit Ndërkombëtar </w:t>
      </w:r>
    </w:p>
    <w:p w14:paraId="1D0E3DC5" w14:textId="14C23F0E" w:rsidR="00C115FC" w:rsidRPr="008444B8" w:rsidRDefault="00C115FC" w:rsidP="008444B8">
      <w:pPr>
        <w:spacing w:before="120" w:after="120" w:line="260" w:lineRule="atLeast"/>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8444B8" w14:paraId="58A3485E" w14:textId="77777777" w:rsidTr="00F1574D">
        <w:trPr>
          <w:trHeight w:val="872"/>
        </w:trPr>
        <w:tc>
          <w:tcPr>
            <w:tcW w:w="6845" w:type="dxa"/>
            <w:gridSpan w:val="2"/>
            <w:shd w:val="clear" w:color="auto" w:fill="DEEAF6" w:themeFill="accent5" w:themeFillTint="33"/>
            <w:vAlign w:val="center"/>
          </w:tcPr>
          <w:p w14:paraId="0067FF35" w14:textId="5D10D1FF" w:rsidR="00D82C18" w:rsidRPr="008444B8" w:rsidRDefault="00C115FC" w:rsidP="008444B8">
            <w:pPr>
              <w:spacing w:before="120" w:after="120" w:line="260" w:lineRule="atLeast"/>
              <w:rPr>
                <w:rFonts w:ascii="Verdana" w:hAnsi="Verdana"/>
                <w:color w:val="000000" w:themeColor="text1"/>
                <w:sz w:val="22"/>
                <w:szCs w:val="22"/>
              </w:rPr>
            </w:pPr>
            <w:r w:rsidRPr="008444B8">
              <w:rPr>
                <w:rFonts w:ascii="Verdana" w:hAnsi="Verdana"/>
                <w:sz w:val="22"/>
              </w:rPr>
              <w:t>Mësimi 2.3</w:t>
            </w:r>
            <w:r w:rsidRPr="008444B8">
              <w:rPr>
                <w:rFonts w:ascii="Verdana" w:hAnsi="Verdana"/>
                <w:color w:val="000000" w:themeColor="text1"/>
                <w:sz w:val="28"/>
              </w:rPr>
              <w:t xml:space="preserve"> </w:t>
            </w:r>
            <w:r w:rsidRPr="008444B8">
              <w:rPr>
                <w:rFonts w:ascii="Verdana" w:hAnsi="Verdana"/>
                <w:color w:val="000000" w:themeColor="text1"/>
                <w:sz w:val="22"/>
              </w:rPr>
              <w:t xml:space="preserve">Zbatimi i marrjes së provave elektronike përmes mekanizmave të bashkëpunimit ndërkombëtar </w:t>
            </w:r>
          </w:p>
        </w:tc>
        <w:tc>
          <w:tcPr>
            <w:tcW w:w="2165" w:type="dxa"/>
            <w:shd w:val="clear" w:color="auto" w:fill="DEEAF6" w:themeFill="accent5" w:themeFillTint="33"/>
            <w:vAlign w:val="center"/>
          </w:tcPr>
          <w:p w14:paraId="30B631DA" w14:textId="087B3E0B" w:rsidR="00D82C18" w:rsidRPr="008444B8" w:rsidRDefault="00D82C18" w:rsidP="008444B8">
            <w:pPr>
              <w:spacing w:before="120" w:after="120" w:line="260" w:lineRule="atLeast"/>
              <w:rPr>
                <w:rFonts w:ascii="Verdana" w:hAnsi="Verdana"/>
                <w:sz w:val="22"/>
                <w:szCs w:val="22"/>
              </w:rPr>
            </w:pPr>
            <w:r w:rsidRPr="008444B8">
              <w:rPr>
                <w:rFonts w:ascii="Verdana" w:hAnsi="Verdana"/>
                <w:sz w:val="22"/>
              </w:rPr>
              <w:t xml:space="preserve">Kohëzgjatja: </w:t>
            </w:r>
            <w:r w:rsidRPr="008444B8">
              <w:rPr>
                <w:rFonts w:ascii="Verdana" w:hAnsi="Verdana"/>
                <w:color w:val="000000" w:themeColor="text1"/>
                <w:sz w:val="22"/>
              </w:rPr>
              <w:t xml:space="preserve">150 minuta </w:t>
            </w:r>
          </w:p>
        </w:tc>
      </w:tr>
      <w:tr w:rsidR="00E7344B" w:rsidRPr="008444B8" w14:paraId="7C1107AB" w14:textId="77777777" w:rsidTr="00B56791">
        <w:trPr>
          <w:trHeight w:val="1376"/>
        </w:trPr>
        <w:tc>
          <w:tcPr>
            <w:tcW w:w="9010" w:type="dxa"/>
            <w:gridSpan w:val="3"/>
            <w:vAlign w:val="center"/>
          </w:tcPr>
          <w:p w14:paraId="0B1C3404" w14:textId="68B9BEF1" w:rsidR="00E7344B" w:rsidRPr="008444B8" w:rsidRDefault="00E7344B" w:rsidP="003C68A9">
            <w:pPr>
              <w:spacing w:before="120" w:after="120" w:line="260" w:lineRule="atLeast"/>
              <w:rPr>
                <w:rFonts w:ascii="Verdana" w:hAnsi="Verdana"/>
                <w:b/>
                <w:sz w:val="22"/>
                <w:szCs w:val="22"/>
              </w:rPr>
            </w:pPr>
            <w:r w:rsidRPr="008444B8">
              <w:rPr>
                <w:rFonts w:ascii="Verdana" w:hAnsi="Verdana"/>
                <w:b/>
                <w:sz w:val="22"/>
              </w:rPr>
              <w:t xml:space="preserve">Burimet e nevojshme: </w:t>
            </w:r>
          </w:p>
          <w:p w14:paraId="060400D8" w14:textId="77777777" w:rsidR="000F7896" w:rsidRPr="008444B8" w:rsidRDefault="000F7896" w:rsidP="003C68A9">
            <w:pPr>
              <w:pStyle w:val="bul1"/>
              <w:numPr>
                <w:ilvl w:val="0"/>
                <w:numId w:val="6"/>
              </w:numPr>
              <w:spacing w:before="120" w:after="120" w:line="260" w:lineRule="atLeast"/>
            </w:pPr>
            <w:r w:rsidRPr="008444B8">
              <w:t xml:space="preserve">PC/Laptop ngarkuar me versione softuerësh të pajtueshëm me materialet e përgatitura </w:t>
            </w:r>
          </w:p>
          <w:p w14:paraId="62A10C2C" w14:textId="77777777" w:rsidR="000F7896" w:rsidRPr="008444B8" w:rsidRDefault="000F7896" w:rsidP="003C68A9">
            <w:pPr>
              <w:pStyle w:val="bul1"/>
              <w:numPr>
                <w:ilvl w:val="0"/>
                <w:numId w:val="6"/>
              </w:numPr>
              <w:spacing w:before="120" w:after="120" w:line="260" w:lineRule="atLeast"/>
            </w:pPr>
            <w:r w:rsidRPr="008444B8">
              <w:t xml:space="preserve">Qasje në internet (nëse ka) </w:t>
            </w:r>
          </w:p>
          <w:p w14:paraId="14CF9EF0" w14:textId="13935529" w:rsidR="000F7896" w:rsidRPr="008444B8" w:rsidRDefault="000F7896" w:rsidP="003C68A9">
            <w:pPr>
              <w:pStyle w:val="bul1"/>
              <w:numPr>
                <w:ilvl w:val="0"/>
                <w:numId w:val="6"/>
              </w:numPr>
              <w:spacing w:before="120" w:after="120" w:line="260" w:lineRule="atLeast"/>
            </w:pPr>
            <w:r w:rsidRPr="008444B8">
              <w:t>PowerPoint apo softuerë tjerë prezantimi</w:t>
            </w:r>
          </w:p>
        </w:tc>
      </w:tr>
      <w:tr w:rsidR="00E7344B" w:rsidRPr="008444B8" w14:paraId="635F2EFD" w14:textId="77777777" w:rsidTr="004D35F1">
        <w:trPr>
          <w:trHeight w:val="2051"/>
        </w:trPr>
        <w:tc>
          <w:tcPr>
            <w:tcW w:w="9010" w:type="dxa"/>
            <w:gridSpan w:val="3"/>
            <w:vAlign w:val="center"/>
          </w:tcPr>
          <w:p w14:paraId="34602AF3" w14:textId="6240823C" w:rsidR="00A03CF0" w:rsidRPr="008444B8" w:rsidRDefault="00A03CF0" w:rsidP="003C68A9">
            <w:pPr>
              <w:spacing w:before="120" w:after="120" w:line="260" w:lineRule="atLeast"/>
              <w:rPr>
                <w:rFonts w:ascii="Verdana" w:hAnsi="Verdana"/>
                <w:b/>
                <w:sz w:val="22"/>
                <w:szCs w:val="22"/>
              </w:rPr>
            </w:pPr>
            <w:r w:rsidRPr="008444B8">
              <w:rPr>
                <w:rFonts w:ascii="Verdana" w:hAnsi="Verdana"/>
                <w:b/>
                <w:sz w:val="22"/>
              </w:rPr>
              <w:t xml:space="preserve">Qëllimi i seancës:  </w:t>
            </w:r>
          </w:p>
          <w:p w14:paraId="7A737B56" w14:textId="3756FADD" w:rsidR="00BA319A" w:rsidRPr="008444B8" w:rsidRDefault="00BA319A" w:rsidP="003C68A9">
            <w:pPr>
              <w:spacing w:before="120" w:after="120" w:line="260" w:lineRule="atLeast"/>
              <w:jc w:val="both"/>
              <w:rPr>
                <w:rFonts w:ascii="Verdana" w:eastAsia="Times New Roman" w:hAnsi="Verdana" w:cs="Arial"/>
                <w:color w:val="000000"/>
                <w:sz w:val="18"/>
                <w:szCs w:val="18"/>
              </w:rPr>
            </w:pPr>
            <w:r w:rsidRPr="008444B8">
              <w:rPr>
                <w:rFonts w:ascii="Verdana" w:hAnsi="Verdana"/>
                <w:color w:val="000000"/>
                <w:sz w:val="18"/>
              </w:rPr>
              <w:t>Qëllimi në këtë seancë është të paraqesë procesin e plotë hap pas hapi se si merren provat digjitale përmes mekanizmave të bashkëpunimit ndërkombëtar.  Kjo do të paraqitet përmes prezantimit në lidhje me hapat aktualë të NJN-së të ndërmarra në palën kërkuese dhe palën që merr kërkesën dhe duke përdorur studimin e rastit. Studimi i rastit do të diskutojë llojet e të dhënave, se si ato grumbullohen / merren përmes mekanizmave të ndryshëm të bashkëpunimit ndërkombëtar, përfshirë metodat joformale.  Si merren policia, prokurorët dhe të tjerët me të dhënat.  Kjo seancë do t'u mundësojë prokurorëve, gjyqtarëve dhe magjistratëve që të jenë në gjendje të vlerësojnë saktë të dhënat e marra të cilat do të paraqiten në seancën tjetër si prova në gjykatë.</w:t>
            </w:r>
          </w:p>
          <w:p w14:paraId="3FE58655" w14:textId="04E941D8" w:rsidR="00A03CF0" w:rsidRPr="008444B8" w:rsidRDefault="00A03CF0" w:rsidP="003C68A9">
            <w:pPr>
              <w:spacing w:before="120" w:after="120" w:line="260" w:lineRule="atLeast"/>
              <w:jc w:val="both"/>
              <w:rPr>
                <w:rFonts w:ascii="Verdana" w:eastAsia="Times New Roman" w:hAnsi="Verdana" w:cs="Times New Roman"/>
                <w:sz w:val="18"/>
                <w:szCs w:val="18"/>
              </w:rPr>
            </w:pPr>
          </w:p>
        </w:tc>
      </w:tr>
      <w:tr w:rsidR="00A03CF0" w:rsidRPr="008444B8" w14:paraId="1B5A80A7" w14:textId="77777777" w:rsidTr="00F1338F">
        <w:trPr>
          <w:trHeight w:val="5894"/>
        </w:trPr>
        <w:tc>
          <w:tcPr>
            <w:tcW w:w="9010" w:type="dxa"/>
            <w:gridSpan w:val="3"/>
          </w:tcPr>
          <w:p w14:paraId="559A7E05" w14:textId="3672F16C" w:rsidR="00A03CF0" w:rsidRPr="008444B8" w:rsidRDefault="00271010" w:rsidP="003C68A9">
            <w:pPr>
              <w:spacing w:before="120" w:after="120" w:line="260" w:lineRule="atLeast"/>
              <w:rPr>
                <w:rFonts w:ascii="Verdana" w:hAnsi="Verdana"/>
                <w:b/>
                <w:sz w:val="22"/>
                <w:szCs w:val="22"/>
              </w:rPr>
            </w:pPr>
            <w:r w:rsidRPr="008444B8">
              <w:rPr>
                <w:rFonts w:ascii="Verdana" w:hAnsi="Verdana"/>
                <w:b/>
                <w:sz w:val="22"/>
              </w:rPr>
              <w:t>Objektivat:</w:t>
            </w:r>
          </w:p>
          <w:p w14:paraId="517A9F3F" w14:textId="57D65711" w:rsidR="00BA319A" w:rsidRPr="008444B8" w:rsidRDefault="00BA319A" w:rsidP="003C68A9">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8444B8">
              <w:rPr>
                <w:rFonts w:ascii="Verdana" w:hAnsi="Verdana"/>
                <w:sz w:val="18"/>
              </w:rPr>
              <w:t>rifreskimi dhe zgjerimi i njohurive në lidhje me llojet e provave elektronike tipike për kërkesat dhe shkëmbimin e Ndihmës Juridike të Ndërsjellë</w:t>
            </w:r>
          </w:p>
          <w:p w14:paraId="683C234E" w14:textId="588AF9E6" w:rsidR="00BA319A" w:rsidRPr="008444B8" w:rsidRDefault="00BA319A" w:rsidP="003C68A9">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8444B8">
              <w:rPr>
                <w:rFonts w:ascii="Verdana" w:hAnsi="Verdana"/>
                <w:sz w:val="18"/>
              </w:rPr>
              <w:t>zgjerimi i njohurive në lidhje me llojet e autoriteteve kompetente për të marrë pjesë në Ndihmën Juridike të Ndërsjellë</w:t>
            </w:r>
          </w:p>
          <w:p w14:paraId="662344FF" w14:textId="6841D6FB" w:rsidR="00BA319A" w:rsidRPr="008444B8" w:rsidRDefault="00BA319A" w:rsidP="003C68A9">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8444B8">
              <w:rPr>
                <w:rFonts w:ascii="Verdana" w:hAnsi="Verdana"/>
                <w:sz w:val="18"/>
              </w:rPr>
              <w:t>të kuptuarit e ndryshimit ndërmjet Autoritetit Qendror të NJN-së dhe Autoritetit Ekzekutues dhe sistemeve hibride</w:t>
            </w:r>
          </w:p>
          <w:p w14:paraId="552625F1" w14:textId="006C85B5" w:rsidR="00BA319A" w:rsidRPr="008444B8" w:rsidRDefault="00BA319A" w:rsidP="003C68A9">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8444B8">
              <w:rPr>
                <w:rFonts w:ascii="Verdana" w:hAnsi="Verdana"/>
                <w:sz w:val="18"/>
              </w:rPr>
              <w:t xml:space="preserve">të kuptuarit se cilat janë kompetencat procedurale të NJN-së për autoritete të ndryshme </w:t>
            </w:r>
          </w:p>
          <w:p w14:paraId="6BEB47AA" w14:textId="5E520FEC" w:rsidR="00BA319A" w:rsidRPr="008444B8" w:rsidRDefault="00BA319A" w:rsidP="003C68A9">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8444B8">
              <w:rPr>
                <w:rFonts w:ascii="Verdana" w:hAnsi="Verdana"/>
                <w:sz w:val="18"/>
              </w:rPr>
              <w:t>të mësuarit në lidhje me hapat e mundshëm dhe ndryshimet e hapave të ndërmarra gjatë procedimit të NJN-së nga autoritete të ndryshme kompetente</w:t>
            </w:r>
          </w:p>
          <w:p w14:paraId="6DA11603" w14:textId="7B8D814A" w:rsidR="00BA319A" w:rsidRPr="008444B8" w:rsidRDefault="00BA319A" w:rsidP="003C68A9">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8444B8">
              <w:rPr>
                <w:rFonts w:ascii="Verdana" w:hAnsi="Verdana"/>
                <w:sz w:val="18"/>
              </w:rPr>
              <w:t>marrja pjesë në mënyrë aktive në analizën e studimit të rastit duke aplikuar njohuri dhe aftësi të fituara më parë</w:t>
            </w:r>
          </w:p>
          <w:p w14:paraId="61ABEAC5" w14:textId="3281017E" w:rsidR="004D35F1" w:rsidRPr="008444B8" w:rsidRDefault="00BA319A" w:rsidP="003C68A9">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8444B8">
              <w:rPr>
                <w:rFonts w:ascii="Verdana" w:hAnsi="Verdana"/>
                <w:sz w:val="18"/>
              </w:rPr>
              <w:t>përmirësimi i njohurive të përgjithshme të Ndihmës Juridike të Ndërsjellë në lidhje me procedurat e marrjes së provave elektronike</w:t>
            </w:r>
          </w:p>
        </w:tc>
      </w:tr>
      <w:tr w:rsidR="005703B7" w:rsidRPr="008444B8" w14:paraId="03110757" w14:textId="77777777" w:rsidTr="008444B8">
        <w:trPr>
          <w:trHeight w:val="2690"/>
        </w:trPr>
        <w:tc>
          <w:tcPr>
            <w:tcW w:w="9010" w:type="dxa"/>
            <w:gridSpan w:val="3"/>
            <w:tcBorders>
              <w:bottom w:val="single" w:sz="4" w:space="0" w:color="auto"/>
            </w:tcBorders>
            <w:vAlign w:val="center"/>
          </w:tcPr>
          <w:p w14:paraId="7A064E85" w14:textId="39A6E0DE" w:rsidR="005703B7" w:rsidRPr="008444B8" w:rsidRDefault="00E95703" w:rsidP="003C68A9">
            <w:pPr>
              <w:spacing w:before="120" w:after="120" w:line="260" w:lineRule="atLeast"/>
              <w:rPr>
                <w:rFonts w:ascii="Verdana" w:hAnsi="Verdana"/>
                <w:b/>
                <w:color w:val="000000" w:themeColor="text1"/>
                <w:sz w:val="22"/>
                <w:szCs w:val="22"/>
              </w:rPr>
            </w:pPr>
            <w:r w:rsidRPr="008444B8">
              <w:rPr>
                <w:rFonts w:ascii="Verdana" w:hAnsi="Verdana"/>
                <w:b/>
                <w:color w:val="000000" w:themeColor="text1"/>
                <w:sz w:val="22"/>
              </w:rPr>
              <w:lastRenderedPageBreak/>
              <w:t>Udhëzimi për trajnerë</w:t>
            </w:r>
          </w:p>
          <w:p w14:paraId="4581021B" w14:textId="77777777" w:rsidR="00694153" w:rsidRPr="008444B8" w:rsidRDefault="004D35F1" w:rsidP="003C68A9">
            <w:pPr>
              <w:spacing w:beforeLines="20" w:before="48" w:afterLines="120" w:after="288" w:line="260" w:lineRule="atLeast"/>
              <w:jc w:val="both"/>
              <w:rPr>
                <w:rFonts w:ascii="Verdana" w:hAnsi="Verdana"/>
                <w:bCs/>
                <w:color w:val="000000" w:themeColor="text1"/>
                <w:sz w:val="18"/>
                <w:szCs w:val="18"/>
              </w:rPr>
            </w:pPr>
            <w:r w:rsidRPr="008444B8">
              <w:rPr>
                <w:rFonts w:ascii="Verdana" w:hAnsi="Verdana"/>
                <w:color w:val="000000" w:themeColor="text1"/>
                <w:sz w:val="18"/>
              </w:rPr>
              <w:t>Gjatë seancës duhet të merren parasysh temat vijuese:</w:t>
            </w:r>
          </w:p>
          <w:p w14:paraId="429E349B" w14:textId="77777777" w:rsidR="00694153" w:rsidRPr="003C68A9" w:rsidRDefault="00BA319A" w:rsidP="003C68A9">
            <w:pPr>
              <w:pStyle w:val="ListParagraph"/>
              <w:numPr>
                <w:ilvl w:val="0"/>
                <w:numId w:val="18"/>
              </w:numPr>
              <w:tabs>
                <w:tab w:val="left" w:pos="426"/>
                <w:tab w:val="left" w:pos="851"/>
              </w:tabs>
              <w:spacing w:before="120" w:after="120" w:line="260" w:lineRule="atLeast"/>
              <w:contextualSpacing w:val="0"/>
              <w:jc w:val="both"/>
              <w:rPr>
                <w:rFonts w:ascii="Verdana" w:hAnsi="Verdana"/>
                <w:sz w:val="18"/>
              </w:rPr>
            </w:pPr>
            <w:r w:rsidRPr="003C68A9">
              <w:rPr>
                <w:rFonts w:ascii="Verdana" w:hAnsi="Verdana"/>
                <w:sz w:val="18"/>
              </w:rPr>
              <w:t>llojet e zakonshme të provave elektronike në NJN, përfshirë llojet e të dhënave kompjuterike, përkufizimet e disponueshme të Konventës së Budapestit, procedurat, veprimet dhe format e tjera të ndihmës reciproke</w:t>
            </w:r>
          </w:p>
          <w:p w14:paraId="65045810" w14:textId="77777777" w:rsidR="00694153" w:rsidRPr="003C68A9" w:rsidRDefault="00491738" w:rsidP="003C68A9">
            <w:pPr>
              <w:pStyle w:val="ListParagraph"/>
              <w:numPr>
                <w:ilvl w:val="0"/>
                <w:numId w:val="18"/>
              </w:numPr>
              <w:tabs>
                <w:tab w:val="left" w:pos="426"/>
                <w:tab w:val="left" w:pos="851"/>
              </w:tabs>
              <w:spacing w:before="120" w:after="120" w:line="260" w:lineRule="atLeast"/>
              <w:contextualSpacing w:val="0"/>
              <w:jc w:val="both"/>
              <w:rPr>
                <w:rFonts w:ascii="Verdana" w:hAnsi="Verdana"/>
                <w:sz w:val="18"/>
              </w:rPr>
            </w:pPr>
            <w:r w:rsidRPr="003C68A9">
              <w:rPr>
                <w:rFonts w:ascii="Verdana" w:hAnsi="Verdana"/>
                <w:sz w:val="18"/>
              </w:rPr>
              <w:t>krijimi i autoriteteve kompetente - qendrore dhe ekzekutuese, përfshirë mundësitë dhe pengesat për bashkëpunimin efektiv dhe reagimin nga MD, policia, prokuroria dhe gjykata</w:t>
            </w:r>
          </w:p>
          <w:p w14:paraId="1CDECF5E" w14:textId="77777777" w:rsidR="00694153" w:rsidRPr="003C68A9" w:rsidRDefault="00491738" w:rsidP="003C68A9">
            <w:pPr>
              <w:pStyle w:val="ListParagraph"/>
              <w:numPr>
                <w:ilvl w:val="0"/>
                <w:numId w:val="18"/>
              </w:numPr>
              <w:tabs>
                <w:tab w:val="left" w:pos="426"/>
                <w:tab w:val="left" w:pos="851"/>
              </w:tabs>
              <w:spacing w:before="120" w:after="120" w:line="260" w:lineRule="atLeast"/>
              <w:contextualSpacing w:val="0"/>
              <w:jc w:val="both"/>
              <w:rPr>
                <w:rFonts w:ascii="Verdana" w:hAnsi="Verdana"/>
                <w:sz w:val="18"/>
              </w:rPr>
            </w:pPr>
            <w:r w:rsidRPr="003C68A9">
              <w:rPr>
                <w:rFonts w:ascii="Verdana" w:hAnsi="Verdana"/>
                <w:sz w:val="18"/>
              </w:rPr>
              <w:t>pasqyra praktike e procedurave të ndihmës juridike të ndërsjellë, përfshirë përshkrimin hap pas hapi të procedimit të një</w:t>
            </w:r>
          </w:p>
          <w:p w14:paraId="5EFF4BEF" w14:textId="7C4542AA" w:rsidR="00F824B2" w:rsidRPr="008444B8" w:rsidRDefault="00491738" w:rsidP="003C68A9">
            <w:pPr>
              <w:pStyle w:val="ListParagraph"/>
              <w:numPr>
                <w:ilvl w:val="0"/>
                <w:numId w:val="18"/>
              </w:numPr>
              <w:tabs>
                <w:tab w:val="left" w:pos="426"/>
                <w:tab w:val="left" w:pos="851"/>
              </w:tabs>
              <w:spacing w:before="120" w:after="120" w:line="260" w:lineRule="atLeast"/>
              <w:contextualSpacing w:val="0"/>
              <w:jc w:val="both"/>
              <w:rPr>
                <w:rFonts w:ascii="Verdana" w:hAnsi="Verdana"/>
                <w:bCs/>
                <w:color w:val="000000" w:themeColor="text1"/>
                <w:sz w:val="18"/>
                <w:szCs w:val="18"/>
              </w:rPr>
            </w:pPr>
            <w:r w:rsidRPr="003C68A9">
              <w:rPr>
                <w:rFonts w:ascii="Verdana" w:hAnsi="Verdana"/>
                <w:sz w:val="18"/>
              </w:rPr>
              <w:t>rasti studimor</w:t>
            </w:r>
          </w:p>
        </w:tc>
      </w:tr>
      <w:tr w:rsidR="005A4E47" w:rsidRPr="008444B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8444B8" w:rsidRDefault="005A4E47" w:rsidP="008444B8">
            <w:pPr>
              <w:spacing w:before="120" w:after="120" w:line="260" w:lineRule="atLeast"/>
              <w:rPr>
                <w:rFonts w:ascii="Verdana" w:hAnsi="Verdana"/>
                <w:b/>
                <w:sz w:val="28"/>
                <w:szCs w:val="28"/>
              </w:rPr>
            </w:pPr>
            <w:r w:rsidRPr="008444B8">
              <w:rPr>
                <w:rFonts w:ascii="Verdana" w:hAnsi="Verdana"/>
                <w:b/>
                <w:sz w:val="28"/>
              </w:rPr>
              <w:t>Përmbajtja e Mësimit</w:t>
            </w:r>
          </w:p>
        </w:tc>
      </w:tr>
      <w:tr w:rsidR="00F1574D" w:rsidRPr="008444B8" w14:paraId="57CC7AA4" w14:textId="77777777" w:rsidTr="00F1574D">
        <w:trPr>
          <w:trHeight w:val="629"/>
        </w:trPr>
        <w:tc>
          <w:tcPr>
            <w:tcW w:w="1525" w:type="dxa"/>
            <w:shd w:val="clear" w:color="auto" w:fill="D9E2F3" w:themeFill="accent1" w:themeFillTint="33"/>
            <w:vAlign w:val="center"/>
          </w:tcPr>
          <w:p w14:paraId="4538C338" w14:textId="77777777" w:rsidR="00D82C18" w:rsidRPr="008444B8" w:rsidRDefault="00E13BE7" w:rsidP="008444B8">
            <w:pPr>
              <w:spacing w:before="120" w:after="120" w:line="260" w:lineRule="atLeast"/>
              <w:jc w:val="center"/>
              <w:rPr>
                <w:rFonts w:ascii="Verdana" w:hAnsi="Verdana"/>
                <w:b/>
                <w:sz w:val="22"/>
                <w:szCs w:val="22"/>
              </w:rPr>
            </w:pPr>
            <w:r w:rsidRPr="008444B8">
              <w:rPr>
                <w:rFonts w:ascii="Verdana" w:hAnsi="Verdana"/>
                <w:b/>
                <w:sz w:val="22"/>
              </w:rPr>
              <w:t>Numrat e slajdeve</w:t>
            </w:r>
          </w:p>
        </w:tc>
        <w:tc>
          <w:tcPr>
            <w:tcW w:w="7485" w:type="dxa"/>
            <w:gridSpan w:val="2"/>
            <w:shd w:val="clear" w:color="auto" w:fill="D9E2F3" w:themeFill="accent1" w:themeFillTint="33"/>
            <w:vAlign w:val="center"/>
          </w:tcPr>
          <w:p w14:paraId="2DA616FC" w14:textId="77777777" w:rsidR="00D82C18" w:rsidRPr="008444B8" w:rsidRDefault="00E13BE7" w:rsidP="008444B8">
            <w:pPr>
              <w:spacing w:before="120" w:after="120" w:line="260" w:lineRule="atLeast"/>
              <w:rPr>
                <w:rFonts w:ascii="Verdana" w:hAnsi="Verdana"/>
                <w:b/>
                <w:sz w:val="22"/>
                <w:szCs w:val="22"/>
              </w:rPr>
            </w:pPr>
            <w:r w:rsidRPr="008444B8">
              <w:rPr>
                <w:rFonts w:ascii="Verdana" w:hAnsi="Verdana"/>
                <w:b/>
                <w:sz w:val="22"/>
              </w:rPr>
              <w:t>Përmbajtja</w:t>
            </w:r>
          </w:p>
        </w:tc>
      </w:tr>
      <w:tr w:rsidR="00F1574D" w:rsidRPr="008444B8" w14:paraId="11A12D7E" w14:textId="77777777" w:rsidTr="00BD7897">
        <w:trPr>
          <w:trHeight w:val="1043"/>
        </w:trPr>
        <w:tc>
          <w:tcPr>
            <w:tcW w:w="1525" w:type="dxa"/>
            <w:vAlign w:val="center"/>
          </w:tcPr>
          <w:p w14:paraId="67083237" w14:textId="7BCA6E59" w:rsidR="00D82C18" w:rsidRPr="008444B8" w:rsidRDefault="003630ED" w:rsidP="008444B8">
            <w:pPr>
              <w:spacing w:before="120" w:after="120" w:line="260" w:lineRule="atLeast"/>
              <w:jc w:val="center"/>
              <w:rPr>
                <w:rFonts w:ascii="Verdana" w:hAnsi="Verdana"/>
                <w:sz w:val="18"/>
                <w:szCs w:val="18"/>
              </w:rPr>
            </w:pPr>
            <w:r w:rsidRPr="008444B8">
              <w:rPr>
                <w:rFonts w:ascii="Verdana" w:hAnsi="Verdana"/>
                <w:sz w:val="18"/>
              </w:rPr>
              <w:t>1 deri 3</w:t>
            </w:r>
          </w:p>
          <w:p w14:paraId="5A89CF27" w14:textId="71EEF2DB" w:rsidR="00F1574D" w:rsidRPr="008444B8" w:rsidRDefault="00F1574D" w:rsidP="008444B8">
            <w:pPr>
              <w:spacing w:before="120" w:after="120" w:line="260" w:lineRule="atLeast"/>
              <w:jc w:val="center"/>
              <w:rPr>
                <w:rFonts w:ascii="Verdana" w:hAnsi="Verdana"/>
                <w:sz w:val="18"/>
                <w:szCs w:val="18"/>
              </w:rPr>
            </w:pPr>
          </w:p>
        </w:tc>
        <w:tc>
          <w:tcPr>
            <w:tcW w:w="7485" w:type="dxa"/>
            <w:gridSpan w:val="2"/>
            <w:vAlign w:val="center"/>
          </w:tcPr>
          <w:p w14:paraId="36345B59" w14:textId="7A0A0D66" w:rsidR="00556D69" w:rsidRPr="008444B8" w:rsidRDefault="00556D69" w:rsidP="008444B8">
            <w:pPr>
              <w:spacing w:before="120" w:after="120" w:line="260" w:lineRule="atLeast"/>
              <w:jc w:val="both"/>
              <w:rPr>
                <w:rFonts w:ascii="Verdana" w:hAnsi="Verdana"/>
                <w:color w:val="FF0000"/>
                <w:sz w:val="18"/>
                <w:szCs w:val="18"/>
              </w:rPr>
            </w:pPr>
            <w:r w:rsidRPr="008444B8">
              <w:rPr>
                <w:rFonts w:ascii="Verdana" w:hAnsi="Verdana"/>
                <w:color w:val="000000" w:themeColor="text1"/>
                <w:sz w:val="18"/>
              </w:rPr>
              <w:t xml:space="preserve">Slajdet e hapjes janë hyrja në seancë dhe përfshijnë agjendën dhe objektivat e seancës së bashku me disa nëntema të reja nga trajnimi Hyrës.  </w:t>
            </w:r>
          </w:p>
        </w:tc>
      </w:tr>
      <w:tr w:rsidR="00A60446" w:rsidRPr="008444B8" w14:paraId="42D2960A" w14:textId="77777777" w:rsidTr="00F1574D">
        <w:trPr>
          <w:trHeight w:val="1880"/>
        </w:trPr>
        <w:tc>
          <w:tcPr>
            <w:tcW w:w="1525" w:type="dxa"/>
            <w:vAlign w:val="center"/>
          </w:tcPr>
          <w:p w14:paraId="3DAC33AA" w14:textId="62080AF5" w:rsidR="00A60446" w:rsidRPr="008444B8" w:rsidRDefault="00BA6A8F" w:rsidP="008444B8">
            <w:pPr>
              <w:spacing w:before="120" w:after="120" w:line="260" w:lineRule="atLeast"/>
              <w:jc w:val="center"/>
              <w:rPr>
                <w:rFonts w:ascii="Verdana" w:hAnsi="Verdana"/>
                <w:sz w:val="18"/>
                <w:szCs w:val="18"/>
              </w:rPr>
            </w:pPr>
            <w:r w:rsidRPr="008444B8">
              <w:rPr>
                <w:rFonts w:ascii="Verdana" w:hAnsi="Verdana"/>
                <w:sz w:val="18"/>
              </w:rPr>
              <w:t>4 deri 7</w:t>
            </w:r>
          </w:p>
        </w:tc>
        <w:tc>
          <w:tcPr>
            <w:tcW w:w="7485" w:type="dxa"/>
            <w:gridSpan w:val="2"/>
            <w:vAlign w:val="center"/>
          </w:tcPr>
          <w:p w14:paraId="1246D7D4" w14:textId="1FBA624A" w:rsidR="00A60446" w:rsidRPr="008444B8" w:rsidRDefault="00BA6A8F" w:rsidP="008444B8">
            <w:pPr>
              <w:pStyle w:val="Subtitle"/>
              <w:spacing w:before="120" w:line="260" w:lineRule="atLeast"/>
              <w:rPr>
                <w:rFonts w:ascii="Verdana" w:eastAsia="Times New Roman" w:hAnsi="Verdana"/>
                <w:szCs w:val="18"/>
              </w:rPr>
            </w:pPr>
            <w:r w:rsidRPr="008444B8">
              <w:rPr>
                <w:rFonts w:ascii="Verdana" w:hAnsi="Verdana"/>
              </w:rPr>
              <w:t>Ky slajd paraqet përmbledhje të shpejtë të përkufizimeve, informacioneve dhe shpjegimeve rreth llojeve më tipike të të dhënave kompjuterike që përdoren sot. Tashmë iu është paraqitur pjesëmarrësve në kuadër të seancave në lidhje me nenet e Konventës së Budapestit (1 dhe 18), prova elektronike dhe të ngjashme.</w:t>
            </w:r>
          </w:p>
        </w:tc>
      </w:tr>
      <w:tr w:rsidR="003B34C4" w:rsidRPr="008444B8" w14:paraId="19763061" w14:textId="77777777" w:rsidTr="00F1574D">
        <w:trPr>
          <w:trHeight w:val="1880"/>
        </w:trPr>
        <w:tc>
          <w:tcPr>
            <w:tcW w:w="1525" w:type="dxa"/>
            <w:vAlign w:val="center"/>
          </w:tcPr>
          <w:p w14:paraId="58BC834A" w14:textId="7EA37DF7" w:rsidR="003B34C4" w:rsidRPr="008444B8" w:rsidRDefault="00BA6A8F" w:rsidP="008444B8">
            <w:pPr>
              <w:spacing w:before="120" w:after="120" w:line="260" w:lineRule="atLeast"/>
              <w:jc w:val="center"/>
              <w:rPr>
                <w:rFonts w:ascii="Verdana" w:hAnsi="Verdana"/>
                <w:sz w:val="18"/>
                <w:szCs w:val="18"/>
              </w:rPr>
            </w:pPr>
            <w:r w:rsidRPr="008444B8">
              <w:rPr>
                <w:rFonts w:ascii="Verdana" w:hAnsi="Verdana"/>
                <w:sz w:val="18"/>
              </w:rPr>
              <w:t>8 deri 9</w:t>
            </w:r>
          </w:p>
        </w:tc>
        <w:tc>
          <w:tcPr>
            <w:tcW w:w="7485" w:type="dxa"/>
            <w:gridSpan w:val="2"/>
            <w:vAlign w:val="center"/>
          </w:tcPr>
          <w:p w14:paraId="7391A0F1" w14:textId="3A00FB2D" w:rsidR="003B34C4" w:rsidRPr="008444B8" w:rsidRDefault="003B34C4" w:rsidP="008444B8">
            <w:pPr>
              <w:pStyle w:val="Subtitle"/>
              <w:spacing w:before="120" w:line="260" w:lineRule="atLeast"/>
              <w:rPr>
                <w:rFonts w:ascii="Verdana" w:eastAsia="MS PGothic" w:hAnsi="Verdana" w:cs="MS PGothic"/>
                <w:iCs w:val="0"/>
                <w:kern w:val="24"/>
                <w:sz w:val="36"/>
                <w:szCs w:val="36"/>
              </w:rPr>
            </w:pPr>
            <w:r w:rsidRPr="008444B8">
              <w:rPr>
                <w:rFonts w:ascii="Verdana" w:hAnsi="Verdana"/>
              </w:rPr>
              <w:t>Këto slajde paraqesin informacione më të hollësishme rreth BSI (Informacionet Bazë të Abonuesit).</w:t>
            </w:r>
            <w:r w:rsidRPr="008444B8">
              <w:rPr>
                <w:rFonts w:ascii="Verdana" w:hAnsi="Verdana"/>
                <w:sz w:val="36"/>
              </w:rPr>
              <w:t xml:space="preserve"> </w:t>
            </w:r>
          </w:p>
          <w:p w14:paraId="7D495A78" w14:textId="77777777" w:rsidR="00BA6A8F" w:rsidRPr="008444B8" w:rsidRDefault="00BA6A8F" w:rsidP="008444B8">
            <w:pPr>
              <w:pStyle w:val="Subtitle"/>
              <w:spacing w:before="120" w:line="260" w:lineRule="atLeast"/>
              <w:rPr>
                <w:rFonts w:ascii="Verdana" w:eastAsia="Times New Roman" w:hAnsi="Verdana"/>
                <w:szCs w:val="18"/>
              </w:rPr>
            </w:pPr>
            <w:r w:rsidRPr="008444B8">
              <w:rPr>
                <w:rFonts w:ascii="Verdana" w:hAnsi="Verdana"/>
              </w:rPr>
              <w:t>Informacioni bazë i abonuesit përcaktohet së pari nga kompanitë e komunikimit telefonik dhe do të thotë: (A) Emri, (B) adresa, (C) regjistrat e lidhjeve telefonike lokale dhe në distancë ose regjistrimet e kohës dhe kohëzgjatjes së seancës, (D) kohëzgjatja e shërbimit, duke përfshirë datën e fillimit, dhe llojet e shërbimeve të përdorura, (E) numri i telefonit ose instrumentit ose numër tjetër identifikues i abonuesit, përfshirë ndonjë adresë të caktuar të protokollit të internetit dhe (F) dhe mjetet dhe burimi i pagesës për një shërbim të tillë, përfshirë ndonjë kartë krediti ose numër të llogarisë bankare.</w:t>
            </w:r>
          </w:p>
          <w:p w14:paraId="53059D73" w14:textId="10FC9B2B" w:rsidR="003B34C4" w:rsidRPr="008444B8" w:rsidRDefault="00BA6A8F" w:rsidP="008444B8">
            <w:pPr>
              <w:pStyle w:val="Subtitle"/>
              <w:spacing w:before="120" w:line="260" w:lineRule="atLeast"/>
              <w:rPr>
                <w:rFonts w:ascii="Verdana" w:eastAsia="Times New Roman" w:hAnsi="Verdana"/>
                <w:szCs w:val="18"/>
              </w:rPr>
            </w:pPr>
            <w:r w:rsidRPr="008444B8">
              <w:rPr>
                <w:rFonts w:ascii="Verdana" w:hAnsi="Verdana"/>
              </w:rPr>
              <w:t>Sot implementohet për abonuesit e Ofruesve të Shërbimeve të Internetit me qëllim të qasjes në internet.</w:t>
            </w:r>
          </w:p>
        </w:tc>
      </w:tr>
      <w:tr w:rsidR="003B34C4" w:rsidRPr="008444B8" w14:paraId="2DD044A7" w14:textId="77777777" w:rsidTr="0023008E">
        <w:trPr>
          <w:trHeight w:val="1070"/>
        </w:trPr>
        <w:tc>
          <w:tcPr>
            <w:tcW w:w="1525" w:type="dxa"/>
            <w:vAlign w:val="center"/>
          </w:tcPr>
          <w:p w14:paraId="4CFF30A3" w14:textId="4A1E7FAC" w:rsidR="003B34C4" w:rsidRPr="008444B8" w:rsidRDefault="008E4D2C" w:rsidP="008444B8">
            <w:pPr>
              <w:spacing w:before="120" w:after="120" w:line="260" w:lineRule="atLeast"/>
              <w:jc w:val="center"/>
              <w:rPr>
                <w:rFonts w:ascii="Verdana" w:hAnsi="Verdana"/>
                <w:sz w:val="18"/>
                <w:szCs w:val="18"/>
              </w:rPr>
            </w:pPr>
            <w:r w:rsidRPr="008444B8">
              <w:rPr>
                <w:rFonts w:ascii="Verdana" w:hAnsi="Verdana"/>
                <w:sz w:val="18"/>
              </w:rPr>
              <w:t>10</w:t>
            </w:r>
          </w:p>
        </w:tc>
        <w:tc>
          <w:tcPr>
            <w:tcW w:w="7485" w:type="dxa"/>
            <w:gridSpan w:val="2"/>
            <w:vAlign w:val="center"/>
          </w:tcPr>
          <w:p w14:paraId="30C4D26D" w14:textId="07CFBF6E" w:rsidR="008E4D2C" w:rsidRPr="008444B8" w:rsidRDefault="008E4D2C" w:rsidP="008444B8">
            <w:pPr>
              <w:pStyle w:val="Subtitle"/>
              <w:spacing w:before="120" w:line="260" w:lineRule="atLeast"/>
              <w:rPr>
                <w:rFonts w:ascii="Verdana" w:eastAsia="Times New Roman" w:hAnsi="Verdana"/>
                <w:szCs w:val="18"/>
              </w:rPr>
            </w:pPr>
            <w:r w:rsidRPr="008444B8">
              <w:rPr>
                <w:rFonts w:ascii="Verdana" w:hAnsi="Verdana"/>
              </w:rPr>
              <w:t xml:space="preserve">Slajdet rreth të dhënave të trafikut. Këto të dhëna gjenerohen nga kompjuterët në zinxhirin e komunikimit që të përcjellin një komunikim nga origjina e tij deri në destinacion. Prandaj është ndihmëse për vetë komunikimin. </w:t>
            </w:r>
          </w:p>
          <w:p w14:paraId="09C9710C" w14:textId="04EC973C" w:rsidR="008E4D2C" w:rsidRPr="008444B8" w:rsidRDefault="008E4D2C" w:rsidP="008444B8">
            <w:pPr>
              <w:pStyle w:val="Subtitle"/>
              <w:spacing w:before="120" w:line="260" w:lineRule="atLeast"/>
              <w:rPr>
                <w:rFonts w:ascii="Verdana" w:eastAsia="Times New Roman" w:hAnsi="Verdana"/>
                <w:szCs w:val="18"/>
              </w:rPr>
            </w:pPr>
            <w:r w:rsidRPr="008444B8">
              <w:rPr>
                <w:rFonts w:ascii="Verdana" w:hAnsi="Verdana"/>
              </w:rPr>
              <w:t xml:space="preserve">Në rast të hetimit të një vepre penale të kryer në lidhje me një sistem kompjuterik, të dhënat e trafikut janë të nevojshme për të gjetur burimin e një komunikimi si një pikënisje për mbledhjen e provave të mëtejshme ose si pjesë e provave të veprës. Të dhënat e trafikut mund të zgjasin vetëm përkohësisht, gjë që e bën të domosdoshme urdhërimin e ruajtjes së tyre të shpejtë. Si pasojë, zbulimi i shpejtë i tij mund të jetë i nevojshëm për të dalluar rrugën e komunikimit për të mbledhur prova të mëtejshme para se të fshihen ose për të </w:t>
            </w:r>
            <w:r w:rsidRPr="008444B8">
              <w:rPr>
                <w:rFonts w:ascii="Verdana" w:hAnsi="Verdana"/>
              </w:rPr>
              <w:lastRenderedPageBreak/>
              <w:t xml:space="preserve">identifikuar një të dyshuar. Procedura e zakonshme për mbledhjen dhe zbulimin e të dhënave kompjuterike mund të jetë e pamjaftueshme. </w:t>
            </w:r>
          </w:p>
          <w:p w14:paraId="74F9CA3C" w14:textId="6EB0F7C4" w:rsidR="0023008E" w:rsidRPr="008444B8" w:rsidRDefault="008E4D2C" w:rsidP="008444B8">
            <w:pPr>
              <w:pStyle w:val="Subtitle"/>
              <w:spacing w:before="120" w:line="260" w:lineRule="atLeast"/>
              <w:rPr>
                <w:rFonts w:ascii="Verdana" w:eastAsia="Times New Roman" w:hAnsi="Verdana"/>
                <w:szCs w:val="18"/>
              </w:rPr>
            </w:pPr>
            <w:r w:rsidRPr="008444B8">
              <w:rPr>
                <w:rFonts w:ascii="Verdana" w:hAnsi="Verdana"/>
              </w:rPr>
              <w:t xml:space="preserve">Për më tepër, mbledhja e këtyre të dhënave konsiderohet në parim të jetë më pak ndërhyrëse pasi që si e tillë nuk zbulon përmbajtjen e komunikimit që konsiderohet të jetë më e ndjeshme. </w:t>
            </w:r>
          </w:p>
        </w:tc>
      </w:tr>
      <w:tr w:rsidR="00F1574D" w:rsidRPr="008444B8" w14:paraId="65F07CB5" w14:textId="77777777" w:rsidTr="00F1574D">
        <w:trPr>
          <w:trHeight w:val="1880"/>
        </w:trPr>
        <w:tc>
          <w:tcPr>
            <w:tcW w:w="1525" w:type="dxa"/>
            <w:vAlign w:val="center"/>
          </w:tcPr>
          <w:p w14:paraId="6F5AEB2D" w14:textId="39C1739B" w:rsidR="00F1574D" w:rsidRPr="008444B8" w:rsidRDefault="008E4D2C" w:rsidP="008444B8">
            <w:pPr>
              <w:spacing w:before="120" w:after="120" w:line="260" w:lineRule="atLeast"/>
              <w:jc w:val="center"/>
              <w:rPr>
                <w:rFonts w:ascii="Verdana" w:hAnsi="Verdana"/>
                <w:sz w:val="18"/>
                <w:szCs w:val="18"/>
              </w:rPr>
            </w:pPr>
            <w:r w:rsidRPr="008444B8">
              <w:rPr>
                <w:rFonts w:ascii="Verdana" w:hAnsi="Verdana"/>
                <w:sz w:val="18"/>
              </w:rPr>
              <w:lastRenderedPageBreak/>
              <w:t>11</w:t>
            </w:r>
          </w:p>
        </w:tc>
        <w:tc>
          <w:tcPr>
            <w:tcW w:w="7485" w:type="dxa"/>
            <w:gridSpan w:val="2"/>
            <w:vAlign w:val="center"/>
          </w:tcPr>
          <w:p w14:paraId="6C8998FB" w14:textId="5F0C21C1" w:rsidR="008E4D2C" w:rsidRPr="008444B8" w:rsidRDefault="008E4D2C" w:rsidP="008444B8">
            <w:pPr>
              <w:pStyle w:val="Subtitle"/>
              <w:spacing w:before="120" w:line="260" w:lineRule="atLeast"/>
              <w:rPr>
                <w:rFonts w:ascii="Verdana" w:eastAsia="Times New Roman" w:hAnsi="Verdana"/>
                <w:szCs w:val="18"/>
              </w:rPr>
            </w:pPr>
            <w:r w:rsidRPr="008444B8">
              <w:rPr>
                <w:rFonts w:ascii="Verdana" w:hAnsi="Verdana"/>
              </w:rPr>
              <w:t>Slajdet e të dhënave të përmbajtjes. Konventa e Budapestit nuk parasheh përkufizim të të dhënave të përmbajtjes. Sidoqoftë, ka një numër burimesh të ndryshme ligjore që ofrojnë përshkrime të ngjashme të termit "të dhëna të përmbajtjes".</w:t>
            </w:r>
          </w:p>
          <w:p w14:paraId="649FEA68" w14:textId="1F636679" w:rsidR="0045500D" w:rsidRPr="008444B8" w:rsidRDefault="008E4D2C" w:rsidP="008444B8">
            <w:pPr>
              <w:pStyle w:val="Subtitle"/>
              <w:spacing w:before="120" w:line="260" w:lineRule="atLeast"/>
              <w:rPr>
                <w:rFonts w:ascii="Verdana" w:eastAsia="Times New Roman" w:hAnsi="Verdana"/>
                <w:szCs w:val="18"/>
              </w:rPr>
            </w:pPr>
            <w:r w:rsidRPr="008444B8">
              <w:rPr>
                <w:rFonts w:ascii="Verdana" w:hAnsi="Verdana"/>
              </w:rPr>
              <w:t>Të gjitha përshkrimet dhe përkufizimet pajtohen që të dhënat e përmbajtjes përfaqësojnë atë që është "brenda" fajlit i cili dërgohet në rrjet.</w:t>
            </w:r>
          </w:p>
        </w:tc>
      </w:tr>
      <w:tr w:rsidR="00F1574D" w:rsidRPr="008444B8" w14:paraId="15587DD6" w14:textId="77777777" w:rsidTr="00F1574D">
        <w:trPr>
          <w:trHeight w:val="1916"/>
        </w:trPr>
        <w:tc>
          <w:tcPr>
            <w:tcW w:w="1525" w:type="dxa"/>
            <w:vAlign w:val="center"/>
          </w:tcPr>
          <w:p w14:paraId="65C32028" w14:textId="6649630B" w:rsidR="00F1574D" w:rsidRPr="008444B8" w:rsidRDefault="008E4D2C" w:rsidP="008444B8">
            <w:pPr>
              <w:spacing w:before="120" w:after="120" w:line="260" w:lineRule="atLeast"/>
              <w:jc w:val="center"/>
              <w:rPr>
                <w:rFonts w:ascii="Verdana" w:hAnsi="Verdana"/>
                <w:sz w:val="18"/>
                <w:szCs w:val="18"/>
              </w:rPr>
            </w:pPr>
            <w:r w:rsidRPr="008444B8">
              <w:rPr>
                <w:rFonts w:ascii="Verdana" w:hAnsi="Verdana"/>
                <w:sz w:val="18"/>
              </w:rPr>
              <w:t>12</w:t>
            </w:r>
          </w:p>
        </w:tc>
        <w:tc>
          <w:tcPr>
            <w:tcW w:w="7485" w:type="dxa"/>
            <w:gridSpan w:val="2"/>
            <w:vAlign w:val="center"/>
          </w:tcPr>
          <w:p w14:paraId="182F2970" w14:textId="49EC0325" w:rsidR="008E4D2C" w:rsidRPr="008444B8" w:rsidRDefault="008E4D2C" w:rsidP="008444B8">
            <w:pPr>
              <w:pStyle w:val="Subtitle"/>
              <w:spacing w:before="120" w:line="260" w:lineRule="atLeast"/>
              <w:rPr>
                <w:rFonts w:ascii="Verdana" w:eastAsia="Times New Roman" w:hAnsi="Verdana"/>
              </w:rPr>
            </w:pPr>
            <w:r w:rsidRPr="008444B8">
              <w:rPr>
                <w:rFonts w:ascii="Verdana" w:hAnsi="Verdana"/>
              </w:rPr>
              <w:t xml:space="preserve">Slajdet e të dhënave në re (Cloud). Puna kompjuterike në re (Cloud) është disponueshmëria sipas kërkesës e burimeve të sistemit kompjuterik, veçanërisht ruajtja e të dhënave (ruajtja në re) dhe fuqia informatike, pa menaxhim të drejtpërdrejtë aktiv nga përdoruesi. Termi zakonisht përdoret për të përshkruar qendrat e të dhënave në dispozicion të shumë përdoruesve përmes internetit. </w:t>
            </w:r>
          </w:p>
          <w:p w14:paraId="64556E46" w14:textId="77777777" w:rsidR="008E4D2C" w:rsidRPr="008444B8" w:rsidRDefault="008E4D2C" w:rsidP="008444B8">
            <w:pPr>
              <w:pStyle w:val="Subtitle"/>
              <w:spacing w:before="120" w:line="260" w:lineRule="atLeast"/>
              <w:rPr>
                <w:rFonts w:ascii="Verdana" w:eastAsia="Times New Roman" w:hAnsi="Verdana"/>
              </w:rPr>
            </w:pPr>
            <w:r w:rsidRPr="008444B8">
              <w:rPr>
                <w:rFonts w:ascii="Verdana" w:hAnsi="Verdana"/>
              </w:rPr>
              <w:t>Retë e mëdha, mbizotëruese sot, shpesh kanë funksione të shpërndara në shumë vende nga serverët qendrorë. Nëse lidhja me përdoruesin është relativisht e afërt, mund të caktohet një server ‘edge’.</w:t>
            </w:r>
          </w:p>
          <w:p w14:paraId="09B58FC0" w14:textId="7E4187F8" w:rsidR="0023008E" w:rsidRPr="008444B8" w:rsidRDefault="008E4D2C" w:rsidP="008444B8">
            <w:pPr>
              <w:pStyle w:val="Subtitle"/>
              <w:spacing w:before="120" w:line="260" w:lineRule="atLeast"/>
              <w:rPr>
                <w:rFonts w:ascii="Verdana" w:eastAsia="Times New Roman" w:hAnsi="Verdana"/>
              </w:rPr>
            </w:pPr>
            <w:r w:rsidRPr="008444B8">
              <w:rPr>
                <w:rFonts w:ascii="Verdana" w:hAnsi="Verdana"/>
              </w:rPr>
              <w:t xml:space="preserve">Retë mund të kufizohen në një organizatë të vetme (retë e ndërmarrjes), ose të jenë në dispozicion të shumë organizatave (re publike). </w:t>
            </w:r>
          </w:p>
        </w:tc>
      </w:tr>
      <w:tr w:rsidR="00F1574D" w:rsidRPr="008444B8" w14:paraId="4F010995" w14:textId="77777777" w:rsidTr="006B6FDF">
        <w:trPr>
          <w:trHeight w:val="440"/>
        </w:trPr>
        <w:tc>
          <w:tcPr>
            <w:tcW w:w="1525" w:type="dxa"/>
            <w:vAlign w:val="center"/>
          </w:tcPr>
          <w:p w14:paraId="48504862" w14:textId="037C1BA4" w:rsidR="00556D69" w:rsidRPr="008444B8" w:rsidRDefault="005D7794" w:rsidP="008444B8">
            <w:pPr>
              <w:spacing w:before="120" w:after="120" w:line="260" w:lineRule="atLeast"/>
              <w:jc w:val="center"/>
              <w:rPr>
                <w:rFonts w:ascii="Verdana" w:hAnsi="Verdana"/>
                <w:sz w:val="18"/>
                <w:szCs w:val="18"/>
              </w:rPr>
            </w:pPr>
            <w:r w:rsidRPr="008444B8">
              <w:rPr>
                <w:rFonts w:ascii="Verdana" w:hAnsi="Verdana"/>
                <w:sz w:val="18"/>
              </w:rPr>
              <w:t>13 deri 17</w:t>
            </w:r>
          </w:p>
        </w:tc>
        <w:tc>
          <w:tcPr>
            <w:tcW w:w="7485" w:type="dxa"/>
            <w:gridSpan w:val="2"/>
            <w:vAlign w:val="center"/>
          </w:tcPr>
          <w:p w14:paraId="55DD8F80" w14:textId="44170728" w:rsidR="0023008E" w:rsidRPr="008444B8" w:rsidRDefault="00BD7897" w:rsidP="008444B8">
            <w:pPr>
              <w:pStyle w:val="Subtitle"/>
              <w:spacing w:before="120" w:line="260" w:lineRule="atLeast"/>
              <w:rPr>
                <w:rFonts w:ascii="Verdana" w:eastAsia="MS PGothic" w:hAnsi="Verdana" w:cs="MS PGothic"/>
                <w:kern w:val="24"/>
              </w:rPr>
            </w:pPr>
            <w:r w:rsidRPr="008444B8">
              <w:rPr>
                <w:rFonts w:ascii="Verdana" w:hAnsi="Verdana"/>
              </w:rPr>
              <w:t>Këto slajde paraqesin prova elektronike të sfidave të NJN-së, veprimeve dhe formave të tjera të ndihmës së ndërsjellë lidhur me to.</w:t>
            </w:r>
          </w:p>
          <w:p w14:paraId="66634158" w14:textId="77777777" w:rsidR="008E4D2C" w:rsidRPr="008444B8" w:rsidRDefault="008E4D2C" w:rsidP="008444B8">
            <w:pPr>
              <w:pStyle w:val="Subtitle"/>
              <w:spacing w:before="120" w:line="260" w:lineRule="atLeast"/>
              <w:rPr>
                <w:rFonts w:ascii="Verdana" w:eastAsia="Times New Roman" w:hAnsi="Verdana"/>
              </w:rPr>
            </w:pPr>
            <w:r w:rsidRPr="008444B8">
              <w:rPr>
                <w:rFonts w:ascii="Verdana" w:hAnsi="Verdana"/>
              </w:rPr>
              <w:t>Disa nga sfidat më të rëndësishme në lidhje me marrjen e provave elektronike përmes ndihmës juridike të ndërsjellë në çështjet penale. Aspekte të sfidave u paraqiten pjesëmarrësve gjatë Trajnimit Hyrës.</w:t>
            </w:r>
          </w:p>
          <w:p w14:paraId="4AF5B3D7" w14:textId="0D42AEE5" w:rsidR="0023008E" w:rsidRPr="008444B8" w:rsidRDefault="008E4D2C" w:rsidP="008444B8">
            <w:pPr>
              <w:pStyle w:val="Subtitle"/>
              <w:spacing w:before="120" w:line="260" w:lineRule="atLeast"/>
              <w:rPr>
                <w:rFonts w:ascii="Verdana" w:eastAsia="Times New Roman" w:hAnsi="Verdana"/>
              </w:rPr>
            </w:pPr>
            <w:r w:rsidRPr="008444B8">
              <w:rPr>
                <w:rFonts w:ascii="Verdana" w:hAnsi="Verdana"/>
              </w:rPr>
              <w:t>Forma të tjera të ndihmës juridike të ndërsjellë që janë në dispozicion të prokurorëve dhe gjyqtarëve. Disa prej tyre janë brenda kompetencave të Ministrisë ose Departamentit të Drejtësisë dhe jashtë juridiksionit të prokurorisë ose gjykatës. Megjithëse, këto autoritete do të kenë një pjesë të saj.</w:t>
            </w:r>
          </w:p>
        </w:tc>
      </w:tr>
      <w:tr w:rsidR="00F1574D" w:rsidRPr="008444B8" w14:paraId="3C4A313A" w14:textId="77777777" w:rsidTr="00F1574D">
        <w:trPr>
          <w:trHeight w:val="890"/>
        </w:trPr>
        <w:tc>
          <w:tcPr>
            <w:tcW w:w="1525" w:type="dxa"/>
            <w:vAlign w:val="center"/>
          </w:tcPr>
          <w:p w14:paraId="00098EC4" w14:textId="015AE9A7" w:rsidR="00F1574D" w:rsidRPr="008444B8" w:rsidRDefault="008E4D2C" w:rsidP="008444B8">
            <w:pPr>
              <w:spacing w:before="120" w:after="120" w:line="260" w:lineRule="atLeast"/>
              <w:jc w:val="center"/>
              <w:rPr>
                <w:rFonts w:ascii="Verdana" w:hAnsi="Verdana"/>
                <w:sz w:val="18"/>
                <w:szCs w:val="18"/>
              </w:rPr>
            </w:pPr>
            <w:r w:rsidRPr="008444B8">
              <w:rPr>
                <w:rFonts w:ascii="Verdana" w:hAnsi="Verdana"/>
                <w:sz w:val="18"/>
              </w:rPr>
              <w:t>18 deri 28</w:t>
            </w:r>
          </w:p>
        </w:tc>
        <w:tc>
          <w:tcPr>
            <w:tcW w:w="7485" w:type="dxa"/>
            <w:gridSpan w:val="2"/>
            <w:vAlign w:val="center"/>
          </w:tcPr>
          <w:p w14:paraId="3F7CC308" w14:textId="66367F0F" w:rsidR="00556D69" w:rsidRPr="008444B8" w:rsidRDefault="00A31FA0" w:rsidP="008444B8">
            <w:pPr>
              <w:pStyle w:val="Subtitle"/>
              <w:spacing w:before="120" w:afterLines="120" w:after="288" w:line="260" w:lineRule="atLeast"/>
              <w:rPr>
                <w:rFonts w:ascii="Verdana" w:eastAsia="Times New Roman" w:hAnsi="Verdana"/>
              </w:rPr>
            </w:pPr>
            <w:r w:rsidRPr="008444B8">
              <w:rPr>
                <w:rFonts w:ascii="Verdana" w:hAnsi="Verdana"/>
              </w:rPr>
              <w:t>Këto slajde paraqesin përbërjet e mundshme të autoriteteve kompetente të NJN-së.</w:t>
            </w:r>
          </w:p>
          <w:p w14:paraId="3C8E6EA2" w14:textId="37D306DE" w:rsidR="008E4D2C" w:rsidRPr="008444B8" w:rsidRDefault="008E4D2C" w:rsidP="008444B8">
            <w:pPr>
              <w:spacing w:before="120" w:afterLines="120" w:after="288" w:line="260" w:lineRule="atLeast"/>
              <w:jc w:val="both"/>
              <w:rPr>
                <w:rFonts w:ascii="Verdana" w:hAnsi="Verdana"/>
                <w:sz w:val="18"/>
                <w:szCs w:val="18"/>
              </w:rPr>
            </w:pPr>
            <w:r w:rsidRPr="008444B8">
              <w:rPr>
                <w:rFonts w:ascii="Verdana" w:hAnsi="Verdana"/>
                <w:sz w:val="18"/>
              </w:rPr>
              <w:t xml:space="preserve">Ekzistojnë qasje të ndryshme për strukturën e autoriteteve qendrore dhe ekzekutuese për Ndihmën Juridike të Ndërsjellë. Në varësi të kornizës ligjore vendase, përfshirë traktatet ndërkombëtare të miratuara, rregullimi mund të ndryshojë. </w:t>
            </w:r>
          </w:p>
          <w:p w14:paraId="7EC831F0" w14:textId="18E894F3" w:rsidR="008E4D2C" w:rsidRPr="008444B8" w:rsidRDefault="008E4D2C" w:rsidP="008444B8">
            <w:pPr>
              <w:spacing w:before="120" w:afterLines="120" w:after="288" w:line="260" w:lineRule="atLeast"/>
              <w:jc w:val="both"/>
              <w:rPr>
                <w:rFonts w:ascii="Verdana" w:hAnsi="Verdana"/>
                <w:sz w:val="18"/>
                <w:szCs w:val="18"/>
              </w:rPr>
            </w:pPr>
            <w:r w:rsidRPr="008444B8">
              <w:rPr>
                <w:rFonts w:ascii="Verdana" w:hAnsi="Verdana"/>
                <w:sz w:val="18"/>
              </w:rPr>
              <w:t>Ministria e Drejtësisë është zakonisht autoriteti qendror për ndihmën juridike të ndërsjellë. Sidoqoftë, për shkak të aspekteve të ndryshme të strukturës ligjore dhe logjistike të autoritetit, ka sfida me të cilat përballet kjo skemë dhe të cilat duhet të vihen në dukje.</w:t>
            </w:r>
          </w:p>
          <w:p w14:paraId="2ABAD9C0" w14:textId="0C135E8D" w:rsidR="008E4D2C" w:rsidRPr="008444B8" w:rsidRDefault="008E4D2C" w:rsidP="008444B8">
            <w:pPr>
              <w:spacing w:before="120" w:afterLines="120" w:after="288" w:line="260" w:lineRule="atLeast"/>
              <w:jc w:val="both"/>
              <w:rPr>
                <w:rFonts w:ascii="Verdana" w:hAnsi="Verdana"/>
                <w:sz w:val="18"/>
                <w:szCs w:val="18"/>
              </w:rPr>
            </w:pPr>
            <w:r w:rsidRPr="008444B8">
              <w:rPr>
                <w:rFonts w:ascii="Verdana" w:hAnsi="Verdana"/>
                <w:sz w:val="18"/>
              </w:rPr>
              <w:t xml:space="preserve">Zbatimi i ligjit, kryesisht policia, ka autoritet të caktuar në lidhje me procesin e NJN-së. Sidoqoftë, ai ndryshon shumë nga vendi në vend. Vendet e të drejtës zakonore kryesisht kanë fuqizuar zbatimin e tyre të ligjit për të marrë pjesë në mënyrë aktive në kërkimin ose sigurimin e informacionit ose provave në lidhje me rastet e krimit kibernetik. Rasti nuk është i tillë me vendet e të drejtës </w:t>
            </w:r>
            <w:r w:rsidRPr="008444B8">
              <w:rPr>
                <w:rFonts w:ascii="Verdana" w:hAnsi="Verdana"/>
                <w:sz w:val="18"/>
              </w:rPr>
              <w:lastRenderedPageBreak/>
              <w:t>civile ku ky autoritet i përket pothuajse plotësisht prokurorisë ose gjykatës.</w:t>
            </w:r>
          </w:p>
          <w:p w14:paraId="60F2D7EC" w14:textId="77777777" w:rsidR="008E4D2C" w:rsidRPr="008444B8" w:rsidRDefault="008E4D2C" w:rsidP="008444B8">
            <w:pPr>
              <w:spacing w:before="120" w:afterLines="120" w:after="288" w:line="260" w:lineRule="atLeast"/>
              <w:jc w:val="both"/>
              <w:rPr>
                <w:rFonts w:ascii="Verdana" w:hAnsi="Verdana"/>
                <w:sz w:val="18"/>
                <w:szCs w:val="18"/>
              </w:rPr>
            </w:pPr>
            <w:r w:rsidRPr="008444B8">
              <w:rPr>
                <w:rFonts w:ascii="Verdana" w:hAnsi="Verdana"/>
                <w:sz w:val="18"/>
              </w:rPr>
              <w:t>Prokuroria dhe Gjykata kanë përgjegjësi gjithnjë e në rritje në fushën e NJN-së. Vendet gjithnjë e më shumë e kuptojnë se ekzekutimi i shpejtë dhe thelbësor i ndihmës juridike të ndërsjellë, duke qenë një ndihmë administrative ose e plotë, mund të sigurohet nga autoritetet gjyqësore pasi ato lidhin kompetencat dhe juridiksionet ndërmjet shumë pjesëmarrësve në këtë proces nga njëra anë dhe nga një tjetër ata janë garantues të masave mbrojtëse që duhet të zbatohen.</w:t>
            </w:r>
          </w:p>
          <w:p w14:paraId="40ED0486" w14:textId="77777777" w:rsidR="008E4D2C" w:rsidRPr="008444B8" w:rsidRDefault="008E4D2C" w:rsidP="008444B8">
            <w:pPr>
              <w:spacing w:before="120" w:afterLines="120" w:after="288" w:line="260" w:lineRule="atLeast"/>
              <w:jc w:val="both"/>
              <w:rPr>
                <w:rFonts w:ascii="Verdana" w:hAnsi="Verdana"/>
                <w:sz w:val="18"/>
                <w:szCs w:val="18"/>
              </w:rPr>
            </w:pPr>
            <w:r w:rsidRPr="008444B8">
              <w:rPr>
                <w:rFonts w:ascii="Verdana" w:hAnsi="Verdana"/>
                <w:sz w:val="18"/>
              </w:rPr>
              <w:t>Vendet e së drejtës civile më së shumti kanë miratuar sistemin në të cilin Prokuroria Publike ose Departamenti Hetimor i Gjykatës kanë autoritet hetimi, ndërsa policia në këtë sistem kryen detyrat e saj nën udhëzimet ose urdhrat nga këto autoritete.</w:t>
            </w:r>
          </w:p>
          <w:p w14:paraId="5FD36224" w14:textId="09DFECB4" w:rsidR="008E4D2C" w:rsidRPr="008444B8" w:rsidRDefault="008E4D2C" w:rsidP="008444B8">
            <w:pPr>
              <w:spacing w:before="120" w:afterLines="120" w:after="288" w:line="260" w:lineRule="atLeast"/>
              <w:jc w:val="both"/>
              <w:rPr>
                <w:rFonts w:ascii="Verdana" w:hAnsi="Verdana"/>
                <w:sz w:val="18"/>
                <w:szCs w:val="18"/>
              </w:rPr>
            </w:pPr>
            <w:r w:rsidRPr="008444B8">
              <w:rPr>
                <w:rFonts w:ascii="Verdana" w:hAnsi="Verdana"/>
                <w:sz w:val="18"/>
              </w:rPr>
              <w:t>Në vendet e të drejtës zakonore, sistemet janë të përziera dhe klasike, ku policia ka të gjithë autoritetin e hetimit është më pak i pranishëm, sesa sistemet hibride në të cilat policia bashkëpunon me prokurorinë dhe paraqet parashtresat në gjykatë.</w:t>
            </w:r>
          </w:p>
          <w:p w14:paraId="4B68FAA2" w14:textId="1486E1F0" w:rsidR="008E4D2C" w:rsidRPr="008444B8" w:rsidRDefault="008E4D2C" w:rsidP="008444B8">
            <w:pPr>
              <w:spacing w:before="120" w:afterLines="120" w:after="288" w:line="260" w:lineRule="atLeast"/>
              <w:jc w:val="both"/>
              <w:rPr>
                <w:rFonts w:ascii="Verdana" w:hAnsi="Verdana"/>
                <w:sz w:val="18"/>
                <w:szCs w:val="18"/>
              </w:rPr>
            </w:pPr>
            <w:r w:rsidRPr="008444B8">
              <w:rPr>
                <w:rFonts w:ascii="Verdana" w:hAnsi="Verdana"/>
                <w:sz w:val="18"/>
              </w:rPr>
              <w:t>Sidoqoftë, prokuroria dhe gjykatat janë gjithnjë e më të përfshira në procedurat e NJN-së.</w:t>
            </w:r>
          </w:p>
          <w:p w14:paraId="3FB22A96" w14:textId="77777777" w:rsidR="008E4D2C" w:rsidRPr="008444B8" w:rsidRDefault="008E4D2C" w:rsidP="008444B8">
            <w:pPr>
              <w:spacing w:before="120" w:afterLines="120" w:after="288" w:line="260" w:lineRule="atLeast"/>
              <w:jc w:val="both"/>
              <w:rPr>
                <w:rFonts w:ascii="Verdana" w:hAnsi="Verdana"/>
                <w:sz w:val="18"/>
                <w:szCs w:val="18"/>
              </w:rPr>
            </w:pPr>
            <w:r w:rsidRPr="008444B8">
              <w:rPr>
                <w:rFonts w:ascii="Verdana" w:hAnsi="Verdana"/>
                <w:sz w:val="18"/>
              </w:rPr>
              <w:t xml:space="preserve">Disa kanë krijuar zyrtarisht ose në mënyrë efektive pikat e kontaktit në prokurori (Shqipëri, Belgjikë, Francë, Itali, Maltë, Mauritius, Holandë, Rumani, Serbi, Zvicër, Shtetet e Bashkuara). </w:t>
            </w:r>
          </w:p>
          <w:p w14:paraId="09B693A1" w14:textId="73A262BD" w:rsidR="008E4D2C" w:rsidRPr="008444B8" w:rsidRDefault="008E4D2C" w:rsidP="008444B8">
            <w:pPr>
              <w:spacing w:before="120" w:afterLines="120" w:after="288" w:line="260" w:lineRule="atLeast"/>
              <w:jc w:val="both"/>
              <w:rPr>
                <w:rFonts w:ascii="Verdana" w:hAnsi="Verdana"/>
                <w:sz w:val="18"/>
                <w:szCs w:val="18"/>
              </w:rPr>
            </w:pPr>
            <w:r w:rsidRPr="008444B8">
              <w:rPr>
                <w:rFonts w:ascii="Verdana" w:hAnsi="Verdana"/>
                <w:sz w:val="18"/>
              </w:rPr>
              <w:t>Shtetet ndërmarrin një larmi hapash për të përmirësuar lidhjet ndërmjet zyrave që procedojnë kërkesat e NJN-së që përfshijnë të dhëna elektronike. Këto hapa janë detajuar gjerësisht në përpilimin e përgjigjeve të palëve, që janë në dispozicion për të gjitha palët. T-CY rekomandon përqendrimin e vazhdueshëm në përmirësimin e procesit. Këshilli i Evropës - përfshirë projektet dhe në koordinim me T-CY - duhet të mbështesë shkëmbimin e përvojës ndërmjet pikave të kontaktit 24/7. Duhet të sigurohet koordinimi i ngushtë me autoritetet e drejtësisë.</w:t>
            </w:r>
          </w:p>
        </w:tc>
      </w:tr>
      <w:tr w:rsidR="00F1574D" w:rsidRPr="008444B8" w14:paraId="0425CAAD" w14:textId="77777777" w:rsidTr="00F1574D">
        <w:trPr>
          <w:trHeight w:val="1295"/>
        </w:trPr>
        <w:tc>
          <w:tcPr>
            <w:tcW w:w="1525" w:type="dxa"/>
            <w:vAlign w:val="center"/>
          </w:tcPr>
          <w:p w14:paraId="054F45E0" w14:textId="3A841FB0" w:rsidR="00F1574D" w:rsidRPr="008444B8" w:rsidRDefault="005D7794" w:rsidP="008444B8">
            <w:pPr>
              <w:spacing w:before="120" w:after="120" w:line="260" w:lineRule="atLeast"/>
              <w:jc w:val="center"/>
              <w:rPr>
                <w:rFonts w:ascii="Verdana" w:hAnsi="Verdana"/>
                <w:sz w:val="18"/>
                <w:szCs w:val="18"/>
              </w:rPr>
            </w:pPr>
            <w:r w:rsidRPr="008444B8">
              <w:rPr>
                <w:rFonts w:ascii="Verdana" w:hAnsi="Verdana"/>
                <w:sz w:val="18"/>
              </w:rPr>
              <w:lastRenderedPageBreak/>
              <w:t>29 deri 39</w:t>
            </w:r>
          </w:p>
        </w:tc>
        <w:tc>
          <w:tcPr>
            <w:tcW w:w="7485" w:type="dxa"/>
            <w:gridSpan w:val="2"/>
            <w:vAlign w:val="center"/>
          </w:tcPr>
          <w:p w14:paraId="790396D3" w14:textId="0EAB1AE6" w:rsidR="00A31FA0" w:rsidRPr="008444B8" w:rsidRDefault="00A31FA0" w:rsidP="008444B8">
            <w:pPr>
              <w:spacing w:before="120" w:after="120" w:line="260" w:lineRule="atLeast"/>
              <w:jc w:val="both"/>
              <w:rPr>
                <w:rFonts w:ascii="Verdana" w:eastAsia="MS PGothic" w:hAnsi="Verdana" w:cs="MS PGothic"/>
                <w:b/>
                <w:bCs/>
                <w:color w:val="000000" w:themeColor="text1"/>
                <w:kern w:val="24"/>
              </w:rPr>
            </w:pPr>
            <w:r w:rsidRPr="008444B8">
              <w:rPr>
                <w:rFonts w:ascii="Verdana" w:hAnsi="Verdana"/>
                <w:sz w:val="18"/>
              </w:rPr>
              <w:t>Këto slajde paraqesin përmbledhje praktike të procedurave të NJN-së.</w:t>
            </w:r>
            <w:r w:rsidRPr="008444B8">
              <w:rPr>
                <w:rFonts w:ascii="Verdana" w:hAnsi="Verdana"/>
                <w:b/>
                <w:color w:val="000000" w:themeColor="text1"/>
              </w:rPr>
              <w:t xml:space="preserve"> </w:t>
            </w:r>
          </w:p>
          <w:p w14:paraId="4FC64CD5" w14:textId="77777777" w:rsidR="008E4D2C" w:rsidRPr="008444B8" w:rsidRDefault="008E4D2C" w:rsidP="008444B8">
            <w:pPr>
              <w:spacing w:before="120" w:after="120" w:line="260" w:lineRule="atLeast"/>
              <w:jc w:val="both"/>
              <w:rPr>
                <w:rFonts w:ascii="Verdana" w:eastAsia="Times New Roman" w:hAnsi="Verdana"/>
                <w:sz w:val="18"/>
                <w:szCs w:val="18"/>
              </w:rPr>
            </w:pPr>
            <w:r w:rsidRPr="008444B8">
              <w:rPr>
                <w:rFonts w:ascii="Verdana" w:hAnsi="Verdana"/>
                <w:sz w:val="18"/>
              </w:rPr>
              <w:t>Hapat janë vetë-shpjegues dhe duhet të jenë të njohur për praktikuesit e së drejtës penale pasi ato korrespondojnë me çështjen e brendshme që procedon me një shtesë të elementit ndërkombëtar.</w:t>
            </w:r>
          </w:p>
          <w:p w14:paraId="057E651E" w14:textId="77777777" w:rsidR="008E4D2C" w:rsidRPr="008444B8" w:rsidRDefault="008E4D2C" w:rsidP="008444B8">
            <w:pPr>
              <w:spacing w:before="120" w:after="120" w:line="260" w:lineRule="atLeast"/>
              <w:jc w:val="both"/>
              <w:rPr>
                <w:rFonts w:ascii="Verdana" w:eastAsia="Times New Roman" w:hAnsi="Verdana"/>
                <w:sz w:val="18"/>
                <w:szCs w:val="18"/>
              </w:rPr>
            </w:pPr>
            <w:r w:rsidRPr="008444B8">
              <w:rPr>
                <w:rFonts w:ascii="Verdana" w:hAnsi="Verdana"/>
                <w:sz w:val="18"/>
              </w:rPr>
              <w:t>Hapi 1: parakushti për etiketimin e çështjes si NJN është krijimi i elementit ndërkombëtar në rast në përputhje me ligjin.</w:t>
            </w:r>
          </w:p>
          <w:p w14:paraId="5CF9EC4A" w14:textId="460980C8" w:rsidR="008E4D2C" w:rsidRPr="008444B8" w:rsidRDefault="008E4D2C" w:rsidP="008444B8">
            <w:pPr>
              <w:spacing w:before="120" w:after="120" w:line="260" w:lineRule="atLeast"/>
              <w:jc w:val="both"/>
              <w:rPr>
                <w:rFonts w:ascii="Verdana" w:eastAsia="Times New Roman" w:hAnsi="Verdana"/>
                <w:sz w:val="18"/>
                <w:szCs w:val="18"/>
              </w:rPr>
            </w:pPr>
            <w:r w:rsidRPr="008444B8">
              <w:rPr>
                <w:rFonts w:ascii="Verdana" w:hAnsi="Verdana"/>
                <w:sz w:val="18"/>
              </w:rPr>
              <w:t>Hapi 2: autoriteti që zhvillon procedurën duhet të analizojë hollësisht çështjen dhe të përcaktojë se cilat fakte duhet të merren.</w:t>
            </w:r>
          </w:p>
          <w:p w14:paraId="7AEABC27" w14:textId="69ED0C9B" w:rsidR="008E4D2C" w:rsidRPr="008444B8" w:rsidRDefault="008E4D2C" w:rsidP="008444B8">
            <w:pPr>
              <w:spacing w:before="120" w:after="120" w:line="260" w:lineRule="atLeast"/>
              <w:jc w:val="both"/>
              <w:rPr>
                <w:rFonts w:ascii="Verdana" w:eastAsia="Times New Roman" w:hAnsi="Verdana"/>
                <w:sz w:val="18"/>
                <w:szCs w:val="18"/>
              </w:rPr>
            </w:pPr>
            <w:r w:rsidRPr="008444B8">
              <w:rPr>
                <w:rFonts w:ascii="Verdana" w:hAnsi="Verdana"/>
                <w:sz w:val="18"/>
              </w:rPr>
              <w:t>Hapi 3: niveli i informacionit mund të jetë i ndryshëm për shkak të fazave të ndryshme të procedurës.</w:t>
            </w:r>
          </w:p>
          <w:p w14:paraId="55EE1682" w14:textId="29E24E92" w:rsidR="00556D69" w:rsidRPr="008444B8" w:rsidRDefault="008E4D2C" w:rsidP="008444B8">
            <w:pPr>
              <w:spacing w:before="120" w:after="120" w:line="260" w:lineRule="atLeast"/>
              <w:jc w:val="both"/>
              <w:rPr>
                <w:rFonts w:ascii="Verdana" w:eastAsia="Times New Roman" w:hAnsi="Verdana"/>
                <w:sz w:val="18"/>
                <w:szCs w:val="18"/>
              </w:rPr>
            </w:pPr>
            <w:r w:rsidRPr="008444B8">
              <w:rPr>
                <w:rFonts w:ascii="Verdana" w:hAnsi="Verdana"/>
                <w:sz w:val="18"/>
              </w:rPr>
              <w:t>Hapi 4: ndihma joformale dhe formale ndryshon në shpejtësi, çfarë është shpjeguar më parë.</w:t>
            </w:r>
          </w:p>
          <w:p w14:paraId="498AF249" w14:textId="77777777" w:rsidR="00000C58" w:rsidRPr="008444B8" w:rsidRDefault="00000C58" w:rsidP="008444B8">
            <w:pPr>
              <w:spacing w:before="120" w:after="120" w:line="260" w:lineRule="atLeast"/>
              <w:jc w:val="both"/>
              <w:rPr>
                <w:rFonts w:ascii="Verdana" w:eastAsia="Times New Roman" w:hAnsi="Verdana"/>
                <w:sz w:val="18"/>
                <w:szCs w:val="18"/>
              </w:rPr>
            </w:pPr>
            <w:r w:rsidRPr="008444B8">
              <w:rPr>
                <w:rFonts w:ascii="Verdana" w:hAnsi="Verdana"/>
                <w:sz w:val="18"/>
              </w:rPr>
              <w:t xml:space="preserve">Ekzistojnë variacione të ndryshme në qasjen ndaj Hapit 4, në varësi të strukturës së ligjit vendor. Ndryshimet varen nga sa autoritetit të NJN-së i është caktuar kompetencë pjesëmarrëse, zyrë ose gjykatë. Gjithashtu, kjo varet nga mundësitë ligjore që ata të angazhohen në procedurat e NJN-së </w:t>
            </w:r>
            <w:r w:rsidRPr="008444B8">
              <w:rPr>
                <w:rFonts w:ascii="Verdana" w:hAnsi="Verdana"/>
                <w:sz w:val="18"/>
              </w:rPr>
              <w:lastRenderedPageBreak/>
              <w:t>brenda dhe jashtë vendit.</w:t>
            </w:r>
          </w:p>
          <w:p w14:paraId="79AF0B66" w14:textId="77777777" w:rsidR="00000C58" w:rsidRPr="008444B8" w:rsidRDefault="00000C58" w:rsidP="008444B8">
            <w:pPr>
              <w:spacing w:before="120" w:after="120" w:line="260" w:lineRule="atLeast"/>
              <w:jc w:val="both"/>
              <w:rPr>
                <w:rFonts w:ascii="Verdana" w:eastAsia="Times New Roman" w:hAnsi="Verdana"/>
                <w:sz w:val="18"/>
                <w:szCs w:val="18"/>
              </w:rPr>
            </w:pPr>
            <w:r w:rsidRPr="008444B8">
              <w:rPr>
                <w:rFonts w:ascii="Verdana" w:hAnsi="Verdana"/>
                <w:sz w:val="18"/>
              </w:rPr>
              <w:t>Hapi 5: Procedimi i NJN-së mund të kërkojë dhe kërkon shumë kohë. Akoma, autoritetet në pritje nuk duhet të varen vetëm nga përgjigja ndaj saj. Ato duhet të veprojnë në mënyrë proaktive dhe të ndërmarrin të gjitha masat e nevojshme të cilat mund të procedohen ndërsa presin një përgjigje. Pjesëmarrësit duhet të pyeten se çfarë mund të jetë kjo.</w:t>
            </w:r>
          </w:p>
          <w:p w14:paraId="4B554EED" w14:textId="77777777" w:rsidR="00000C58" w:rsidRPr="008444B8" w:rsidRDefault="00000C58" w:rsidP="008444B8">
            <w:pPr>
              <w:spacing w:before="120" w:after="120" w:line="260" w:lineRule="atLeast"/>
              <w:jc w:val="both"/>
              <w:rPr>
                <w:rFonts w:ascii="Verdana" w:eastAsia="Times New Roman" w:hAnsi="Verdana"/>
                <w:sz w:val="18"/>
                <w:szCs w:val="18"/>
              </w:rPr>
            </w:pPr>
            <w:r w:rsidRPr="008444B8">
              <w:rPr>
                <w:rFonts w:ascii="Verdana" w:hAnsi="Verdana"/>
                <w:sz w:val="18"/>
              </w:rPr>
              <w:t>Hapi 6: shteti të cilit i adresohet kërkesa merr Kërkesën dhe fillon procedimin lokal i cili mund të jetë gjithashtu i ndryshëm siç përshkruhet më parë nga ana kërkuese.</w:t>
            </w:r>
          </w:p>
          <w:p w14:paraId="22C1B224" w14:textId="77777777" w:rsidR="00000C58" w:rsidRPr="008444B8" w:rsidRDefault="00000C58" w:rsidP="008444B8">
            <w:pPr>
              <w:spacing w:before="120" w:after="120" w:line="260" w:lineRule="atLeast"/>
              <w:jc w:val="both"/>
              <w:rPr>
                <w:rFonts w:ascii="Verdana" w:eastAsia="Times New Roman" w:hAnsi="Verdana"/>
                <w:sz w:val="18"/>
                <w:szCs w:val="18"/>
              </w:rPr>
            </w:pPr>
            <w:r w:rsidRPr="008444B8">
              <w:rPr>
                <w:rFonts w:ascii="Verdana" w:hAnsi="Verdana"/>
                <w:sz w:val="18"/>
              </w:rPr>
              <w:t>Hapi 7: përgjigja dërgohet në përputhje me mundësitë lokale faktike dhe ligjore.</w:t>
            </w:r>
          </w:p>
          <w:p w14:paraId="7BDBD2F6" w14:textId="77777777" w:rsidR="00000C58" w:rsidRPr="008444B8" w:rsidRDefault="00000C58" w:rsidP="008444B8">
            <w:pPr>
              <w:spacing w:before="120" w:after="120" w:line="260" w:lineRule="atLeast"/>
              <w:jc w:val="both"/>
              <w:rPr>
                <w:rFonts w:ascii="Verdana" w:eastAsia="Times New Roman" w:hAnsi="Verdana"/>
                <w:sz w:val="18"/>
                <w:szCs w:val="18"/>
              </w:rPr>
            </w:pPr>
            <w:r w:rsidRPr="008444B8">
              <w:rPr>
                <w:rFonts w:ascii="Verdana" w:hAnsi="Verdana"/>
                <w:sz w:val="18"/>
              </w:rPr>
              <w:t>Hapi 8 dhe 9: përgjigja merret dhe analizohet. Kërkesa shtesë ose si sqarim, shtojcë ose si shtesë krejtësisht e re në bazë të fakteve të vërtetuara nga Kërkesa e parë, është në vijim.</w:t>
            </w:r>
          </w:p>
          <w:p w14:paraId="4D384E6F" w14:textId="1641F34D" w:rsidR="00000C58" w:rsidRPr="008444B8" w:rsidRDefault="00000C58" w:rsidP="008444B8">
            <w:pPr>
              <w:spacing w:before="120" w:after="120" w:line="260" w:lineRule="atLeast"/>
              <w:jc w:val="both"/>
              <w:rPr>
                <w:rFonts w:ascii="Verdana" w:eastAsia="Times New Roman" w:hAnsi="Verdana"/>
                <w:sz w:val="18"/>
                <w:szCs w:val="18"/>
              </w:rPr>
            </w:pPr>
            <w:r w:rsidRPr="008444B8">
              <w:rPr>
                <w:rFonts w:ascii="Verdana" w:hAnsi="Verdana"/>
                <w:sz w:val="18"/>
              </w:rPr>
              <w:t>Pjesëmarrësit duhet të ftohen të ndajnë përvojën e tyre.</w:t>
            </w:r>
          </w:p>
        </w:tc>
      </w:tr>
      <w:tr w:rsidR="00F1574D" w:rsidRPr="008444B8" w14:paraId="35503B3F" w14:textId="77777777" w:rsidTr="00F1574D">
        <w:trPr>
          <w:trHeight w:val="1259"/>
        </w:trPr>
        <w:tc>
          <w:tcPr>
            <w:tcW w:w="1525" w:type="dxa"/>
            <w:vAlign w:val="center"/>
          </w:tcPr>
          <w:p w14:paraId="5DE9D224" w14:textId="4D0C3DA4" w:rsidR="00F1574D" w:rsidRPr="008444B8" w:rsidRDefault="00694153" w:rsidP="008444B8">
            <w:pPr>
              <w:spacing w:before="120" w:after="120" w:line="260" w:lineRule="atLeast"/>
              <w:jc w:val="center"/>
              <w:rPr>
                <w:rFonts w:ascii="Verdana" w:hAnsi="Verdana"/>
                <w:sz w:val="18"/>
                <w:szCs w:val="18"/>
              </w:rPr>
            </w:pPr>
            <w:r w:rsidRPr="008444B8">
              <w:rPr>
                <w:rFonts w:ascii="Verdana" w:hAnsi="Verdana"/>
                <w:sz w:val="18"/>
              </w:rPr>
              <w:lastRenderedPageBreak/>
              <w:t>40 deri 45</w:t>
            </w:r>
          </w:p>
        </w:tc>
        <w:tc>
          <w:tcPr>
            <w:tcW w:w="7485" w:type="dxa"/>
            <w:gridSpan w:val="2"/>
            <w:vAlign w:val="center"/>
          </w:tcPr>
          <w:p w14:paraId="6E2FA816" w14:textId="442B6B21" w:rsidR="00000C58" w:rsidRPr="008444B8" w:rsidRDefault="00000C58" w:rsidP="008444B8">
            <w:pPr>
              <w:pStyle w:val="Subtitle"/>
              <w:spacing w:before="120" w:line="260" w:lineRule="atLeast"/>
              <w:rPr>
                <w:rFonts w:ascii="Verdana" w:hAnsi="Verdana"/>
                <w:szCs w:val="18"/>
              </w:rPr>
            </w:pPr>
            <w:r w:rsidRPr="008444B8">
              <w:rPr>
                <w:rFonts w:ascii="Verdana" w:hAnsi="Verdana"/>
              </w:rPr>
              <w:t>Studimi i rastit i një lënde të vërtetë nga viti 2020. Material shtesë në lidhje me të është dhënë në paketën e trajnimit.</w:t>
            </w:r>
          </w:p>
        </w:tc>
      </w:tr>
      <w:tr w:rsidR="005F709E" w:rsidRPr="008444B8" w14:paraId="1918B48F" w14:textId="77777777" w:rsidTr="00F1574D">
        <w:trPr>
          <w:trHeight w:val="1313"/>
        </w:trPr>
        <w:tc>
          <w:tcPr>
            <w:tcW w:w="1525" w:type="dxa"/>
            <w:vAlign w:val="center"/>
          </w:tcPr>
          <w:p w14:paraId="224BC13F" w14:textId="421DC3B1" w:rsidR="005F709E" w:rsidRPr="008444B8" w:rsidRDefault="00A31FA0" w:rsidP="008444B8">
            <w:pPr>
              <w:spacing w:before="120" w:after="120" w:line="260" w:lineRule="atLeast"/>
              <w:jc w:val="center"/>
              <w:rPr>
                <w:rFonts w:ascii="Verdana" w:hAnsi="Verdana"/>
                <w:sz w:val="18"/>
                <w:szCs w:val="18"/>
              </w:rPr>
            </w:pPr>
            <w:r w:rsidRPr="008444B8">
              <w:rPr>
                <w:rFonts w:ascii="Verdana" w:hAnsi="Verdana"/>
                <w:sz w:val="18"/>
              </w:rPr>
              <w:t>46 deri 47</w:t>
            </w:r>
          </w:p>
        </w:tc>
        <w:tc>
          <w:tcPr>
            <w:tcW w:w="7485" w:type="dxa"/>
            <w:gridSpan w:val="2"/>
            <w:vAlign w:val="center"/>
          </w:tcPr>
          <w:p w14:paraId="2E2377DE" w14:textId="77777777" w:rsidR="005F709E" w:rsidRPr="008444B8" w:rsidRDefault="005F709E" w:rsidP="008444B8">
            <w:pPr>
              <w:spacing w:before="120" w:after="120" w:line="260" w:lineRule="atLeast"/>
              <w:jc w:val="both"/>
              <w:rPr>
                <w:rFonts w:ascii="Verdana" w:hAnsi="Verdana"/>
                <w:sz w:val="18"/>
                <w:szCs w:val="18"/>
              </w:rPr>
            </w:pPr>
            <w:r w:rsidRPr="008444B8">
              <w:rPr>
                <w:rFonts w:ascii="Verdana" w:hAnsi="Verdana"/>
                <w:sz w:val="18"/>
              </w:rPr>
              <w:t xml:space="preserve">Slajdet e fundit i lejojnë trajnerit të rishikojë objektivat e të nxënit me audiencën në mënyrë që ata të jenë të sigurt se janë arritur. Është gjithashtu një mundësi për pjesëmarrësit të ngrenë çdo çështje që mund të mbetet e pazgjidhur ose kur ata nuk i kanë kuptuar plotësisht temat e paraqitura.  </w:t>
            </w:r>
          </w:p>
          <w:p w14:paraId="4F4159A3" w14:textId="21BA5D76" w:rsidR="005F709E" w:rsidRPr="008444B8" w:rsidRDefault="005F709E" w:rsidP="008444B8">
            <w:pPr>
              <w:spacing w:before="120" w:after="120" w:line="260" w:lineRule="atLeast"/>
              <w:jc w:val="both"/>
              <w:rPr>
                <w:rFonts w:ascii="Verdana" w:hAnsi="Verdana"/>
                <w:sz w:val="18"/>
                <w:szCs w:val="18"/>
              </w:rPr>
            </w:pPr>
            <w:r w:rsidRPr="008444B8">
              <w:rPr>
                <w:rFonts w:ascii="Verdana" w:hAnsi="Verdana"/>
                <w:sz w:val="18"/>
              </w:rPr>
              <w:t>Për më tepër, trajneri mund të përdorë seancën për të kontrolluar njohuritë e marra duke bërë pyetje për pjesëmarrësit. Kjo është e rëndësishme pasi nuk ka vlerësim zyrtar për kursin.</w:t>
            </w:r>
          </w:p>
        </w:tc>
      </w:tr>
      <w:tr w:rsidR="00CB3026" w:rsidRPr="008444B8" w14:paraId="2ECF09B7" w14:textId="77777777" w:rsidTr="00F1574D">
        <w:trPr>
          <w:trHeight w:val="890"/>
        </w:trPr>
        <w:tc>
          <w:tcPr>
            <w:tcW w:w="9010" w:type="dxa"/>
            <w:gridSpan w:val="3"/>
            <w:vAlign w:val="center"/>
          </w:tcPr>
          <w:p w14:paraId="55ED1F4B" w14:textId="77777777" w:rsidR="00CB3026" w:rsidRPr="008444B8" w:rsidRDefault="00CB3026" w:rsidP="008444B8">
            <w:pPr>
              <w:spacing w:before="120" w:after="120" w:line="260" w:lineRule="atLeast"/>
              <w:rPr>
                <w:rFonts w:ascii="Verdana" w:hAnsi="Verdana"/>
                <w:b/>
                <w:sz w:val="22"/>
                <w:szCs w:val="22"/>
              </w:rPr>
            </w:pPr>
            <w:r w:rsidRPr="008444B8">
              <w:rPr>
                <w:rFonts w:ascii="Verdana" w:hAnsi="Verdana"/>
                <w:b/>
                <w:sz w:val="22"/>
              </w:rPr>
              <w:t>Ushtrime praktike</w:t>
            </w:r>
          </w:p>
          <w:p w14:paraId="04D65D89" w14:textId="53B80CFD" w:rsidR="00CB3026" w:rsidRPr="008444B8" w:rsidRDefault="00000C58" w:rsidP="008444B8">
            <w:pPr>
              <w:spacing w:before="120" w:after="120" w:line="260" w:lineRule="atLeast"/>
              <w:rPr>
                <w:rFonts w:ascii="Verdana" w:hAnsi="Verdana"/>
                <w:sz w:val="18"/>
                <w:szCs w:val="18"/>
              </w:rPr>
            </w:pPr>
            <w:r w:rsidRPr="008444B8">
              <w:rPr>
                <w:rFonts w:ascii="Verdana" w:hAnsi="Verdana"/>
                <w:color w:val="000000" w:themeColor="text1"/>
                <w:sz w:val="18"/>
              </w:rPr>
              <w:t>Studimi i rastit parashihet në këtë mësim.</w:t>
            </w:r>
          </w:p>
        </w:tc>
      </w:tr>
      <w:tr w:rsidR="00CB3026" w:rsidRPr="008444B8" w14:paraId="603967A2" w14:textId="77777777" w:rsidTr="00F1574D">
        <w:tc>
          <w:tcPr>
            <w:tcW w:w="9010" w:type="dxa"/>
            <w:gridSpan w:val="3"/>
            <w:vAlign w:val="center"/>
          </w:tcPr>
          <w:p w14:paraId="57B48D1E" w14:textId="77777777" w:rsidR="00CB3026" w:rsidRPr="008444B8" w:rsidRDefault="00CB3026" w:rsidP="008444B8">
            <w:pPr>
              <w:spacing w:before="120" w:after="120" w:line="260" w:lineRule="atLeast"/>
              <w:rPr>
                <w:rFonts w:ascii="Verdana" w:hAnsi="Verdana"/>
                <w:b/>
                <w:sz w:val="22"/>
                <w:szCs w:val="22"/>
              </w:rPr>
            </w:pPr>
            <w:r w:rsidRPr="008444B8">
              <w:rPr>
                <w:rFonts w:ascii="Verdana" w:hAnsi="Verdana"/>
                <w:b/>
                <w:sz w:val="22"/>
              </w:rPr>
              <w:t>Vlerësimi/Kontrolli i njohurive</w:t>
            </w:r>
          </w:p>
          <w:p w14:paraId="4496975B" w14:textId="1B3740FD" w:rsidR="00CB3026" w:rsidRPr="008444B8" w:rsidRDefault="00CB3026" w:rsidP="008444B8">
            <w:pPr>
              <w:spacing w:before="120" w:after="120" w:line="260" w:lineRule="atLeast"/>
              <w:rPr>
                <w:rFonts w:ascii="Verdana" w:hAnsi="Verdana"/>
                <w:sz w:val="18"/>
                <w:szCs w:val="18"/>
              </w:rPr>
            </w:pPr>
            <w:r w:rsidRPr="008444B8">
              <w:rPr>
                <w:rFonts w:ascii="Verdana" w:hAnsi="Verdana"/>
                <w:color w:val="000000" w:themeColor="text1"/>
                <w:sz w:val="18"/>
              </w:rPr>
              <w:t>Asnjë kontroll ose vlerësim i njohurive nuk është kërkuar për këtë seancë.</w:t>
            </w:r>
          </w:p>
        </w:tc>
      </w:tr>
    </w:tbl>
    <w:p w14:paraId="15498912" w14:textId="77777777" w:rsidR="00D82C18" w:rsidRPr="008444B8" w:rsidRDefault="00D82C18" w:rsidP="008444B8">
      <w:pPr>
        <w:spacing w:before="120" w:after="120" w:line="260" w:lineRule="atLeast"/>
        <w:rPr>
          <w:rFonts w:ascii="Verdana" w:hAnsi="Verdana"/>
        </w:rPr>
      </w:pPr>
    </w:p>
    <w:sectPr w:rsidR="00D82C18" w:rsidRPr="008444B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13A42A5"/>
    <w:multiLevelType w:val="hybridMultilevel"/>
    <w:tmpl w:val="11D0B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1"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14"/>
  </w:num>
  <w:num w:numId="4">
    <w:abstractNumId w:val="12"/>
  </w:num>
  <w:num w:numId="5">
    <w:abstractNumId w:val="13"/>
  </w:num>
  <w:num w:numId="6">
    <w:abstractNumId w:val="23"/>
  </w:num>
  <w:num w:numId="7">
    <w:abstractNumId w:val="7"/>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21"/>
  </w:num>
  <w:num w:numId="10">
    <w:abstractNumId w:val="4"/>
  </w:num>
  <w:num w:numId="11">
    <w:abstractNumId w:val="15"/>
  </w:num>
  <w:num w:numId="12">
    <w:abstractNumId w:val="20"/>
  </w:num>
  <w:num w:numId="13">
    <w:abstractNumId w:val="5"/>
  </w:num>
  <w:num w:numId="14">
    <w:abstractNumId w:val="9"/>
  </w:num>
  <w:num w:numId="15">
    <w:abstractNumId w:val="19"/>
  </w:num>
  <w:num w:numId="16">
    <w:abstractNumId w:val="2"/>
  </w:num>
  <w:num w:numId="17">
    <w:abstractNumId w:val="3"/>
  </w:num>
  <w:num w:numId="18">
    <w:abstractNumId w:val="22"/>
  </w:num>
  <w:num w:numId="19">
    <w:abstractNumId w:val="16"/>
  </w:num>
  <w:num w:numId="20">
    <w:abstractNumId w:val="6"/>
  </w:num>
  <w:num w:numId="21">
    <w:abstractNumId w:val="8"/>
  </w:num>
  <w:num w:numId="22">
    <w:abstractNumId w:val="17"/>
  </w:num>
  <w:num w:numId="23">
    <w:abstractNumId w:val="11"/>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0C58"/>
    <w:rsid w:val="00006EAD"/>
    <w:rsid w:val="000C40EE"/>
    <w:rsid w:val="000F7896"/>
    <w:rsid w:val="00151E6A"/>
    <w:rsid w:val="001D603D"/>
    <w:rsid w:val="0023008E"/>
    <w:rsid w:val="00260809"/>
    <w:rsid w:val="00271010"/>
    <w:rsid w:val="002E3ECE"/>
    <w:rsid w:val="002F3B54"/>
    <w:rsid w:val="0034224C"/>
    <w:rsid w:val="00342639"/>
    <w:rsid w:val="003453F7"/>
    <w:rsid w:val="003630ED"/>
    <w:rsid w:val="003A435F"/>
    <w:rsid w:val="003B34C4"/>
    <w:rsid w:val="003C3B79"/>
    <w:rsid w:val="003C68A9"/>
    <w:rsid w:val="003F6587"/>
    <w:rsid w:val="00450007"/>
    <w:rsid w:val="0045500D"/>
    <w:rsid w:val="00457DD3"/>
    <w:rsid w:val="00491738"/>
    <w:rsid w:val="004B7351"/>
    <w:rsid w:val="004D35F1"/>
    <w:rsid w:val="00556D69"/>
    <w:rsid w:val="005703B7"/>
    <w:rsid w:val="005A4E47"/>
    <w:rsid w:val="005D4432"/>
    <w:rsid w:val="005D7794"/>
    <w:rsid w:val="005F709E"/>
    <w:rsid w:val="006527C6"/>
    <w:rsid w:val="00694153"/>
    <w:rsid w:val="006B6FDF"/>
    <w:rsid w:val="0075334E"/>
    <w:rsid w:val="007678A6"/>
    <w:rsid w:val="00773F6C"/>
    <w:rsid w:val="0080315D"/>
    <w:rsid w:val="008147B2"/>
    <w:rsid w:val="008444B8"/>
    <w:rsid w:val="00844FBF"/>
    <w:rsid w:val="008817F1"/>
    <w:rsid w:val="008A4C93"/>
    <w:rsid w:val="008E3FE7"/>
    <w:rsid w:val="008E4D2C"/>
    <w:rsid w:val="00951791"/>
    <w:rsid w:val="009D1DB1"/>
    <w:rsid w:val="009F336B"/>
    <w:rsid w:val="00A03CF0"/>
    <w:rsid w:val="00A31FA0"/>
    <w:rsid w:val="00A342ED"/>
    <w:rsid w:val="00A4110D"/>
    <w:rsid w:val="00A60446"/>
    <w:rsid w:val="00A734A5"/>
    <w:rsid w:val="00A76996"/>
    <w:rsid w:val="00AA5742"/>
    <w:rsid w:val="00AB07AA"/>
    <w:rsid w:val="00B3608C"/>
    <w:rsid w:val="00B40FCA"/>
    <w:rsid w:val="00B56791"/>
    <w:rsid w:val="00BA319A"/>
    <w:rsid w:val="00BA6A8F"/>
    <w:rsid w:val="00BD7897"/>
    <w:rsid w:val="00C115FC"/>
    <w:rsid w:val="00C541A2"/>
    <w:rsid w:val="00CB02C4"/>
    <w:rsid w:val="00CB3026"/>
    <w:rsid w:val="00CC1F79"/>
    <w:rsid w:val="00CC2222"/>
    <w:rsid w:val="00D62E5F"/>
    <w:rsid w:val="00D82C18"/>
    <w:rsid w:val="00E13BE7"/>
    <w:rsid w:val="00E7344B"/>
    <w:rsid w:val="00E95703"/>
    <w:rsid w:val="00EE1E16"/>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1853</Words>
  <Characters>10566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7</cp:revision>
  <dcterms:created xsi:type="dcterms:W3CDTF">2020-09-18T14:27:00Z</dcterms:created>
  <dcterms:modified xsi:type="dcterms:W3CDTF">2021-05-04T12:18:00Z</dcterms:modified>
</cp:coreProperties>
</file>