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DAA26" w14:textId="77777777" w:rsidR="00EF30BF" w:rsidRPr="000E31A3" w:rsidRDefault="00EF30BF" w:rsidP="000E31A3">
      <w:pPr>
        <w:spacing w:before="120" w:after="120" w:line="260" w:lineRule="atLeast"/>
        <w:jc w:val="center"/>
        <w:rPr>
          <w:rFonts w:ascii="Verdana" w:hAnsi="Verdana"/>
          <w:sz w:val="20"/>
          <w:szCs w:val="20"/>
        </w:rPr>
      </w:pPr>
      <w:r w:rsidRPr="000E31A3">
        <w:rPr>
          <w:rFonts w:ascii="Verdana" w:hAnsi="Verdana"/>
          <w:b/>
          <w:i/>
          <w:sz w:val="20"/>
          <w:szCs w:val="20"/>
        </w:rPr>
        <w:t>Kurs i Specializuar Gjyqësor për Bashkëpunimin Ndërkombëtar</w:t>
      </w:r>
    </w:p>
    <w:p w14:paraId="3A85519E" w14:textId="77777777" w:rsidR="00EF30BF" w:rsidRPr="000E31A3" w:rsidRDefault="00EF30BF" w:rsidP="000E31A3">
      <w:pPr>
        <w:spacing w:before="120" w:after="120" w:line="260" w:lineRule="atLeast"/>
        <w:jc w:val="center"/>
        <w:rPr>
          <w:rFonts w:ascii="Verdana" w:hAnsi="Verdana"/>
          <w:sz w:val="12"/>
          <w:szCs w:val="20"/>
        </w:rPr>
      </w:pPr>
    </w:p>
    <w:p w14:paraId="2798DDC3" w14:textId="77777777" w:rsidR="00EF30BF" w:rsidRPr="000E31A3" w:rsidRDefault="00EF30BF" w:rsidP="000E31A3">
      <w:pPr>
        <w:spacing w:before="120" w:after="120" w:line="260" w:lineRule="atLeast"/>
        <w:jc w:val="center"/>
        <w:rPr>
          <w:rFonts w:ascii="Verdana" w:hAnsi="Verdana"/>
          <w:sz w:val="20"/>
          <w:szCs w:val="20"/>
        </w:rPr>
      </w:pPr>
      <w:r w:rsidRPr="000E31A3">
        <w:rPr>
          <w:rFonts w:ascii="Verdana" w:hAnsi="Verdana"/>
          <w:b/>
          <w:sz w:val="20"/>
          <w:szCs w:val="20"/>
        </w:rPr>
        <w:t>Sesioni 2.3</w:t>
      </w:r>
    </w:p>
    <w:p w14:paraId="2E8040A2" w14:textId="77777777" w:rsidR="00EF30BF" w:rsidRPr="000E31A3" w:rsidRDefault="00EF30BF" w:rsidP="000E31A3">
      <w:pPr>
        <w:spacing w:before="120" w:after="120" w:line="260" w:lineRule="atLeast"/>
        <w:jc w:val="center"/>
        <w:rPr>
          <w:rFonts w:ascii="Verdana" w:hAnsi="Verdana"/>
          <w:b/>
          <w:bCs/>
          <w:sz w:val="20"/>
          <w:szCs w:val="20"/>
        </w:rPr>
      </w:pPr>
      <w:r w:rsidRPr="000E31A3">
        <w:rPr>
          <w:rFonts w:ascii="Verdana" w:hAnsi="Verdana"/>
          <w:b/>
          <w:sz w:val="20"/>
          <w:szCs w:val="20"/>
        </w:rPr>
        <w:t>Zbatimi i marrjes së provave elektronike përmes mekanizmave të bashkëpunimit ndërkombëtar</w:t>
      </w:r>
    </w:p>
    <w:p w14:paraId="093C4293" w14:textId="77777777" w:rsidR="00EF30BF" w:rsidRPr="000E31A3" w:rsidRDefault="00EF30BF" w:rsidP="000E31A3">
      <w:pPr>
        <w:spacing w:before="120" w:after="120" w:line="260" w:lineRule="atLeast"/>
        <w:jc w:val="center"/>
        <w:rPr>
          <w:rFonts w:ascii="Verdana" w:hAnsi="Verdana"/>
          <w:b/>
          <w:bCs/>
          <w:sz w:val="12"/>
          <w:szCs w:val="20"/>
        </w:rPr>
      </w:pPr>
    </w:p>
    <w:p w14:paraId="67D2ABF6" w14:textId="77777777" w:rsidR="00EF30BF" w:rsidRPr="000E31A3" w:rsidRDefault="00EF30BF" w:rsidP="000E31A3">
      <w:pPr>
        <w:spacing w:before="120" w:after="120" w:line="260" w:lineRule="atLeast"/>
        <w:jc w:val="center"/>
        <w:rPr>
          <w:rFonts w:ascii="Verdana" w:hAnsi="Verdana"/>
          <w:b/>
          <w:bCs/>
          <w:sz w:val="20"/>
          <w:szCs w:val="20"/>
        </w:rPr>
      </w:pPr>
      <w:r w:rsidRPr="000E31A3">
        <w:rPr>
          <w:rFonts w:ascii="Verdana" w:hAnsi="Verdana"/>
          <w:b/>
          <w:sz w:val="20"/>
          <w:szCs w:val="20"/>
        </w:rPr>
        <w:t>Përmbledhje në rastin studimor WolfJäger</w:t>
      </w:r>
    </w:p>
    <w:p w14:paraId="181BDCCD" w14:textId="77777777" w:rsidR="00EF30BF" w:rsidRPr="000E31A3" w:rsidRDefault="00EF30BF" w:rsidP="000E31A3">
      <w:pPr>
        <w:spacing w:before="120" w:after="120" w:line="260" w:lineRule="atLeast"/>
        <w:jc w:val="center"/>
        <w:rPr>
          <w:rFonts w:ascii="Verdana" w:hAnsi="Verdana"/>
          <w:b/>
          <w:bCs/>
          <w:sz w:val="16"/>
          <w:szCs w:val="20"/>
        </w:rPr>
      </w:pPr>
    </w:p>
    <w:p w14:paraId="7FF2758B"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Prokuroria Publike në Frankfurt, Gjermani, filloi të merrte një numër ankesash nga qytetarë gjermanë për veprime të mundshme mashtruese nga kompani investimesh on-line që reklamojnë investime fitimprurëse në tregjet financiare, duke përfshirë DAX, TecDAX, Midcap dhe të tjerë.</w:t>
      </w:r>
    </w:p>
    <w:p w14:paraId="139443DE" w14:textId="77777777" w:rsidR="00EF30BF" w:rsidRPr="000E31A3" w:rsidRDefault="00EF30BF" w:rsidP="000E31A3">
      <w:pPr>
        <w:spacing w:before="120" w:after="120" w:line="260" w:lineRule="atLeast"/>
        <w:jc w:val="both"/>
        <w:rPr>
          <w:rFonts w:ascii="Verdana" w:hAnsi="Verdana"/>
          <w:sz w:val="14"/>
          <w:szCs w:val="20"/>
        </w:rPr>
      </w:pPr>
    </w:p>
    <w:p w14:paraId="39FC648E"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Mashtrimi i mundshëm fillon me reklama në internet për personat e interesuar në investime në instrumente financiarë të lidhur me tregjet financiare të përmendura të cilat mund të sigurojnë të ardhura shumë të larta. Duke klikuar në ekranin e modelit të anëtarësimit në reklamën në internet, viktima e mundshme ftohet të japë informacione personale duke përfshirë emrin, mbiemrin, numrin e telefonit për kontakt, adresën e emailit, adresën e shtëpisë dhe shkallën e mundshme të investimit.</w:t>
      </w:r>
    </w:p>
    <w:p w14:paraId="22AA6B50" w14:textId="77777777" w:rsidR="00EF30BF" w:rsidRPr="000E31A3" w:rsidRDefault="00EF30BF" w:rsidP="000E31A3">
      <w:pPr>
        <w:spacing w:before="120" w:after="120" w:line="260" w:lineRule="atLeast"/>
        <w:jc w:val="both"/>
        <w:rPr>
          <w:rFonts w:ascii="Verdana" w:hAnsi="Verdana"/>
          <w:sz w:val="14"/>
          <w:szCs w:val="20"/>
        </w:rPr>
      </w:pPr>
    </w:p>
    <w:p w14:paraId="7EE399BA"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Shumë shpejt viktima e mundshme kontaktohet me telefon nga personi i cili përfaqëson veten si personi i shitjes/ndërmjetësi i kompanisë tregtare on-line e cila tregton në një nga tregjet financiare të përmendura, duke ofruar hapjen e llogarisë tregtare me kompaninë për tarifë fillestare prej 250 deri në 300 Euro.</w:t>
      </w:r>
    </w:p>
    <w:p w14:paraId="7C8D6137" w14:textId="77777777" w:rsidR="00EF30BF" w:rsidRPr="000E31A3" w:rsidRDefault="00EF30BF" w:rsidP="000E31A3">
      <w:pPr>
        <w:spacing w:before="120" w:after="120" w:line="260" w:lineRule="atLeast"/>
        <w:jc w:val="both"/>
        <w:rPr>
          <w:rFonts w:ascii="Verdana" w:hAnsi="Verdana"/>
          <w:sz w:val="14"/>
          <w:szCs w:val="20"/>
        </w:rPr>
      </w:pPr>
    </w:p>
    <w:p w14:paraId="56D76381"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 xml:space="preserve">Personi i shitjes/ndërmjetësi është i vetëdijshëm për të gjitha të dhënat që viktima e mundshme ka mbetur në modelin on-line, por duket se personi i shitjes ka interes shtesë në jetën private të viktimës së mundshme që shpjegohet si "përshtatje e përvojës dhe bërja e propozimeve të duhura për klientin”. </w:t>
      </w:r>
    </w:p>
    <w:p w14:paraId="201134B1" w14:textId="77777777" w:rsidR="00EF30BF" w:rsidRPr="000E31A3" w:rsidRDefault="00EF30BF" w:rsidP="000E31A3">
      <w:pPr>
        <w:spacing w:before="120" w:after="120" w:line="260" w:lineRule="atLeast"/>
        <w:jc w:val="both"/>
        <w:rPr>
          <w:rFonts w:ascii="Verdana" w:hAnsi="Verdana"/>
          <w:sz w:val="14"/>
          <w:szCs w:val="20"/>
        </w:rPr>
      </w:pPr>
    </w:p>
    <w:p w14:paraId="4F1F2232"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Prokuroria Publike në Frankfurt, Gjermani, filloi të merrte një numër ankesash nga qytetarë gjermanë për veprime të mundshme mashtruese nga kompani investimesh on-line që reklamojnë investime fitimprurëse në tregjet financiare, duke përfshirë DAX, TecDAX, Midcap dhe të tjerë.</w:t>
      </w:r>
    </w:p>
    <w:p w14:paraId="786FC555" w14:textId="77777777" w:rsidR="00EF30BF" w:rsidRPr="000E31A3" w:rsidRDefault="00EF30BF" w:rsidP="000E31A3">
      <w:pPr>
        <w:spacing w:before="120" w:after="120" w:line="260" w:lineRule="atLeast"/>
        <w:jc w:val="both"/>
        <w:rPr>
          <w:rFonts w:ascii="Verdana" w:hAnsi="Verdana"/>
          <w:sz w:val="14"/>
          <w:szCs w:val="20"/>
        </w:rPr>
      </w:pPr>
    </w:p>
    <w:p w14:paraId="72F240AB"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Mashtrimi i mundshëm fillon me reklama në internet për personat e interesuar në investime në instrumente financiarë të lidhur me tregjet financiare të përmendura të cilat mund të sigurojnë të ardhura shumë të larta. Duke klikuar në ekranin e modelit të anëtarësimit në reklamën në internet, viktima e mundshme ftohet të japë informacione personale duke përfshirë emrin, mbiemrin, numrin e telefonit për kontakt, adresën e emailit, adresën e shtëpisë dhe shkallën e mundshme të investimit.</w:t>
      </w:r>
    </w:p>
    <w:p w14:paraId="52A7C473" w14:textId="77777777" w:rsidR="00EF30BF" w:rsidRPr="000E31A3" w:rsidRDefault="00EF30BF" w:rsidP="000E31A3">
      <w:pPr>
        <w:spacing w:before="120" w:after="120" w:line="260" w:lineRule="atLeast"/>
        <w:jc w:val="both"/>
        <w:rPr>
          <w:rFonts w:ascii="Verdana" w:hAnsi="Verdana"/>
          <w:sz w:val="12"/>
          <w:szCs w:val="20"/>
        </w:rPr>
      </w:pPr>
    </w:p>
    <w:p w14:paraId="09285203"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Interesi shtesë drejtohet ndaj viktimës së mundshme dhe të ardhurave të përgjithshme të familjes së saj nga të gjitha burimet, pasuritë ekzistuese shtesë dhe pronat dhe sendet me vlerë, mënyra e jetesës dhe përpjekjet e viktimave dhe anëtarëve të familjes, viktimat dhe miqtë e familjes dhe të tjera.</w:t>
      </w:r>
    </w:p>
    <w:p w14:paraId="6ADEF595" w14:textId="77777777" w:rsidR="00EF30BF" w:rsidRPr="000E31A3" w:rsidRDefault="00EF30BF" w:rsidP="000E31A3">
      <w:pPr>
        <w:spacing w:before="120" w:after="120" w:line="260" w:lineRule="atLeast"/>
        <w:jc w:val="both"/>
        <w:rPr>
          <w:rFonts w:ascii="Verdana" w:hAnsi="Verdana"/>
          <w:sz w:val="8"/>
          <w:szCs w:val="20"/>
        </w:rPr>
      </w:pPr>
    </w:p>
    <w:p w14:paraId="068053B0"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Viktima e mundshme konsideron se të gjitha këto pyetje janë në rregull dhe të drejtuara drejt zgjidhjes më të mirë të mundshme për investime në treg, çfarë mbështetet nga komunikimi i personit të shitjes/ndërmjetësit.</w:t>
      </w:r>
    </w:p>
    <w:p w14:paraId="0417327A" w14:textId="77777777" w:rsidR="00EF30BF" w:rsidRPr="000E31A3" w:rsidRDefault="00EF30BF" w:rsidP="000E31A3">
      <w:pPr>
        <w:spacing w:before="120" w:after="120" w:line="260" w:lineRule="atLeast"/>
        <w:jc w:val="both"/>
        <w:rPr>
          <w:rFonts w:ascii="Verdana" w:hAnsi="Verdana"/>
          <w:sz w:val="10"/>
          <w:szCs w:val="20"/>
        </w:rPr>
      </w:pPr>
    </w:p>
    <w:p w14:paraId="08F813E4"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Instrumentet financiare që ofrohen për të investuar janë "opsione binare" që përfaqësojnë në thelb prognozën e vlerës së aksioneve ose mallrave të caktuar në treg në një datë dhe kohë të caktuar. Në rastin e vlerësimit të mirë fitimi i caktuar paguhet ndërsa në rast të kundërt të gjitha paratë e investuara humbin.</w:t>
      </w:r>
    </w:p>
    <w:p w14:paraId="301FD3B1" w14:textId="77777777" w:rsidR="00EF30BF" w:rsidRPr="000E31A3" w:rsidRDefault="00EF30BF" w:rsidP="000E31A3">
      <w:pPr>
        <w:spacing w:before="120" w:after="120" w:line="260" w:lineRule="atLeast"/>
        <w:jc w:val="both"/>
        <w:rPr>
          <w:rFonts w:ascii="Verdana" w:hAnsi="Verdana"/>
          <w:sz w:val="10"/>
          <w:szCs w:val="20"/>
        </w:rPr>
      </w:pPr>
    </w:p>
    <w:p w14:paraId="5008FA2D"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Hapi tjetër është që viktimat të këshillohen të rrisin investimet duke transferuar para nga llogaritë e tyre të kartave të kreditit te ndërmjetësi i siguruar në llogarinë on-line të "Cactus Market". Viktimat kanë qasje në llogaritë e tyre on-line ku ato mund të vëzhgojnë statusin e investimeve të tyre dhe fitimet. Fitimet tregojnë rritje të vazhdueshme të shumave të konsiderueshme të cilat, në kombinim me këshillat "ndërmjetës", e sigurojnë viktimën të vazhdojë të investojë.</w:t>
      </w:r>
    </w:p>
    <w:p w14:paraId="03727821" w14:textId="77777777" w:rsidR="00EF30BF" w:rsidRPr="000E31A3" w:rsidRDefault="00EF30BF" w:rsidP="000E31A3">
      <w:pPr>
        <w:spacing w:before="120" w:after="120" w:line="260" w:lineRule="atLeast"/>
        <w:jc w:val="both"/>
        <w:rPr>
          <w:rFonts w:ascii="Verdana" w:hAnsi="Verdana"/>
          <w:sz w:val="10"/>
          <w:szCs w:val="20"/>
        </w:rPr>
      </w:pPr>
    </w:p>
    <w:p w14:paraId="59772D0E"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Sidoqoftë, kur viktima dëshiron të tërheqë investime dhe të ardhura, ndërmjetësi refuzon atë veprim për shkak të "rregullave të tregut". Kur viktima vazhdon të këmbëngulë për një shlyerje të konsiderueshme ose të plotë ose tërheqjen e parave të investuara dhe "të fituara", "ndërmjetësi" transferon viktimën te "menaxhmenti më i lartë". Një person i menaxhmentit më të lartë vazhdon të bindë viktimën të vazhdojë me investimet, por disa nga viktimat nuk i binden dhe këmbëngulin për të paguar.</w:t>
      </w:r>
    </w:p>
    <w:p w14:paraId="4C084C39" w14:textId="77777777" w:rsidR="00EF30BF" w:rsidRPr="000E31A3" w:rsidRDefault="00EF30BF" w:rsidP="000E31A3">
      <w:pPr>
        <w:spacing w:before="120" w:after="120" w:line="260" w:lineRule="atLeast"/>
        <w:jc w:val="both"/>
        <w:rPr>
          <w:rFonts w:ascii="Verdana" w:hAnsi="Verdana"/>
          <w:sz w:val="10"/>
          <w:szCs w:val="20"/>
        </w:rPr>
      </w:pPr>
    </w:p>
    <w:p w14:paraId="75611440"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 xml:space="preserve">Pas një kërkese të tillë brenda një periudhe të shkurtër kohore, në shumicën e rasteve brenda 24 orëve, "menaxheri" informon viktimën se për shkak të luhatjes së tregut financiar portofoli i tij "opsioni binar" ka humbur dhe të gjitha paratë janë zhdukur, çfarë mund të shihet në llogarinë online edhe nga viktima. Viktimat fillojnë të bëjnë panik dhe kërkojnë shpjegime shtesë edhe personalisht, jo kontakte on-line me ndërmjetësin ose/dhe menaxhmentin. </w:t>
      </w:r>
    </w:p>
    <w:p w14:paraId="2852CA85" w14:textId="77777777" w:rsidR="00EF30BF" w:rsidRPr="000E31A3" w:rsidRDefault="00EF30BF" w:rsidP="000E31A3">
      <w:pPr>
        <w:spacing w:before="120" w:after="120" w:line="260" w:lineRule="atLeast"/>
        <w:jc w:val="both"/>
        <w:rPr>
          <w:rFonts w:ascii="Verdana" w:hAnsi="Verdana"/>
          <w:sz w:val="10"/>
          <w:szCs w:val="20"/>
        </w:rPr>
      </w:pPr>
    </w:p>
    <w:p w14:paraId="0B30201E"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Pas një kërkese të tillë komunikimi ndalet. Askush nuk përgjigjet në thirrjet telefonike dhe llogaria on-line fshihet. Dëmet janë në nivelin personal duke filluar nga dhjetëra mijëra deri në qindra mijëra Euro. Numri i ankesave rritet. Duket se mashtrimi po tërheq miliona, apo edhe dhjetëra miliona Euro.</w:t>
      </w:r>
    </w:p>
    <w:p w14:paraId="504CE388" w14:textId="77777777" w:rsidR="00EF30BF" w:rsidRPr="000E31A3" w:rsidRDefault="00EF30BF" w:rsidP="000E31A3">
      <w:pPr>
        <w:spacing w:before="120" w:after="120" w:line="260" w:lineRule="atLeast"/>
        <w:jc w:val="both"/>
        <w:rPr>
          <w:rFonts w:ascii="Verdana" w:hAnsi="Verdana"/>
          <w:sz w:val="10"/>
          <w:szCs w:val="20"/>
        </w:rPr>
      </w:pPr>
    </w:p>
    <w:p w14:paraId="30C1C0EF" w14:textId="77777777" w:rsidR="00EF30BF" w:rsidRPr="000E31A3" w:rsidRDefault="00EF30BF" w:rsidP="000E31A3">
      <w:pPr>
        <w:spacing w:before="120" w:after="120" w:line="260" w:lineRule="atLeast"/>
        <w:jc w:val="both"/>
        <w:rPr>
          <w:rFonts w:ascii="Verdana" w:hAnsi="Verdana"/>
          <w:sz w:val="20"/>
          <w:szCs w:val="20"/>
        </w:rPr>
      </w:pPr>
      <w:r w:rsidRPr="000E31A3">
        <w:rPr>
          <w:rFonts w:ascii="Verdana" w:hAnsi="Verdana"/>
          <w:sz w:val="20"/>
          <w:szCs w:val="20"/>
        </w:rPr>
        <w:t>Prokuroria gjermane duhet të reagojë shpejt.</w:t>
      </w:r>
    </w:p>
    <w:p w14:paraId="14135337" w14:textId="77777777" w:rsidR="00EF30BF" w:rsidRPr="000E31A3" w:rsidRDefault="00EF30BF" w:rsidP="000E31A3">
      <w:pPr>
        <w:spacing w:before="120" w:after="120" w:line="260" w:lineRule="atLeast"/>
        <w:jc w:val="both"/>
        <w:rPr>
          <w:rFonts w:ascii="Verdana" w:hAnsi="Verdana"/>
          <w:sz w:val="10"/>
          <w:szCs w:val="20"/>
          <w:lang w:val="en-GB"/>
        </w:rPr>
      </w:pPr>
    </w:p>
    <w:p w14:paraId="446C15E9" w14:textId="77777777" w:rsidR="00EF30BF" w:rsidRPr="000E31A3" w:rsidRDefault="00EF30BF" w:rsidP="000E31A3">
      <w:pPr>
        <w:spacing w:before="120" w:after="120" w:line="260" w:lineRule="atLeast"/>
        <w:jc w:val="both"/>
        <w:rPr>
          <w:rFonts w:ascii="Verdana" w:hAnsi="Verdana"/>
          <w:sz w:val="20"/>
          <w:szCs w:val="18"/>
        </w:rPr>
      </w:pPr>
      <w:r w:rsidRPr="000E31A3">
        <w:rPr>
          <w:rFonts w:ascii="Verdana" w:hAnsi="Verdana"/>
          <w:sz w:val="20"/>
          <w:szCs w:val="18"/>
        </w:rPr>
        <w:t xml:space="preserve">Raportet fillestare të policisë tregojnë se të gjitha kontaktet, telefoni ose emaili, bëhen duke përdorur shërbime të postës elektronike VOIP ose Web. Asnjë nga adresat IP nuk është në Gjermani. Adresat e VOIP po drejtojnë drejt Evropës Jug-Lindore, kryesisht kah Serbia dhe Bullgaria. Raportet fillestare bankare të viktimave tregojnë se llogaria në të cilën viktimat kanë paguar para është në Republikën Çeke. Kompania e ndërmjetësimit "My Market" nuk është e regjistruar në Gjermani ose në Republikën Çeke. Viktimat raportuan se ndërmjetësit përfaqësonin veten e tyre me emra dhe mbiemra gjermanë dhe se ata flisnin një gjermanishte të përsosur pa theks. </w:t>
      </w:r>
    </w:p>
    <w:p w14:paraId="01915694" w14:textId="77777777" w:rsidR="00EF30BF" w:rsidRPr="000E31A3" w:rsidRDefault="00EF30BF" w:rsidP="000E31A3">
      <w:pPr>
        <w:spacing w:before="120" w:after="120" w:line="260" w:lineRule="atLeast"/>
        <w:jc w:val="both"/>
        <w:rPr>
          <w:rFonts w:ascii="Verdana" w:hAnsi="Verdana"/>
          <w:sz w:val="10"/>
          <w:szCs w:val="20"/>
        </w:rPr>
      </w:pPr>
    </w:p>
    <w:p w14:paraId="3FB31174" w14:textId="77777777" w:rsidR="005269F5" w:rsidRPr="000E31A3" w:rsidRDefault="00EF30BF" w:rsidP="000E31A3">
      <w:pPr>
        <w:spacing w:before="120" w:after="120" w:line="260" w:lineRule="atLeast"/>
        <w:jc w:val="both"/>
        <w:rPr>
          <w:rFonts w:ascii="Verdana" w:hAnsi="Verdana"/>
          <w:sz w:val="20"/>
          <w:szCs w:val="18"/>
        </w:rPr>
      </w:pPr>
      <w:r w:rsidRPr="000E31A3">
        <w:rPr>
          <w:rFonts w:ascii="Verdana" w:hAnsi="Verdana"/>
          <w:sz w:val="20"/>
          <w:szCs w:val="18"/>
        </w:rPr>
        <w:t>Prokuroria fillon hetimin me kërkesa të Ndihmës Juridike të Ndërsjellë të menjëhershme dhe urgjente.</w:t>
      </w:r>
    </w:p>
    <w:sectPr w:rsidR="005269F5" w:rsidRPr="000E31A3"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F30BF"/>
    <w:rsid w:val="000E31A3"/>
    <w:rsid w:val="001C600D"/>
    <w:rsid w:val="0025115F"/>
    <w:rsid w:val="00520C3D"/>
    <w:rsid w:val="005F60A2"/>
    <w:rsid w:val="00D0500E"/>
    <w:rsid w:val="00EF30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ECA22"/>
  <w15:docId w15:val="{BB2B0638-2958-4EC2-9AB8-9B2005C41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858</Words>
  <Characters>4892</Characters>
  <Application>Microsoft Office Word</Application>
  <DocSecurity>0</DocSecurity>
  <Lines>40</Lines>
  <Paragraphs>11</Paragraphs>
  <ScaleCrop>false</ScaleCrop>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3</cp:revision>
  <dcterms:created xsi:type="dcterms:W3CDTF">2020-09-19T13:24:00Z</dcterms:created>
  <dcterms:modified xsi:type="dcterms:W3CDTF">2021-05-04T12:35:00Z</dcterms:modified>
</cp:coreProperties>
</file>