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03565B" w:rsidRDefault="00AE3640" w:rsidP="0003565B">
      <w:pPr>
        <w:rPr>
          <w:rFonts w:ascii="Verdana" w:hAnsi="Verdana"/>
          <w:sz w:val="28"/>
          <w:szCs w:val="28"/>
        </w:rPr>
      </w:pPr>
      <w:bookmarkStart w:id="0" w:name="_GoBack"/>
      <w:bookmarkEnd w:id="0"/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2.2.</w:t>
      </w:r>
      <w:r>
        <w:rPr>
          <w:rFonts w:ascii="Verdana" w:hAnsi="Verdana"/>
          <w:sz w:val="28"/>
          <w:szCs w:val="28"/>
        </w:rPr>
        <w:t>1</w:t>
      </w:r>
      <w:r w:rsidR="00D82C18">
        <w:rPr>
          <w:rFonts w:ascii="Verdana" w:hAnsi="Verdana"/>
          <w:sz w:val="28"/>
          <w:szCs w:val="28"/>
        </w:rPr>
        <w:t xml:space="preserve"> (Introdução ao Estudo de Caso)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AE3640" w:rsidP="0072169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2.2.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(Introdução ao Estudo de Caso)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6C6DD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 w:rsidR="00AE3640">
              <w:rPr>
                <w:rFonts w:ascii="Verdana" w:hAnsi="Verdana"/>
                <w:sz w:val="22"/>
                <w:szCs w:val="22"/>
              </w:rPr>
              <w:t>3</w:t>
            </w:r>
            <w:r>
              <w:rPr>
                <w:rFonts w:ascii="Verdana" w:hAnsi="Verdana"/>
                <w:sz w:val="22"/>
                <w:szCs w:val="22"/>
              </w:rPr>
              <w:t>0 minutos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AE3640">
              <w:t>para formandos</w:t>
            </w:r>
            <w:r>
              <w:t xml:space="preserve"> e canetas.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406F3" w:rsidRDefault="006C6DDD" w:rsidP="00B12C4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objetivo desta sessão é apresentar conceitos básicos do Estudo de Caso. A sessão também deverá apresentar uma sessão conclusiva desta primeira parte do curso, que servirá para as apresentações sobre esquemas de Comprometimento de E-mail Empresarial, moedas virtuais e a Convenção de Budapeste.</w:t>
            </w:r>
          </w:p>
        </w:tc>
      </w:tr>
      <w:tr w:rsidR="003406F3" w:rsidRPr="003406F3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5703B7" w:rsidRPr="003406F3" w:rsidRDefault="005703B7" w:rsidP="00CB3026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AE36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8E161D" w:rsidRPr="00B12C44" w:rsidRDefault="00A60CE6" w:rsidP="00B12C44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Identificar pessoas </w:t>
            </w:r>
            <w:r w:rsidR="00AC0282">
              <w:rPr>
                <w:b/>
                <w:bCs/>
                <w:szCs w:val="18"/>
              </w:rPr>
              <w:t>singulares e coletivas</w:t>
            </w:r>
            <w:r>
              <w:rPr>
                <w:b/>
                <w:bCs/>
                <w:szCs w:val="18"/>
              </w:rPr>
              <w:t xml:space="preserve"> envolvidas no cenário.</w:t>
            </w:r>
          </w:p>
          <w:p w:rsidR="008E161D" w:rsidRPr="00B12C44" w:rsidRDefault="00A60CE6" w:rsidP="00B12C44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Explicar o </w:t>
            </w:r>
            <w:r>
              <w:rPr>
                <w:b/>
                <w:bCs/>
                <w:i/>
                <w:szCs w:val="18"/>
              </w:rPr>
              <w:t>layout</w:t>
            </w:r>
            <w:r>
              <w:rPr>
                <w:b/>
                <w:bCs/>
                <w:szCs w:val="18"/>
              </w:rPr>
              <w:t xml:space="preserve"> do caso e a situação dos factos introdutórios. </w:t>
            </w:r>
          </w:p>
          <w:p w:rsidR="008E161D" w:rsidRPr="00B12C44" w:rsidRDefault="00A60CE6" w:rsidP="00B12C44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Seguir e explicar o fluxo e o desenvolvimento da investigação do caso. </w:t>
            </w:r>
          </w:p>
          <w:p w:rsidR="008E161D" w:rsidRPr="00B12C44" w:rsidRDefault="00A60CE6" w:rsidP="00B12C44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Explicar como é que o ato criminoso foi cometido e quem foram os principais intervenientes.</w:t>
            </w:r>
          </w:p>
          <w:p w:rsidR="0051122C" w:rsidRPr="00B12C44" w:rsidRDefault="00A60CE6" w:rsidP="00B12C44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Como e onde é que a investigação criminal deve começar e quais devem ser os vetores.</w:t>
            </w:r>
          </w:p>
        </w:tc>
      </w:tr>
      <w:tr w:rsidR="003406F3" w:rsidRPr="003406F3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1A51A7" w:rsidRPr="003406F3" w:rsidRDefault="00B569A5" w:rsidP="00B12C4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sessão foi preparada para fornecer aos </w:t>
            </w:r>
            <w:r w:rsidR="00AE36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uma explicação introdutória sobre os principais elementos do cenário. Esta sessão foi dividida em cinco partes. A Parte Um da apresentação fará a apresentação e </w:t>
            </w:r>
            <w:r w:rsidR="00AC0282">
              <w:rPr>
                <w:rFonts w:ascii="Verdana" w:hAnsi="Verdana"/>
                <w:sz w:val="18"/>
                <w:szCs w:val="18"/>
              </w:rPr>
              <w:t xml:space="preserve">descreverá </w:t>
            </w:r>
            <w:r>
              <w:rPr>
                <w:rFonts w:ascii="Verdana" w:hAnsi="Verdana"/>
                <w:sz w:val="18"/>
                <w:szCs w:val="18"/>
              </w:rPr>
              <w:t>as principais partes do caso. A Parte Dois apresentará o layout do caso. A Parte Três será a perpetração do ato criminoso. A Parte Quatro irá estabelecer as bases para o início da investigação e trabalho dos formandos. A parte Cinco é um resumo dos apresentados anteriormente.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AE3640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DB09D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AE36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devem ter a oportunidade de fazer quaisquer perguntas preliminares que possam ter relativamente à estrutura e objetivos da sessão.</w:t>
            </w:r>
          </w:p>
        </w:tc>
      </w:tr>
      <w:tr w:rsidR="003406F3" w:rsidRPr="003406F3">
        <w:trPr>
          <w:trHeight w:val="1241"/>
        </w:trPr>
        <w:tc>
          <w:tcPr>
            <w:tcW w:w="1615" w:type="dxa"/>
            <w:vAlign w:val="center"/>
          </w:tcPr>
          <w:p w:rsidR="00D82C18" w:rsidRPr="003406F3" w:rsidRDefault="00B12C44" w:rsidP="00A00A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 a 9</w:t>
            </w:r>
          </w:p>
        </w:tc>
        <w:tc>
          <w:tcPr>
            <w:tcW w:w="7395" w:type="dxa"/>
            <w:gridSpan w:val="2"/>
            <w:vAlign w:val="center"/>
          </w:tcPr>
          <w:p w:rsidR="00B12C44" w:rsidRPr="00881209" w:rsidRDefault="00B12C44" w:rsidP="00881209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 w:rsidRPr="00881209">
              <w:rPr>
                <w:rFonts w:ascii="Verdana" w:hAnsi="Verdana"/>
                <w:sz w:val="18"/>
                <w:szCs w:val="18"/>
              </w:rPr>
              <w:t>Estes slides fornece</w:t>
            </w:r>
            <w:r w:rsidR="00AC0282" w:rsidRPr="00881209">
              <w:rPr>
                <w:rFonts w:ascii="Verdana" w:hAnsi="Verdana"/>
                <w:sz w:val="18"/>
                <w:szCs w:val="18"/>
              </w:rPr>
              <w:t>m</w:t>
            </w:r>
            <w:r w:rsidRPr="00881209">
              <w:rPr>
                <w:rFonts w:ascii="Verdana" w:hAnsi="Verdana"/>
                <w:sz w:val="18"/>
                <w:szCs w:val="18"/>
              </w:rPr>
              <w:t xml:space="preserve"> a introdução ao mundo fictício de países inexistentes no mundo real, mas que ratificaram a Convenção de Budapeste, para o propósito da formação. </w:t>
            </w:r>
            <w:r w:rsidR="003347A8" w:rsidRPr="00881209">
              <w:rPr>
                <w:rFonts w:ascii="Verdana" w:hAnsi="Verdana"/>
                <w:sz w:val="18"/>
                <w:szCs w:val="18"/>
                <w:lang w:val="en-GB"/>
              </w:rPr>
              <w:t xml:space="preserve">Os formandos irão conhecer o Federal Bank of Atlantis, o United </w:t>
            </w:r>
            <w:r w:rsidR="003347A8" w:rsidRPr="00881209">
              <w:rPr>
                <w:rFonts w:ascii="Verdana" w:hAnsi="Verdana"/>
                <w:sz w:val="18"/>
                <w:szCs w:val="18"/>
                <w:lang w:val="en-GB"/>
              </w:rPr>
              <w:lastRenderedPageBreak/>
              <w:t>Bank Printing e o Docklands Security Bank of Norland.</w:t>
            </w:r>
          </w:p>
          <w:p w:rsidR="00B12C44" w:rsidRPr="00881209" w:rsidRDefault="00AC0282" w:rsidP="00881209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881209">
              <w:rPr>
                <w:rFonts w:ascii="Verdana" w:hAnsi="Verdana"/>
                <w:sz w:val="18"/>
                <w:szCs w:val="18"/>
              </w:rPr>
              <w:t>O c</w:t>
            </w:r>
            <w:r w:rsidR="00B12C44" w:rsidRPr="00881209">
              <w:rPr>
                <w:rFonts w:ascii="Verdana" w:hAnsi="Verdana"/>
                <w:sz w:val="18"/>
                <w:szCs w:val="18"/>
              </w:rPr>
              <w:t xml:space="preserve">enário </w:t>
            </w:r>
            <w:r w:rsidRPr="00881209">
              <w:rPr>
                <w:rFonts w:ascii="Verdana" w:hAnsi="Verdana"/>
                <w:sz w:val="18"/>
                <w:szCs w:val="18"/>
              </w:rPr>
              <w:t>de estudo</w:t>
            </w:r>
            <w:r w:rsidR="00B12C44" w:rsidRPr="00881209">
              <w:rPr>
                <w:rFonts w:ascii="Verdana" w:hAnsi="Verdana"/>
                <w:sz w:val="18"/>
                <w:szCs w:val="18"/>
              </w:rPr>
              <w:t xml:space="preserve"> começa com o estabelecimento do </w:t>
            </w:r>
            <w:r w:rsidRPr="00881209">
              <w:rPr>
                <w:rFonts w:ascii="Verdana" w:hAnsi="Verdana"/>
                <w:sz w:val="18"/>
                <w:szCs w:val="18"/>
              </w:rPr>
              <w:t xml:space="preserve">Federal </w:t>
            </w:r>
            <w:proofErr w:type="spellStart"/>
            <w:r w:rsidRPr="00881209">
              <w:rPr>
                <w:rFonts w:ascii="Verdana" w:hAnsi="Verdana"/>
                <w:sz w:val="18"/>
                <w:szCs w:val="18"/>
              </w:rPr>
              <w:t>Bank</w:t>
            </w:r>
            <w:proofErr w:type="spellEnd"/>
            <w:r w:rsidRPr="00881209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881209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881209">
              <w:rPr>
                <w:rFonts w:ascii="Verdana" w:hAnsi="Verdana"/>
                <w:sz w:val="18"/>
                <w:szCs w:val="18"/>
              </w:rPr>
              <w:t xml:space="preserve"> Atlantis</w:t>
            </w:r>
            <w:r w:rsidR="00B12C44" w:rsidRPr="00881209">
              <w:rPr>
                <w:rFonts w:ascii="Verdana" w:hAnsi="Verdana"/>
                <w:sz w:val="18"/>
                <w:szCs w:val="18"/>
              </w:rPr>
              <w:t xml:space="preserve"> (FBA), banco internacional bem conhecido, bem estabelecido e respeitado. Uma descrição como esta deve levar os formandos a tomarem uma decisão de que este tipo de banco não deve estar envolvido em nenhum tipo de problema, muito menos aqueles semelhantes a</w:t>
            </w:r>
            <w:r w:rsidRPr="00881209">
              <w:rPr>
                <w:rFonts w:ascii="Verdana" w:hAnsi="Verdana"/>
                <w:sz w:val="18"/>
                <w:szCs w:val="18"/>
              </w:rPr>
              <w:t>o</w:t>
            </w:r>
            <w:r w:rsidR="00B12C44" w:rsidRPr="00881209">
              <w:rPr>
                <w:rFonts w:ascii="Verdana" w:hAnsi="Verdana"/>
                <w:sz w:val="18"/>
                <w:szCs w:val="18"/>
              </w:rPr>
              <w:t xml:space="preserve"> que será descrito adiante.</w:t>
            </w:r>
          </w:p>
          <w:p w:rsidR="00B12C44" w:rsidRPr="00881209" w:rsidRDefault="00B12C44" w:rsidP="00881209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881209">
              <w:rPr>
                <w:rFonts w:ascii="Verdana" w:hAnsi="Verdana"/>
                <w:sz w:val="18"/>
                <w:szCs w:val="18"/>
              </w:rPr>
              <w:t>Os formandos devem identificar os principais factos e as principais divisões e participantes do negócio, a fim de compreender o âmbito e a configuração do círculo de negócios, no qual serão definidos mais detalhes sobre o caso.</w:t>
            </w:r>
          </w:p>
        </w:tc>
      </w:tr>
      <w:tr w:rsidR="003406F3" w:rsidRPr="003406F3">
        <w:trPr>
          <w:trHeight w:val="3158"/>
        </w:trPr>
        <w:tc>
          <w:tcPr>
            <w:tcW w:w="1615" w:type="dxa"/>
            <w:vAlign w:val="center"/>
          </w:tcPr>
          <w:p w:rsidR="00A00A58" w:rsidRPr="003406F3" w:rsidRDefault="00B12C44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10 a 14</w:t>
            </w:r>
          </w:p>
        </w:tc>
        <w:tc>
          <w:tcPr>
            <w:tcW w:w="7395" w:type="dxa"/>
            <w:gridSpan w:val="2"/>
            <w:vAlign w:val="center"/>
          </w:tcPr>
          <w:p w:rsidR="00B12C44" w:rsidRDefault="00B12C44" w:rsidP="003347A8">
            <w:pPr>
              <w:pStyle w:val="Subttulo"/>
              <w:spacing w:beforeLines="20" w:before="48" w:afterLines="120" w:after="288" w:line="280" w:lineRule="exact"/>
              <w:rPr>
                <w:rFonts w:ascii="Verdana" w:eastAsia="Times New Roman" w:hAnsi="Verdana"/>
                <w:color w:val="auto"/>
                <w:szCs w:val="18"/>
              </w:rPr>
            </w:pPr>
            <w:r>
              <w:rPr>
                <w:rFonts w:ascii="Verdana" w:hAnsi="Verdana"/>
                <w:color w:val="auto"/>
                <w:szCs w:val="18"/>
              </w:rPr>
              <w:t xml:space="preserve">Para esta formação, foram criadas empresas e países fictícios. </w:t>
            </w:r>
            <w:r w:rsidRPr="00AE3640">
              <w:rPr>
                <w:rFonts w:ascii="Verdana" w:hAnsi="Verdana"/>
                <w:color w:val="auto"/>
                <w:szCs w:val="18"/>
                <w:lang w:val="en-GB"/>
              </w:rPr>
              <w:t xml:space="preserve">Estes </w:t>
            </w:r>
            <w:proofErr w:type="spellStart"/>
            <w:r w:rsidRPr="00AE3640">
              <w:rPr>
                <w:rFonts w:ascii="Verdana" w:hAnsi="Verdana"/>
                <w:color w:val="auto"/>
                <w:szCs w:val="18"/>
                <w:lang w:val="en-GB"/>
              </w:rPr>
              <w:t>são</w:t>
            </w:r>
            <w:proofErr w:type="spellEnd"/>
            <w:r w:rsidRPr="00AE3640">
              <w:rPr>
                <w:rFonts w:ascii="Verdana" w:hAnsi="Verdana"/>
                <w:color w:val="auto"/>
                <w:szCs w:val="18"/>
                <w:lang w:val="en-GB"/>
              </w:rPr>
              <w:t xml:space="preserve"> Atlantis, Norland, </w:t>
            </w:r>
            <w:proofErr w:type="spellStart"/>
            <w:r w:rsidRPr="00AE3640">
              <w:rPr>
                <w:rFonts w:ascii="Verdana" w:hAnsi="Verdana"/>
                <w:color w:val="auto"/>
                <w:szCs w:val="18"/>
                <w:lang w:val="en-GB"/>
              </w:rPr>
              <w:t>Ostland</w:t>
            </w:r>
            <w:proofErr w:type="spellEnd"/>
            <w:r w:rsidRPr="00AE3640">
              <w:rPr>
                <w:rFonts w:ascii="Verdana" w:hAnsi="Verdana"/>
                <w:color w:val="auto"/>
                <w:szCs w:val="18"/>
                <w:lang w:val="en-GB"/>
              </w:rPr>
              <w:t xml:space="preserve">, Westland, etc. </w:t>
            </w:r>
            <w:r>
              <w:rPr>
                <w:rFonts w:ascii="Verdana" w:hAnsi="Verdana"/>
                <w:color w:val="auto"/>
                <w:szCs w:val="18"/>
              </w:rPr>
              <w:t xml:space="preserve">Para o exercício, todos eles ratificaram a Convenção do Conselho da Europa sobre Cibercrime (“Convenção de Budapeste”). </w:t>
            </w:r>
          </w:p>
          <w:p w:rsidR="003406F3" w:rsidRPr="00881209" w:rsidRDefault="00AC0282" w:rsidP="003347A8">
            <w:pPr>
              <w:pStyle w:val="Subttulo"/>
              <w:spacing w:beforeLines="20" w:before="48" w:afterLines="120" w:after="288" w:line="280" w:lineRule="exact"/>
              <w:rPr>
                <w:rFonts w:ascii="Verdana" w:hAnsi="Verdana"/>
                <w:color w:val="auto"/>
                <w:szCs w:val="18"/>
              </w:rPr>
            </w:pPr>
            <w:r>
              <w:rPr>
                <w:rFonts w:ascii="Verdana" w:hAnsi="Verdana"/>
                <w:color w:val="auto"/>
                <w:szCs w:val="18"/>
              </w:rPr>
              <w:t>Optou-se por e</w:t>
            </w:r>
            <w:r w:rsidR="00B12C44">
              <w:rPr>
                <w:rFonts w:ascii="Verdana" w:hAnsi="Verdana"/>
                <w:color w:val="auto"/>
                <w:szCs w:val="18"/>
              </w:rPr>
              <w:t xml:space="preserve">sta abordagem para permitir </w:t>
            </w:r>
            <w:r>
              <w:rPr>
                <w:rFonts w:ascii="Verdana" w:hAnsi="Verdana"/>
                <w:color w:val="auto"/>
                <w:szCs w:val="18"/>
              </w:rPr>
              <w:t>o uso deste material de</w:t>
            </w:r>
            <w:r w:rsidR="00B12C44">
              <w:rPr>
                <w:rFonts w:ascii="Verdana" w:hAnsi="Verdana"/>
                <w:color w:val="auto"/>
                <w:szCs w:val="18"/>
              </w:rPr>
              <w:t xml:space="preserve"> formação e</w:t>
            </w:r>
            <w:r>
              <w:rPr>
                <w:rFonts w:ascii="Verdana" w:hAnsi="Verdana"/>
                <w:color w:val="auto"/>
                <w:szCs w:val="18"/>
              </w:rPr>
              <w:t>m diversas</w:t>
            </w:r>
            <w:r w:rsidR="00B12C44">
              <w:rPr>
                <w:rFonts w:ascii="Verdana" w:hAnsi="Verdana"/>
                <w:color w:val="auto"/>
                <w:szCs w:val="18"/>
              </w:rPr>
              <w:t xml:space="preserve"> jurisdições, sem a necessidade de grandes mudanças nos materiais do curso. </w:t>
            </w:r>
          </w:p>
          <w:p w:rsidR="00B12C44" w:rsidRPr="00B12C44" w:rsidRDefault="00B12C44" w:rsidP="00881209">
            <w:pPr>
              <w:pStyle w:val="Subttulo"/>
              <w:spacing w:beforeLines="20" w:before="48" w:afterLines="120" w:after="288" w:line="280" w:lineRule="exact"/>
            </w:pPr>
            <w:r w:rsidRPr="00881209">
              <w:rPr>
                <w:rFonts w:ascii="Verdana" w:hAnsi="Verdana"/>
                <w:color w:val="auto"/>
                <w:szCs w:val="18"/>
              </w:rPr>
              <w:t>A configuração financeira deve indicar que a transferência bancária inicial não teve problemas e que mencionar as contas SWIFT e IBAN significa que a transferência de dinheiro é da natureza internacional e não nacional.</w:t>
            </w:r>
            <w:r>
              <w:t xml:space="preserve"> </w:t>
            </w: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B12C44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 a 25</w:t>
            </w:r>
          </w:p>
        </w:tc>
        <w:tc>
          <w:tcPr>
            <w:tcW w:w="7395" w:type="dxa"/>
            <w:gridSpan w:val="2"/>
            <w:vAlign w:val="center"/>
          </w:tcPr>
          <w:p w:rsidR="00B12C44" w:rsidRPr="00B12C44" w:rsidRDefault="00DB09DC" w:rsidP="00B12C4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apresenta</w:t>
            </w:r>
            <w:r w:rsidR="00AC0282">
              <w:rPr>
                <w:rFonts w:ascii="Verdana" w:hAnsi="Verdana"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 xml:space="preserve"> o início da investigação. A investigação deve começar em grupos de trabalho com líderes de grupo e </w:t>
            </w:r>
            <w:r w:rsidR="00AC0282">
              <w:rPr>
                <w:rFonts w:ascii="Verdana" w:hAnsi="Verdana"/>
                <w:sz w:val="18"/>
                <w:szCs w:val="18"/>
              </w:rPr>
              <w:t xml:space="preserve">seus </w:t>
            </w:r>
            <w:r>
              <w:rPr>
                <w:rFonts w:ascii="Verdana" w:hAnsi="Verdana"/>
                <w:sz w:val="18"/>
                <w:szCs w:val="18"/>
              </w:rPr>
              <w:t xml:space="preserve">membros a começarem a trabalhar no caso a partir da base fornecida no </w:t>
            </w:r>
            <w:r w:rsidR="00AC0282">
              <w:rPr>
                <w:rFonts w:ascii="Verdana" w:hAnsi="Verdana"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>aterial do caso.</w:t>
            </w:r>
          </w:p>
          <w:p w:rsidR="00B12C44" w:rsidRPr="00B12C44" w:rsidRDefault="00147609" w:rsidP="00147609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As p</w:t>
            </w:r>
            <w:r w:rsidR="005F385C">
              <w:rPr>
                <w:rFonts w:ascii="Verdana" w:hAnsi="Verdana"/>
                <w:sz w:val="18"/>
                <w:szCs w:val="18"/>
              </w:rPr>
              <w:t xml:space="preserve">rovas eletrónicas devem ser examinadas e utilizadas como ferramenta essencial para a construção e o término da investigação e a preparação do caso para julgamento. </w:t>
            </w:r>
          </w:p>
        </w:tc>
      </w:tr>
      <w:tr w:rsidR="00A6245A" w:rsidRPr="003406F3">
        <w:trPr>
          <w:trHeight w:val="2015"/>
        </w:trPr>
        <w:tc>
          <w:tcPr>
            <w:tcW w:w="1615" w:type="dxa"/>
            <w:vAlign w:val="center"/>
          </w:tcPr>
          <w:p w:rsidR="00A6245A" w:rsidRPr="003406F3" w:rsidRDefault="005F385C" w:rsidP="005F385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 a 27</w:t>
            </w:r>
          </w:p>
        </w:tc>
        <w:tc>
          <w:tcPr>
            <w:tcW w:w="7395" w:type="dxa"/>
            <w:gridSpan w:val="2"/>
            <w:vAlign w:val="center"/>
          </w:tcPr>
          <w:p w:rsidR="00A6245A" w:rsidRDefault="005F385C" w:rsidP="00703F1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Resumo. </w:t>
            </w:r>
          </w:p>
          <w:p w:rsidR="005F385C" w:rsidRDefault="005F385C" w:rsidP="00703F1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Recomenda-se a repetição de todos os passos principais, dando algum tempo adicional aos formandos para fazer perguntas e lidar com o "Cenário de casos". </w:t>
            </w:r>
          </w:p>
          <w:p w:rsidR="005F385C" w:rsidRPr="003406F3" w:rsidRDefault="005F385C" w:rsidP="00703F1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</w:t>
            </w:r>
            <w:r w:rsidR="00B06450">
              <w:rPr>
                <w:rFonts w:ascii="Verdana" w:hAnsi="Verdana"/>
                <w:sz w:val="18"/>
                <w:szCs w:val="18"/>
              </w:rPr>
              <w:t xml:space="preserve">formadores </w:t>
            </w:r>
            <w:r>
              <w:rPr>
                <w:rFonts w:ascii="Verdana" w:hAnsi="Verdana"/>
                <w:sz w:val="18"/>
                <w:szCs w:val="18"/>
              </w:rPr>
              <w:t xml:space="preserve">devem ter muito conhecimento sobre os casos e os mecanismos utilizados para a sua criação, </w:t>
            </w:r>
            <w:r w:rsidR="00B06450">
              <w:rPr>
                <w:rFonts w:ascii="Verdana" w:hAnsi="Verdana"/>
                <w:sz w:val="18"/>
                <w:szCs w:val="18"/>
              </w:rPr>
              <w:t>de forma a poderem</w:t>
            </w:r>
            <w:r>
              <w:rPr>
                <w:rFonts w:ascii="Verdana" w:hAnsi="Verdana"/>
                <w:sz w:val="18"/>
                <w:szCs w:val="18"/>
              </w:rPr>
              <w:t xml:space="preserve"> responder </w:t>
            </w:r>
            <w:r w:rsidR="00B06450">
              <w:rPr>
                <w:rFonts w:ascii="Verdana" w:hAnsi="Verdana"/>
                <w:sz w:val="18"/>
                <w:szCs w:val="18"/>
              </w:rPr>
              <w:t xml:space="preserve">prontamente </w:t>
            </w:r>
            <w:r>
              <w:rPr>
                <w:rFonts w:ascii="Verdana" w:hAnsi="Verdana"/>
                <w:sz w:val="18"/>
                <w:szCs w:val="18"/>
              </w:rPr>
              <w:t xml:space="preserve">e </w:t>
            </w:r>
            <w:r w:rsidR="00B06450">
              <w:rPr>
                <w:rFonts w:ascii="Verdana" w:hAnsi="Verdana"/>
                <w:sz w:val="18"/>
                <w:szCs w:val="18"/>
              </w:rPr>
              <w:t xml:space="preserve">a </w:t>
            </w:r>
            <w:r>
              <w:rPr>
                <w:rFonts w:ascii="Verdana" w:hAnsi="Verdana"/>
                <w:sz w:val="18"/>
                <w:szCs w:val="18"/>
              </w:rPr>
              <w:t>auxiliar os formandos.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406F3" w:rsidRDefault="005F385C" w:rsidP="004639E3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são previstos exercícios práticos para esta </w:t>
            </w:r>
            <w:r w:rsidR="00AE3640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3406F3" w:rsidRDefault="00B468A3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foi apresentada uma avaliação formal para esta sessão. O formador é encorajado a verificar o conhecimento e compreensão ao fazer perguntas importantes ao longo da sessão.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Yu Gothic Light">
    <w:altName w:val="Geneva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Genev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40D2B26"/>
    <w:multiLevelType w:val="hybridMultilevel"/>
    <w:tmpl w:val="2A984D58"/>
    <w:lvl w:ilvl="0" w:tplc="79008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64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43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941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E8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C0B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E85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66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C23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56760"/>
    <w:multiLevelType w:val="hybridMultilevel"/>
    <w:tmpl w:val="422E3502"/>
    <w:lvl w:ilvl="0" w:tplc="F5E88D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A0F5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DE71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279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6686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A438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500D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B2D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EC8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3565B"/>
    <w:rsid w:val="0009793B"/>
    <w:rsid w:val="000F1014"/>
    <w:rsid w:val="00105DD4"/>
    <w:rsid w:val="00147609"/>
    <w:rsid w:val="00175ADE"/>
    <w:rsid w:val="00185B76"/>
    <w:rsid w:val="001A51A7"/>
    <w:rsid w:val="001B428D"/>
    <w:rsid w:val="001B5DAD"/>
    <w:rsid w:val="00271010"/>
    <w:rsid w:val="0027512B"/>
    <w:rsid w:val="002F375E"/>
    <w:rsid w:val="003347A8"/>
    <w:rsid w:val="003406F3"/>
    <w:rsid w:val="003630ED"/>
    <w:rsid w:val="00397FEA"/>
    <w:rsid w:val="003E0EDB"/>
    <w:rsid w:val="004639E3"/>
    <w:rsid w:val="0051122C"/>
    <w:rsid w:val="00534FB7"/>
    <w:rsid w:val="005703B7"/>
    <w:rsid w:val="00594B3F"/>
    <w:rsid w:val="005951B6"/>
    <w:rsid w:val="00596AA5"/>
    <w:rsid w:val="005A4E47"/>
    <w:rsid w:val="005F385C"/>
    <w:rsid w:val="006B6864"/>
    <w:rsid w:val="006C6DDD"/>
    <w:rsid w:val="007169BB"/>
    <w:rsid w:val="00721699"/>
    <w:rsid w:val="007514CB"/>
    <w:rsid w:val="00761BA4"/>
    <w:rsid w:val="007B75A9"/>
    <w:rsid w:val="00823B30"/>
    <w:rsid w:val="008738A4"/>
    <w:rsid w:val="00881209"/>
    <w:rsid w:val="008B39AF"/>
    <w:rsid w:val="008E161D"/>
    <w:rsid w:val="008E3FE7"/>
    <w:rsid w:val="009277BD"/>
    <w:rsid w:val="0094072C"/>
    <w:rsid w:val="00A00A58"/>
    <w:rsid w:val="00A03CF0"/>
    <w:rsid w:val="00A4110D"/>
    <w:rsid w:val="00A60CE6"/>
    <w:rsid w:val="00A6245A"/>
    <w:rsid w:val="00A734A5"/>
    <w:rsid w:val="00AC0282"/>
    <w:rsid w:val="00AE3640"/>
    <w:rsid w:val="00AF62EC"/>
    <w:rsid w:val="00B03741"/>
    <w:rsid w:val="00B06450"/>
    <w:rsid w:val="00B12C44"/>
    <w:rsid w:val="00B468A3"/>
    <w:rsid w:val="00B569A5"/>
    <w:rsid w:val="00B71D66"/>
    <w:rsid w:val="00C05A37"/>
    <w:rsid w:val="00C541A2"/>
    <w:rsid w:val="00CA0A37"/>
    <w:rsid w:val="00CB02C4"/>
    <w:rsid w:val="00CB3026"/>
    <w:rsid w:val="00CF0C7C"/>
    <w:rsid w:val="00D66094"/>
    <w:rsid w:val="00D82C18"/>
    <w:rsid w:val="00D944B5"/>
    <w:rsid w:val="00DB09DC"/>
    <w:rsid w:val="00E13BE7"/>
    <w:rsid w:val="00E17E67"/>
    <w:rsid w:val="00E55549"/>
    <w:rsid w:val="00E7344B"/>
    <w:rsid w:val="00E95703"/>
    <w:rsid w:val="00F35B67"/>
    <w:rsid w:val="00F62A15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6FD6B3-E609-45AB-BED0-66C97346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7A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D6609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C0282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C02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4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9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5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7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0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73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7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688</Words>
  <Characters>3718</Characters>
  <Application>Microsoft Office Word</Application>
  <DocSecurity>0</DocSecurity>
  <Lines>30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Pedro Verdelho</cp:lastModifiedBy>
  <cp:revision>5</cp:revision>
  <dcterms:created xsi:type="dcterms:W3CDTF">2019-04-16T01:45:00Z</dcterms:created>
  <dcterms:modified xsi:type="dcterms:W3CDTF">2019-04-25T14:50:00Z</dcterms:modified>
</cp:coreProperties>
</file>