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82C18" w:rsidRPr="00352471" w:rsidRDefault="00B71D66" w:rsidP="006D7128">
      <w:pPr>
        <w:rPr>
          <w:rFonts w:ascii="Verdana" w:hAnsi="Verdana"/>
        </w:rPr>
      </w:pPr>
      <w:bookmarkStart w:id="0" w:name="_GoBack"/>
      <w:bookmarkEnd w:id="0"/>
      <w:r>
        <w:rPr>
          <w:rFonts w:ascii="Verdana" w:hAnsi="Verdana"/>
          <w:b/>
          <w:sz w:val="32"/>
          <w:szCs w:val="32"/>
        </w:rPr>
        <w:t xml:space="preserve">Plano de </w:t>
      </w:r>
      <w:r w:rsidR="00926D70">
        <w:rPr>
          <w:rFonts w:ascii="Verdana" w:hAnsi="Verdana"/>
          <w:b/>
          <w:sz w:val="32"/>
          <w:szCs w:val="32"/>
        </w:rPr>
        <w:t>sessão</w:t>
      </w:r>
    </w:p>
    <w:p w:rsidR="00B71D66" w:rsidRPr="00352471" w:rsidRDefault="00B71D66" w:rsidP="00B71D66">
      <w:pPr>
        <w:pStyle w:val="PargrafodaLista"/>
        <w:ind w:left="360"/>
        <w:rPr>
          <w:rFonts w:ascii="Verdana" w:hAnsi="Verdana"/>
        </w:rPr>
      </w:pPr>
    </w:p>
    <w:p w:rsidR="00D82C18" w:rsidRPr="00352471" w:rsidRDefault="00926D70" w:rsidP="006D7128">
      <w:pPr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sz w:val="28"/>
          <w:szCs w:val="28"/>
        </w:rPr>
        <w:t>Sessão</w:t>
      </w:r>
      <w:r w:rsidR="00D82C18">
        <w:rPr>
          <w:rFonts w:ascii="Verdana" w:hAnsi="Verdana"/>
          <w:sz w:val="28"/>
          <w:szCs w:val="28"/>
        </w:rPr>
        <w:t xml:space="preserve"> 2.1.2 (Atualizações sobre a Convenção de Budapeste – Acesso </w:t>
      </w:r>
      <w:r>
        <w:rPr>
          <w:rFonts w:ascii="Verdana" w:hAnsi="Verdana"/>
          <w:sz w:val="28"/>
          <w:szCs w:val="28"/>
        </w:rPr>
        <w:t>a</w:t>
      </w:r>
      <w:r w:rsidR="00D82C18">
        <w:rPr>
          <w:rFonts w:ascii="Verdana" w:hAnsi="Verdana"/>
          <w:sz w:val="28"/>
          <w:szCs w:val="28"/>
        </w:rPr>
        <w:t xml:space="preserve"> provas na nuvem e o Protocolo adicional)</w:t>
      </w:r>
    </w:p>
    <w:p w:rsidR="00D82C18" w:rsidRPr="00352471" w:rsidRDefault="00D82C18" w:rsidP="00B71D66">
      <w:pPr>
        <w:ind w:left="720"/>
        <w:rPr>
          <w:rFonts w:ascii="Verdana" w:hAnsi="Verdana"/>
        </w:rPr>
      </w:pPr>
    </w:p>
    <w:tbl>
      <w:tblPr>
        <w:tblStyle w:val="TabelacomGrelha"/>
        <w:tblW w:w="0" w:type="auto"/>
        <w:tblLook w:val="04A0" w:firstRow="1" w:lastRow="0" w:firstColumn="1" w:lastColumn="0" w:noHBand="0" w:noVBand="1"/>
      </w:tblPr>
      <w:tblGrid>
        <w:gridCol w:w="1615"/>
        <w:gridCol w:w="4613"/>
        <w:gridCol w:w="2782"/>
      </w:tblGrid>
      <w:tr w:rsidR="003406F3" w:rsidRPr="00352471">
        <w:trPr>
          <w:trHeight w:val="872"/>
        </w:trPr>
        <w:tc>
          <w:tcPr>
            <w:tcW w:w="6228" w:type="dxa"/>
            <w:gridSpan w:val="2"/>
            <w:shd w:val="clear" w:color="auto" w:fill="DEEAF6" w:themeFill="accent5" w:themeFillTint="33"/>
            <w:vAlign w:val="center"/>
          </w:tcPr>
          <w:p w:rsidR="00D82C18" w:rsidRPr="00352471" w:rsidRDefault="00926D70" w:rsidP="00352471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Sessão</w:t>
            </w:r>
            <w:r w:rsidR="00D82C18">
              <w:rPr>
                <w:rFonts w:ascii="Verdana" w:hAnsi="Verdana"/>
                <w:sz w:val="22"/>
                <w:szCs w:val="22"/>
              </w:rPr>
              <w:t xml:space="preserve"> 2.1.2 (Atualizações sobre a Convenção de Budapeste – Acesso </w:t>
            </w:r>
            <w:r>
              <w:rPr>
                <w:rFonts w:ascii="Verdana" w:hAnsi="Verdana"/>
                <w:sz w:val="22"/>
                <w:szCs w:val="22"/>
              </w:rPr>
              <w:t xml:space="preserve">a </w:t>
            </w:r>
            <w:r w:rsidR="00D82C18">
              <w:rPr>
                <w:rFonts w:ascii="Verdana" w:hAnsi="Verdana"/>
                <w:sz w:val="22"/>
                <w:szCs w:val="22"/>
              </w:rPr>
              <w:t xml:space="preserve">provas na nuvem e o Protocolo adicional) </w:t>
            </w:r>
          </w:p>
        </w:tc>
        <w:tc>
          <w:tcPr>
            <w:tcW w:w="2782" w:type="dxa"/>
            <w:shd w:val="clear" w:color="auto" w:fill="DEEAF6" w:themeFill="accent5" w:themeFillTint="33"/>
            <w:vAlign w:val="center"/>
          </w:tcPr>
          <w:p w:rsidR="00D82C18" w:rsidRPr="00352471" w:rsidRDefault="00D82C18" w:rsidP="0074158D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Duração: 60 minutos</w:t>
            </w:r>
          </w:p>
        </w:tc>
      </w:tr>
      <w:tr w:rsidR="003406F3" w:rsidRPr="00352471">
        <w:trPr>
          <w:trHeight w:val="2051"/>
        </w:trPr>
        <w:tc>
          <w:tcPr>
            <w:tcW w:w="9010" w:type="dxa"/>
            <w:gridSpan w:val="3"/>
            <w:vAlign w:val="center"/>
          </w:tcPr>
          <w:p w:rsidR="00E7344B" w:rsidRPr="00352471" w:rsidRDefault="00E7344B" w:rsidP="005951B6">
            <w:pPr>
              <w:spacing w:before="120" w:after="120" w:line="280" w:lineRule="exact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Materiais necessários:</w:t>
            </w:r>
          </w:p>
          <w:p w:rsidR="00E7344B" w:rsidRPr="00352471" w:rsidRDefault="00E7344B" w:rsidP="00F62A15">
            <w:pPr>
              <w:pStyle w:val="bul1"/>
              <w:numPr>
                <w:ilvl w:val="0"/>
                <w:numId w:val="6"/>
              </w:numPr>
              <w:spacing w:before="120" w:after="120" w:line="280" w:lineRule="exact"/>
              <w:contextualSpacing/>
              <w:rPr>
                <w:szCs w:val="18"/>
              </w:rPr>
            </w:pPr>
            <w:r>
              <w:t>PC/computador portátil com versões de software compatíveis com os materiais preparados</w:t>
            </w:r>
          </w:p>
          <w:p w:rsidR="00E7344B" w:rsidRPr="00352471" w:rsidRDefault="00E7344B" w:rsidP="00F62A15">
            <w:pPr>
              <w:pStyle w:val="bul1"/>
              <w:numPr>
                <w:ilvl w:val="0"/>
                <w:numId w:val="6"/>
              </w:numPr>
              <w:spacing w:before="120" w:after="120" w:line="280" w:lineRule="exact"/>
              <w:contextualSpacing/>
              <w:rPr>
                <w:szCs w:val="18"/>
              </w:rPr>
            </w:pPr>
            <w:r>
              <w:t>Projetor e ecrã de exibição.</w:t>
            </w:r>
          </w:p>
          <w:p w:rsidR="00E7344B" w:rsidRPr="00352471" w:rsidRDefault="00E7344B" w:rsidP="00F62A15">
            <w:pPr>
              <w:pStyle w:val="bul1"/>
              <w:numPr>
                <w:ilvl w:val="0"/>
                <w:numId w:val="6"/>
              </w:numPr>
              <w:spacing w:before="120" w:after="120" w:line="280" w:lineRule="exact"/>
              <w:contextualSpacing/>
              <w:rPr>
                <w:szCs w:val="18"/>
              </w:rPr>
            </w:pPr>
            <w:r>
              <w:t xml:space="preserve">Acesso à Internet (se disponível). </w:t>
            </w:r>
          </w:p>
          <w:p w:rsidR="00E7344B" w:rsidRPr="00352471" w:rsidRDefault="00E7344B" w:rsidP="00B569A5">
            <w:pPr>
              <w:pStyle w:val="bul1"/>
              <w:numPr>
                <w:ilvl w:val="0"/>
                <w:numId w:val="6"/>
              </w:numPr>
              <w:spacing w:before="120" w:after="120" w:line="280" w:lineRule="exact"/>
              <w:contextualSpacing/>
              <w:rPr>
                <w:i/>
                <w:szCs w:val="18"/>
              </w:rPr>
            </w:pPr>
            <w:r>
              <w:t xml:space="preserve">Bloco de notas </w:t>
            </w:r>
            <w:r w:rsidR="00926D70">
              <w:t>para os formandos</w:t>
            </w:r>
            <w:r>
              <w:t xml:space="preserve"> e canetas.</w:t>
            </w:r>
          </w:p>
          <w:p w:rsidR="00D71168" w:rsidRPr="00926D70" w:rsidRDefault="00D71168" w:rsidP="00352471">
            <w:pPr>
              <w:pStyle w:val="bul1"/>
              <w:numPr>
                <w:ilvl w:val="0"/>
                <w:numId w:val="0"/>
              </w:numPr>
              <w:spacing w:before="120" w:after="120" w:line="280" w:lineRule="exact"/>
              <w:ind w:left="360"/>
              <w:contextualSpacing/>
              <w:rPr>
                <w:i/>
                <w:szCs w:val="18"/>
              </w:rPr>
            </w:pPr>
          </w:p>
        </w:tc>
      </w:tr>
      <w:tr w:rsidR="003406F3" w:rsidRPr="00352471">
        <w:trPr>
          <w:trHeight w:val="1241"/>
        </w:trPr>
        <w:tc>
          <w:tcPr>
            <w:tcW w:w="9010" w:type="dxa"/>
            <w:gridSpan w:val="3"/>
            <w:vAlign w:val="center"/>
          </w:tcPr>
          <w:p w:rsidR="00A03CF0" w:rsidRPr="00352471" w:rsidRDefault="00A03CF0" w:rsidP="00F62A15">
            <w:pPr>
              <w:spacing w:before="120" w:after="120" w:line="280" w:lineRule="exact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 xml:space="preserve">Objetivo da sessão:  </w:t>
            </w:r>
          </w:p>
          <w:p w:rsidR="00A03CF0" w:rsidRPr="00352471" w:rsidRDefault="00352471" w:rsidP="00BD6890">
            <w:pPr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O objetivo desta sessão é apresentar aos </w:t>
            </w:r>
            <w:r w:rsidR="00926D70">
              <w:rPr>
                <w:rFonts w:ascii="Verdana" w:hAnsi="Verdana"/>
                <w:sz w:val="18"/>
                <w:szCs w:val="18"/>
              </w:rPr>
              <w:t>formandos</w:t>
            </w:r>
            <w:r>
              <w:rPr>
                <w:rFonts w:ascii="Verdana" w:hAnsi="Verdana"/>
                <w:sz w:val="18"/>
                <w:szCs w:val="18"/>
              </w:rPr>
              <w:t xml:space="preserve"> sobre o curso e os tópicos e campos de agenda que serão abrangidos.</w:t>
            </w:r>
          </w:p>
        </w:tc>
      </w:tr>
      <w:tr w:rsidR="003406F3" w:rsidRPr="00352471">
        <w:trPr>
          <w:trHeight w:val="1943"/>
        </w:trPr>
        <w:tc>
          <w:tcPr>
            <w:tcW w:w="9010" w:type="dxa"/>
            <w:gridSpan w:val="3"/>
            <w:vAlign w:val="center"/>
          </w:tcPr>
          <w:p w:rsidR="00A03CF0" w:rsidRPr="00352471" w:rsidRDefault="00271010" w:rsidP="00F62A15">
            <w:pPr>
              <w:spacing w:before="120" w:after="120" w:line="280" w:lineRule="exact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Objetivos:</w:t>
            </w:r>
          </w:p>
          <w:p w:rsidR="00022CD5" w:rsidRPr="00981C4C" w:rsidRDefault="00D71168" w:rsidP="00981C4C">
            <w:pPr>
              <w:tabs>
                <w:tab w:val="left" w:pos="426"/>
                <w:tab w:val="left" w:pos="851"/>
              </w:tabs>
              <w:spacing w:line="280" w:lineRule="exact"/>
              <w:ind w:left="425" w:hanging="425"/>
              <w:contextualSpacing/>
              <w:jc w:val="both"/>
              <w:rPr>
                <w:rFonts w:ascii="Verdana" w:eastAsia="Times New Roman" w:hAnsi="Verdana" w:cs="Times New Roman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No final desta sessão, os </w:t>
            </w:r>
            <w:r w:rsidR="00926D70">
              <w:rPr>
                <w:rFonts w:ascii="Verdana" w:hAnsi="Verdana"/>
                <w:sz w:val="18"/>
                <w:szCs w:val="18"/>
              </w:rPr>
              <w:t>formandos</w:t>
            </w:r>
            <w:r>
              <w:rPr>
                <w:rFonts w:ascii="Verdana" w:hAnsi="Verdana"/>
                <w:sz w:val="18"/>
                <w:szCs w:val="18"/>
              </w:rPr>
              <w:t xml:space="preserve"> serão capazes de:</w:t>
            </w:r>
          </w:p>
          <w:p w:rsidR="00981C4C" w:rsidRPr="00981C4C" w:rsidRDefault="00981C4C" w:rsidP="00981C4C">
            <w:pPr>
              <w:autoSpaceDE w:val="0"/>
              <w:autoSpaceDN w:val="0"/>
              <w:adjustRightInd w:val="0"/>
              <w:spacing w:line="280" w:lineRule="exact"/>
              <w:ind w:left="425" w:hanging="425"/>
              <w:jc w:val="both"/>
              <w:rPr>
                <w:rFonts w:ascii="Verdana" w:hAnsi="Verdana" w:cs="Times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• Fornecer uma imagem atualizada do alcance da Convenção de Budapeste</w:t>
            </w:r>
          </w:p>
          <w:p w:rsidR="00981C4C" w:rsidRPr="00981C4C" w:rsidRDefault="00981C4C" w:rsidP="00981C4C">
            <w:pPr>
              <w:autoSpaceDE w:val="0"/>
              <w:autoSpaceDN w:val="0"/>
              <w:adjustRightInd w:val="0"/>
              <w:spacing w:line="280" w:lineRule="exact"/>
              <w:ind w:left="425" w:hanging="425"/>
              <w:jc w:val="both"/>
              <w:rPr>
                <w:rFonts w:ascii="Verdana" w:hAnsi="Verdana" w:cs="Times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• Enumerar os principais problemas encontrados ao aceder a provas eletrónicas na nuvem</w:t>
            </w:r>
          </w:p>
          <w:p w:rsidR="00981C4C" w:rsidRPr="00981C4C" w:rsidRDefault="00981C4C" w:rsidP="00981C4C">
            <w:pPr>
              <w:autoSpaceDE w:val="0"/>
              <w:autoSpaceDN w:val="0"/>
              <w:adjustRightInd w:val="0"/>
              <w:spacing w:line="280" w:lineRule="exact"/>
              <w:ind w:left="425" w:hanging="425"/>
              <w:jc w:val="both"/>
              <w:rPr>
                <w:rFonts w:ascii="Verdana" w:hAnsi="Verdana" w:cs="Times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• Explicar que soluções estão a ser atualmente adotadas no contexto da legislação internacional</w:t>
            </w:r>
          </w:p>
          <w:p w:rsidR="0036129C" w:rsidRPr="00352471" w:rsidRDefault="00981C4C" w:rsidP="00981C4C">
            <w:pPr>
              <w:pStyle w:val="bul1"/>
              <w:numPr>
                <w:ilvl w:val="0"/>
                <w:numId w:val="0"/>
              </w:numPr>
              <w:spacing w:line="280" w:lineRule="exact"/>
            </w:pPr>
            <w:r>
              <w:t xml:space="preserve"> </w:t>
            </w:r>
          </w:p>
        </w:tc>
      </w:tr>
      <w:tr w:rsidR="003406F3" w:rsidRPr="00352471">
        <w:trPr>
          <w:trHeight w:val="530"/>
        </w:trPr>
        <w:tc>
          <w:tcPr>
            <w:tcW w:w="9010" w:type="dxa"/>
            <w:gridSpan w:val="3"/>
            <w:tcBorders>
              <w:bottom w:val="single" w:sz="4" w:space="0" w:color="auto"/>
            </w:tcBorders>
            <w:vAlign w:val="center"/>
          </w:tcPr>
          <w:p w:rsidR="005703B7" w:rsidRPr="00352471" w:rsidRDefault="00E95703" w:rsidP="00F62A15">
            <w:pPr>
              <w:spacing w:before="120" w:after="120" w:line="280" w:lineRule="exact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Guia de formação</w:t>
            </w:r>
          </w:p>
          <w:p w:rsidR="00981C4C" w:rsidRDefault="00C511B6" w:rsidP="00D71168">
            <w:pPr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Esta apresentação deve fornecer informações atualizadas aos formandos e sobre os últimos desenvolvimentos ao </w:t>
            </w:r>
            <w:r w:rsidR="00926D70">
              <w:rPr>
                <w:rFonts w:ascii="Verdana" w:hAnsi="Verdana"/>
                <w:sz w:val="18"/>
                <w:szCs w:val="18"/>
              </w:rPr>
              <w:t xml:space="preserve">nível do </w:t>
            </w:r>
            <w:r>
              <w:rPr>
                <w:rFonts w:ascii="Verdana" w:hAnsi="Verdana"/>
                <w:sz w:val="18"/>
                <w:szCs w:val="18"/>
              </w:rPr>
              <w:t xml:space="preserve">Conselho </w:t>
            </w:r>
            <w:r w:rsidR="00926D70">
              <w:rPr>
                <w:rFonts w:ascii="Verdana" w:hAnsi="Verdana"/>
                <w:sz w:val="18"/>
                <w:szCs w:val="18"/>
              </w:rPr>
              <w:t xml:space="preserve">da </w:t>
            </w:r>
            <w:r>
              <w:rPr>
                <w:rFonts w:ascii="Verdana" w:hAnsi="Verdana"/>
                <w:sz w:val="18"/>
                <w:szCs w:val="18"/>
              </w:rPr>
              <w:t>Europ</w:t>
            </w:r>
            <w:r w:rsidR="00926D70">
              <w:rPr>
                <w:rFonts w:ascii="Verdana" w:hAnsi="Verdana"/>
                <w:sz w:val="18"/>
                <w:szCs w:val="18"/>
              </w:rPr>
              <w:t>a quanto à</w:t>
            </w:r>
            <w:r>
              <w:rPr>
                <w:rFonts w:ascii="Verdana" w:hAnsi="Verdana"/>
                <w:sz w:val="18"/>
                <w:szCs w:val="18"/>
              </w:rPr>
              <w:t xml:space="preserve"> Convenção sobre Cibercrime (ETS 185) e a capacidade de criar projetos organizados pelo Conselho e implementados pelo escritório C-PROC. </w:t>
            </w:r>
          </w:p>
          <w:p w:rsidR="007B75A9" w:rsidRPr="00352471" w:rsidRDefault="00981C4C" w:rsidP="00D71168">
            <w:pPr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Deve também apresentar os últimos desenvolvimentos no campo da perpetração contemporânea dos atos criminosos de cibercrime.</w:t>
            </w:r>
          </w:p>
        </w:tc>
      </w:tr>
      <w:tr w:rsidR="003406F3" w:rsidRPr="00352471">
        <w:trPr>
          <w:trHeight w:val="701"/>
        </w:trPr>
        <w:tc>
          <w:tcPr>
            <w:tcW w:w="9010" w:type="dxa"/>
            <w:gridSpan w:val="3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:rsidR="005A4E47" w:rsidRPr="00352471" w:rsidRDefault="005A4E47" w:rsidP="00CB3026">
            <w:pPr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 xml:space="preserve">Conteúdo da </w:t>
            </w:r>
            <w:r w:rsidR="00926D70">
              <w:rPr>
                <w:rFonts w:ascii="Verdana" w:hAnsi="Verdana"/>
                <w:b/>
                <w:sz w:val="28"/>
                <w:szCs w:val="28"/>
              </w:rPr>
              <w:t>sessão</w:t>
            </w:r>
          </w:p>
        </w:tc>
      </w:tr>
      <w:tr w:rsidR="003406F3" w:rsidRPr="00352471">
        <w:trPr>
          <w:trHeight w:val="629"/>
        </w:trPr>
        <w:tc>
          <w:tcPr>
            <w:tcW w:w="1615" w:type="dxa"/>
            <w:shd w:val="clear" w:color="auto" w:fill="D9E2F3" w:themeFill="accent1" w:themeFillTint="33"/>
            <w:vAlign w:val="center"/>
          </w:tcPr>
          <w:p w:rsidR="00D82C18" w:rsidRPr="00352471" w:rsidRDefault="00E13BE7" w:rsidP="00CB3026">
            <w:pPr>
              <w:jc w:val="center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Número dos slides</w:t>
            </w:r>
          </w:p>
        </w:tc>
        <w:tc>
          <w:tcPr>
            <w:tcW w:w="7395" w:type="dxa"/>
            <w:gridSpan w:val="2"/>
            <w:shd w:val="clear" w:color="auto" w:fill="D9E2F3" w:themeFill="accent1" w:themeFillTint="33"/>
            <w:vAlign w:val="center"/>
          </w:tcPr>
          <w:p w:rsidR="00D82C18" w:rsidRPr="00352471" w:rsidRDefault="00E13BE7">
            <w:pPr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Conteúdo</w:t>
            </w:r>
          </w:p>
        </w:tc>
      </w:tr>
      <w:tr w:rsidR="003406F3" w:rsidRPr="00352471">
        <w:trPr>
          <w:trHeight w:val="530"/>
        </w:trPr>
        <w:tc>
          <w:tcPr>
            <w:tcW w:w="1615" w:type="dxa"/>
            <w:vAlign w:val="center"/>
          </w:tcPr>
          <w:p w:rsidR="00D82C18" w:rsidRPr="00352471" w:rsidRDefault="003630ED" w:rsidP="002131BC">
            <w:pPr>
              <w:spacing w:before="120" w:after="120" w:line="280" w:lineRule="exac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 a 3</w:t>
            </w:r>
          </w:p>
        </w:tc>
        <w:tc>
          <w:tcPr>
            <w:tcW w:w="7395" w:type="dxa"/>
            <w:gridSpan w:val="2"/>
            <w:vAlign w:val="center"/>
          </w:tcPr>
          <w:p w:rsidR="003630ED" w:rsidRPr="00352471" w:rsidRDefault="00DB09DC" w:rsidP="00AF62EC">
            <w:pPr>
              <w:tabs>
                <w:tab w:val="left" w:pos="426"/>
                <w:tab w:val="left" w:pos="851"/>
              </w:tabs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Os primeiros slides expõem a estrutura e objetivos desta sessão. Os </w:t>
            </w:r>
            <w:r w:rsidR="00926D70">
              <w:rPr>
                <w:rFonts w:ascii="Verdana" w:hAnsi="Verdana"/>
                <w:sz w:val="18"/>
                <w:szCs w:val="18"/>
              </w:rPr>
              <w:t>formandos</w:t>
            </w:r>
            <w:r>
              <w:rPr>
                <w:rFonts w:ascii="Verdana" w:hAnsi="Verdana"/>
                <w:sz w:val="18"/>
                <w:szCs w:val="18"/>
              </w:rPr>
              <w:t xml:space="preserve"> devem ter a oportunidade de fazer quaisquer perguntas preliminares que possam ter relativamente à estrutura e objetivos da sessão.</w:t>
            </w:r>
          </w:p>
        </w:tc>
      </w:tr>
      <w:tr w:rsidR="009709E0" w:rsidRPr="00352471">
        <w:trPr>
          <w:trHeight w:val="539"/>
        </w:trPr>
        <w:tc>
          <w:tcPr>
            <w:tcW w:w="1615" w:type="dxa"/>
            <w:vAlign w:val="center"/>
          </w:tcPr>
          <w:p w:rsidR="009709E0" w:rsidRDefault="009709E0" w:rsidP="00D71168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4 - 5</w:t>
            </w:r>
          </w:p>
        </w:tc>
        <w:tc>
          <w:tcPr>
            <w:tcW w:w="7395" w:type="dxa"/>
            <w:gridSpan w:val="2"/>
            <w:vAlign w:val="center"/>
          </w:tcPr>
          <w:p w:rsidR="009709E0" w:rsidRPr="00981C4C" w:rsidRDefault="00C511B6" w:rsidP="00981C4C">
            <w:pPr>
              <w:autoSpaceDE w:val="0"/>
              <w:autoSpaceDN w:val="0"/>
              <w:adjustRightInd w:val="0"/>
              <w:spacing w:line="280" w:lineRule="exact"/>
              <w:jc w:val="both"/>
              <w:rPr>
                <w:rFonts w:ascii="Verdana" w:hAnsi="Verdana" w:cs="Times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Este slide fornece informações sobre os principais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 xml:space="preserve">desafios contemporâneos relacionados com a compreensão e implementação prática da legislação substancial, processual e internacional no campo da cibercriminalidade. </w:t>
            </w:r>
          </w:p>
        </w:tc>
      </w:tr>
      <w:tr w:rsidR="009709E0" w:rsidRPr="00352471">
        <w:trPr>
          <w:trHeight w:val="539"/>
        </w:trPr>
        <w:tc>
          <w:tcPr>
            <w:tcW w:w="1615" w:type="dxa"/>
            <w:vAlign w:val="center"/>
          </w:tcPr>
          <w:p w:rsidR="009709E0" w:rsidRDefault="00981C4C" w:rsidP="00D71168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6</w:t>
            </w:r>
          </w:p>
        </w:tc>
        <w:tc>
          <w:tcPr>
            <w:tcW w:w="7395" w:type="dxa"/>
            <w:gridSpan w:val="2"/>
            <w:vAlign w:val="center"/>
          </w:tcPr>
          <w:p w:rsidR="00981C4C" w:rsidRPr="003F62DF" w:rsidRDefault="003F62DF" w:rsidP="00981C4C">
            <w:pPr>
              <w:autoSpaceDE w:val="0"/>
              <w:autoSpaceDN w:val="0"/>
              <w:adjustRightInd w:val="0"/>
              <w:spacing w:line="280" w:lineRule="exact"/>
              <w:jc w:val="both"/>
              <w:rPr>
                <w:rFonts w:ascii="Verdana" w:hAnsi="Verdana" w:cs="Calibri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Este slide fornece informações sobre a Convenção de Budapeste, a sua implementação e arti</w:t>
            </w:r>
            <w:r w:rsidR="00926D70">
              <w:rPr>
                <w:rFonts w:ascii="Verdana" w:hAnsi="Verdana"/>
                <w:sz w:val="18"/>
                <w:szCs w:val="18"/>
              </w:rPr>
              <w:t>culado</w:t>
            </w:r>
            <w:r>
              <w:rPr>
                <w:rFonts w:ascii="Verdana" w:hAnsi="Verdana"/>
                <w:sz w:val="18"/>
                <w:szCs w:val="18"/>
              </w:rPr>
              <w:t xml:space="preserve">. Os formadores devem </w:t>
            </w:r>
            <w:r w:rsidR="00926D70">
              <w:rPr>
                <w:rFonts w:ascii="Verdana" w:hAnsi="Verdana"/>
                <w:sz w:val="18"/>
                <w:szCs w:val="18"/>
              </w:rPr>
              <w:t>socorrer-se do</w:t>
            </w:r>
            <w:r>
              <w:rPr>
                <w:rFonts w:ascii="Verdana" w:hAnsi="Verdana"/>
                <w:sz w:val="18"/>
                <w:szCs w:val="18"/>
              </w:rPr>
              <w:t xml:space="preserve"> texto da </w:t>
            </w:r>
            <w:r>
              <w:rPr>
                <w:rFonts w:ascii="Verdana" w:hAnsi="Verdana"/>
                <w:sz w:val="18"/>
                <w:szCs w:val="18"/>
              </w:rPr>
              <w:lastRenderedPageBreak/>
              <w:t xml:space="preserve">Convenção </w:t>
            </w:r>
            <w:r w:rsidR="009A5FE5">
              <w:rPr>
                <w:rFonts w:ascii="Verdana" w:hAnsi="Verdana"/>
                <w:sz w:val="18"/>
                <w:szCs w:val="18"/>
              </w:rPr>
              <w:t>e do relatório explicativos</w:t>
            </w:r>
            <w:r>
              <w:rPr>
                <w:rFonts w:ascii="Verdana" w:hAnsi="Verdana"/>
                <w:sz w:val="18"/>
                <w:szCs w:val="18"/>
              </w:rPr>
              <w:t>.</w:t>
            </w:r>
          </w:p>
          <w:p w:rsidR="009709E0" w:rsidRPr="00926D70" w:rsidRDefault="009709E0" w:rsidP="003F62DF">
            <w:pPr>
              <w:autoSpaceDE w:val="0"/>
              <w:autoSpaceDN w:val="0"/>
              <w:adjustRightInd w:val="0"/>
              <w:spacing w:line="280" w:lineRule="exact"/>
              <w:jc w:val="both"/>
              <w:rPr>
                <w:rFonts w:ascii="Verdana" w:hAnsi="Verdana" w:cs="Times"/>
                <w:color w:val="000000"/>
                <w:sz w:val="18"/>
                <w:szCs w:val="18"/>
              </w:rPr>
            </w:pPr>
          </w:p>
        </w:tc>
      </w:tr>
      <w:tr w:rsidR="003406F3" w:rsidRPr="003F62DF">
        <w:trPr>
          <w:trHeight w:val="539"/>
        </w:trPr>
        <w:tc>
          <w:tcPr>
            <w:tcW w:w="1615" w:type="dxa"/>
            <w:vAlign w:val="center"/>
          </w:tcPr>
          <w:p w:rsidR="00D82C18" w:rsidRPr="00352471" w:rsidRDefault="003F62DF" w:rsidP="00D71168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lastRenderedPageBreak/>
              <w:t>7</w:t>
            </w:r>
          </w:p>
        </w:tc>
        <w:tc>
          <w:tcPr>
            <w:tcW w:w="7395" w:type="dxa"/>
            <w:gridSpan w:val="2"/>
            <w:vAlign w:val="center"/>
          </w:tcPr>
          <w:p w:rsidR="002131BC" w:rsidRPr="003F62DF" w:rsidRDefault="009D0620" w:rsidP="009D0620">
            <w:pPr>
              <w:autoSpaceDE w:val="0"/>
              <w:autoSpaceDN w:val="0"/>
              <w:adjustRightInd w:val="0"/>
              <w:spacing w:line="280" w:lineRule="exact"/>
              <w:jc w:val="both"/>
              <w:rPr>
                <w:rFonts w:ascii="Verdana" w:hAnsi="Verdana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Intervalo do slide gráfico da Convenção. Mais de 130 países ratificaram, assinaram ou estão a implementar de diferentes formas a Convenção.</w:t>
            </w:r>
          </w:p>
        </w:tc>
      </w:tr>
      <w:tr w:rsidR="003406F3" w:rsidRPr="00352471">
        <w:trPr>
          <w:trHeight w:val="1295"/>
        </w:trPr>
        <w:tc>
          <w:tcPr>
            <w:tcW w:w="1615" w:type="dxa"/>
            <w:vAlign w:val="center"/>
          </w:tcPr>
          <w:p w:rsidR="00A00A58" w:rsidRPr="00352471" w:rsidRDefault="003F62DF" w:rsidP="0018454B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8</w:t>
            </w:r>
          </w:p>
        </w:tc>
        <w:tc>
          <w:tcPr>
            <w:tcW w:w="7395" w:type="dxa"/>
            <w:gridSpan w:val="2"/>
            <w:vAlign w:val="center"/>
          </w:tcPr>
          <w:p w:rsidR="00B4237D" w:rsidRPr="00352471" w:rsidRDefault="009D0620" w:rsidP="005C56FD">
            <w:pPr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Âmbito do slide da Convenção. Conduta criminal, ferramentas processuais e artigos de cooperação internacional da Convenção apresentados graficamente com ênfase na ligação e necessidade de harmonização.</w:t>
            </w:r>
          </w:p>
        </w:tc>
      </w:tr>
      <w:tr w:rsidR="003406F3" w:rsidRPr="00352471">
        <w:trPr>
          <w:trHeight w:val="557"/>
        </w:trPr>
        <w:tc>
          <w:tcPr>
            <w:tcW w:w="1615" w:type="dxa"/>
            <w:vAlign w:val="center"/>
          </w:tcPr>
          <w:p w:rsidR="00A00A58" w:rsidRPr="00352471" w:rsidRDefault="009D0620" w:rsidP="009709E0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9</w:t>
            </w:r>
          </w:p>
        </w:tc>
        <w:tc>
          <w:tcPr>
            <w:tcW w:w="7395" w:type="dxa"/>
            <w:gridSpan w:val="2"/>
            <w:vAlign w:val="center"/>
          </w:tcPr>
          <w:p w:rsidR="009A2F63" w:rsidRPr="003F62DF" w:rsidRDefault="003F62DF" w:rsidP="003F62DF">
            <w:pPr>
              <w:autoSpaceDE w:val="0"/>
              <w:autoSpaceDN w:val="0"/>
              <w:adjustRightInd w:val="0"/>
              <w:spacing w:line="280" w:lineRule="exact"/>
              <w:jc w:val="both"/>
              <w:rPr>
                <w:rFonts w:ascii="Verdana" w:hAnsi="Verdana" w:cs="Times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Este slide apresenta os desafios relacionados com provas e a relação entre a computação na nuvem e a Convenção sobre cibercrime.</w:t>
            </w:r>
          </w:p>
        </w:tc>
      </w:tr>
      <w:tr w:rsidR="009A2F63" w:rsidRPr="00352471">
        <w:trPr>
          <w:trHeight w:val="1340"/>
        </w:trPr>
        <w:tc>
          <w:tcPr>
            <w:tcW w:w="1615" w:type="dxa"/>
            <w:vAlign w:val="center"/>
          </w:tcPr>
          <w:p w:rsidR="009A2F63" w:rsidRPr="00352471" w:rsidRDefault="009D0620" w:rsidP="009709E0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10 - 11</w:t>
            </w:r>
          </w:p>
        </w:tc>
        <w:tc>
          <w:tcPr>
            <w:tcW w:w="7395" w:type="dxa"/>
            <w:gridSpan w:val="2"/>
            <w:vAlign w:val="center"/>
          </w:tcPr>
          <w:p w:rsidR="009709E0" w:rsidRPr="003F62DF" w:rsidRDefault="00D44EE1" w:rsidP="003F62DF">
            <w:pPr>
              <w:autoSpaceDE w:val="0"/>
              <w:autoSpaceDN w:val="0"/>
              <w:adjustRightInd w:val="0"/>
              <w:spacing w:line="280" w:lineRule="exact"/>
              <w:jc w:val="both"/>
              <w:rPr>
                <w:rFonts w:ascii="Verdana" w:hAnsi="Verdana" w:cs="Times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Os slides apresentam a organização e o trabalho do Grupo de Provas em Nuvem (CEG) do Comité T-CY, incluindo questões que foram identificadas e para as quais o T-CY deve, de forma possível e eficaz, recomendar uma solução.</w:t>
            </w:r>
          </w:p>
        </w:tc>
      </w:tr>
      <w:tr w:rsidR="005C56FD" w:rsidRPr="00352471">
        <w:trPr>
          <w:trHeight w:val="1007"/>
        </w:trPr>
        <w:tc>
          <w:tcPr>
            <w:tcW w:w="1615" w:type="dxa"/>
            <w:vAlign w:val="center"/>
          </w:tcPr>
          <w:p w:rsidR="005C56FD" w:rsidRPr="00352471" w:rsidRDefault="003F62DF" w:rsidP="007C58CF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12</w:t>
            </w:r>
          </w:p>
        </w:tc>
        <w:tc>
          <w:tcPr>
            <w:tcW w:w="7395" w:type="dxa"/>
            <w:gridSpan w:val="2"/>
            <w:vAlign w:val="center"/>
          </w:tcPr>
          <w:p w:rsidR="005C56FD" w:rsidRPr="00A96105" w:rsidRDefault="00D44EE1" w:rsidP="00A96105">
            <w:pPr>
              <w:autoSpaceDE w:val="0"/>
              <w:autoSpaceDN w:val="0"/>
              <w:adjustRightInd w:val="0"/>
              <w:spacing w:line="280" w:lineRule="exact"/>
              <w:jc w:val="both"/>
              <w:rPr>
                <w:rFonts w:ascii="Verdana" w:hAnsi="Verdana" w:cs="Times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Este slide fornece informações relativas à comparação entre dados de subscritores, tráfego e conteúdo.</w:t>
            </w:r>
          </w:p>
        </w:tc>
      </w:tr>
      <w:tr w:rsidR="0094549A" w:rsidRPr="00352471">
        <w:trPr>
          <w:trHeight w:val="872"/>
        </w:trPr>
        <w:tc>
          <w:tcPr>
            <w:tcW w:w="1615" w:type="dxa"/>
            <w:vAlign w:val="center"/>
          </w:tcPr>
          <w:p w:rsidR="0094549A" w:rsidRPr="00352471" w:rsidRDefault="003F62DF" w:rsidP="009709E0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13</w:t>
            </w:r>
          </w:p>
        </w:tc>
        <w:tc>
          <w:tcPr>
            <w:tcW w:w="7395" w:type="dxa"/>
            <w:gridSpan w:val="2"/>
            <w:vAlign w:val="center"/>
          </w:tcPr>
          <w:p w:rsidR="0094549A" w:rsidRPr="003F62DF" w:rsidRDefault="00A96105" w:rsidP="003F62DF">
            <w:pPr>
              <w:autoSpaceDE w:val="0"/>
              <w:autoSpaceDN w:val="0"/>
              <w:adjustRightInd w:val="0"/>
              <w:spacing w:line="280" w:lineRule="exact"/>
              <w:jc w:val="both"/>
              <w:rPr>
                <w:rFonts w:ascii="Verdana" w:hAnsi="Verdana" w:cs="Times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Este slide fornece informações sobre assistência jurídica mútua e os desafios contemporâneos de cooperação contínua e bem-sucedida em relação ao cibercrime. </w:t>
            </w:r>
          </w:p>
        </w:tc>
      </w:tr>
      <w:tr w:rsidR="00CB7EB1" w:rsidRPr="00352471">
        <w:trPr>
          <w:trHeight w:val="872"/>
        </w:trPr>
        <w:tc>
          <w:tcPr>
            <w:tcW w:w="1615" w:type="dxa"/>
            <w:vAlign w:val="center"/>
          </w:tcPr>
          <w:p w:rsidR="00CB7EB1" w:rsidRPr="00352471" w:rsidRDefault="00CB7EB1" w:rsidP="00A67BED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395" w:type="dxa"/>
            <w:gridSpan w:val="2"/>
            <w:vAlign w:val="center"/>
          </w:tcPr>
          <w:p w:rsidR="00CB7EB1" w:rsidRPr="003F62DF" w:rsidRDefault="00CB7EB1" w:rsidP="00A67BED">
            <w:pPr>
              <w:autoSpaceDE w:val="0"/>
              <w:autoSpaceDN w:val="0"/>
              <w:adjustRightInd w:val="0"/>
              <w:spacing w:line="280" w:lineRule="exact"/>
              <w:jc w:val="both"/>
              <w:rPr>
                <w:rFonts w:ascii="Verdana" w:hAnsi="Verdana" w:cs="Times"/>
                <w:color w:val="000000"/>
                <w:sz w:val="18"/>
                <w:szCs w:val="18"/>
              </w:rPr>
            </w:pPr>
          </w:p>
        </w:tc>
      </w:tr>
      <w:tr w:rsidR="00E44E2C" w:rsidRPr="00352471">
        <w:trPr>
          <w:trHeight w:val="872"/>
        </w:trPr>
        <w:tc>
          <w:tcPr>
            <w:tcW w:w="1615" w:type="dxa"/>
            <w:vAlign w:val="center"/>
          </w:tcPr>
          <w:p w:rsidR="00E44E2C" w:rsidRPr="00352471" w:rsidRDefault="00E44E2C" w:rsidP="00A67BED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395" w:type="dxa"/>
            <w:gridSpan w:val="2"/>
            <w:vAlign w:val="center"/>
          </w:tcPr>
          <w:p w:rsidR="00E44E2C" w:rsidRPr="003F62DF" w:rsidRDefault="00E44E2C" w:rsidP="00A67BED">
            <w:pPr>
              <w:autoSpaceDE w:val="0"/>
              <w:autoSpaceDN w:val="0"/>
              <w:adjustRightInd w:val="0"/>
              <w:spacing w:line="280" w:lineRule="exact"/>
              <w:jc w:val="both"/>
              <w:rPr>
                <w:rFonts w:ascii="Verdana" w:hAnsi="Verdana" w:cs="Times"/>
                <w:color w:val="000000"/>
                <w:sz w:val="18"/>
                <w:szCs w:val="18"/>
              </w:rPr>
            </w:pPr>
          </w:p>
        </w:tc>
      </w:tr>
      <w:tr w:rsidR="0094549A" w:rsidRPr="00352471">
        <w:trPr>
          <w:trHeight w:val="1340"/>
        </w:trPr>
        <w:tc>
          <w:tcPr>
            <w:tcW w:w="1615" w:type="dxa"/>
            <w:vAlign w:val="center"/>
          </w:tcPr>
          <w:p w:rsidR="0094549A" w:rsidRPr="00352471" w:rsidRDefault="008345C2" w:rsidP="007C58CF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14 - 15</w:t>
            </w:r>
          </w:p>
        </w:tc>
        <w:tc>
          <w:tcPr>
            <w:tcW w:w="7395" w:type="dxa"/>
            <w:gridSpan w:val="2"/>
            <w:vAlign w:val="center"/>
          </w:tcPr>
          <w:p w:rsidR="0094549A" w:rsidRPr="008345C2" w:rsidRDefault="009A5FE5" w:rsidP="008345C2">
            <w:pPr>
              <w:autoSpaceDE w:val="0"/>
              <w:autoSpaceDN w:val="0"/>
              <w:adjustRightInd w:val="0"/>
              <w:spacing w:line="280" w:lineRule="exact"/>
              <w:jc w:val="both"/>
              <w:rPr>
                <w:rFonts w:ascii="Verdana" w:hAnsi="Verdana" w:cs="Times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Desconhecimento</w:t>
            </w:r>
            <w:r w:rsidR="00A96105">
              <w:rPr>
                <w:rFonts w:ascii="Verdana" w:hAnsi="Verdana"/>
                <w:color w:val="000000"/>
                <w:sz w:val="18"/>
                <w:szCs w:val="18"/>
              </w:rPr>
              <w:t xml:space="preserve"> d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a</w:t>
            </w:r>
            <w:r w:rsidR="00A96105">
              <w:rPr>
                <w:rFonts w:ascii="Verdana" w:hAnsi="Verdana"/>
                <w:color w:val="000000"/>
                <w:sz w:val="18"/>
                <w:szCs w:val="18"/>
              </w:rPr>
              <w:t xml:space="preserve"> localização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9A5FE5">
              <w:rPr>
                <w:rFonts w:ascii="Verdana" w:hAnsi="Verdana"/>
                <w:i/>
                <w:color w:val="000000"/>
                <w:sz w:val="18"/>
                <w:szCs w:val="18"/>
              </w:rPr>
              <w:t>loss</w:t>
            </w:r>
            <w:proofErr w:type="spellEnd"/>
            <w:r w:rsidRPr="009A5FE5">
              <w:rPr>
                <w:rFonts w:ascii="Verdana" w:hAnsi="Verdana"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A5FE5">
              <w:rPr>
                <w:rFonts w:ascii="Verdana" w:hAnsi="Verdana"/>
                <w:i/>
                <w:color w:val="000000"/>
                <w:sz w:val="18"/>
                <w:szCs w:val="18"/>
              </w:rPr>
              <w:t>of</w:t>
            </w:r>
            <w:proofErr w:type="spellEnd"/>
            <w:r w:rsidRPr="009A5FE5">
              <w:rPr>
                <w:rFonts w:ascii="Verdana" w:hAnsi="Verdana"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A5FE5">
              <w:rPr>
                <w:rFonts w:ascii="Verdana" w:hAnsi="Verdana"/>
                <w:i/>
                <w:color w:val="000000"/>
                <w:sz w:val="18"/>
                <w:szCs w:val="18"/>
              </w:rPr>
              <w:t>location</w:t>
            </w:r>
            <w:proofErr w:type="spellEnd"/>
            <w:r>
              <w:rPr>
                <w:rFonts w:ascii="Verdana" w:hAnsi="Verdana"/>
                <w:color w:val="000000"/>
                <w:sz w:val="18"/>
                <w:szCs w:val="18"/>
              </w:rPr>
              <w:t>)</w:t>
            </w:r>
            <w:r w:rsidR="00A96105">
              <w:rPr>
                <w:rFonts w:ascii="Verdana" w:hAnsi="Verdana"/>
                <w:color w:val="000000"/>
                <w:sz w:val="18"/>
                <w:szCs w:val="18"/>
              </w:rPr>
              <w:t>. O formador deve</w:t>
            </w:r>
            <w:r w:rsidR="00A96105">
              <w:rPr>
                <w:rFonts w:ascii="Verdana" w:hAnsi="Verdana"/>
                <w:sz w:val="18"/>
                <w:szCs w:val="18"/>
              </w:rPr>
              <w:t xml:space="preserve"> estar ciente dos desafios apresentados nas reuniões do T-CY a este respeito e a soluções implementadas até agora por diferentes jurisdições nacionais.</w:t>
            </w:r>
          </w:p>
        </w:tc>
      </w:tr>
      <w:tr w:rsidR="00E44E2C" w:rsidRPr="00352471">
        <w:trPr>
          <w:trHeight w:val="872"/>
        </w:trPr>
        <w:tc>
          <w:tcPr>
            <w:tcW w:w="1615" w:type="dxa"/>
            <w:vAlign w:val="center"/>
          </w:tcPr>
          <w:p w:rsidR="00E44E2C" w:rsidRPr="00E44E2C" w:rsidRDefault="00E44E2C" w:rsidP="00A67BED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16 - 18</w:t>
            </w:r>
          </w:p>
        </w:tc>
        <w:tc>
          <w:tcPr>
            <w:tcW w:w="7395" w:type="dxa"/>
            <w:gridSpan w:val="2"/>
            <w:vAlign w:val="center"/>
          </w:tcPr>
          <w:p w:rsidR="00E44E2C" w:rsidRDefault="00E44E2C" w:rsidP="00A67BED">
            <w:pPr>
              <w:autoSpaceDE w:val="0"/>
              <w:autoSpaceDN w:val="0"/>
              <w:adjustRightInd w:val="0"/>
              <w:spacing w:line="280" w:lineRule="exact"/>
              <w:jc w:val="both"/>
              <w:rPr>
                <w:rFonts w:ascii="Verdana" w:eastAsia="Times New Roman" w:hAnsi="Verdana" w:cs="Times New Roman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Estes slides proporcionam uma visão mais próxima da cooperação público-privada, neste caso, entre as autoridades judiciárias competentes e as empresas fornecedoras de serviços de Internet. Diferentes aspetos são considerados a este respeito, como a presença do fornecedor, oferta dos serviços, divulgação voluntária de BSI </w:t>
            </w:r>
            <w:r w:rsidR="009A5FE5">
              <w:rPr>
                <w:rFonts w:ascii="Verdana" w:hAnsi="Verdana"/>
                <w:sz w:val="18"/>
                <w:szCs w:val="18"/>
              </w:rPr>
              <w:t>(</w:t>
            </w:r>
            <w:r w:rsidR="009A5FE5" w:rsidRPr="009A5FE5">
              <w:rPr>
                <w:rFonts w:ascii="Verdana" w:hAnsi="Verdana"/>
                <w:i/>
                <w:sz w:val="18"/>
                <w:szCs w:val="18"/>
              </w:rPr>
              <w:t xml:space="preserve">basic </w:t>
            </w:r>
            <w:proofErr w:type="spellStart"/>
            <w:r w:rsidR="009A5FE5" w:rsidRPr="009A5FE5">
              <w:rPr>
                <w:rFonts w:ascii="Verdana" w:hAnsi="Verdana"/>
                <w:i/>
                <w:sz w:val="18"/>
                <w:szCs w:val="18"/>
              </w:rPr>
              <w:t>subscriber</w:t>
            </w:r>
            <w:proofErr w:type="spellEnd"/>
            <w:r w:rsidR="009A5FE5" w:rsidRPr="009A5FE5">
              <w:rPr>
                <w:rFonts w:ascii="Verdana" w:hAnsi="Verdana"/>
                <w:i/>
                <w:sz w:val="18"/>
                <w:szCs w:val="18"/>
              </w:rPr>
              <w:t xml:space="preserve"> </w:t>
            </w:r>
            <w:proofErr w:type="spellStart"/>
            <w:r w:rsidR="009A5FE5" w:rsidRPr="009A5FE5">
              <w:rPr>
                <w:rFonts w:ascii="Verdana" w:hAnsi="Verdana"/>
                <w:i/>
                <w:sz w:val="18"/>
                <w:szCs w:val="18"/>
              </w:rPr>
              <w:t>information</w:t>
            </w:r>
            <w:proofErr w:type="spellEnd"/>
            <w:r w:rsidR="009A5FE5">
              <w:rPr>
                <w:rFonts w:ascii="Verdana" w:hAnsi="Verdana"/>
                <w:sz w:val="18"/>
                <w:szCs w:val="18"/>
              </w:rPr>
              <w:t xml:space="preserve">) </w:t>
            </w:r>
            <w:r>
              <w:rPr>
                <w:rFonts w:ascii="Verdana" w:hAnsi="Verdana"/>
                <w:sz w:val="18"/>
                <w:szCs w:val="18"/>
              </w:rPr>
              <w:t>e dados de tráfego por parte de fornecedores em determinados países (ou não), etc.</w:t>
            </w:r>
          </w:p>
          <w:p w:rsidR="00E44E2C" w:rsidRDefault="00E44E2C" w:rsidP="00A67BED">
            <w:pPr>
              <w:autoSpaceDE w:val="0"/>
              <w:autoSpaceDN w:val="0"/>
              <w:adjustRightInd w:val="0"/>
              <w:spacing w:line="280" w:lineRule="exact"/>
              <w:jc w:val="both"/>
              <w:rPr>
                <w:rFonts w:ascii="Verdana" w:eastAsia="Times New Roman" w:hAnsi="Verdana" w:cs="Times New Roman"/>
                <w:sz w:val="18"/>
                <w:szCs w:val="18"/>
              </w:rPr>
            </w:pPr>
          </w:p>
          <w:p w:rsidR="00E44E2C" w:rsidRPr="003F62DF" w:rsidRDefault="00E44E2C" w:rsidP="00A67BED">
            <w:pPr>
              <w:autoSpaceDE w:val="0"/>
              <w:autoSpaceDN w:val="0"/>
              <w:adjustRightInd w:val="0"/>
              <w:spacing w:line="280" w:lineRule="exact"/>
              <w:jc w:val="both"/>
              <w:rPr>
                <w:rFonts w:ascii="Verdana" w:hAnsi="Verdana" w:cs="Times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São também fornecidos dados estatísticos de 2015 de certas empresas e países. </w:t>
            </w:r>
          </w:p>
        </w:tc>
      </w:tr>
      <w:tr w:rsidR="00E44E2C" w:rsidRPr="00352471">
        <w:trPr>
          <w:trHeight w:val="872"/>
        </w:trPr>
        <w:tc>
          <w:tcPr>
            <w:tcW w:w="1615" w:type="dxa"/>
            <w:vAlign w:val="center"/>
          </w:tcPr>
          <w:p w:rsidR="00E44E2C" w:rsidRPr="00352471" w:rsidRDefault="00E44E2C" w:rsidP="00A67BED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19 - 20</w:t>
            </w:r>
          </w:p>
        </w:tc>
        <w:tc>
          <w:tcPr>
            <w:tcW w:w="7395" w:type="dxa"/>
            <w:gridSpan w:val="2"/>
            <w:vAlign w:val="center"/>
          </w:tcPr>
          <w:p w:rsidR="00E44E2C" w:rsidRPr="003F62DF" w:rsidRDefault="00E44E2C" w:rsidP="00A67BED">
            <w:pPr>
              <w:autoSpaceDE w:val="0"/>
              <w:autoSpaceDN w:val="0"/>
              <w:adjustRightInd w:val="0"/>
              <w:spacing w:line="280" w:lineRule="exact"/>
              <w:jc w:val="both"/>
              <w:rPr>
                <w:rFonts w:ascii="Verdana" w:hAnsi="Verdana" w:cs="Times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Os slides abordam procedimentos de emergência através de MLA e cooperação direta e proteção de dados e outras garantias. </w:t>
            </w:r>
          </w:p>
        </w:tc>
      </w:tr>
      <w:tr w:rsidR="00E44E2C" w:rsidRPr="00352471">
        <w:trPr>
          <w:trHeight w:val="872"/>
        </w:trPr>
        <w:tc>
          <w:tcPr>
            <w:tcW w:w="1615" w:type="dxa"/>
            <w:vAlign w:val="center"/>
          </w:tcPr>
          <w:p w:rsidR="00E44E2C" w:rsidRPr="00352471" w:rsidRDefault="00E44E2C" w:rsidP="00A67BED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21 - 28</w:t>
            </w:r>
          </w:p>
        </w:tc>
        <w:tc>
          <w:tcPr>
            <w:tcW w:w="7395" w:type="dxa"/>
            <w:gridSpan w:val="2"/>
            <w:vAlign w:val="center"/>
          </w:tcPr>
          <w:p w:rsidR="00E44E2C" w:rsidRPr="003F62DF" w:rsidRDefault="00E44E2C" w:rsidP="00A67BED">
            <w:pPr>
              <w:autoSpaceDE w:val="0"/>
              <w:autoSpaceDN w:val="0"/>
              <w:adjustRightInd w:val="0"/>
              <w:spacing w:line="280" w:lineRule="exact"/>
              <w:jc w:val="both"/>
              <w:rPr>
                <w:rFonts w:ascii="Verdana" w:hAnsi="Verdana" w:cs="Times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Estes slides abordam soluções identificadas pelo Grupo de Provas em Nuvem do COE, incluindo MLA mais eficaz, nota de orientação relativa ao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Art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 xml:space="preserve">. 18.º da Convenção de Budapeste, regras internas sobre ordens de produção, cooperação com fornecedores: medidas práticas e protocolos adicionais à Convenção de Budapeste. </w:t>
            </w:r>
          </w:p>
        </w:tc>
      </w:tr>
      <w:tr w:rsidR="003406F3" w:rsidRPr="00352471">
        <w:trPr>
          <w:trHeight w:val="1412"/>
        </w:trPr>
        <w:tc>
          <w:tcPr>
            <w:tcW w:w="9010" w:type="dxa"/>
            <w:gridSpan w:val="3"/>
            <w:vAlign w:val="center"/>
          </w:tcPr>
          <w:p w:rsidR="00CB3026" w:rsidRPr="00352471" w:rsidRDefault="00CB3026" w:rsidP="00CB3026">
            <w:pPr>
              <w:spacing w:before="120" w:after="120" w:line="280" w:lineRule="exact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lastRenderedPageBreak/>
              <w:t>Exercícios práticos</w:t>
            </w:r>
          </w:p>
          <w:p w:rsidR="00CB3026" w:rsidRPr="00352471" w:rsidRDefault="006B067C" w:rsidP="005F4B3C">
            <w:pPr>
              <w:spacing w:before="120" w:after="120" w:line="280" w:lineRule="exac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Não há exercícios práticos obrigatórios.</w:t>
            </w:r>
          </w:p>
        </w:tc>
      </w:tr>
      <w:tr w:rsidR="003406F3" w:rsidRPr="00352471">
        <w:tc>
          <w:tcPr>
            <w:tcW w:w="9010" w:type="dxa"/>
            <w:gridSpan w:val="3"/>
            <w:vAlign w:val="center"/>
          </w:tcPr>
          <w:p w:rsidR="00CB3026" w:rsidRPr="00352471" w:rsidRDefault="00CB3026" w:rsidP="00CB3026">
            <w:pPr>
              <w:spacing w:before="120" w:after="120" w:line="280" w:lineRule="exact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Avaliação de conhecimentos</w:t>
            </w:r>
          </w:p>
          <w:p w:rsidR="00CB3026" w:rsidRPr="00352471" w:rsidRDefault="00B468A3" w:rsidP="0017583E">
            <w:pPr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Não foi apresentada uma avaliação formal para esta sessão. Espera-se que os </w:t>
            </w:r>
            <w:r w:rsidR="00926D70">
              <w:rPr>
                <w:rFonts w:ascii="Verdana" w:hAnsi="Verdana"/>
                <w:sz w:val="18"/>
                <w:szCs w:val="18"/>
              </w:rPr>
              <w:t>formandos</w:t>
            </w:r>
            <w:r>
              <w:rPr>
                <w:rFonts w:ascii="Verdana" w:hAnsi="Verdana"/>
                <w:sz w:val="18"/>
                <w:szCs w:val="18"/>
              </w:rPr>
              <w:t xml:space="preserve"> participem ativamente.</w:t>
            </w:r>
          </w:p>
        </w:tc>
      </w:tr>
    </w:tbl>
    <w:p w:rsidR="00D82C18" w:rsidRPr="00352471" w:rsidRDefault="00D82C18">
      <w:pPr>
        <w:rPr>
          <w:rFonts w:ascii="Verdana" w:hAnsi="Verdana"/>
        </w:rPr>
      </w:pPr>
    </w:p>
    <w:sectPr w:rsidR="00D82C18" w:rsidRPr="00352471" w:rsidSect="00E95703">
      <w:pgSz w:w="11900" w:h="16840"/>
      <w:pgMar w:top="783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Verdana Bold">
    <w:altName w:val="Verdana"/>
    <w:charset w:val="00"/>
    <w:family w:val="auto"/>
    <w:pitch w:val="variable"/>
    <w:sig w:usb0="A10006FF" w:usb1="4000205B" w:usb2="00000010" w:usb3="00000000" w:csb0="0000019F" w:csb1="00000000"/>
  </w:font>
  <w:font w:name="Segoe UI">
    <w:altName w:val="Geneva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A83CB0"/>
    <w:multiLevelType w:val="hybridMultilevel"/>
    <w:tmpl w:val="F3AEF7C4"/>
    <w:lvl w:ilvl="0" w:tplc="D8BE76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22A5C8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90EB03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2886CF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2F68C4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5D493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BA6B1A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A10A46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95251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2B3724DC"/>
    <w:multiLevelType w:val="hybridMultilevel"/>
    <w:tmpl w:val="642C6C28"/>
    <w:lvl w:ilvl="0" w:tplc="1E307DD2">
      <w:start w:val="1"/>
      <w:numFmt w:val="bullet"/>
      <w:pStyle w:val="bul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D1461F"/>
    <w:multiLevelType w:val="multilevel"/>
    <w:tmpl w:val="0809001F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decimal"/>
      <w:lvlText w:val="%1.%2.%3."/>
      <w:lvlJc w:val="left"/>
      <w:pPr>
        <w:ind w:left="1944" w:hanging="504"/>
      </w:p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52" w:hanging="792"/>
      </w:pPr>
    </w:lvl>
    <w:lvl w:ilvl="5">
      <w:start w:val="1"/>
      <w:numFmt w:val="decimal"/>
      <w:lvlText w:val="%1.%2.%3.%4.%5.%6."/>
      <w:lvlJc w:val="left"/>
      <w:pPr>
        <w:ind w:left="3456" w:hanging="936"/>
      </w:pPr>
    </w:lvl>
    <w:lvl w:ilvl="6">
      <w:start w:val="1"/>
      <w:numFmt w:val="decimal"/>
      <w:lvlText w:val="%1.%2.%3.%4.%5.%6.%7."/>
      <w:lvlJc w:val="left"/>
      <w:pPr>
        <w:ind w:left="3960" w:hanging="1080"/>
      </w:pPr>
    </w:lvl>
    <w:lvl w:ilvl="7">
      <w:start w:val="1"/>
      <w:numFmt w:val="decimal"/>
      <w:lvlText w:val="%1.%2.%3.%4.%5.%6.%7.%8."/>
      <w:lvlJc w:val="left"/>
      <w:pPr>
        <w:ind w:left="4464" w:hanging="1224"/>
      </w:pPr>
    </w:lvl>
    <w:lvl w:ilvl="8">
      <w:start w:val="1"/>
      <w:numFmt w:val="decimal"/>
      <w:lvlText w:val="%1.%2.%3.%4.%5.%6.%7.%8.%9."/>
      <w:lvlJc w:val="left"/>
      <w:pPr>
        <w:ind w:left="5040" w:hanging="1440"/>
      </w:pPr>
    </w:lvl>
  </w:abstractNum>
  <w:abstractNum w:abstractNumId="3" w15:restartNumberingAfterBreak="0">
    <w:nsid w:val="4092556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1A800C6"/>
    <w:multiLevelType w:val="hybridMultilevel"/>
    <w:tmpl w:val="A86CDB8C"/>
    <w:lvl w:ilvl="0" w:tplc="4B00A80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B6EE92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F80DD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AA490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904FA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D624EA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FB0C71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610BC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4D83B4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42AE54E4"/>
    <w:multiLevelType w:val="hybridMultilevel"/>
    <w:tmpl w:val="D2C2DB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BB2C9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582840D9"/>
    <w:multiLevelType w:val="hybridMultilevel"/>
    <w:tmpl w:val="FE127FC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63640F4"/>
    <w:multiLevelType w:val="hybridMultilevel"/>
    <w:tmpl w:val="0B84430A"/>
    <w:lvl w:ilvl="0" w:tplc="30EC4D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478531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24AEB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A1C446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3C6AA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69A11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77EB4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544741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32652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7BC05695"/>
    <w:multiLevelType w:val="hybridMultilevel"/>
    <w:tmpl w:val="913E94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CCA1946"/>
    <w:multiLevelType w:val="hybridMultilevel"/>
    <w:tmpl w:val="7A50B1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6"/>
  </w:num>
  <w:num w:numId="4">
    <w:abstractNumId w:val="3"/>
  </w:num>
  <w:num w:numId="5">
    <w:abstractNumId w:val="5"/>
  </w:num>
  <w:num w:numId="6">
    <w:abstractNumId w:val="10"/>
  </w:num>
  <w:num w:numId="7">
    <w:abstractNumId w:val="1"/>
  </w:num>
  <w:num w:numId="8">
    <w:abstractNumId w:val="4"/>
  </w:num>
  <w:num w:numId="9">
    <w:abstractNumId w:val="0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oNotTrackMoves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2C18"/>
    <w:rsid w:val="00022CD5"/>
    <w:rsid w:val="000509A6"/>
    <w:rsid w:val="000B67F4"/>
    <w:rsid w:val="00105DD4"/>
    <w:rsid w:val="0017583E"/>
    <w:rsid w:val="00175ADE"/>
    <w:rsid w:val="0018454B"/>
    <w:rsid w:val="00185B76"/>
    <w:rsid w:val="001B428D"/>
    <w:rsid w:val="001B5DAD"/>
    <w:rsid w:val="002131BC"/>
    <w:rsid w:val="00271010"/>
    <w:rsid w:val="0027512B"/>
    <w:rsid w:val="002A0937"/>
    <w:rsid w:val="002E0016"/>
    <w:rsid w:val="002F375E"/>
    <w:rsid w:val="0031058B"/>
    <w:rsid w:val="0033609D"/>
    <w:rsid w:val="003406F3"/>
    <w:rsid w:val="00352471"/>
    <w:rsid w:val="0036129C"/>
    <w:rsid w:val="003630ED"/>
    <w:rsid w:val="003958A0"/>
    <w:rsid w:val="00397FEA"/>
    <w:rsid w:val="003E0EDB"/>
    <w:rsid w:val="003F2BCF"/>
    <w:rsid w:val="003F6045"/>
    <w:rsid w:val="003F62DF"/>
    <w:rsid w:val="00450591"/>
    <w:rsid w:val="004639E3"/>
    <w:rsid w:val="00491B86"/>
    <w:rsid w:val="004E1BF6"/>
    <w:rsid w:val="0051122C"/>
    <w:rsid w:val="005154BF"/>
    <w:rsid w:val="00534FB7"/>
    <w:rsid w:val="005703B7"/>
    <w:rsid w:val="00594B3F"/>
    <w:rsid w:val="005951B6"/>
    <w:rsid w:val="005A4E47"/>
    <w:rsid w:val="005C56FD"/>
    <w:rsid w:val="005F4B3C"/>
    <w:rsid w:val="006B067C"/>
    <w:rsid w:val="006B6864"/>
    <w:rsid w:val="006D7128"/>
    <w:rsid w:val="006F75E4"/>
    <w:rsid w:val="007169BB"/>
    <w:rsid w:val="0074158D"/>
    <w:rsid w:val="00761BA4"/>
    <w:rsid w:val="00790848"/>
    <w:rsid w:val="0079197D"/>
    <w:rsid w:val="00795C47"/>
    <w:rsid w:val="007A1980"/>
    <w:rsid w:val="007B75A9"/>
    <w:rsid w:val="007C58CF"/>
    <w:rsid w:val="007F2601"/>
    <w:rsid w:val="00823B30"/>
    <w:rsid w:val="008345C2"/>
    <w:rsid w:val="008E3FE7"/>
    <w:rsid w:val="00926D70"/>
    <w:rsid w:val="009277BD"/>
    <w:rsid w:val="0094072C"/>
    <w:rsid w:val="0094549A"/>
    <w:rsid w:val="00965ADD"/>
    <w:rsid w:val="009709E0"/>
    <w:rsid w:val="00981C4C"/>
    <w:rsid w:val="009A2F63"/>
    <w:rsid w:val="009A5FE5"/>
    <w:rsid w:val="009D0620"/>
    <w:rsid w:val="009E559A"/>
    <w:rsid w:val="00A00A58"/>
    <w:rsid w:val="00A03CF0"/>
    <w:rsid w:val="00A314AA"/>
    <w:rsid w:val="00A4110D"/>
    <w:rsid w:val="00A53D26"/>
    <w:rsid w:val="00A734A5"/>
    <w:rsid w:val="00A9431E"/>
    <w:rsid w:val="00A96105"/>
    <w:rsid w:val="00AF62EC"/>
    <w:rsid w:val="00B03741"/>
    <w:rsid w:val="00B4237D"/>
    <w:rsid w:val="00B468A3"/>
    <w:rsid w:val="00B569A5"/>
    <w:rsid w:val="00B71D66"/>
    <w:rsid w:val="00BD6890"/>
    <w:rsid w:val="00C02029"/>
    <w:rsid w:val="00C511B6"/>
    <w:rsid w:val="00C541A2"/>
    <w:rsid w:val="00CB02C4"/>
    <w:rsid w:val="00CB3026"/>
    <w:rsid w:val="00CB7EB1"/>
    <w:rsid w:val="00CF0C7C"/>
    <w:rsid w:val="00D44EE1"/>
    <w:rsid w:val="00D71168"/>
    <w:rsid w:val="00D82C18"/>
    <w:rsid w:val="00D944B5"/>
    <w:rsid w:val="00D95F87"/>
    <w:rsid w:val="00DB09DC"/>
    <w:rsid w:val="00DC0837"/>
    <w:rsid w:val="00E13BE7"/>
    <w:rsid w:val="00E17E67"/>
    <w:rsid w:val="00E44E2C"/>
    <w:rsid w:val="00E55549"/>
    <w:rsid w:val="00E7344B"/>
    <w:rsid w:val="00E95703"/>
    <w:rsid w:val="00EE70BF"/>
    <w:rsid w:val="00F35B67"/>
    <w:rsid w:val="00F62A15"/>
    <w:rsid w:val="00F813A3"/>
    <w:rsid w:val="00F8680C"/>
    <w:rsid w:val="00FC67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01BAB4-0E28-4D0E-91E3-E2F15C6CEA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t-P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1C4C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elha">
    <w:name w:val="Table Grid"/>
    <w:basedOn w:val="Tabelanormal"/>
    <w:uiPriority w:val="39"/>
    <w:rsid w:val="00D82C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D82C18"/>
    <w:pPr>
      <w:ind w:left="720"/>
      <w:contextualSpacing/>
    </w:pPr>
  </w:style>
  <w:style w:type="paragraph" w:customStyle="1" w:styleId="bul1">
    <w:name w:val="bul1"/>
    <w:basedOn w:val="Normal"/>
    <w:link w:val="bul1Char"/>
    <w:qFormat/>
    <w:rsid w:val="00E7344B"/>
    <w:pPr>
      <w:numPr>
        <w:numId w:val="7"/>
      </w:numPr>
      <w:spacing w:line="280" w:lineRule="atLeast"/>
      <w:ind w:left="851" w:hanging="851"/>
      <w:jc w:val="both"/>
    </w:pPr>
    <w:rPr>
      <w:rFonts w:ascii="Verdana" w:eastAsia="Calibri" w:hAnsi="Verdana" w:cs="Times New Roman"/>
      <w:sz w:val="18"/>
      <w:lang w:eastAsia="de-DE"/>
    </w:rPr>
  </w:style>
  <w:style w:type="character" w:customStyle="1" w:styleId="bul1Char">
    <w:name w:val="bul1 Char"/>
    <w:link w:val="bul1"/>
    <w:locked/>
    <w:rsid w:val="00E7344B"/>
    <w:rPr>
      <w:rFonts w:ascii="Verdana" w:eastAsia="Calibri" w:hAnsi="Verdana" w:cs="Times New Roman"/>
      <w:sz w:val="18"/>
      <w:lang w:val="pt-PT" w:eastAsia="de-DE"/>
    </w:rPr>
  </w:style>
  <w:style w:type="character" w:styleId="Hiperligao">
    <w:name w:val="Hyperlink"/>
    <w:basedOn w:val="Tipodeletrapredefinidodopargrafo"/>
    <w:uiPriority w:val="99"/>
    <w:unhideWhenUsed/>
    <w:rsid w:val="005703B7"/>
    <w:rPr>
      <w:color w:val="0563C1" w:themeColor="hyperlink"/>
      <w:u w:val="single"/>
    </w:rPr>
  </w:style>
  <w:style w:type="paragraph" w:styleId="Subttulo">
    <w:name w:val="Subtitle"/>
    <w:basedOn w:val="Normal"/>
    <w:next w:val="Normal"/>
    <w:link w:val="SubttuloCarter"/>
    <w:uiPriority w:val="11"/>
    <w:qFormat/>
    <w:rsid w:val="00CB3026"/>
    <w:pPr>
      <w:numPr>
        <w:ilvl w:val="1"/>
      </w:numPr>
      <w:spacing w:before="20" w:after="120" w:line="280" w:lineRule="atLeast"/>
      <w:jc w:val="both"/>
    </w:pPr>
    <w:rPr>
      <w:rFonts w:ascii="Verdana Bold" w:eastAsiaTheme="majorEastAsia" w:hAnsi="Verdana Bold" w:cstheme="majorBidi"/>
      <w:iCs/>
      <w:color w:val="000000" w:themeColor="text1"/>
      <w:sz w:val="18"/>
    </w:rPr>
  </w:style>
  <w:style w:type="character" w:customStyle="1" w:styleId="SubttuloCarter">
    <w:name w:val="Subtítulo Caráter"/>
    <w:basedOn w:val="Tipodeletrapredefinidodopargrafo"/>
    <w:link w:val="Subttulo"/>
    <w:uiPriority w:val="11"/>
    <w:rsid w:val="00CB3026"/>
    <w:rPr>
      <w:rFonts w:ascii="Verdana Bold" w:eastAsiaTheme="majorEastAsia" w:hAnsi="Verdana Bold" w:cstheme="majorBidi"/>
      <w:iCs/>
      <w:color w:val="000000" w:themeColor="text1"/>
      <w:sz w:val="18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9A5FE5"/>
    <w:rPr>
      <w:rFonts w:ascii="Segoe UI" w:hAnsi="Segoe UI" w:cs="Segoe UI"/>
      <w:sz w:val="18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9A5FE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464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675498">
          <w:marLeft w:val="0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206968">
          <w:marLeft w:val="0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537852">
          <w:marLeft w:val="0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338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923720">
          <w:marLeft w:val="0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203345">
          <w:marLeft w:val="0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339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14579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920422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879223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273632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24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B975F36-311D-4BE6-BD41-91C41FDEBE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693</Words>
  <Characters>3743</Characters>
  <Application>Microsoft Office Word</Application>
  <DocSecurity>0</DocSecurity>
  <Lines>31</Lines>
  <Paragraphs>8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Jones, Nigel (nigel.jones@canterbury.ac.uk)</dc:creator>
  <cp:keywords/>
  <dc:description/>
  <cp:lastModifiedBy>Pedro Verdelho</cp:lastModifiedBy>
  <cp:revision>4</cp:revision>
  <dcterms:created xsi:type="dcterms:W3CDTF">2019-04-16T01:28:00Z</dcterms:created>
  <dcterms:modified xsi:type="dcterms:W3CDTF">2019-04-25T14:44:00Z</dcterms:modified>
</cp:coreProperties>
</file>