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CC" w:rsidRDefault="00EA55CC" w:rsidP="001D4C89">
      <w:pPr>
        <w:ind w:firstLine="720"/>
        <w:jc w:val="center"/>
        <w:rPr>
          <w:rFonts w:asciiTheme="minorHAnsi" w:hAnsiTheme="minorHAnsi" w:cstheme="minorHAnsi"/>
          <w:b/>
        </w:rPr>
      </w:pPr>
      <w:r>
        <w:rPr>
          <w:rFonts w:asciiTheme="minorHAnsi" w:hAnsiTheme="minorHAnsi" w:cstheme="minorHAnsi"/>
          <w:b/>
          <w:noProof/>
          <w:lang w:val="fr-FR" w:eastAsia="fr-FR"/>
        </w:rPr>
        <w:drawing>
          <wp:inline distT="0" distB="0" distL="0" distR="0" wp14:anchorId="0EF674F3" wp14:editId="1FF15A2F">
            <wp:extent cx="3810000" cy="1285875"/>
            <wp:effectExtent l="0" t="0" r="0" b="9525"/>
            <wp:docPr id="1" name="Slika 1" descr="C:\Users\B.Stam\Desktop\DS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DSB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0" cy="1285875"/>
                    </a:xfrm>
                    <a:prstGeom prst="rect">
                      <a:avLst/>
                    </a:prstGeom>
                    <a:noFill/>
                    <a:ln>
                      <a:noFill/>
                    </a:ln>
                  </pic:spPr>
                </pic:pic>
              </a:graphicData>
            </a:graphic>
          </wp:inline>
        </w:drawing>
      </w:r>
    </w:p>
    <w:p w:rsidR="00EA55CC" w:rsidRDefault="00EA55CC" w:rsidP="001D4C89">
      <w:pPr>
        <w:ind w:firstLine="720"/>
        <w:jc w:val="center"/>
        <w:rPr>
          <w:rFonts w:asciiTheme="minorHAnsi" w:hAnsiTheme="minorHAnsi" w:cstheme="minorHAnsi"/>
          <w:b/>
        </w:rPr>
      </w:pPr>
    </w:p>
    <w:p w:rsidR="00AE06DF" w:rsidRPr="00FB4CA9" w:rsidRDefault="00FB4CA9" w:rsidP="00FB4CA9">
      <w:pPr>
        <w:ind w:firstLine="720"/>
        <w:jc w:val="center"/>
        <w:rPr>
          <w:rFonts w:asciiTheme="minorHAnsi" w:hAnsiTheme="minorHAnsi" w:cstheme="minorHAnsi"/>
          <w:b/>
        </w:rPr>
      </w:pPr>
      <w:r w:rsidRPr="00FB4CA9">
        <w:rPr>
          <w:rFonts w:asciiTheme="minorHAnsi" w:hAnsiTheme="minorHAnsi" w:cstheme="minorHAnsi"/>
          <w:b/>
          <w:lang w:val="fr-FR"/>
        </w:rPr>
        <w:t>Profil de l’entreprise Docklands Security Bank of Norland</w:t>
      </w:r>
    </w:p>
    <w:p w:rsidR="00AE06DF" w:rsidRPr="00FB4CA9" w:rsidRDefault="00FB4CA9" w:rsidP="00FB4CA9">
      <w:pPr>
        <w:jc w:val="center"/>
        <w:rPr>
          <w:rFonts w:asciiTheme="minorHAnsi" w:hAnsiTheme="minorHAnsi" w:cstheme="minorHAnsi"/>
          <w:b/>
        </w:rPr>
      </w:pPr>
      <w:r w:rsidRPr="00FB4CA9">
        <w:rPr>
          <w:rFonts w:asciiTheme="minorHAnsi" w:hAnsiTheme="minorHAnsi" w:cstheme="minorHAnsi"/>
          <w:b/>
          <w:lang w:val="fr-FR"/>
        </w:rPr>
        <w:t>(DSBN)</w:t>
      </w:r>
    </w:p>
    <w:p w:rsidR="00AE06DF" w:rsidRPr="003F79EC" w:rsidRDefault="00AE06DF" w:rsidP="008F7C13">
      <w:pPr>
        <w:jc w:val="both"/>
        <w:rPr>
          <w:rFonts w:asciiTheme="minorHAnsi" w:hAnsiTheme="minorHAnsi" w:cstheme="minorHAnsi"/>
          <w:b/>
        </w:rPr>
      </w:pPr>
    </w:p>
    <w:p w:rsidR="008F7C13" w:rsidRPr="00E90C09" w:rsidRDefault="00E90C09" w:rsidP="00E90C09">
      <w:pPr>
        <w:jc w:val="both"/>
        <w:rPr>
          <w:rFonts w:asciiTheme="minorHAnsi" w:hAnsiTheme="minorHAnsi" w:cstheme="minorHAnsi"/>
        </w:rPr>
      </w:pPr>
      <w:r w:rsidRPr="00E90C09">
        <w:rPr>
          <w:rFonts w:asciiTheme="minorHAnsi" w:hAnsiTheme="minorHAnsi" w:cstheme="minorHAnsi"/>
          <w:lang w:val="fr-FR"/>
        </w:rPr>
        <w:t>Solidement implantée en Europe et forte d’une importante présence en Amérique du Nord et du Sud et en Asie-Pacifique, l</w:t>
      </w:r>
      <w:r w:rsidR="00FB4CA9" w:rsidRPr="00E90C09">
        <w:rPr>
          <w:rFonts w:asciiTheme="minorHAnsi" w:hAnsiTheme="minorHAnsi" w:cstheme="minorHAnsi"/>
          <w:lang w:val="fr-FR"/>
        </w:rPr>
        <w:t>a Docklands Security Bank of Norland est</w:t>
      </w:r>
      <w:r w:rsidRPr="00E90C09">
        <w:rPr>
          <w:rFonts w:asciiTheme="minorHAnsi" w:hAnsiTheme="minorHAnsi" w:cstheme="minorHAnsi"/>
          <w:lang w:val="fr-FR"/>
        </w:rPr>
        <w:t xml:space="preserve"> la première banque de Norland</w:t>
      </w:r>
      <w:r w:rsidR="00FB4CA9" w:rsidRPr="00E90C09">
        <w:rPr>
          <w:rFonts w:asciiTheme="minorHAnsi" w:hAnsiTheme="minorHAnsi" w:cstheme="minorHAnsi"/>
          <w:lang w:val="fr-FR"/>
        </w:rPr>
        <w:t>.</w:t>
      </w:r>
      <w:r w:rsidR="00D07C01" w:rsidRPr="00E90C09">
        <w:rPr>
          <w:rFonts w:asciiTheme="minorHAnsi" w:hAnsiTheme="minorHAnsi" w:cstheme="minorHAnsi"/>
        </w:rPr>
        <w:t xml:space="preserve"> </w:t>
      </w:r>
      <w:r w:rsidRPr="00E90C09">
        <w:rPr>
          <w:rFonts w:asciiTheme="minorHAnsi" w:hAnsiTheme="minorHAnsi" w:cstheme="minorHAnsi"/>
          <w:lang w:val="fr-FR"/>
        </w:rPr>
        <w:t xml:space="preserve">Elle </w:t>
      </w:r>
      <w:r w:rsidR="00FB4CA9" w:rsidRPr="00E90C09">
        <w:rPr>
          <w:rFonts w:asciiTheme="minorHAnsi" w:hAnsiTheme="minorHAnsi" w:cstheme="minorHAnsi"/>
          <w:lang w:val="fr-FR"/>
        </w:rPr>
        <w:t>offre des services bancaires à différents types de clients : grands groupes, pouvoirs publics, investisseurs institutionnels, petites et moyennes entreprises et particuliers.</w:t>
      </w:r>
    </w:p>
    <w:p w:rsidR="008F7C13" w:rsidRPr="00E90C09" w:rsidRDefault="00FB4CA9" w:rsidP="00E90C09">
      <w:pPr>
        <w:pStyle w:val="NormalWeb"/>
        <w:jc w:val="both"/>
        <w:rPr>
          <w:rFonts w:asciiTheme="minorHAnsi" w:hAnsiTheme="minorHAnsi" w:cstheme="minorHAnsi"/>
        </w:rPr>
      </w:pPr>
      <w:r w:rsidRPr="00E90C09">
        <w:rPr>
          <w:rFonts w:asciiTheme="minorHAnsi" w:hAnsiTheme="minorHAnsi" w:cstheme="minorHAnsi"/>
          <w:lang w:val="fr-FR"/>
        </w:rPr>
        <w:t>La DSBN est structurée en fonction de son type de clientèle : particuliers, institutions et entreprises</w:t>
      </w:r>
      <w:r w:rsidR="00E90C09" w:rsidRPr="00E90C09">
        <w:rPr>
          <w:rFonts w:asciiTheme="minorHAnsi" w:hAnsiTheme="minorHAnsi" w:cstheme="minorHAnsi"/>
          <w:lang w:val="fr-FR"/>
        </w:rPr>
        <w:t xml:space="preserve">. Elle comprend les </w:t>
      </w:r>
      <w:r w:rsidRPr="00E90C09">
        <w:rPr>
          <w:rFonts w:asciiTheme="minorHAnsi" w:hAnsiTheme="minorHAnsi" w:cstheme="minorHAnsi"/>
          <w:lang w:val="fr-FR"/>
        </w:rPr>
        <w:t>secteurs suivants :</w:t>
      </w:r>
    </w:p>
    <w:p w:rsidR="00E90C09" w:rsidRDefault="00E90C09" w:rsidP="00E90C09">
      <w:pPr>
        <w:numPr>
          <w:ilvl w:val="0"/>
          <w:numId w:val="2"/>
        </w:numPr>
        <w:spacing w:before="100" w:beforeAutospacing="1" w:after="100" w:afterAutospacing="1"/>
        <w:jc w:val="both"/>
        <w:rPr>
          <w:rFonts w:asciiTheme="minorHAnsi" w:hAnsiTheme="minorHAnsi" w:cstheme="minorHAnsi"/>
        </w:rPr>
      </w:pPr>
      <w:r w:rsidRPr="00E90C09">
        <w:rPr>
          <w:rFonts w:asciiTheme="minorHAnsi" w:hAnsiTheme="minorHAnsi" w:cstheme="minorHAnsi"/>
          <w:lang w:val="fr-FR"/>
        </w:rPr>
        <w:t>Banque privée et commerciale ;</w:t>
      </w:r>
      <w:r w:rsidR="005606AA">
        <w:rPr>
          <w:rFonts w:asciiTheme="minorHAnsi" w:hAnsiTheme="minorHAnsi" w:cstheme="minorHAnsi"/>
          <w:lang w:val="fr-FR"/>
        </w:rPr>
        <w:t xml:space="preserve"> </w:t>
      </w:r>
      <w:r w:rsidRPr="00E90C09">
        <w:rPr>
          <w:rFonts w:asciiTheme="minorHAnsi" w:hAnsiTheme="minorHAnsi" w:cstheme="minorHAnsi"/>
          <w:lang w:val="fr-FR"/>
        </w:rPr>
        <w:t>la DSBN est de loin la première banque de Norland en nombre de clients.</w:t>
      </w:r>
      <w:r w:rsidRPr="00E90C09">
        <w:rPr>
          <w:rFonts w:asciiTheme="minorHAnsi" w:hAnsiTheme="minorHAnsi" w:cstheme="minorHAnsi"/>
        </w:rPr>
        <w:t xml:space="preserve"> </w:t>
      </w:r>
      <w:r w:rsidRPr="00E90C09">
        <w:rPr>
          <w:rFonts w:asciiTheme="minorHAnsi" w:hAnsiTheme="minorHAnsi" w:cstheme="minorHAnsi"/>
          <w:lang w:val="fr-FR"/>
        </w:rPr>
        <w:t>Ce secteur regroupe NorPostbank, la clientèle internationale de la banque (entreprises et particuliers) et le service de gestion du patrimoine.</w:t>
      </w:r>
    </w:p>
    <w:p w:rsidR="00E90C09" w:rsidRPr="00E90C09" w:rsidRDefault="00E90C09" w:rsidP="00E90C09">
      <w:pPr>
        <w:numPr>
          <w:ilvl w:val="0"/>
          <w:numId w:val="2"/>
        </w:numPr>
        <w:spacing w:before="100" w:beforeAutospacing="1" w:after="100" w:afterAutospacing="1"/>
        <w:jc w:val="both"/>
        <w:rPr>
          <w:rFonts w:asciiTheme="minorHAnsi" w:hAnsiTheme="minorHAnsi" w:cstheme="minorHAnsi"/>
        </w:rPr>
      </w:pPr>
      <w:r w:rsidRPr="00E90C09">
        <w:rPr>
          <w:rFonts w:asciiTheme="minorHAnsi" w:hAnsiTheme="minorHAnsi" w:cstheme="minorHAnsi"/>
          <w:lang w:val="fr-FR"/>
        </w:rPr>
        <w:t>Norland Asset Management, qui devrait faire l’objet d’un appel public à l’épargne afin de gagner en indépendance opérationnelle et d’optimiser sa croissance.</w:t>
      </w:r>
    </w:p>
    <w:p w:rsidR="00E90C09" w:rsidRPr="00E90C09" w:rsidRDefault="00E90C09" w:rsidP="00E90C09">
      <w:pPr>
        <w:numPr>
          <w:ilvl w:val="0"/>
          <w:numId w:val="2"/>
        </w:numPr>
        <w:spacing w:before="100" w:beforeAutospacing="1" w:after="100" w:afterAutospacing="1"/>
        <w:jc w:val="both"/>
        <w:rPr>
          <w:rFonts w:asciiTheme="minorHAnsi" w:hAnsiTheme="minorHAnsi" w:cstheme="minorHAnsi"/>
        </w:rPr>
      </w:pPr>
      <w:r w:rsidRPr="00E90C09">
        <w:rPr>
          <w:rFonts w:asciiTheme="minorHAnsi" w:hAnsiTheme="minorHAnsi" w:cstheme="minorHAnsi"/>
          <w:lang w:val="fr-FR"/>
        </w:rPr>
        <w:t>Banque de financement et d’investissement : ce secteur regroupe les activités de la banque en matière de financement des entreprises, d’actions et obligations, de devises et d’opérations internationales, avant tout à l’attention des entreprises.</w:t>
      </w:r>
      <w:bookmarkStart w:id="0" w:name="_GoBack"/>
      <w:bookmarkEnd w:id="0"/>
    </w:p>
    <w:p w:rsidR="00D07C01" w:rsidRPr="00E90C09" w:rsidRDefault="00FB4CA9" w:rsidP="00E90C09">
      <w:pPr>
        <w:jc w:val="both"/>
        <w:rPr>
          <w:rFonts w:asciiTheme="minorHAnsi" w:hAnsiTheme="minorHAnsi" w:cstheme="minorHAnsi"/>
        </w:rPr>
      </w:pPr>
      <w:r w:rsidRPr="00E90C09">
        <w:rPr>
          <w:rFonts w:asciiTheme="minorHAnsi" w:hAnsiTheme="minorHAnsi" w:cstheme="minorHAnsi"/>
          <w:lang w:val="fr-FR"/>
        </w:rPr>
        <w:t xml:space="preserve">La Docklands Security Bank of Norland englobe un </w:t>
      </w:r>
      <w:r w:rsidR="00E90C09" w:rsidRPr="00E90C09">
        <w:rPr>
          <w:rFonts w:asciiTheme="minorHAnsi" w:hAnsiTheme="minorHAnsi" w:cstheme="minorHAnsi"/>
          <w:lang w:val="fr-FR"/>
        </w:rPr>
        <w:t xml:space="preserve">grand </w:t>
      </w:r>
      <w:r w:rsidRPr="00E90C09">
        <w:rPr>
          <w:rFonts w:asciiTheme="minorHAnsi" w:hAnsiTheme="minorHAnsi" w:cstheme="minorHAnsi"/>
          <w:lang w:val="fr-FR"/>
        </w:rPr>
        <w:t>nombre de sociétés nationales et étrangères, dont des banques, des administrateurs de valeurs mobilières et des prestataires de services financiers agréés par l’autorité compétente du pays dans lequel ils sont enregistrés.</w:t>
      </w:r>
    </w:p>
    <w:p w:rsidR="00FE2A9E" w:rsidRPr="003F79EC" w:rsidRDefault="00FE2A9E" w:rsidP="008F7C13">
      <w:pPr>
        <w:jc w:val="both"/>
        <w:rPr>
          <w:rFonts w:asciiTheme="minorHAnsi" w:hAnsiTheme="minorHAnsi" w:cstheme="minorHAnsi"/>
        </w:rPr>
      </w:pPr>
    </w:p>
    <w:p w:rsidR="00D07C01" w:rsidRPr="00E90C09" w:rsidRDefault="00E90C09" w:rsidP="00E90C09">
      <w:pPr>
        <w:outlineLvl w:val="2"/>
        <w:rPr>
          <w:rFonts w:asciiTheme="minorHAnsi" w:hAnsiTheme="minorHAnsi" w:cstheme="minorHAnsi"/>
          <w:b/>
          <w:bCs/>
        </w:rPr>
      </w:pPr>
      <w:r w:rsidRPr="00E90C09">
        <w:rPr>
          <w:rFonts w:asciiTheme="minorHAnsi" w:hAnsiTheme="minorHAnsi" w:cstheme="minorHAnsi"/>
          <w:b/>
          <w:bCs/>
          <w:lang w:val="fr-FR"/>
        </w:rPr>
        <w:t>Siège social</w:t>
      </w:r>
    </w:p>
    <w:p w:rsidR="00D07C01" w:rsidRPr="00E90C09" w:rsidRDefault="00FB4CA9" w:rsidP="00E90C09">
      <w:pPr>
        <w:outlineLvl w:val="1"/>
        <w:rPr>
          <w:rFonts w:asciiTheme="minorHAnsi" w:hAnsiTheme="minorHAnsi" w:cstheme="minorHAnsi"/>
          <w:b/>
          <w:bCs/>
        </w:rPr>
      </w:pPr>
      <w:r w:rsidRPr="00E90C09">
        <w:rPr>
          <w:rFonts w:asciiTheme="minorHAnsi" w:hAnsiTheme="minorHAnsi" w:cstheme="minorHAnsi"/>
          <w:lang w:val="fr-FR"/>
        </w:rPr>
        <w:t>Docklands Security Bank of Norland</w:t>
      </w:r>
    </w:p>
    <w:p w:rsidR="008F7C13" w:rsidRPr="00E90C09" w:rsidRDefault="00FB4CA9" w:rsidP="00E90C09">
      <w:pPr>
        <w:rPr>
          <w:rFonts w:asciiTheme="minorHAnsi" w:hAnsiTheme="minorHAnsi" w:cstheme="minorHAnsi"/>
        </w:rPr>
      </w:pPr>
      <w:r w:rsidRPr="00E90C09">
        <w:rPr>
          <w:rFonts w:asciiTheme="minorHAnsi" w:hAnsiTheme="minorHAnsi" w:cstheme="minorHAnsi"/>
          <w:lang w:val="fr-FR"/>
        </w:rPr>
        <w:t>DSBN Homestead Building</w:t>
      </w:r>
    </w:p>
    <w:p w:rsidR="008F7C13" w:rsidRPr="00E90C09" w:rsidRDefault="00D07C01" w:rsidP="00E90C09">
      <w:pPr>
        <w:rPr>
          <w:rFonts w:asciiTheme="minorHAnsi" w:hAnsiTheme="minorHAnsi" w:cstheme="minorHAnsi"/>
        </w:rPr>
      </w:pPr>
      <w:r w:rsidRPr="003F79EC">
        <w:rPr>
          <w:rFonts w:asciiTheme="minorHAnsi" w:hAnsiTheme="minorHAnsi" w:cstheme="minorHAnsi"/>
        </w:rPr>
        <w:br/>
      </w:r>
      <w:r w:rsidR="00FB4CA9" w:rsidRPr="00E90C09">
        <w:rPr>
          <w:rFonts w:asciiTheme="minorHAnsi" w:hAnsiTheme="minorHAnsi" w:cstheme="minorHAnsi"/>
          <w:lang w:val="fr-FR"/>
        </w:rPr>
        <w:t>Blankenberg 654321</w:t>
      </w:r>
    </w:p>
    <w:p w:rsidR="00D07C01" w:rsidRPr="003F79EC" w:rsidRDefault="00FB4CA9" w:rsidP="00E90C09">
      <w:pPr>
        <w:rPr>
          <w:rFonts w:asciiTheme="minorHAnsi" w:hAnsiTheme="minorHAnsi" w:cstheme="minorHAnsi"/>
        </w:rPr>
      </w:pPr>
      <w:r w:rsidRPr="00E90C09">
        <w:rPr>
          <w:rFonts w:asciiTheme="minorHAnsi" w:hAnsiTheme="minorHAnsi" w:cstheme="minorHAnsi"/>
          <w:lang w:val="fr-FR"/>
        </w:rPr>
        <w:t>Tél. :</w:t>
      </w:r>
      <w:r w:rsidR="00D07C01" w:rsidRPr="00E90C09">
        <w:rPr>
          <w:rFonts w:asciiTheme="minorHAnsi" w:hAnsiTheme="minorHAnsi" w:cstheme="minorHAnsi"/>
        </w:rPr>
        <w:t xml:space="preserve"> </w:t>
      </w:r>
      <w:r w:rsidRPr="00E90C09">
        <w:rPr>
          <w:rFonts w:asciiTheme="minorHAnsi" w:hAnsiTheme="minorHAnsi" w:cstheme="minorHAnsi"/>
          <w:lang w:val="fr-FR"/>
        </w:rPr>
        <w:t>+3211.456.789</w:t>
      </w:r>
      <w:r w:rsidRPr="00E90C09">
        <w:rPr>
          <w:rFonts w:asciiTheme="minorHAnsi" w:hAnsiTheme="minorHAnsi" w:cstheme="minorHAnsi"/>
          <w:lang w:val="fr-FR"/>
        </w:rPr>
        <w:br/>
        <w:t>Fax :</w:t>
      </w:r>
      <w:r w:rsidR="00D07C01" w:rsidRPr="00E90C09">
        <w:rPr>
          <w:rFonts w:asciiTheme="minorHAnsi" w:hAnsiTheme="minorHAnsi" w:cstheme="minorHAnsi"/>
        </w:rPr>
        <w:t xml:space="preserve"> </w:t>
      </w:r>
      <w:r w:rsidR="00D07C01" w:rsidRPr="003F79EC">
        <w:rPr>
          <w:rFonts w:asciiTheme="minorHAnsi" w:hAnsiTheme="minorHAnsi" w:cstheme="minorHAnsi"/>
        </w:rPr>
        <w:t>+</w:t>
      </w:r>
      <w:r w:rsidR="008F7C13" w:rsidRPr="003F79EC">
        <w:rPr>
          <w:rFonts w:asciiTheme="minorHAnsi" w:hAnsiTheme="minorHAnsi" w:cstheme="minorHAnsi"/>
        </w:rPr>
        <w:t>3211</w:t>
      </w:r>
      <w:r w:rsidR="00D07C01" w:rsidRPr="003F79EC">
        <w:rPr>
          <w:rFonts w:asciiTheme="minorHAnsi" w:hAnsiTheme="minorHAnsi" w:cstheme="minorHAnsi"/>
        </w:rPr>
        <w:t>.456.987</w:t>
      </w:r>
    </w:p>
    <w:p w:rsidR="00AE06DF" w:rsidRPr="003F79EC" w:rsidRDefault="00AE06DF" w:rsidP="008F7C13">
      <w:pPr>
        <w:rPr>
          <w:rFonts w:asciiTheme="minorHAnsi" w:hAnsiTheme="minorHAnsi" w:cstheme="minorHAnsi"/>
        </w:rPr>
      </w:pPr>
    </w:p>
    <w:p w:rsidR="00AE06DF" w:rsidRPr="00E90C09" w:rsidRDefault="00FB4CA9" w:rsidP="00E90C09">
      <w:pPr>
        <w:rPr>
          <w:rFonts w:asciiTheme="minorHAnsi" w:hAnsiTheme="minorHAnsi" w:cstheme="minorHAnsi"/>
          <w:b/>
        </w:rPr>
      </w:pPr>
      <w:r w:rsidRPr="00E90C09">
        <w:rPr>
          <w:rFonts w:asciiTheme="minorHAnsi" w:hAnsiTheme="minorHAnsi" w:cstheme="minorHAnsi"/>
          <w:b/>
          <w:lang w:val="fr-FR"/>
        </w:rPr>
        <w:t>Cadres supérieurs et dirigeants :</w:t>
      </w:r>
    </w:p>
    <w:p w:rsidR="00AE06DF" w:rsidRPr="00E90C09" w:rsidRDefault="00AE06DF" w:rsidP="00E90C09">
      <w:pPr>
        <w:rPr>
          <w:rFonts w:asciiTheme="minorHAnsi" w:hAnsiTheme="minorHAnsi" w:cstheme="minorHAnsi"/>
        </w:rPr>
      </w:pPr>
      <w:r w:rsidRPr="003F79EC">
        <w:rPr>
          <w:rFonts w:asciiTheme="minorHAnsi" w:hAnsiTheme="minorHAnsi" w:cstheme="minorHAnsi"/>
        </w:rPr>
        <w:t xml:space="preserve">1. </w:t>
      </w:r>
      <w:r w:rsidR="00FB4CA9" w:rsidRPr="00E90C09">
        <w:rPr>
          <w:rFonts w:asciiTheme="minorHAnsi" w:hAnsiTheme="minorHAnsi" w:cstheme="minorHAnsi"/>
          <w:lang w:val="fr-FR"/>
        </w:rPr>
        <w:t>Lars Larson – Président du Conseil d’administration, hors équipe de direction</w:t>
      </w:r>
    </w:p>
    <w:p w:rsidR="00AE06DF" w:rsidRPr="003F79EC" w:rsidRDefault="00AE06DF" w:rsidP="008F7C13">
      <w:pPr>
        <w:rPr>
          <w:rFonts w:asciiTheme="minorHAnsi" w:hAnsiTheme="minorHAnsi" w:cstheme="minorHAnsi"/>
        </w:rPr>
      </w:pPr>
    </w:p>
    <w:p w:rsidR="00AE06DF" w:rsidRPr="00E90C09" w:rsidRDefault="00AE06DF" w:rsidP="00E90C09">
      <w:pPr>
        <w:rPr>
          <w:rFonts w:asciiTheme="minorHAnsi" w:hAnsiTheme="minorHAnsi" w:cstheme="minorHAnsi"/>
        </w:rPr>
      </w:pPr>
      <w:r w:rsidRPr="003F79EC">
        <w:rPr>
          <w:rFonts w:asciiTheme="minorHAnsi" w:hAnsiTheme="minorHAnsi" w:cstheme="minorHAnsi"/>
        </w:rPr>
        <w:t xml:space="preserve">2. </w:t>
      </w:r>
      <w:r w:rsidR="00FB4CA9" w:rsidRPr="00E90C09">
        <w:rPr>
          <w:rFonts w:asciiTheme="minorHAnsi" w:hAnsiTheme="minorHAnsi" w:cstheme="minorHAnsi"/>
          <w:lang w:val="fr-FR"/>
        </w:rPr>
        <w:t>Nors Norson – Directeur général</w:t>
      </w:r>
    </w:p>
    <w:p w:rsidR="00AE06DF" w:rsidRPr="003F79EC" w:rsidRDefault="00AE06DF" w:rsidP="008F7C13">
      <w:pPr>
        <w:rPr>
          <w:rFonts w:asciiTheme="minorHAnsi" w:hAnsiTheme="minorHAnsi" w:cstheme="minorHAnsi"/>
        </w:rPr>
      </w:pPr>
    </w:p>
    <w:p w:rsidR="00AE06DF" w:rsidRPr="00E90C09" w:rsidRDefault="00AE06DF" w:rsidP="00E90C09">
      <w:pPr>
        <w:rPr>
          <w:rFonts w:asciiTheme="minorHAnsi" w:hAnsiTheme="minorHAnsi" w:cstheme="minorHAnsi"/>
          <w:lang w:val="fr-FR"/>
        </w:rPr>
      </w:pPr>
      <w:r w:rsidRPr="003F79EC">
        <w:rPr>
          <w:rFonts w:asciiTheme="minorHAnsi" w:hAnsiTheme="minorHAnsi" w:cstheme="minorHAnsi"/>
        </w:rPr>
        <w:t xml:space="preserve">3. </w:t>
      </w:r>
      <w:r w:rsidR="00FB4CA9" w:rsidRPr="00E90C09">
        <w:rPr>
          <w:rFonts w:asciiTheme="minorHAnsi" w:hAnsiTheme="minorHAnsi" w:cstheme="minorHAnsi"/>
          <w:lang w:val="fr-FR"/>
        </w:rPr>
        <w:t>Thor Thorson – Coordinateur en chef et directeur financier</w:t>
      </w:r>
    </w:p>
    <w:p w:rsidR="00AE06DF" w:rsidRPr="00FB4CA9" w:rsidRDefault="00AE06DF" w:rsidP="008F7C13">
      <w:pPr>
        <w:rPr>
          <w:rFonts w:asciiTheme="minorHAnsi" w:hAnsiTheme="minorHAnsi" w:cstheme="minorHAnsi"/>
          <w:lang w:val="fr-FR"/>
        </w:rPr>
      </w:pPr>
    </w:p>
    <w:p w:rsidR="00AE06DF" w:rsidRPr="00E90C09" w:rsidRDefault="00AE06DF" w:rsidP="00E90C09">
      <w:pPr>
        <w:rPr>
          <w:rFonts w:asciiTheme="minorHAnsi" w:hAnsiTheme="minorHAnsi" w:cstheme="minorHAnsi"/>
        </w:rPr>
      </w:pPr>
      <w:r w:rsidRPr="00FB4CA9">
        <w:rPr>
          <w:rFonts w:asciiTheme="minorHAnsi" w:hAnsiTheme="minorHAnsi" w:cstheme="minorHAnsi"/>
          <w:lang w:val="fr-FR"/>
        </w:rPr>
        <w:t xml:space="preserve">4. </w:t>
      </w:r>
      <w:r w:rsidR="00FB4CA9" w:rsidRPr="00E90C09">
        <w:rPr>
          <w:rFonts w:asciiTheme="minorHAnsi" w:hAnsiTheme="minorHAnsi" w:cstheme="minorHAnsi"/>
          <w:lang w:val="fr-FR"/>
        </w:rPr>
        <w:t>Valkyra Valkyrson – Secrétaire générale et cadre dirigeante (juridique)</w:t>
      </w:r>
    </w:p>
    <w:p w:rsidR="00AE06DF" w:rsidRPr="003F79EC" w:rsidRDefault="00AE06DF" w:rsidP="008F7C13">
      <w:pPr>
        <w:rPr>
          <w:rFonts w:asciiTheme="minorHAnsi" w:hAnsiTheme="minorHAnsi" w:cstheme="minorHAnsi"/>
        </w:rPr>
      </w:pPr>
    </w:p>
    <w:p w:rsidR="00AE06DF" w:rsidRPr="00E90C09" w:rsidRDefault="00AE06DF" w:rsidP="00E90C09">
      <w:pPr>
        <w:rPr>
          <w:rFonts w:asciiTheme="minorHAnsi" w:hAnsiTheme="minorHAnsi" w:cstheme="minorHAnsi"/>
        </w:rPr>
      </w:pPr>
      <w:r w:rsidRPr="003F79EC">
        <w:rPr>
          <w:rFonts w:asciiTheme="minorHAnsi" w:hAnsiTheme="minorHAnsi" w:cstheme="minorHAnsi"/>
        </w:rPr>
        <w:t xml:space="preserve">5. </w:t>
      </w:r>
      <w:r w:rsidR="00FB4CA9" w:rsidRPr="00E90C09">
        <w:rPr>
          <w:rFonts w:asciiTheme="minorHAnsi" w:hAnsiTheme="minorHAnsi" w:cstheme="minorHAnsi"/>
          <w:lang w:val="fr-FR"/>
        </w:rPr>
        <w:t>Swen Swenson – Cadre dirigeant et chef des relations investisseurs</w:t>
      </w:r>
    </w:p>
    <w:p w:rsidR="00AE06DF" w:rsidRPr="003F79EC" w:rsidRDefault="00AE06DF" w:rsidP="008F7C13">
      <w:pPr>
        <w:rPr>
          <w:rFonts w:asciiTheme="minorHAnsi" w:hAnsiTheme="minorHAnsi" w:cstheme="minorHAnsi"/>
        </w:rPr>
      </w:pPr>
    </w:p>
    <w:p w:rsidR="00AE06DF" w:rsidRPr="00E90C09" w:rsidRDefault="00AE06DF" w:rsidP="00E90C09">
      <w:pPr>
        <w:rPr>
          <w:rFonts w:asciiTheme="minorHAnsi" w:hAnsiTheme="minorHAnsi" w:cstheme="minorHAnsi"/>
        </w:rPr>
      </w:pPr>
      <w:r w:rsidRPr="003F79EC">
        <w:rPr>
          <w:rFonts w:asciiTheme="minorHAnsi" w:hAnsiTheme="minorHAnsi" w:cstheme="minorHAnsi"/>
        </w:rPr>
        <w:t xml:space="preserve">6. </w:t>
      </w:r>
      <w:r w:rsidR="00FB4CA9" w:rsidRPr="00E90C09">
        <w:rPr>
          <w:rFonts w:asciiTheme="minorHAnsi" w:hAnsiTheme="minorHAnsi" w:cstheme="minorHAnsi"/>
          <w:lang w:val="fr-FR"/>
        </w:rPr>
        <w:t>Olaf Olafson – Cadre dirigeant et chef de l’audit interne</w:t>
      </w:r>
    </w:p>
    <w:p w:rsidR="00197C0D" w:rsidRPr="003F79EC" w:rsidRDefault="00197C0D" w:rsidP="008F7C13">
      <w:pPr>
        <w:rPr>
          <w:rFonts w:asciiTheme="minorHAnsi" w:hAnsiTheme="minorHAnsi" w:cstheme="minorHAnsi"/>
        </w:rPr>
      </w:pPr>
    </w:p>
    <w:p w:rsidR="00AE06DF" w:rsidRPr="003F79EC" w:rsidRDefault="00AE06DF" w:rsidP="00E90C09">
      <w:pPr>
        <w:rPr>
          <w:rFonts w:asciiTheme="minorHAnsi" w:hAnsiTheme="minorHAnsi" w:cstheme="minorHAnsi"/>
        </w:rPr>
      </w:pPr>
      <w:r w:rsidRPr="003F79EC">
        <w:rPr>
          <w:rFonts w:asciiTheme="minorHAnsi" w:hAnsiTheme="minorHAnsi" w:cstheme="minorHAnsi"/>
        </w:rPr>
        <w:t xml:space="preserve">7. </w:t>
      </w:r>
      <w:r w:rsidR="00FB4CA9" w:rsidRPr="00E90C09">
        <w:rPr>
          <w:rFonts w:asciiTheme="minorHAnsi" w:hAnsiTheme="minorHAnsi" w:cstheme="minorHAnsi"/>
          <w:lang w:val="fr-FR"/>
        </w:rPr>
        <w:t>Loki Lokanson – Directeur administratif</w:t>
      </w:r>
    </w:p>
    <w:sectPr w:rsidR="00AE06DF" w:rsidRPr="003F79EC">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70E" w:rsidRDefault="00E0470E" w:rsidP="00E0470E">
      <w:r>
        <w:separator/>
      </w:r>
    </w:p>
  </w:endnote>
  <w:endnote w:type="continuationSeparator" w:id="0">
    <w:p w:rsidR="00E0470E" w:rsidRDefault="00E0470E" w:rsidP="00E04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70E" w:rsidRDefault="00E0470E" w:rsidP="00E0470E">
      <w:r>
        <w:separator/>
      </w:r>
    </w:p>
  </w:footnote>
  <w:footnote w:type="continuationSeparator" w:id="0">
    <w:p w:rsidR="00E0470E" w:rsidRDefault="00E0470E" w:rsidP="00E04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A7C"/>
    <w:multiLevelType w:val="multilevel"/>
    <w:tmpl w:val="86FAB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070FF8"/>
    <w:multiLevelType w:val="multilevel"/>
    <w:tmpl w:val="9F9C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B6F"/>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97C0D"/>
    <w:rsid w:val="001A1AAC"/>
    <w:rsid w:val="001A60F4"/>
    <w:rsid w:val="001A797E"/>
    <w:rsid w:val="001B0D97"/>
    <w:rsid w:val="001B0F5A"/>
    <w:rsid w:val="001C3E23"/>
    <w:rsid w:val="001D19E6"/>
    <w:rsid w:val="001D4C89"/>
    <w:rsid w:val="002005F6"/>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B61"/>
    <w:rsid w:val="003A1EA9"/>
    <w:rsid w:val="003A6AE4"/>
    <w:rsid w:val="003C63A3"/>
    <w:rsid w:val="003E01FD"/>
    <w:rsid w:val="003E1046"/>
    <w:rsid w:val="003F09DA"/>
    <w:rsid w:val="003F0A8D"/>
    <w:rsid w:val="003F1311"/>
    <w:rsid w:val="003F79EC"/>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5A65"/>
    <w:rsid w:val="004A66D8"/>
    <w:rsid w:val="004B2513"/>
    <w:rsid w:val="004B2C50"/>
    <w:rsid w:val="004B42FE"/>
    <w:rsid w:val="004C344E"/>
    <w:rsid w:val="004C733B"/>
    <w:rsid w:val="004D1EA7"/>
    <w:rsid w:val="004E4B82"/>
    <w:rsid w:val="005040CE"/>
    <w:rsid w:val="0050455D"/>
    <w:rsid w:val="005048F5"/>
    <w:rsid w:val="00516211"/>
    <w:rsid w:val="00533C9E"/>
    <w:rsid w:val="00554B21"/>
    <w:rsid w:val="0055562D"/>
    <w:rsid w:val="005606AA"/>
    <w:rsid w:val="00572FF9"/>
    <w:rsid w:val="00576682"/>
    <w:rsid w:val="005A2BBC"/>
    <w:rsid w:val="005C5791"/>
    <w:rsid w:val="005E35F6"/>
    <w:rsid w:val="005F30A9"/>
    <w:rsid w:val="00612001"/>
    <w:rsid w:val="00637759"/>
    <w:rsid w:val="006422F1"/>
    <w:rsid w:val="00643005"/>
    <w:rsid w:val="00645358"/>
    <w:rsid w:val="0064638C"/>
    <w:rsid w:val="00646F59"/>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C13E0"/>
    <w:rsid w:val="007C2EB2"/>
    <w:rsid w:val="007C64C6"/>
    <w:rsid w:val="007C6ECE"/>
    <w:rsid w:val="007E4A6D"/>
    <w:rsid w:val="00804AA7"/>
    <w:rsid w:val="00811930"/>
    <w:rsid w:val="00821F6D"/>
    <w:rsid w:val="00843E50"/>
    <w:rsid w:val="00850964"/>
    <w:rsid w:val="0085252D"/>
    <w:rsid w:val="00886505"/>
    <w:rsid w:val="008919D1"/>
    <w:rsid w:val="0089687E"/>
    <w:rsid w:val="008A11F5"/>
    <w:rsid w:val="008B2AB3"/>
    <w:rsid w:val="008B36D7"/>
    <w:rsid w:val="008B4E94"/>
    <w:rsid w:val="008C331E"/>
    <w:rsid w:val="008C44CF"/>
    <w:rsid w:val="008C5667"/>
    <w:rsid w:val="008E04F7"/>
    <w:rsid w:val="008E1F20"/>
    <w:rsid w:val="008F4729"/>
    <w:rsid w:val="008F7BA4"/>
    <w:rsid w:val="008F7C13"/>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C6814"/>
    <w:rsid w:val="009C750D"/>
    <w:rsid w:val="009D2C7A"/>
    <w:rsid w:val="009D2CD3"/>
    <w:rsid w:val="009E3D08"/>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06DF"/>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20BB"/>
    <w:rsid w:val="00C064D1"/>
    <w:rsid w:val="00C13F72"/>
    <w:rsid w:val="00C47D45"/>
    <w:rsid w:val="00C51F7C"/>
    <w:rsid w:val="00C670A6"/>
    <w:rsid w:val="00C70615"/>
    <w:rsid w:val="00C77251"/>
    <w:rsid w:val="00CA2C3F"/>
    <w:rsid w:val="00CA3B55"/>
    <w:rsid w:val="00CB3F0F"/>
    <w:rsid w:val="00CB5B0B"/>
    <w:rsid w:val="00CB6197"/>
    <w:rsid w:val="00CB7989"/>
    <w:rsid w:val="00CC1FE9"/>
    <w:rsid w:val="00CC7DCB"/>
    <w:rsid w:val="00CD413A"/>
    <w:rsid w:val="00CD7F40"/>
    <w:rsid w:val="00CE0995"/>
    <w:rsid w:val="00CE18A7"/>
    <w:rsid w:val="00CF2EE2"/>
    <w:rsid w:val="00CF6F15"/>
    <w:rsid w:val="00CF7B54"/>
    <w:rsid w:val="00D020B7"/>
    <w:rsid w:val="00D07C01"/>
    <w:rsid w:val="00D132F8"/>
    <w:rsid w:val="00D26C19"/>
    <w:rsid w:val="00D3575A"/>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FF7"/>
    <w:rsid w:val="00E028C0"/>
    <w:rsid w:val="00E02AF6"/>
    <w:rsid w:val="00E0470E"/>
    <w:rsid w:val="00E121FC"/>
    <w:rsid w:val="00E151D3"/>
    <w:rsid w:val="00E15B59"/>
    <w:rsid w:val="00E16198"/>
    <w:rsid w:val="00E31F54"/>
    <w:rsid w:val="00E32FF0"/>
    <w:rsid w:val="00E352BA"/>
    <w:rsid w:val="00E454EC"/>
    <w:rsid w:val="00E52627"/>
    <w:rsid w:val="00E72E6F"/>
    <w:rsid w:val="00E72EC2"/>
    <w:rsid w:val="00E83E4F"/>
    <w:rsid w:val="00E8658D"/>
    <w:rsid w:val="00E90C09"/>
    <w:rsid w:val="00E92A10"/>
    <w:rsid w:val="00EA2F17"/>
    <w:rsid w:val="00EA3B6F"/>
    <w:rsid w:val="00EA43BD"/>
    <w:rsid w:val="00EA55CC"/>
    <w:rsid w:val="00EA5F53"/>
    <w:rsid w:val="00EB234E"/>
    <w:rsid w:val="00EB56C8"/>
    <w:rsid w:val="00EC7FD4"/>
    <w:rsid w:val="00ED08A1"/>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B4CA9"/>
    <w:rsid w:val="00FD5A39"/>
    <w:rsid w:val="00FE2A9E"/>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2">
    <w:name w:val="heading 2"/>
    <w:basedOn w:val="Normal"/>
    <w:link w:val="Titre2Car"/>
    <w:uiPriority w:val="9"/>
    <w:qFormat/>
    <w:rsid w:val="00D07C01"/>
    <w:pPr>
      <w:spacing w:before="100" w:beforeAutospacing="1" w:after="100" w:afterAutospacing="1"/>
      <w:outlineLvl w:val="1"/>
    </w:pPr>
    <w:rPr>
      <w:b/>
      <w:bCs/>
      <w:sz w:val="36"/>
      <w:szCs w:val="36"/>
    </w:rPr>
  </w:style>
  <w:style w:type="paragraph" w:styleId="Titre3">
    <w:name w:val="heading 3"/>
    <w:basedOn w:val="Normal"/>
    <w:link w:val="Titre3Car"/>
    <w:uiPriority w:val="9"/>
    <w:qFormat/>
    <w:rsid w:val="00D07C01"/>
    <w:pPr>
      <w:spacing w:before="100" w:beforeAutospacing="1" w:after="100" w:afterAutospacing="1"/>
      <w:outlineLvl w:val="2"/>
    </w:pPr>
    <w:rPr>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asdaqchangeheader">
    <w:name w:val="nasdaqchangeheader"/>
    <w:basedOn w:val="Policepardfaut"/>
    <w:rsid w:val="00D07C01"/>
  </w:style>
  <w:style w:type="character" w:customStyle="1" w:styleId="nasdaqchangetime">
    <w:name w:val="nasdaqchangetime"/>
    <w:basedOn w:val="Policepardfaut"/>
    <w:rsid w:val="00D07C01"/>
  </w:style>
  <w:style w:type="character" w:customStyle="1" w:styleId="pricedetail">
    <w:name w:val="pricedetail"/>
    <w:basedOn w:val="Policepardfaut"/>
    <w:rsid w:val="00D07C01"/>
  </w:style>
  <w:style w:type="character" w:customStyle="1" w:styleId="valuecontent">
    <w:name w:val="valuecontent"/>
    <w:basedOn w:val="Policepardfaut"/>
    <w:rsid w:val="00D07C01"/>
  </w:style>
  <w:style w:type="character" w:customStyle="1" w:styleId="pos">
    <w:name w:val="pos"/>
    <w:basedOn w:val="Policepardfaut"/>
    <w:rsid w:val="00D07C01"/>
  </w:style>
  <w:style w:type="character" w:customStyle="1" w:styleId="sectionquotedetailhigh">
    <w:name w:val="sectionquotedetailhigh"/>
    <w:basedOn w:val="Policepardfaut"/>
    <w:rsid w:val="00D07C01"/>
  </w:style>
  <w:style w:type="character" w:customStyle="1" w:styleId="sectionquotedetaillow">
    <w:name w:val="sectionquotedetaillow"/>
    <w:basedOn w:val="Policepardfaut"/>
    <w:rsid w:val="00D07C01"/>
  </w:style>
  <w:style w:type="character" w:customStyle="1" w:styleId="Titre2Car">
    <w:name w:val="Titre 2 Car"/>
    <w:basedOn w:val="Policepardfaut"/>
    <w:link w:val="Titre2"/>
    <w:uiPriority w:val="9"/>
    <w:rsid w:val="00D07C01"/>
    <w:rPr>
      <w:b/>
      <w:bCs/>
      <w:sz w:val="36"/>
      <w:szCs w:val="36"/>
    </w:rPr>
  </w:style>
  <w:style w:type="character" w:customStyle="1" w:styleId="Titre3Car">
    <w:name w:val="Titre 3 Car"/>
    <w:basedOn w:val="Policepardfaut"/>
    <w:link w:val="Titre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Lienhypertexte">
    <w:name w:val="Hyperlink"/>
    <w:basedOn w:val="Policepardfaut"/>
    <w:uiPriority w:val="99"/>
    <w:unhideWhenUsed/>
    <w:rsid w:val="00D07C01"/>
    <w:rPr>
      <w:color w:val="0000FF"/>
      <w:u w:val="single"/>
    </w:rPr>
  </w:style>
  <w:style w:type="paragraph" w:styleId="Textedebulles">
    <w:name w:val="Balloon Text"/>
    <w:basedOn w:val="Normal"/>
    <w:link w:val="TextedebullesCar"/>
    <w:rsid w:val="00EA55CC"/>
    <w:rPr>
      <w:rFonts w:ascii="Tahoma" w:hAnsi="Tahoma" w:cs="Tahoma"/>
      <w:sz w:val="16"/>
      <w:szCs w:val="16"/>
    </w:rPr>
  </w:style>
  <w:style w:type="character" w:customStyle="1" w:styleId="TextedebullesCar">
    <w:name w:val="Texte de bulles Car"/>
    <w:basedOn w:val="Policepardfaut"/>
    <w:link w:val="Textedebulles"/>
    <w:rsid w:val="00EA55CC"/>
    <w:rPr>
      <w:rFonts w:ascii="Tahoma" w:hAnsi="Tahoma" w:cs="Tahoma"/>
      <w:sz w:val="16"/>
      <w:szCs w:val="16"/>
    </w:rPr>
  </w:style>
  <w:style w:type="paragraph" w:styleId="En-tte">
    <w:name w:val="header"/>
    <w:basedOn w:val="Normal"/>
    <w:link w:val="En-tteCar"/>
    <w:rsid w:val="00E0470E"/>
    <w:pPr>
      <w:tabs>
        <w:tab w:val="center" w:pos="4536"/>
        <w:tab w:val="right" w:pos="9072"/>
      </w:tabs>
    </w:pPr>
  </w:style>
  <w:style w:type="character" w:customStyle="1" w:styleId="En-tteCar">
    <w:name w:val="En-tête Car"/>
    <w:basedOn w:val="Policepardfaut"/>
    <w:link w:val="En-tte"/>
    <w:rsid w:val="00E0470E"/>
    <w:rPr>
      <w:sz w:val="24"/>
      <w:szCs w:val="24"/>
    </w:rPr>
  </w:style>
  <w:style w:type="paragraph" w:styleId="Pieddepage">
    <w:name w:val="footer"/>
    <w:basedOn w:val="Normal"/>
    <w:link w:val="PieddepageCar"/>
    <w:rsid w:val="00E0470E"/>
    <w:pPr>
      <w:tabs>
        <w:tab w:val="center" w:pos="4536"/>
        <w:tab w:val="right" w:pos="9072"/>
      </w:tabs>
    </w:pPr>
  </w:style>
  <w:style w:type="character" w:customStyle="1" w:styleId="PieddepageCar">
    <w:name w:val="Pied de page Car"/>
    <w:basedOn w:val="Policepardfaut"/>
    <w:link w:val="Pieddepage"/>
    <w:rsid w:val="00E0470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2">
    <w:name w:val="heading 2"/>
    <w:basedOn w:val="Normal"/>
    <w:link w:val="Titre2Car"/>
    <w:uiPriority w:val="9"/>
    <w:qFormat/>
    <w:rsid w:val="00D07C01"/>
    <w:pPr>
      <w:spacing w:before="100" w:beforeAutospacing="1" w:after="100" w:afterAutospacing="1"/>
      <w:outlineLvl w:val="1"/>
    </w:pPr>
    <w:rPr>
      <w:b/>
      <w:bCs/>
      <w:sz w:val="36"/>
      <w:szCs w:val="36"/>
    </w:rPr>
  </w:style>
  <w:style w:type="paragraph" w:styleId="Titre3">
    <w:name w:val="heading 3"/>
    <w:basedOn w:val="Normal"/>
    <w:link w:val="Titre3Car"/>
    <w:uiPriority w:val="9"/>
    <w:qFormat/>
    <w:rsid w:val="00D07C01"/>
    <w:pPr>
      <w:spacing w:before="100" w:beforeAutospacing="1" w:after="100" w:afterAutospacing="1"/>
      <w:outlineLvl w:val="2"/>
    </w:pPr>
    <w:rPr>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asdaqchangeheader">
    <w:name w:val="nasdaqchangeheader"/>
    <w:basedOn w:val="Policepardfaut"/>
    <w:rsid w:val="00D07C01"/>
  </w:style>
  <w:style w:type="character" w:customStyle="1" w:styleId="nasdaqchangetime">
    <w:name w:val="nasdaqchangetime"/>
    <w:basedOn w:val="Policepardfaut"/>
    <w:rsid w:val="00D07C01"/>
  </w:style>
  <w:style w:type="character" w:customStyle="1" w:styleId="pricedetail">
    <w:name w:val="pricedetail"/>
    <w:basedOn w:val="Policepardfaut"/>
    <w:rsid w:val="00D07C01"/>
  </w:style>
  <w:style w:type="character" w:customStyle="1" w:styleId="valuecontent">
    <w:name w:val="valuecontent"/>
    <w:basedOn w:val="Policepardfaut"/>
    <w:rsid w:val="00D07C01"/>
  </w:style>
  <w:style w:type="character" w:customStyle="1" w:styleId="pos">
    <w:name w:val="pos"/>
    <w:basedOn w:val="Policepardfaut"/>
    <w:rsid w:val="00D07C01"/>
  </w:style>
  <w:style w:type="character" w:customStyle="1" w:styleId="sectionquotedetailhigh">
    <w:name w:val="sectionquotedetailhigh"/>
    <w:basedOn w:val="Policepardfaut"/>
    <w:rsid w:val="00D07C01"/>
  </w:style>
  <w:style w:type="character" w:customStyle="1" w:styleId="sectionquotedetaillow">
    <w:name w:val="sectionquotedetaillow"/>
    <w:basedOn w:val="Policepardfaut"/>
    <w:rsid w:val="00D07C01"/>
  </w:style>
  <w:style w:type="character" w:customStyle="1" w:styleId="Titre2Car">
    <w:name w:val="Titre 2 Car"/>
    <w:basedOn w:val="Policepardfaut"/>
    <w:link w:val="Titre2"/>
    <w:uiPriority w:val="9"/>
    <w:rsid w:val="00D07C01"/>
    <w:rPr>
      <w:b/>
      <w:bCs/>
      <w:sz w:val="36"/>
      <w:szCs w:val="36"/>
    </w:rPr>
  </w:style>
  <w:style w:type="character" w:customStyle="1" w:styleId="Titre3Car">
    <w:name w:val="Titre 3 Car"/>
    <w:basedOn w:val="Policepardfaut"/>
    <w:link w:val="Titre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Lienhypertexte">
    <w:name w:val="Hyperlink"/>
    <w:basedOn w:val="Policepardfaut"/>
    <w:uiPriority w:val="99"/>
    <w:unhideWhenUsed/>
    <w:rsid w:val="00D07C01"/>
    <w:rPr>
      <w:color w:val="0000FF"/>
      <w:u w:val="single"/>
    </w:rPr>
  </w:style>
  <w:style w:type="paragraph" w:styleId="Textedebulles">
    <w:name w:val="Balloon Text"/>
    <w:basedOn w:val="Normal"/>
    <w:link w:val="TextedebullesCar"/>
    <w:rsid w:val="00EA55CC"/>
    <w:rPr>
      <w:rFonts w:ascii="Tahoma" w:hAnsi="Tahoma" w:cs="Tahoma"/>
      <w:sz w:val="16"/>
      <w:szCs w:val="16"/>
    </w:rPr>
  </w:style>
  <w:style w:type="character" w:customStyle="1" w:styleId="TextedebullesCar">
    <w:name w:val="Texte de bulles Car"/>
    <w:basedOn w:val="Policepardfaut"/>
    <w:link w:val="Textedebulles"/>
    <w:rsid w:val="00EA55CC"/>
    <w:rPr>
      <w:rFonts w:ascii="Tahoma" w:hAnsi="Tahoma" w:cs="Tahoma"/>
      <w:sz w:val="16"/>
      <w:szCs w:val="16"/>
    </w:rPr>
  </w:style>
  <w:style w:type="paragraph" w:styleId="En-tte">
    <w:name w:val="header"/>
    <w:basedOn w:val="Normal"/>
    <w:link w:val="En-tteCar"/>
    <w:rsid w:val="00E0470E"/>
    <w:pPr>
      <w:tabs>
        <w:tab w:val="center" w:pos="4536"/>
        <w:tab w:val="right" w:pos="9072"/>
      </w:tabs>
    </w:pPr>
  </w:style>
  <w:style w:type="character" w:customStyle="1" w:styleId="En-tteCar">
    <w:name w:val="En-tête Car"/>
    <w:basedOn w:val="Policepardfaut"/>
    <w:link w:val="En-tte"/>
    <w:rsid w:val="00E0470E"/>
    <w:rPr>
      <w:sz w:val="24"/>
      <w:szCs w:val="24"/>
    </w:rPr>
  </w:style>
  <w:style w:type="paragraph" w:styleId="Pieddepage">
    <w:name w:val="footer"/>
    <w:basedOn w:val="Normal"/>
    <w:link w:val="PieddepageCar"/>
    <w:rsid w:val="00E0470E"/>
    <w:pPr>
      <w:tabs>
        <w:tab w:val="center" w:pos="4536"/>
        <w:tab w:val="right" w:pos="9072"/>
      </w:tabs>
    </w:pPr>
  </w:style>
  <w:style w:type="character" w:customStyle="1" w:styleId="PieddepageCar">
    <w:name w:val="Pied de page Car"/>
    <w:basedOn w:val="Policepardfaut"/>
    <w:link w:val="Pieddepage"/>
    <w:rsid w:val="00E047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9702">
      <w:bodyDiv w:val="1"/>
      <w:marLeft w:val="0"/>
      <w:marRight w:val="0"/>
      <w:marTop w:val="0"/>
      <w:marBottom w:val="0"/>
      <w:divBdr>
        <w:top w:val="none" w:sz="0" w:space="0" w:color="auto"/>
        <w:left w:val="none" w:sz="0" w:space="0" w:color="auto"/>
        <w:bottom w:val="none" w:sz="0" w:space="0" w:color="auto"/>
        <w:right w:val="none" w:sz="0" w:space="0" w:color="auto"/>
      </w:divBdr>
      <w:divsChild>
        <w:div w:id="1376152389">
          <w:marLeft w:val="0"/>
          <w:marRight w:val="0"/>
          <w:marTop w:val="0"/>
          <w:marBottom w:val="0"/>
          <w:divBdr>
            <w:top w:val="none" w:sz="0" w:space="0" w:color="auto"/>
            <w:left w:val="none" w:sz="0" w:space="0" w:color="auto"/>
            <w:bottom w:val="none" w:sz="0" w:space="0" w:color="auto"/>
            <w:right w:val="none" w:sz="0" w:space="0" w:color="auto"/>
          </w:divBdr>
        </w:div>
        <w:div w:id="2005208272">
          <w:marLeft w:val="0"/>
          <w:marRight w:val="0"/>
          <w:marTop w:val="0"/>
          <w:marBottom w:val="0"/>
          <w:divBdr>
            <w:top w:val="none" w:sz="0" w:space="0" w:color="auto"/>
            <w:left w:val="none" w:sz="0" w:space="0" w:color="auto"/>
            <w:bottom w:val="none" w:sz="0" w:space="0" w:color="auto"/>
            <w:right w:val="none" w:sz="0" w:space="0" w:color="auto"/>
          </w:divBdr>
        </w:div>
      </w:divsChild>
    </w:div>
    <w:div w:id="62459970">
      <w:bodyDiv w:val="1"/>
      <w:marLeft w:val="0"/>
      <w:marRight w:val="0"/>
      <w:marTop w:val="0"/>
      <w:marBottom w:val="0"/>
      <w:divBdr>
        <w:top w:val="none" w:sz="0" w:space="0" w:color="auto"/>
        <w:left w:val="none" w:sz="0" w:space="0" w:color="auto"/>
        <w:bottom w:val="none" w:sz="0" w:space="0" w:color="auto"/>
        <w:right w:val="none" w:sz="0" w:space="0" w:color="auto"/>
      </w:divBdr>
      <w:divsChild>
        <w:div w:id="16851781">
          <w:marLeft w:val="0"/>
          <w:marRight w:val="0"/>
          <w:marTop w:val="0"/>
          <w:marBottom w:val="0"/>
          <w:divBdr>
            <w:top w:val="none" w:sz="0" w:space="0" w:color="auto"/>
            <w:left w:val="none" w:sz="0" w:space="0" w:color="auto"/>
            <w:bottom w:val="none" w:sz="0" w:space="0" w:color="auto"/>
            <w:right w:val="none" w:sz="0" w:space="0" w:color="auto"/>
          </w:divBdr>
          <w:divsChild>
            <w:div w:id="2127857">
              <w:marLeft w:val="0"/>
              <w:marRight w:val="0"/>
              <w:marTop w:val="0"/>
              <w:marBottom w:val="0"/>
              <w:divBdr>
                <w:top w:val="none" w:sz="0" w:space="0" w:color="auto"/>
                <w:left w:val="none" w:sz="0" w:space="0" w:color="auto"/>
                <w:bottom w:val="none" w:sz="0" w:space="0" w:color="auto"/>
                <w:right w:val="none" w:sz="0" w:space="0" w:color="auto"/>
              </w:divBdr>
            </w:div>
            <w:div w:id="1123304730">
              <w:marLeft w:val="0"/>
              <w:marRight w:val="0"/>
              <w:marTop w:val="0"/>
              <w:marBottom w:val="0"/>
              <w:divBdr>
                <w:top w:val="none" w:sz="0" w:space="0" w:color="auto"/>
                <w:left w:val="none" w:sz="0" w:space="0" w:color="auto"/>
                <w:bottom w:val="none" w:sz="0" w:space="0" w:color="auto"/>
                <w:right w:val="none" w:sz="0" w:space="0" w:color="auto"/>
              </w:divBdr>
              <w:divsChild>
                <w:div w:id="2480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800">
          <w:marLeft w:val="0"/>
          <w:marRight w:val="0"/>
          <w:marTop w:val="0"/>
          <w:marBottom w:val="0"/>
          <w:divBdr>
            <w:top w:val="none" w:sz="0" w:space="0" w:color="auto"/>
            <w:left w:val="none" w:sz="0" w:space="0" w:color="auto"/>
            <w:bottom w:val="none" w:sz="0" w:space="0" w:color="auto"/>
            <w:right w:val="none" w:sz="0" w:space="0" w:color="auto"/>
          </w:divBdr>
          <w:divsChild>
            <w:div w:id="478501989">
              <w:marLeft w:val="0"/>
              <w:marRight w:val="0"/>
              <w:marTop w:val="0"/>
              <w:marBottom w:val="0"/>
              <w:divBdr>
                <w:top w:val="none" w:sz="0" w:space="0" w:color="auto"/>
                <w:left w:val="none" w:sz="0" w:space="0" w:color="auto"/>
                <w:bottom w:val="none" w:sz="0" w:space="0" w:color="auto"/>
                <w:right w:val="none" w:sz="0" w:space="0" w:color="auto"/>
              </w:divBdr>
            </w:div>
            <w:div w:id="86460398">
              <w:marLeft w:val="0"/>
              <w:marRight w:val="0"/>
              <w:marTop w:val="0"/>
              <w:marBottom w:val="0"/>
              <w:divBdr>
                <w:top w:val="none" w:sz="0" w:space="0" w:color="auto"/>
                <w:left w:val="none" w:sz="0" w:space="0" w:color="auto"/>
                <w:bottom w:val="none" w:sz="0" w:space="0" w:color="auto"/>
                <w:right w:val="none" w:sz="0" w:space="0" w:color="auto"/>
              </w:divBdr>
            </w:div>
          </w:divsChild>
        </w:div>
        <w:div w:id="1257668190">
          <w:marLeft w:val="0"/>
          <w:marRight w:val="0"/>
          <w:marTop w:val="0"/>
          <w:marBottom w:val="0"/>
          <w:divBdr>
            <w:top w:val="none" w:sz="0" w:space="0" w:color="auto"/>
            <w:left w:val="none" w:sz="0" w:space="0" w:color="auto"/>
            <w:bottom w:val="none" w:sz="0" w:space="0" w:color="auto"/>
            <w:right w:val="none" w:sz="0" w:space="0" w:color="auto"/>
          </w:divBdr>
          <w:divsChild>
            <w:div w:id="31000143">
              <w:marLeft w:val="0"/>
              <w:marRight w:val="0"/>
              <w:marTop w:val="0"/>
              <w:marBottom w:val="0"/>
              <w:divBdr>
                <w:top w:val="none" w:sz="0" w:space="0" w:color="auto"/>
                <w:left w:val="none" w:sz="0" w:space="0" w:color="auto"/>
                <w:bottom w:val="none" w:sz="0" w:space="0" w:color="auto"/>
                <w:right w:val="none" w:sz="0" w:space="0" w:color="auto"/>
              </w:divBdr>
            </w:div>
            <w:div w:id="3089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39882">
      <w:bodyDiv w:val="1"/>
      <w:marLeft w:val="0"/>
      <w:marRight w:val="0"/>
      <w:marTop w:val="0"/>
      <w:marBottom w:val="0"/>
      <w:divBdr>
        <w:top w:val="none" w:sz="0" w:space="0" w:color="auto"/>
        <w:left w:val="none" w:sz="0" w:space="0" w:color="auto"/>
        <w:bottom w:val="none" w:sz="0" w:space="0" w:color="auto"/>
        <w:right w:val="none" w:sz="0" w:space="0" w:color="auto"/>
      </w:divBdr>
      <w:divsChild>
        <w:div w:id="744181396">
          <w:marLeft w:val="0"/>
          <w:marRight w:val="0"/>
          <w:marTop w:val="0"/>
          <w:marBottom w:val="0"/>
          <w:divBdr>
            <w:top w:val="none" w:sz="0" w:space="0" w:color="auto"/>
            <w:left w:val="none" w:sz="0" w:space="0" w:color="auto"/>
            <w:bottom w:val="none" w:sz="0" w:space="0" w:color="auto"/>
            <w:right w:val="none" w:sz="0" w:space="0" w:color="auto"/>
          </w:divBdr>
          <w:divsChild>
            <w:div w:id="843055362">
              <w:marLeft w:val="0"/>
              <w:marRight w:val="0"/>
              <w:marTop w:val="0"/>
              <w:marBottom w:val="0"/>
              <w:divBdr>
                <w:top w:val="none" w:sz="0" w:space="0" w:color="auto"/>
                <w:left w:val="none" w:sz="0" w:space="0" w:color="auto"/>
                <w:bottom w:val="none" w:sz="0" w:space="0" w:color="auto"/>
                <w:right w:val="none" w:sz="0" w:space="0" w:color="auto"/>
              </w:divBdr>
            </w:div>
          </w:divsChild>
        </w:div>
        <w:div w:id="1321958878">
          <w:marLeft w:val="0"/>
          <w:marRight w:val="0"/>
          <w:marTop w:val="0"/>
          <w:marBottom w:val="0"/>
          <w:divBdr>
            <w:top w:val="none" w:sz="0" w:space="0" w:color="auto"/>
            <w:left w:val="none" w:sz="0" w:space="0" w:color="auto"/>
            <w:bottom w:val="none" w:sz="0" w:space="0" w:color="auto"/>
            <w:right w:val="none" w:sz="0" w:space="0" w:color="auto"/>
          </w:divBdr>
          <w:divsChild>
            <w:div w:id="671223207">
              <w:marLeft w:val="0"/>
              <w:marRight w:val="0"/>
              <w:marTop w:val="0"/>
              <w:marBottom w:val="0"/>
              <w:divBdr>
                <w:top w:val="none" w:sz="0" w:space="0" w:color="auto"/>
                <w:left w:val="none" w:sz="0" w:space="0" w:color="auto"/>
                <w:bottom w:val="none" w:sz="0" w:space="0" w:color="auto"/>
                <w:right w:val="none" w:sz="0" w:space="0" w:color="auto"/>
              </w:divBdr>
            </w:div>
          </w:divsChild>
        </w:div>
        <w:div w:id="1987007130">
          <w:marLeft w:val="0"/>
          <w:marRight w:val="0"/>
          <w:marTop w:val="0"/>
          <w:marBottom w:val="0"/>
          <w:divBdr>
            <w:top w:val="none" w:sz="0" w:space="0" w:color="auto"/>
            <w:left w:val="none" w:sz="0" w:space="0" w:color="auto"/>
            <w:bottom w:val="none" w:sz="0" w:space="0" w:color="auto"/>
            <w:right w:val="none" w:sz="0" w:space="0" w:color="auto"/>
          </w:divBdr>
          <w:divsChild>
            <w:div w:id="1759331588">
              <w:marLeft w:val="0"/>
              <w:marRight w:val="0"/>
              <w:marTop w:val="0"/>
              <w:marBottom w:val="0"/>
              <w:divBdr>
                <w:top w:val="none" w:sz="0" w:space="0" w:color="auto"/>
                <w:left w:val="none" w:sz="0" w:space="0" w:color="auto"/>
                <w:bottom w:val="none" w:sz="0" w:space="0" w:color="auto"/>
                <w:right w:val="none" w:sz="0" w:space="0" w:color="auto"/>
              </w:divBdr>
            </w:div>
            <w:div w:id="987633645">
              <w:marLeft w:val="0"/>
              <w:marRight w:val="0"/>
              <w:marTop w:val="0"/>
              <w:marBottom w:val="0"/>
              <w:divBdr>
                <w:top w:val="none" w:sz="0" w:space="0" w:color="auto"/>
                <w:left w:val="none" w:sz="0" w:space="0" w:color="auto"/>
                <w:bottom w:val="none" w:sz="0" w:space="0" w:color="auto"/>
                <w:right w:val="none" w:sz="0" w:space="0" w:color="auto"/>
              </w:divBdr>
            </w:div>
          </w:divsChild>
        </w:div>
        <w:div w:id="2069183095">
          <w:marLeft w:val="0"/>
          <w:marRight w:val="0"/>
          <w:marTop w:val="0"/>
          <w:marBottom w:val="0"/>
          <w:divBdr>
            <w:top w:val="none" w:sz="0" w:space="0" w:color="auto"/>
            <w:left w:val="none" w:sz="0" w:space="0" w:color="auto"/>
            <w:bottom w:val="none" w:sz="0" w:space="0" w:color="auto"/>
            <w:right w:val="none" w:sz="0" w:space="0" w:color="auto"/>
          </w:divBdr>
          <w:divsChild>
            <w:div w:id="155807146">
              <w:marLeft w:val="0"/>
              <w:marRight w:val="0"/>
              <w:marTop w:val="0"/>
              <w:marBottom w:val="0"/>
              <w:divBdr>
                <w:top w:val="none" w:sz="0" w:space="0" w:color="auto"/>
                <w:left w:val="none" w:sz="0" w:space="0" w:color="auto"/>
                <w:bottom w:val="none" w:sz="0" w:space="0" w:color="auto"/>
                <w:right w:val="none" w:sz="0" w:space="0" w:color="auto"/>
              </w:divBdr>
            </w:div>
            <w:div w:id="1028140542">
              <w:marLeft w:val="0"/>
              <w:marRight w:val="0"/>
              <w:marTop w:val="0"/>
              <w:marBottom w:val="0"/>
              <w:divBdr>
                <w:top w:val="none" w:sz="0" w:space="0" w:color="auto"/>
                <w:left w:val="none" w:sz="0" w:space="0" w:color="auto"/>
                <w:bottom w:val="none" w:sz="0" w:space="0" w:color="auto"/>
                <w:right w:val="none" w:sz="0" w:space="0" w:color="auto"/>
              </w:divBdr>
            </w:div>
          </w:divsChild>
        </w:div>
        <w:div w:id="374432687">
          <w:marLeft w:val="0"/>
          <w:marRight w:val="0"/>
          <w:marTop w:val="0"/>
          <w:marBottom w:val="0"/>
          <w:divBdr>
            <w:top w:val="none" w:sz="0" w:space="0" w:color="auto"/>
            <w:left w:val="none" w:sz="0" w:space="0" w:color="auto"/>
            <w:bottom w:val="none" w:sz="0" w:space="0" w:color="auto"/>
            <w:right w:val="none" w:sz="0" w:space="0" w:color="auto"/>
          </w:divBdr>
          <w:divsChild>
            <w:div w:id="2128113150">
              <w:marLeft w:val="0"/>
              <w:marRight w:val="0"/>
              <w:marTop w:val="0"/>
              <w:marBottom w:val="0"/>
              <w:divBdr>
                <w:top w:val="none" w:sz="0" w:space="0" w:color="auto"/>
                <w:left w:val="none" w:sz="0" w:space="0" w:color="auto"/>
                <w:bottom w:val="none" w:sz="0" w:space="0" w:color="auto"/>
                <w:right w:val="none" w:sz="0" w:space="0" w:color="auto"/>
              </w:divBdr>
            </w:div>
            <w:div w:id="1402293077">
              <w:marLeft w:val="0"/>
              <w:marRight w:val="0"/>
              <w:marTop w:val="0"/>
              <w:marBottom w:val="0"/>
              <w:divBdr>
                <w:top w:val="none" w:sz="0" w:space="0" w:color="auto"/>
                <w:left w:val="none" w:sz="0" w:space="0" w:color="auto"/>
                <w:bottom w:val="none" w:sz="0" w:space="0" w:color="auto"/>
                <w:right w:val="none" w:sz="0" w:space="0" w:color="auto"/>
              </w:divBdr>
            </w:div>
          </w:divsChild>
        </w:div>
        <w:div w:id="546380999">
          <w:marLeft w:val="0"/>
          <w:marRight w:val="0"/>
          <w:marTop w:val="0"/>
          <w:marBottom w:val="0"/>
          <w:divBdr>
            <w:top w:val="none" w:sz="0" w:space="0" w:color="auto"/>
            <w:left w:val="none" w:sz="0" w:space="0" w:color="auto"/>
            <w:bottom w:val="none" w:sz="0" w:space="0" w:color="auto"/>
            <w:right w:val="none" w:sz="0" w:space="0" w:color="auto"/>
          </w:divBdr>
          <w:divsChild>
            <w:div w:id="1561667309">
              <w:marLeft w:val="0"/>
              <w:marRight w:val="0"/>
              <w:marTop w:val="0"/>
              <w:marBottom w:val="0"/>
              <w:divBdr>
                <w:top w:val="none" w:sz="0" w:space="0" w:color="auto"/>
                <w:left w:val="none" w:sz="0" w:space="0" w:color="auto"/>
                <w:bottom w:val="none" w:sz="0" w:space="0" w:color="auto"/>
                <w:right w:val="none" w:sz="0" w:space="0" w:color="auto"/>
              </w:divBdr>
            </w:div>
            <w:div w:id="195921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13115">
      <w:bodyDiv w:val="1"/>
      <w:marLeft w:val="0"/>
      <w:marRight w:val="0"/>
      <w:marTop w:val="0"/>
      <w:marBottom w:val="0"/>
      <w:divBdr>
        <w:top w:val="none" w:sz="0" w:space="0" w:color="auto"/>
        <w:left w:val="none" w:sz="0" w:space="0" w:color="auto"/>
        <w:bottom w:val="none" w:sz="0" w:space="0" w:color="auto"/>
        <w:right w:val="none" w:sz="0" w:space="0" w:color="auto"/>
      </w:divBdr>
      <w:divsChild>
        <w:div w:id="942420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305</Words>
  <Characters>1809</Characters>
  <Application>Microsoft Office Word</Application>
  <DocSecurity>0</DocSecurity>
  <Lines>15</Lines>
  <Paragraphs>4</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Magali</cp:lastModifiedBy>
  <cp:revision>5</cp:revision>
  <cp:lastPrinted>2018-05-03T12:05:00Z</cp:lastPrinted>
  <dcterms:created xsi:type="dcterms:W3CDTF">2018-05-22T07:38:00Z</dcterms:created>
  <dcterms:modified xsi:type="dcterms:W3CDTF">2018-05-22T07:42:00Z</dcterms:modified>
</cp:coreProperties>
</file>