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D2E59" w14:textId="142E305E" w:rsidR="00D82C18" w:rsidRPr="00B6462B" w:rsidRDefault="00B6462B" w:rsidP="00B6462B">
      <w:pPr>
        <w:rPr>
          <w:rFonts w:ascii="Verdana" w:hAnsi="Verdana"/>
        </w:rPr>
      </w:pPr>
      <w:r w:rsidRPr="00B6462B">
        <w:rPr>
          <w:rFonts w:ascii="Verdana" w:hAnsi="Verdana"/>
          <w:b/>
          <w:sz w:val="32"/>
          <w:szCs w:val="32"/>
          <w:lang w:val="fr-FR"/>
        </w:rPr>
        <w:t>Plan du cours</w:t>
      </w:r>
    </w:p>
    <w:p w14:paraId="297047B4" w14:textId="77777777" w:rsidR="00B71D66" w:rsidRPr="003406F3" w:rsidRDefault="00B71D66" w:rsidP="00B71D66">
      <w:pPr>
        <w:pStyle w:val="Paragraphedeliste"/>
        <w:ind w:left="360"/>
        <w:rPr>
          <w:rFonts w:ascii="Verdana" w:hAnsi="Verdana"/>
        </w:rPr>
      </w:pPr>
    </w:p>
    <w:p w14:paraId="6857C56D" w14:textId="1F0B33A8" w:rsidR="00D82C18" w:rsidRPr="00B6462B" w:rsidRDefault="00B6462B" w:rsidP="00B6462B">
      <w:pPr>
        <w:rPr>
          <w:rFonts w:ascii="Verdana" w:hAnsi="Verdana"/>
          <w:b/>
          <w:sz w:val="22"/>
          <w:szCs w:val="22"/>
        </w:rPr>
      </w:pPr>
      <w:r w:rsidRPr="00B6462B">
        <w:rPr>
          <w:rFonts w:ascii="Verdana" w:hAnsi="Verdana"/>
          <w:sz w:val="28"/>
          <w:szCs w:val="28"/>
          <w:lang w:val="fr-FR"/>
        </w:rPr>
        <w:t xml:space="preserve">Cours </w:t>
      </w:r>
      <w:bookmarkStart w:id="0" w:name="_GoBack"/>
      <w:r w:rsidRPr="00B6462B">
        <w:rPr>
          <w:rFonts w:ascii="Verdana" w:hAnsi="Verdana"/>
          <w:sz w:val="28"/>
          <w:szCs w:val="28"/>
          <w:lang w:val="fr-FR"/>
        </w:rPr>
        <w:t>x.x.x</w:t>
      </w:r>
      <w:bookmarkEnd w:id="0"/>
      <w:r w:rsidRPr="00B6462B">
        <w:rPr>
          <w:rFonts w:ascii="Verdana" w:hAnsi="Verdana"/>
          <w:sz w:val="28"/>
          <w:szCs w:val="28"/>
          <w:lang w:val="fr-FR"/>
        </w:rPr>
        <w:t xml:space="preserve"> (Les demandes de mesures procédurales)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B6462B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7C4EDFAE" w:rsidR="00D82C18" w:rsidRPr="00B6462B" w:rsidRDefault="00B6462B" w:rsidP="006F41CA">
            <w:pPr>
              <w:rPr>
                <w:rFonts w:ascii="Verdana" w:hAnsi="Verdana"/>
                <w:sz w:val="22"/>
                <w:szCs w:val="22"/>
              </w:rPr>
            </w:pPr>
            <w:r w:rsidRPr="00B6462B">
              <w:rPr>
                <w:rFonts w:ascii="Verdana" w:hAnsi="Verdana"/>
                <w:sz w:val="22"/>
                <w:szCs w:val="22"/>
                <w:lang w:val="fr-FR"/>
              </w:rPr>
              <w:t>Cours x.x.x (Les demandes de mesures procédurales)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0DF46793" w:rsidR="00D82C18" w:rsidRPr="00B6462B" w:rsidRDefault="00B6462B" w:rsidP="006F41CA">
            <w:pPr>
              <w:rPr>
                <w:rFonts w:ascii="Verdana" w:hAnsi="Verdana"/>
                <w:sz w:val="22"/>
                <w:szCs w:val="22"/>
              </w:rPr>
            </w:pPr>
            <w:r w:rsidRPr="00B6462B">
              <w:rPr>
                <w:rFonts w:ascii="Verdana" w:hAnsi="Verdana"/>
                <w:sz w:val="22"/>
                <w:szCs w:val="22"/>
                <w:lang w:val="fr-FR"/>
              </w:rPr>
              <w:t>Durée :</w:t>
            </w:r>
            <w:r w:rsidR="00D82C18" w:rsidRPr="00B6462B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B6462B">
              <w:rPr>
                <w:rFonts w:ascii="Verdana" w:hAnsi="Verdana"/>
                <w:sz w:val="22"/>
                <w:szCs w:val="22"/>
                <w:lang w:val="fr-FR"/>
              </w:rPr>
              <w:t>120 minutes</w:t>
            </w:r>
          </w:p>
        </w:tc>
      </w:tr>
      <w:tr w:rsidR="003406F3" w:rsidRPr="003406F3" w14:paraId="7C1107AB" w14:textId="77777777" w:rsidTr="00B6462B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E0A06E1" w:rsidR="00E7344B" w:rsidRPr="00B6462B" w:rsidRDefault="00B6462B" w:rsidP="00B6462B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B6462B">
              <w:rPr>
                <w:rFonts w:ascii="Verdana" w:hAnsi="Verdana"/>
                <w:b/>
                <w:sz w:val="22"/>
                <w:szCs w:val="22"/>
                <w:lang w:val="fr-FR"/>
              </w:rPr>
              <w:t>Ressources nécessaires :</w:t>
            </w:r>
          </w:p>
          <w:p w14:paraId="47FFED23" w14:textId="658C34FF" w:rsidR="00B6462B" w:rsidRPr="00B6462B" w:rsidRDefault="00B6462B" w:rsidP="00B6462B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en-GB"/>
              </w:rPr>
            </w:pPr>
            <w:r w:rsidRPr="00B6462B">
              <w:rPr>
                <w:szCs w:val="18"/>
                <w:lang w:val="fr-FR"/>
              </w:rPr>
              <w:t>PC/portable équipé des versions des logiciels compatibles avec les supports prévus</w:t>
            </w:r>
          </w:p>
          <w:p w14:paraId="383D11CD" w14:textId="2036FA29" w:rsidR="00B6462B" w:rsidRPr="00B6462B" w:rsidRDefault="00B6462B" w:rsidP="00B6462B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bCs/>
                <w:szCs w:val="18"/>
                <w:lang w:val="en-GB"/>
              </w:rPr>
            </w:pPr>
            <w:r w:rsidRPr="00B6462B">
              <w:rPr>
                <w:bCs/>
                <w:szCs w:val="18"/>
                <w:lang w:val="fr-FR"/>
              </w:rPr>
              <w:t>projecteur et écran</w:t>
            </w:r>
          </w:p>
          <w:p w14:paraId="1C8573F0" w14:textId="0927C0F6" w:rsidR="00B6462B" w:rsidRDefault="00B6462B" w:rsidP="00B6462B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bCs/>
                <w:szCs w:val="18"/>
                <w:lang w:val="en-GB"/>
              </w:rPr>
            </w:pPr>
            <w:r w:rsidRPr="00B6462B">
              <w:rPr>
                <w:bCs/>
                <w:szCs w:val="18"/>
                <w:lang w:val="fr-FR"/>
              </w:rPr>
              <w:t>accès à internet (si possible)</w:t>
            </w:r>
          </w:p>
          <w:p w14:paraId="14CF9EF0" w14:textId="3D0CE6BF" w:rsidR="00DC0837" w:rsidRPr="00B6462B" w:rsidRDefault="00B6462B" w:rsidP="006F41CA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rFonts w:cs="Helvetica"/>
                <w:szCs w:val="18"/>
                <w:lang w:val="en-GB"/>
              </w:rPr>
            </w:pPr>
            <w:r w:rsidRPr="00B6462B">
              <w:rPr>
                <w:rFonts w:cs="Helvetica"/>
                <w:szCs w:val="18"/>
                <w:lang w:val="fr-FR"/>
              </w:rPr>
              <w:t>feuilles et stylos pour les participants.</w:t>
            </w:r>
          </w:p>
        </w:tc>
      </w:tr>
      <w:tr w:rsidR="003406F3" w:rsidRPr="003406F3" w14:paraId="635F2EFD" w14:textId="77777777" w:rsidTr="00B6462B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5522611A" w:rsidR="00A03CF0" w:rsidRPr="003406F3" w:rsidRDefault="00B6462B" w:rsidP="00B6462B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B6462B">
              <w:rPr>
                <w:rFonts w:ascii="Verdana" w:hAnsi="Verdana"/>
                <w:b/>
                <w:sz w:val="22"/>
                <w:szCs w:val="22"/>
                <w:lang w:val="fr-FR"/>
              </w:rPr>
              <w:t>But de la session :</w:t>
            </w:r>
          </w:p>
          <w:p w14:paraId="3FE58655" w14:textId="22F40414" w:rsidR="00A03CF0" w:rsidRPr="00B6462B" w:rsidRDefault="00B6462B" w:rsidP="005C6E7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Ce cours a pour objet de fournir aux participants des orientations sur les demandes de mesures procédurales ou de mesures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enquête prévues par la Convention de Budapest.</w:t>
            </w:r>
            <w:r w:rsidR="00383CAC" w:rsidRPr="00B6462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Il livre aussi des informations sur ce que les magistrats ou les autres autorités compétentes devraient attendre des procureurs ou des représentants des forces de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ordre qui demandent des mesures procédurales.</w:t>
            </w:r>
          </w:p>
        </w:tc>
      </w:tr>
      <w:tr w:rsidR="003406F3" w:rsidRPr="003406F3" w14:paraId="1B5A80A7" w14:textId="77777777" w:rsidTr="00B6462B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645E3FAB" w:rsidR="00A03CF0" w:rsidRPr="00B6462B" w:rsidRDefault="00B6462B" w:rsidP="00B6462B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B6462B">
              <w:rPr>
                <w:rFonts w:ascii="Verdana" w:hAnsi="Verdana"/>
                <w:b/>
                <w:sz w:val="22"/>
                <w:szCs w:val="22"/>
                <w:lang w:val="fr-FR"/>
              </w:rPr>
              <w:t>Objectifs :</w:t>
            </w:r>
          </w:p>
          <w:p w14:paraId="3BEE7864" w14:textId="6EA70E51" w:rsidR="005703B7" w:rsidRPr="00B6462B" w:rsidRDefault="00B6462B" w:rsidP="00B6462B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B6462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À la fin du cours, les participants :</w:t>
            </w:r>
          </w:p>
          <w:p w14:paraId="79AD8638" w14:textId="6F1CEBA3" w:rsidR="00B6462B" w:rsidRPr="00B6462B" w:rsidRDefault="00B6462B" w:rsidP="00B6462B">
            <w:pPr>
              <w:pStyle w:val="bul1"/>
              <w:rPr>
                <w:szCs w:val="18"/>
                <w:lang w:val="en-US"/>
              </w:rPr>
            </w:pPr>
            <w:r w:rsidRPr="00B6462B">
              <w:rPr>
                <w:szCs w:val="18"/>
                <w:lang w:val="fr-FR"/>
              </w:rPr>
              <w:t>sauront selon quelles modalités les différents systèmes juridiques permettent de demander des mesures procédurales ;</w:t>
            </w:r>
          </w:p>
          <w:p w14:paraId="6097EB8A" w14:textId="476FA1A2" w:rsidR="00B6462B" w:rsidRPr="00B6462B" w:rsidRDefault="00B6462B" w:rsidP="00B6462B">
            <w:pPr>
              <w:pStyle w:val="bul1"/>
              <w:rPr>
                <w:szCs w:val="18"/>
                <w:lang w:val="en-GB"/>
              </w:rPr>
            </w:pPr>
            <w:r w:rsidRPr="00B6462B">
              <w:rPr>
                <w:szCs w:val="18"/>
                <w:lang w:val="fr-FR"/>
              </w:rPr>
              <w:t>connaîtront des faits spécifiques relatifs aux demandes de mesures procédurales ou d</w:t>
            </w:r>
            <w:r w:rsidR="005C6E78">
              <w:rPr>
                <w:szCs w:val="18"/>
                <w:lang w:val="fr-FR"/>
              </w:rPr>
              <w:t>’</w:t>
            </w:r>
            <w:r w:rsidRPr="00B6462B">
              <w:rPr>
                <w:szCs w:val="18"/>
                <w:lang w:val="fr-FR"/>
              </w:rPr>
              <w:t>enquête visant des preuves électroniques ;</w:t>
            </w:r>
          </w:p>
          <w:p w14:paraId="61ABEAC5" w14:textId="1B92ADB5" w:rsidR="00AA4976" w:rsidRPr="00B6462B" w:rsidRDefault="00B6462B" w:rsidP="006F41CA">
            <w:pPr>
              <w:pStyle w:val="bul1"/>
              <w:rPr>
                <w:szCs w:val="18"/>
                <w:lang w:val="en-GB"/>
              </w:rPr>
            </w:pPr>
            <w:r w:rsidRPr="00B6462B">
              <w:rPr>
                <w:szCs w:val="18"/>
                <w:lang w:val="fr-FR"/>
              </w:rPr>
              <w:t>connaîtront certaines des conditions et sauvegardes à garder à l</w:t>
            </w:r>
            <w:r w:rsidR="005C6E78">
              <w:rPr>
                <w:szCs w:val="18"/>
                <w:lang w:val="fr-FR"/>
              </w:rPr>
              <w:t>’</w:t>
            </w:r>
            <w:r w:rsidRPr="00B6462B">
              <w:rPr>
                <w:szCs w:val="18"/>
                <w:lang w:val="fr-FR"/>
              </w:rPr>
              <w:t>esprit au moment de demander des mesures procédurales.</w:t>
            </w:r>
          </w:p>
        </w:tc>
      </w:tr>
      <w:tr w:rsidR="003406F3" w:rsidRPr="003406F3" w14:paraId="03110757" w14:textId="77777777" w:rsidTr="00B6462B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2163754" w:rsidR="005703B7" w:rsidRPr="00B6462B" w:rsidRDefault="00B6462B" w:rsidP="00B6462B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B6462B">
              <w:rPr>
                <w:rFonts w:ascii="Verdana" w:hAnsi="Verdana"/>
                <w:b/>
                <w:sz w:val="22"/>
                <w:szCs w:val="22"/>
                <w:lang w:val="fr-FR"/>
              </w:rPr>
              <w:t>Orientations pour les formateurs</w:t>
            </w:r>
          </w:p>
          <w:p w14:paraId="5EFF4BEF" w14:textId="23782DF9" w:rsidR="007B75A9" w:rsidRPr="00B6462B" w:rsidRDefault="00B6462B" w:rsidP="00AB387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Dans beaucoup de pays, les représentants des forces de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ordre, procureurs et autres personnes chargées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enquêter sur des infractions pénales sont tenus de solliciter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autorisation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un magistrat ou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une autre autorité compétente pour pouvoir appliquer des mesures procédurales.</w:t>
            </w:r>
            <w:r w:rsidR="00383CAC" w:rsidRPr="00B6462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Les formateurs devront expliquer que pour ce faire, certains pays exigent des demandes écrites,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autres des demandes verbales.</w:t>
            </w:r>
            <w:r w:rsidR="00AA4976" w:rsidRPr="00B6462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 xml:space="preserve">Les formateurs </w:t>
            </w:r>
            <w:r w:rsidR="00AB3877">
              <w:rPr>
                <w:rFonts w:ascii="Verdana" w:hAnsi="Verdana"/>
                <w:sz w:val="18"/>
                <w:szCs w:val="18"/>
                <w:lang w:val="fr-FR"/>
              </w:rPr>
              <w:t xml:space="preserve">veilleront 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également à ce que les participants ne perdent pas de vue les conditions et sauvegardes prévues à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article 15 de la Convention de Budapest.</w:t>
            </w:r>
          </w:p>
        </w:tc>
      </w:tr>
      <w:tr w:rsidR="003406F3" w:rsidRPr="003406F3" w14:paraId="7760520D" w14:textId="77777777" w:rsidTr="00B6462B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D7E5483" w:rsidR="005A4E47" w:rsidRPr="00B6462B" w:rsidRDefault="00B6462B" w:rsidP="006F41CA">
            <w:pPr>
              <w:rPr>
                <w:rFonts w:ascii="Verdana" w:hAnsi="Verdana"/>
                <w:b/>
                <w:sz w:val="28"/>
                <w:szCs w:val="28"/>
              </w:rPr>
            </w:pPr>
            <w:r w:rsidRPr="00B6462B">
              <w:rPr>
                <w:rFonts w:ascii="Verdana" w:hAnsi="Verdana"/>
                <w:b/>
                <w:sz w:val="28"/>
                <w:szCs w:val="28"/>
                <w:lang w:val="fr-FR"/>
              </w:rPr>
              <w:t>Déroulé du cours</w:t>
            </w:r>
          </w:p>
        </w:tc>
      </w:tr>
      <w:tr w:rsidR="003406F3" w:rsidRPr="003406F3" w14:paraId="57CC7AA4" w14:textId="77777777" w:rsidTr="00B6462B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471123A1" w:rsidR="00D82C18" w:rsidRPr="00B6462B" w:rsidRDefault="00B6462B" w:rsidP="006F41CA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B6462B">
              <w:rPr>
                <w:rFonts w:ascii="Verdana" w:hAnsi="Verdana"/>
                <w:b/>
                <w:sz w:val="22"/>
                <w:szCs w:val="22"/>
                <w:lang w:val="fr-FR"/>
              </w:rPr>
              <w:t>Diapos n° :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05CA2B5D" w:rsidR="00D82C18" w:rsidRPr="00B6462B" w:rsidRDefault="00B6462B" w:rsidP="006F41C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6462B">
              <w:rPr>
                <w:rFonts w:ascii="Verdana" w:hAnsi="Verdana"/>
                <w:b/>
                <w:sz w:val="22"/>
                <w:szCs w:val="22"/>
                <w:lang w:val="fr-FR"/>
              </w:rPr>
              <w:t>Contenu</w:t>
            </w:r>
          </w:p>
        </w:tc>
      </w:tr>
      <w:tr w:rsidR="003406F3" w:rsidRPr="003406F3" w14:paraId="11A12D7E" w14:textId="77777777" w:rsidTr="00B6462B">
        <w:trPr>
          <w:trHeight w:val="530"/>
        </w:trPr>
        <w:tc>
          <w:tcPr>
            <w:tcW w:w="1615" w:type="dxa"/>
            <w:vAlign w:val="center"/>
          </w:tcPr>
          <w:p w14:paraId="5A89CF27" w14:textId="496E21A7" w:rsidR="00D82C18" w:rsidRPr="00B6462B" w:rsidRDefault="00B6462B" w:rsidP="006F41C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1 à 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4EADBD6E" w:rsidR="003630ED" w:rsidRPr="00B6462B" w:rsidRDefault="00B6462B" w:rsidP="006F41CA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B6462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Les premières diapos exposent la structure et les objectifs de la session.</w:t>
            </w:r>
            <w:r w:rsidR="00DB09DC" w:rsidRPr="00B6462B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 w:rsidRPr="00B6462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Les participants peuvent poser toutes les questions qu</w:t>
            </w:r>
            <w:r w:rsidR="005C6E78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ils pourraient avoir sur la structure et les objectifs de la session.</w:t>
            </w:r>
          </w:p>
        </w:tc>
      </w:tr>
      <w:tr w:rsidR="003406F3" w:rsidRPr="003406F3" w14:paraId="3236CF7B" w14:textId="77777777" w:rsidTr="00B6462B">
        <w:trPr>
          <w:trHeight w:val="2015"/>
        </w:trPr>
        <w:tc>
          <w:tcPr>
            <w:tcW w:w="1615" w:type="dxa"/>
            <w:vAlign w:val="center"/>
          </w:tcPr>
          <w:p w14:paraId="63F93ACC" w14:textId="6FEB7ED2" w:rsidR="00A00A58" w:rsidRPr="00B6462B" w:rsidRDefault="00B6462B" w:rsidP="006F41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lastRenderedPageBreak/>
              <w:t>4 à 8</w:t>
            </w:r>
          </w:p>
        </w:tc>
        <w:tc>
          <w:tcPr>
            <w:tcW w:w="7395" w:type="dxa"/>
            <w:gridSpan w:val="2"/>
            <w:vAlign w:val="center"/>
          </w:tcPr>
          <w:p w14:paraId="6B518A62" w14:textId="632C757A" w:rsidR="00B4237D" w:rsidRPr="00B6462B" w:rsidRDefault="00B6462B" w:rsidP="00B8500B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Récapitulatif de certains aspects clés de la Convention de Budapest pertinents pour ce cours,</w:t>
            </w:r>
            <w:r w:rsidR="00383CAC" w:rsidRPr="00B6462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avec une liste des différentes mesures procédurales en vertu de la Convention de Budapest.</w:t>
            </w:r>
            <w:r w:rsidR="00754C1A" w:rsidRPr="00B6462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Les formateurs utiliseront aussi ces diapos pour rafraîch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i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r les connaissances sur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article 15 de la Convention de Budapest.</w:t>
            </w:r>
            <w:r w:rsidR="00AA4976" w:rsidRPr="00B6462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Ils doivent également distinguer les processus de demande de mesures procédurales dans les différents systèmes juridiques.</w:t>
            </w:r>
            <w:r w:rsidR="009155CC" w:rsidRPr="00B6462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8500B">
              <w:rPr>
                <w:rFonts w:ascii="Verdana" w:hAnsi="Verdana"/>
                <w:sz w:val="18"/>
                <w:szCs w:val="18"/>
              </w:rPr>
              <w:t>Enfin, c</w:t>
            </w:r>
            <w:r w:rsidR="00B8500B">
              <w:rPr>
                <w:rFonts w:ascii="Verdana" w:hAnsi="Verdana"/>
                <w:sz w:val="18"/>
                <w:szCs w:val="18"/>
                <w:lang w:val="fr-FR"/>
              </w:rPr>
              <w:t xml:space="preserve">ette partie annonce les 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2</w:t>
            </w:r>
            <w:r w:rsidRPr="00B6462B">
              <w:rPr>
                <w:rFonts w:ascii="Verdana" w:hAnsi="Verdana"/>
                <w:sz w:val="18"/>
                <w:szCs w:val="18"/>
                <w:vertAlign w:val="superscript"/>
                <w:lang w:val="fr-FR"/>
              </w:rPr>
              <w:t>e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, 3</w:t>
            </w:r>
            <w:r w:rsidRPr="00B6462B">
              <w:rPr>
                <w:rFonts w:ascii="Verdana" w:hAnsi="Verdana"/>
                <w:sz w:val="18"/>
                <w:szCs w:val="18"/>
                <w:vertAlign w:val="superscript"/>
                <w:lang w:val="fr-FR"/>
              </w:rPr>
              <w:t>e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 xml:space="preserve"> et 4</w:t>
            </w:r>
            <w:r w:rsidRPr="00B6462B">
              <w:rPr>
                <w:rFonts w:ascii="Verdana" w:hAnsi="Verdana"/>
                <w:sz w:val="18"/>
                <w:szCs w:val="18"/>
                <w:vertAlign w:val="superscript"/>
                <w:lang w:val="fr-FR"/>
              </w:rPr>
              <w:t>e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 xml:space="preserve"> parties de la session – le « quoi », le « comment » et le « pourquoi » des demandes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application de mesures procédurales.</w:t>
            </w:r>
          </w:p>
        </w:tc>
      </w:tr>
      <w:tr w:rsidR="003406F3" w:rsidRPr="003406F3" w14:paraId="5AA3C4AD" w14:textId="77777777" w:rsidTr="00080189">
        <w:trPr>
          <w:trHeight w:val="557"/>
        </w:trPr>
        <w:tc>
          <w:tcPr>
            <w:tcW w:w="1615" w:type="dxa"/>
            <w:vAlign w:val="center"/>
          </w:tcPr>
          <w:p w14:paraId="07F9F799" w14:textId="5635C6E3" w:rsidR="00A00A58" w:rsidRPr="00B6462B" w:rsidRDefault="00B6462B" w:rsidP="006F41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9 à 22</w:t>
            </w:r>
          </w:p>
        </w:tc>
        <w:tc>
          <w:tcPr>
            <w:tcW w:w="7395" w:type="dxa"/>
            <w:gridSpan w:val="2"/>
            <w:vAlign w:val="center"/>
          </w:tcPr>
          <w:p w14:paraId="1B9C6A39" w14:textId="064D40BF" w:rsidR="009A2F63" w:rsidRPr="003406F3" w:rsidRDefault="00B6462B" w:rsidP="005C6E7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Ces diapos portent sur le « quoi » des demandes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B6462B">
              <w:rPr>
                <w:rFonts w:ascii="Verdana" w:hAnsi="Verdana"/>
                <w:sz w:val="18"/>
                <w:szCs w:val="18"/>
                <w:lang w:val="fr-FR"/>
              </w:rPr>
              <w:t>application de mesures procédurales.</w:t>
            </w:r>
            <w:r w:rsidR="009155CC" w:rsidRPr="00B6462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Elles couvrent à la fois les données et les personnes visées par les demandes.</w:t>
            </w:r>
            <w:r w:rsidR="009155CC" w:rsidRPr="0008018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Elles s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appuient sur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exercice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investigation lié à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étude de cas pour offrir des exemples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identification des personnes et des données visées.</w:t>
            </w:r>
          </w:p>
        </w:tc>
      </w:tr>
      <w:tr w:rsidR="00DB09DC" w:rsidRPr="003406F3" w14:paraId="29253992" w14:textId="77777777" w:rsidTr="00080189">
        <w:trPr>
          <w:trHeight w:val="1340"/>
        </w:trPr>
        <w:tc>
          <w:tcPr>
            <w:tcW w:w="1615" w:type="dxa"/>
            <w:vAlign w:val="center"/>
          </w:tcPr>
          <w:p w14:paraId="7CB27A05" w14:textId="1EA80A6F" w:rsidR="00DB09DC" w:rsidRPr="00080189" w:rsidRDefault="00080189" w:rsidP="006F41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23 à 49</w:t>
            </w:r>
          </w:p>
        </w:tc>
        <w:tc>
          <w:tcPr>
            <w:tcW w:w="7395" w:type="dxa"/>
            <w:gridSpan w:val="2"/>
            <w:vAlign w:val="center"/>
          </w:tcPr>
          <w:p w14:paraId="660000A2" w14:textId="59D0FAEE" w:rsidR="00DB09DC" w:rsidRPr="00080189" w:rsidRDefault="00080189" w:rsidP="005C6E78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Ces diapos portent sur le « comment » des demandes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application de mesures procédurales.</w:t>
            </w:r>
            <w:r w:rsidR="009155CC" w:rsidRPr="0008018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Elles expliquent selon quelles modalités ces mesures doivent s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appliquer.</w:t>
            </w:r>
            <w:r w:rsidR="009155CC" w:rsidRPr="0008018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Elles couvrent à la fois les aspects techniques de ces modalités (quelles mesures appliquer selon les différentes investigations, quels moyens techniques permettent de le faire) et les aspects de protection liés à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application des mesures (conditions et sauvegarde</w:t>
            </w:r>
            <w:r w:rsidR="00CB2B4D">
              <w:rPr>
                <w:rFonts w:ascii="Verdana" w:hAnsi="Verdana"/>
                <w:sz w:val="18"/>
                <w:szCs w:val="18"/>
                <w:lang w:val="fr-FR"/>
              </w:rPr>
              <w:t>s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 xml:space="preserve"> aux phases de demande,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application et de post-application).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Les diapos renvoient à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exercice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 xml:space="preserve">investigation </w:t>
            </w:r>
            <w:r w:rsidR="00DA2E5F">
              <w:rPr>
                <w:rFonts w:ascii="Verdana" w:hAnsi="Verdana"/>
                <w:sz w:val="18"/>
                <w:szCs w:val="18"/>
                <w:lang w:val="fr-FR"/>
              </w:rPr>
              <w:t xml:space="preserve">lié à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étude de cas pour donner des exemples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aspects techniques et de protection.</w:t>
            </w:r>
          </w:p>
        </w:tc>
      </w:tr>
      <w:tr w:rsidR="009155CC" w:rsidRPr="003406F3" w14:paraId="7A13DAC2" w14:textId="77777777" w:rsidTr="00080189">
        <w:trPr>
          <w:trHeight w:val="1340"/>
        </w:trPr>
        <w:tc>
          <w:tcPr>
            <w:tcW w:w="1615" w:type="dxa"/>
            <w:vAlign w:val="center"/>
          </w:tcPr>
          <w:p w14:paraId="55390781" w14:textId="53651CE8" w:rsidR="009155CC" w:rsidRPr="00080189" w:rsidRDefault="00080189" w:rsidP="006F41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50 à 61</w:t>
            </w:r>
          </w:p>
        </w:tc>
        <w:tc>
          <w:tcPr>
            <w:tcW w:w="7395" w:type="dxa"/>
            <w:gridSpan w:val="2"/>
            <w:vAlign w:val="center"/>
          </w:tcPr>
          <w:p w14:paraId="07E1BCC7" w14:textId="14C00A3E" w:rsidR="009155CC" w:rsidRPr="00080189" w:rsidRDefault="00080189" w:rsidP="00DA2E5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Ces diapos portent sur le « pourquoi » des demandes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application de mesures procédurales.</w:t>
            </w:r>
            <w:r w:rsidR="009155CC" w:rsidRPr="0008018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Cette partie de la session se concentre sur les motifs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application des mesures procédurales.</w:t>
            </w:r>
            <w:r w:rsidR="009A0403" w:rsidRPr="0008018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Les diapos renvoient à 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exercice d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 xml:space="preserve">investigation </w:t>
            </w:r>
            <w:r w:rsidR="00DA2E5F">
              <w:rPr>
                <w:rFonts w:ascii="Verdana" w:hAnsi="Verdana"/>
                <w:sz w:val="18"/>
                <w:szCs w:val="18"/>
                <w:lang w:val="fr-FR"/>
              </w:rPr>
              <w:t xml:space="preserve">lié à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l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étude de cas pour donner des exemples de motifs pouvant être avancés et détaillés dans une demande.</w:t>
            </w:r>
          </w:p>
        </w:tc>
      </w:tr>
      <w:tr w:rsidR="009A0403" w:rsidRPr="003406F3" w14:paraId="69FC14E4" w14:textId="77777777" w:rsidTr="00080189">
        <w:trPr>
          <w:trHeight w:val="1340"/>
        </w:trPr>
        <w:tc>
          <w:tcPr>
            <w:tcW w:w="1615" w:type="dxa"/>
            <w:vAlign w:val="center"/>
          </w:tcPr>
          <w:p w14:paraId="2507D994" w14:textId="1E5DD8B2" w:rsidR="009A0403" w:rsidRPr="00080189" w:rsidRDefault="00080189" w:rsidP="006F41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62 à 64</w:t>
            </w:r>
          </w:p>
        </w:tc>
        <w:tc>
          <w:tcPr>
            <w:tcW w:w="7395" w:type="dxa"/>
            <w:gridSpan w:val="2"/>
            <w:vAlign w:val="center"/>
          </w:tcPr>
          <w:p w14:paraId="3932B950" w14:textId="3FB3DCFB" w:rsidR="009A0403" w:rsidRPr="00080189" w:rsidRDefault="00080189" w:rsidP="006F41CA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080189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Il est conseillé aux formateurs de récapituler les objectifs de la session avec les participants et de leur donner l</w:t>
            </w:r>
            <w:r w:rsidR="005C6E78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occasion de poser toutes leurs questions sur les sujets abordés.</w:t>
            </w:r>
          </w:p>
        </w:tc>
      </w:tr>
      <w:tr w:rsidR="003406F3" w:rsidRPr="003406F3" w14:paraId="2ECF09B7" w14:textId="77777777" w:rsidTr="00080189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11A46A48" w:rsidR="00CB3026" w:rsidRPr="00080189" w:rsidRDefault="00080189" w:rsidP="00080189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080189">
              <w:rPr>
                <w:rFonts w:ascii="Verdana" w:hAnsi="Verdana"/>
                <w:b/>
                <w:sz w:val="22"/>
                <w:szCs w:val="22"/>
                <w:lang w:val="fr-FR"/>
              </w:rPr>
              <w:t>Exercices pratiques</w:t>
            </w:r>
          </w:p>
          <w:p w14:paraId="04D65D89" w14:textId="6A8B7C0A" w:rsidR="00CB3026" w:rsidRPr="00080189" w:rsidRDefault="00080189" w:rsidP="006F41CA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Aucun exercice pratique n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est prévu pour ce cours.</w:t>
            </w:r>
          </w:p>
        </w:tc>
      </w:tr>
      <w:tr w:rsidR="003406F3" w:rsidRPr="003406F3" w14:paraId="603967A2" w14:textId="77777777" w:rsidTr="00B6462B">
        <w:tc>
          <w:tcPr>
            <w:tcW w:w="9010" w:type="dxa"/>
            <w:gridSpan w:val="3"/>
            <w:vAlign w:val="center"/>
          </w:tcPr>
          <w:p w14:paraId="57B48D1E" w14:textId="315FAD58" w:rsidR="00CB3026" w:rsidRPr="00080189" w:rsidRDefault="00080189" w:rsidP="00080189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080189">
              <w:rPr>
                <w:rFonts w:ascii="Verdana" w:hAnsi="Verdana"/>
                <w:b/>
                <w:sz w:val="22"/>
                <w:szCs w:val="22"/>
                <w:lang w:val="fr-FR"/>
              </w:rPr>
              <w:t>Évaluation/Vérification des connaissances</w:t>
            </w:r>
          </w:p>
          <w:p w14:paraId="4496975B" w14:textId="3C0AE609" w:rsidR="00CB3026" w:rsidRPr="00080189" w:rsidRDefault="00080189" w:rsidP="006F41C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Aucune évaluation formelle n</w:t>
            </w:r>
            <w:r w:rsidR="005C6E78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a été préparée pour ce cours.</w:t>
            </w:r>
            <w:r w:rsidR="00B468A3" w:rsidRPr="0008018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80189">
              <w:rPr>
                <w:rFonts w:ascii="Verdana" w:hAnsi="Verdana"/>
                <w:sz w:val="18"/>
                <w:szCs w:val="18"/>
                <w:lang w:val="fr-FR"/>
              </w:rPr>
              <w:t>Les formateurs sont encouragés à vérifier les connaissances des participants en les interrogeant sur des points pertinents au fil de la session.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9A04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2D72E" w14:textId="77777777" w:rsidR="006F41CA" w:rsidRDefault="006F41CA" w:rsidP="006F41CA">
      <w:r>
        <w:separator/>
      </w:r>
    </w:p>
  </w:endnote>
  <w:endnote w:type="continuationSeparator" w:id="0">
    <w:p w14:paraId="02B424D5" w14:textId="77777777" w:rsidR="006F41CA" w:rsidRDefault="006F41CA" w:rsidP="006F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Tahoma"/>
    <w:charset w:val="00"/>
    <w:family w:val="auto"/>
    <w:pitch w:val="variable"/>
    <w:sig w:usb0="00000001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809FA" w14:textId="77777777" w:rsidR="006F41CA" w:rsidRDefault="006F41CA" w:rsidP="006F41CA">
      <w:r>
        <w:separator/>
      </w:r>
    </w:p>
  </w:footnote>
  <w:footnote w:type="continuationSeparator" w:id="0">
    <w:p w14:paraId="56E9B26D" w14:textId="77777777" w:rsidR="006F41CA" w:rsidRDefault="006F41CA" w:rsidP="006F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18"/>
    <w:rsid w:val="000509A6"/>
    <w:rsid w:val="00080189"/>
    <w:rsid w:val="00105DD4"/>
    <w:rsid w:val="00175ADE"/>
    <w:rsid w:val="00185B76"/>
    <w:rsid w:val="00195107"/>
    <w:rsid w:val="001B428D"/>
    <w:rsid w:val="001B5DAD"/>
    <w:rsid w:val="002131BC"/>
    <w:rsid w:val="00271010"/>
    <w:rsid w:val="0027512B"/>
    <w:rsid w:val="002F375E"/>
    <w:rsid w:val="0033609D"/>
    <w:rsid w:val="003406F3"/>
    <w:rsid w:val="0036129C"/>
    <w:rsid w:val="003630ED"/>
    <w:rsid w:val="00383CAC"/>
    <w:rsid w:val="003958A0"/>
    <w:rsid w:val="00397FEA"/>
    <w:rsid w:val="003E0EDB"/>
    <w:rsid w:val="003F2BCF"/>
    <w:rsid w:val="003F6045"/>
    <w:rsid w:val="004639E3"/>
    <w:rsid w:val="00491B86"/>
    <w:rsid w:val="0051122C"/>
    <w:rsid w:val="005154BF"/>
    <w:rsid w:val="00534FB7"/>
    <w:rsid w:val="005703B7"/>
    <w:rsid w:val="00594B3F"/>
    <w:rsid w:val="005951B6"/>
    <w:rsid w:val="005A4E47"/>
    <w:rsid w:val="005B20C3"/>
    <w:rsid w:val="005C6E78"/>
    <w:rsid w:val="005F4B3C"/>
    <w:rsid w:val="006B6864"/>
    <w:rsid w:val="006D7128"/>
    <w:rsid w:val="006F41CA"/>
    <w:rsid w:val="006F75E4"/>
    <w:rsid w:val="007169BB"/>
    <w:rsid w:val="00754C1A"/>
    <w:rsid w:val="00761BA4"/>
    <w:rsid w:val="00790848"/>
    <w:rsid w:val="0079197D"/>
    <w:rsid w:val="00795C47"/>
    <w:rsid w:val="007A1980"/>
    <w:rsid w:val="007B75A9"/>
    <w:rsid w:val="007C58CF"/>
    <w:rsid w:val="007F2601"/>
    <w:rsid w:val="00823B30"/>
    <w:rsid w:val="008E3FE7"/>
    <w:rsid w:val="009155CC"/>
    <w:rsid w:val="009277BD"/>
    <w:rsid w:val="0094072C"/>
    <w:rsid w:val="00965ADD"/>
    <w:rsid w:val="00973E84"/>
    <w:rsid w:val="009A0403"/>
    <w:rsid w:val="009A2F63"/>
    <w:rsid w:val="009E559A"/>
    <w:rsid w:val="00A00A58"/>
    <w:rsid w:val="00A03CF0"/>
    <w:rsid w:val="00A12D3B"/>
    <w:rsid w:val="00A4110D"/>
    <w:rsid w:val="00A45EBE"/>
    <w:rsid w:val="00A53D26"/>
    <w:rsid w:val="00A734A5"/>
    <w:rsid w:val="00A9431E"/>
    <w:rsid w:val="00AA4976"/>
    <w:rsid w:val="00AB3877"/>
    <w:rsid w:val="00AE39FA"/>
    <w:rsid w:val="00AF62EC"/>
    <w:rsid w:val="00B03741"/>
    <w:rsid w:val="00B4237D"/>
    <w:rsid w:val="00B468A3"/>
    <w:rsid w:val="00B569A5"/>
    <w:rsid w:val="00B6462B"/>
    <w:rsid w:val="00B71D66"/>
    <w:rsid w:val="00B8500B"/>
    <w:rsid w:val="00BD6890"/>
    <w:rsid w:val="00C541A2"/>
    <w:rsid w:val="00CB02C4"/>
    <w:rsid w:val="00CB2B4D"/>
    <w:rsid w:val="00CB3026"/>
    <w:rsid w:val="00CF0C7C"/>
    <w:rsid w:val="00D1666A"/>
    <w:rsid w:val="00D82C18"/>
    <w:rsid w:val="00D944B5"/>
    <w:rsid w:val="00DA2E5F"/>
    <w:rsid w:val="00DB09DC"/>
    <w:rsid w:val="00DC0837"/>
    <w:rsid w:val="00E12590"/>
    <w:rsid w:val="00E13BE7"/>
    <w:rsid w:val="00E17E67"/>
    <w:rsid w:val="00E55549"/>
    <w:rsid w:val="00E7344B"/>
    <w:rsid w:val="00E95703"/>
    <w:rsid w:val="00EE70BF"/>
    <w:rsid w:val="00F35B67"/>
    <w:rsid w:val="00F62A15"/>
    <w:rsid w:val="00F813A3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En-tte">
    <w:name w:val="header"/>
    <w:basedOn w:val="Normal"/>
    <w:link w:val="En-tteCar"/>
    <w:uiPriority w:val="99"/>
    <w:unhideWhenUsed/>
    <w:rsid w:val="006F41C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F41CA"/>
  </w:style>
  <w:style w:type="paragraph" w:styleId="Pieddepage">
    <w:name w:val="footer"/>
    <w:basedOn w:val="Normal"/>
    <w:link w:val="PieddepageCar"/>
    <w:uiPriority w:val="99"/>
    <w:unhideWhenUsed/>
    <w:rsid w:val="006F41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F41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En-tte">
    <w:name w:val="header"/>
    <w:basedOn w:val="Normal"/>
    <w:link w:val="En-tteCar"/>
    <w:uiPriority w:val="99"/>
    <w:unhideWhenUsed/>
    <w:rsid w:val="006F41C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F41CA"/>
  </w:style>
  <w:style w:type="paragraph" w:styleId="Pieddepage">
    <w:name w:val="footer"/>
    <w:basedOn w:val="Normal"/>
    <w:link w:val="PieddepageCar"/>
    <w:uiPriority w:val="99"/>
    <w:unhideWhenUsed/>
    <w:rsid w:val="006F41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F4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675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Magali</cp:lastModifiedBy>
  <cp:revision>9</cp:revision>
  <dcterms:created xsi:type="dcterms:W3CDTF">2018-05-29T15:12:00Z</dcterms:created>
  <dcterms:modified xsi:type="dcterms:W3CDTF">2018-05-30T08:44:00Z</dcterms:modified>
</cp:coreProperties>
</file>