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52471" w:rsidRDefault="00B71D66" w:rsidP="006D7128">
      <w:pPr>
        <w:rPr>
          <w:rFonts w:ascii="Verdana" w:hAnsi="Verdana"/>
        </w:rPr>
      </w:pPr>
      <w:r>
        <w:rPr>
          <w:rFonts w:ascii="Verdana" w:hAnsi="Verdana"/>
          <w:b/>
          <w:sz w:val="32"/>
          <w:szCs w:val="32"/>
        </w:rPr>
        <w:t>Plan de lección</w:t>
      </w:r>
    </w:p>
    <w:p w14:paraId="297047B4" w14:textId="77777777" w:rsidR="00B71D66" w:rsidRPr="00352471" w:rsidRDefault="00B71D66" w:rsidP="00B71D66">
      <w:pPr>
        <w:pStyle w:val="Prrafodelista"/>
        <w:ind w:left="360"/>
        <w:rPr>
          <w:rFonts w:ascii="Verdana" w:hAnsi="Verdana"/>
        </w:rPr>
      </w:pPr>
    </w:p>
    <w:p w14:paraId="6857C56D" w14:textId="63021335" w:rsidR="00D82C18" w:rsidRPr="00352471" w:rsidRDefault="00D82C18" w:rsidP="006D7128">
      <w:pPr>
        <w:rPr>
          <w:rFonts w:ascii="Verdana" w:hAnsi="Verdana"/>
          <w:b/>
          <w:sz w:val="22"/>
          <w:szCs w:val="22"/>
        </w:rPr>
      </w:pPr>
      <w:r>
        <w:rPr>
          <w:rFonts w:ascii="Verdana" w:hAnsi="Verdana"/>
          <w:sz w:val="28"/>
          <w:szCs w:val="28"/>
        </w:rPr>
        <w:t>Lección 2.1.2 (Información actualizada sobre la Convención de Budapest – Acceso a evidencias en la nube y el protocolo adicional)</w:t>
      </w:r>
    </w:p>
    <w:p w14:paraId="0A3DD02D" w14:textId="77777777" w:rsidR="00D82C18" w:rsidRPr="00352471" w:rsidRDefault="00D82C18" w:rsidP="00B71D66">
      <w:pPr>
        <w:ind w:left="720"/>
        <w:rPr>
          <w:rFonts w:ascii="Verdana" w:hAnsi="Verdana"/>
        </w:rPr>
      </w:pPr>
    </w:p>
    <w:tbl>
      <w:tblPr>
        <w:tblStyle w:val="Tablaconcuadrcula"/>
        <w:tblW w:w="0" w:type="auto"/>
        <w:tblLook w:val="04A0" w:firstRow="1" w:lastRow="0" w:firstColumn="1" w:lastColumn="0" w:noHBand="0" w:noVBand="1"/>
      </w:tblPr>
      <w:tblGrid>
        <w:gridCol w:w="1925"/>
        <w:gridCol w:w="4375"/>
        <w:gridCol w:w="2710"/>
      </w:tblGrid>
      <w:tr w:rsidR="003406F3" w:rsidRPr="00352471" w14:paraId="58A3485E" w14:textId="77777777" w:rsidTr="00ED79D5">
        <w:trPr>
          <w:trHeight w:val="872"/>
        </w:trPr>
        <w:tc>
          <w:tcPr>
            <w:tcW w:w="6300" w:type="dxa"/>
            <w:gridSpan w:val="2"/>
            <w:shd w:val="clear" w:color="auto" w:fill="DEEAF6" w:themeFill="accent5" w:themeFillTint="33"/>
            <w:vAlign w:val="center"/>
          </w:tcPr>
          <w:p w14:paraId="0067FF35" w14:textId="3547660F" w:rsidR="00D82C18" w:rsidRPr="00352471" w:rsidRDefault="00D82C18" w:rsidP="00352471">
            <w:pPr>
              <w:rPr>
                <w:rFonts w:ascii="Verdana" w:hAnsi="Verdana"/>
                <w:sz w:val="22"/>
                <w:szCs w:val="22"/>
              </w:rPr>
            </w:pPr>
            <w:r>
              <w:rPr>
                <w:rFonts w:ascii="Verdana" w:hAnsi="Verdana"/>
                <w:sz w:val="22"/>
                <w:szCs w:val="22"/>
              </w:rPr>
              <w:t xml:space="preserve">Lección 2.1.2 (Información actualizada sobre la Convención de Budapest – Acceso a evidencias en la nube y el protocolo adicional) </w:t>
            </w:r>
          </w:p>
        </w:tc>
        <w:tc>
          <w:tcPr>
            <w:tcW w:w="2710" w:type="dxa"/>
            <w:shd w:val="clear" w:color="auto" w:fill="DEEAF6" w:themeFill="accent5" w:themeFillTint="33"/>
            <w:vAlign w:val="center"/>
          </w:tcPr>
          <w:p w14:paraId="30B631DA" w14:textId="06AFDBD1" w:rsidR="00D82C18" w:rsidRPr="00352471" w:rsidRDefault="00D82C18" w:rsidP="0074158D">
            <w:pPr>
              <w:rPr>
                <w:rFonts w:ascii="Verdana" w:hAnsi="Verdana"/>
                <w:sz w:val="22"/>
                <w:szCs w:val="22"/>
              </w:rPr>
            </w:pPr>
            <w:r>
              <w:rPr>
                <w:rFonts w:ascii="Verdana" w:hAnsi="Verdana"/>
                <w:sz w:val="22"/>
                <w:szCs w:val="22"/>
              </w:rPr>
              <w:t>Duración: 60 minutos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Pr>
                <w:rFonts w:ascii="Verdana" w:hAnsi="Verdana"/>
                <w:b/>
                <w:sz w:val="22"/>
                <w:szCs w:val="22"/>
              </w:rPr>
              <w:t>Recursos necesarios:</w:t>
            </w:r>
          </w:p>
          <w:p w14:paraId="3E3ADEA0" w14:textId="77777777" w:rsidR="00E7344B" w:rsidRPr="00352471" w:rsidRDefault="00E7344B" w:rsidP="00F62A15">
            <w:pPr>
              <w:pStyle w:val="bul1"/>
              <w:numPr>
                <w:ilvl w:val="0"/>
                <w:numId w:val="6"/>
              </w:numPr>
              <w:spacing w:before="120" w:after="120" w:line="280" w:lineRule="exact"/>
              <w:contextualSpacing/>
              <w:rPr>
                <w:szCs w:val="18"/>
              </w:rPr>
            </w:pPr>
            <w:r>
              <w:t>Ordenador/laptop con versiones de software compatibles con los materiales preparados</w:t>
            </w:r>
          </w:p>
          <w:p w14:paraId="737B8760" w14:textId="77777777" w:rsidR="00E7344B" w:rsidRPr="00352471" w:rsidRDefault="00E7344B" w:rsidP="00F62A15">
            <w:pPr>
              <w:pStyle w:val="bul1"/>
              <w:numPr>
                <w:ilvl w:val="0"/>
                <w:numId w:val="6"/>
              </w:numPr>
              <w:spacing w:before="120" w:after="120" w:line="280" w:lineRule="exact"/>
              <w:contextualSpacing/>
              <w:rPr>
                <w:szCs w:val="18"/>
              </w:rPr>
            </w:pPr>
            <w:r>
              <w:t>Proyector y pantalla de proyección.</w:t>
            </w:r>
          </w:p>
          <w:p w14:paraId="65055340" w14:textId="77777777" w:rsidR="00E7344B" w:rsidRPr="00352471" w:rsidRDefault="00E7344B" w:rsidP="00F62A15">
            <w:pPr>
              <w:pStyle w:val="bul1"/>
              <w:numPr>
                <w:ilvl w:val="0"/>
                <w:numId w:val="6"/>
              </w:numPr>
              <w:spacing w:before="120" w:after="120" w:line="280" w:lineRule="exact"/>
              <w:contextualSpacing/>
              <w:rPr>
                <w:szCs w:val="18"/>
              </w:rPr>
            </w:pPr>
            <w:r>
              <w:t xml:space="preserve">Acceso a Internet (si está disponible). </w:t>
            </w:r>
          </w:p>
          <w:p w14:paraId="4B2A4031" w14:textId="77777777" w:rsidR="00E7344B" w:rsidRPr="00352471" w:rsidRDefault="00E7344B" w:rsidP="00B569A5">
            <w:pPr>
              <w:pStyle w:val="bul1"/>
              <w:numPr>
                <w:ilvl w:val="0"/>
                <w:numId w:val="6"/>
              </w:numPr>
              <w:spacing w:before="120" w:after="120" w:line="280" w:lineRule="exact"/>
              <w:contextualSpacing/>
              <w:rPr>
                <w:i/>
                <w:szCs w:val="18"/>
              </w:rPr>
            </w:pPr>
            <w:r>
              <w:t>Papel y lapiceros para el estudiante.</w:t>
            </w:r>
          </w:p>
          <w:p w14:paraId="14CF9EF0" w14:textId="7B59DCA5" w:rsidR="00D71168" w:rsidRPr="00827F36" w:rsidRDefault="00D71168" w:rsidP="00352471">
            <w:pPr>
              <w:pStyle w:val="bul1"/>
              <w:numPr>
                <w:ilvl w:val="0"/>
                <w:numId w:val="0"/>
              </w:numPr>
              <w:spacing w:before="120" w:after="120" w:line="280" w:lineRule="exact"/>
              <w:ind w:left="360"/>
              <w:contextualSpacing/>
              <w:rPr>
                <w:i/>
                <w:szCs w:val="18"/>
                <w:lang w:val="es-ES"/>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Pr>
                <w:rFonts w:ascii="Verdana" w:hAnsi="Verdana"/>
                <w:b/>
                <w:sz w:val="22"/>
                <w:szCs w:val="22"/>
              </w:rPr>
              <w:t xml:space="preserve">Propósito de la sesión:  </w:t>
            </w:r>
          </w:p>
          <w:p w14:paraId="3FE58655" w14:textId="57B7AD9E" w:rsidR="00A03CF0" w:rsidRPr="00352471" w:rsidRDefault="00352471" w:rsidP="00BD6890">
            <w:pPr>
              <w:spacing w:before="120" w:after="120" w:line="280" w:lineRule="exact"/>
              <w:jc w:val="both"/>
              <w:rPr>
                <w:rFonts w:ascii="Verdana" w:hAnsi="Verdana"/>
                <w:sz w:val="18"/>
                <w:szCs w:val="18"/>
              </w:rPr>
            </w:pPr>
            <w:r>
              <w:rPr>
                <w:rFonts w:ascii="Verdana" w:hAnsi="Verdana"/>
                <w:sz w:val="18"/>
                <w:szCs w:val="18"/>
              </w:rPr>
              <w:t>El propósito de esta sesión es presentar a los delegados el curso de formación y los temas y áreas que se abordarán en el programa.</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Pr>
                <w:rFonts w:ascii="Verdana" w:hAnsi="Verdana"/>
                <w:b/>
                <w:sz w:val="22"/>
                <w:szCs w:val="22"/>
              </w:rPr>
              <w:t>Objetivos:</w:t>
            </w:r>
          </w:p>
          <w:p w14:paraId="760D31C9" w14:textId="59A35DE7" w:rsidR="00022CD5" w:rsidRPr="00981C4C" w:rsidRDefault="00D71168" w:rsidP="00981C4C">
            <w:pPr>
              <w:tabs>
                <w:tab w:val="left" w:pos="426"/>
                <w:tab w:val="left" w:pos="851"/>
              </w:tabs>
              <w:spacing w:line="280" w:lineRule="exact"/>
              <w:ind w:left="425" w:hanging="425"/>
              <w:contextualSpacing/>
              <w:jc w:val="both"/>
              <w:rPr>
                <w:rFonts w:ascii="Verdana" w:eastAsia="Times New Roman" w:hAnsi="Verdana" w:cs="Times New Roman"/>
                <w:sz w:val="18"/>
                <w:szCs w:val="18"/>
              </w:rPr>
            </w:pPr>
            <w:r>
              <w:rPr>
                <w:rFonts w:ascii="Verdana" w:hAnsi="Verdana"/>
                <w:sz w:val="18"/>
                <w:szCs w:val="18"/>
              </w:rPr>
              <w:t>Al término de esta sesión, los delegados serán capaces de:</w:t>
            </w:r>
          </w:p>
          <w:p w14:paraId="0498FB3E" w14:textId="77777777"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rPr>
            </w:pPr>
            <w:r>
              <w:rPr>
                <w:rFonts w:ascii="Verdana" w:hAnsi="Verdana"/>
                <w:color w:val="000000"/>
                <w:sz w:val="18"/>
                <w:szCs w:val="18"/>
              </w:rPr>
              <w:t>• Proporcionar información actualizada sobre el alcance de la Convención de Budapest</w:t>
            </w:r>
          </w:p>
          <w:p w14:paraId="7BEB3A09" w14:textId="77777777"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rPr>
            </w:pPr>
            <w:r>
              <w:rPr>
                <w:rFonts w:ascii="Verdana" w:hAnsi="Verdana"/>
                <w:color w:val="000000"/>
                <w:sz w:val="18"/>
                <w:szCs w:val="18"/>
              </w:rPr>
              <w:t>• Registrar los principales problemas que se encuentran al acceder a las evidencias electrónicas en la nube</w:t>
            </w:r>
          </w:p>
          <w:p w14:paraId="0A1E542C" w14:textId="77777777"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rPr>
            </w:pPr>
            <w:r>
              <w:rPr>
                <w:rFonts w:ascii="Verdana" w:hAnsi="Verdana"/>
                <w:color w:val="000000"/>
                <w:sz w:val="18"/>
                <w:szCs w:val="18"/>
              </w:rPr>
              <w:t>• Explicar qué soluciones se están buscando actualmente en el contexto de la legislación internacional</w:t>
            </w:r>
          </w:p>
          <w:p w14:paraId="61ABEAC5" w14:textId="488FDAD9" w:rsidR="0036129C" w:rsidRPr="00352471" w:rsidRDefault="00981C4C" w:rsidP="00981C4C">
            <w:pPr>
              <w:pStyle w:val="bul1"/>
              <w:numPr>
                <w:ilvl w:val="0"/>
                <w:numId w:val="0"/>
              </w:numPr>
              <w:spacing w:line="280" w:lineRule="exact"/>
            </w:pPr>
            <w:r>
              <w:t xml:space="preserve"> </w:t>
            </w: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52471" w:rsidRDefault="00E95703" w:rsidP="00F62A15">
            <w:pPr>
              <w:spacing w:before="120" w:after="120" w:line="280" w:lineRule="exact"/>
              <w:rPr>
                <w:rFonts w:ascii="Verdana" w:hAnsi="Verdana"/>
                <w:b/>
                <w:sz w:val="22"/>
                <w:szCs w:val="22"/>
              </w:rPr>
            </w:pPr>
            <w:r>
              <w:rPr>
                <w:rFonts w:ascii="Verdana" w:hAnsi="Verdana"/>
                <w:b/>
                <w:sz w:val="22"/>
                <w:szCs w:val="22"/>
              </w:rPr>
              <w:t>Guía del formador</w:t>
            </w:r>
          </w:p>
          <w:p w14:paraId="70D6BBA1" w14:textId="77777777" w:rsidR="00981C4C" w:rsidRDefault="00C511B6" w:rsidP="00D71168">
            <w:pPr>
              <w:spacing w:before="120" w:after="120" w:line="280" w:lineRule="exact"/>
              <w:jc w:val="both"/>
              <w:rPr>
                <w:rFonts w:ascii="Verdana" w:hAnsi="Verdana"/>
                <w:sz w:val="18"/>
                <w:szCs w:val="18"/>
              </w:rPr>
            </w:pPr>
            <w:r>
              <w:rPr>
                <w:rFonts w:ascii="Verdana" w:hAnsi="Verdana"/>
                <w:sz w:val="18"/>
                <w:szCs w:val="18"/>
              </w:rPr>
              <w:t xml:space="preserve">Esta presentación debe proporcionar información actualizada a los estudiantes y delegados acerca de los últimos avances respecto a la Convención sobre Delitos Cibernéticos del Consejo de Europa (ETS 185) y la capacidad de crear proyectos organizados por el Consejo e implementados por la oficina C-PROC (Oficina del Programa contra los Delitos Informáticos). </w:t>
            </w:r>
          </w:p>
          <w:p w14:paraId="5EFF4BEF" w14:textId="0018EBAE" w:rsidR="007B75A9" w:rsidRPr="00352471" w:rsidRDefault="00827F36" w:rsidP="00D71168">
            <w:pPr>
              <w:spacing w:before="120" w:after="120" w:line="280" w:lineRule="exact"/>
              <w:jc w:val="both"/>
              <w:rPr>
                <w:rFonts w:ascii="Verdana" w:hAnsi="Verdana"/>
                <w:sz w:val="18"/>
                <w:szCs w:val="18"/>
              </w:rPr>
            </w:pPr>
            <w:r>
              <w:rPr>
                <w:rFonts w:ascii="Verdana" w:hAnsi="Verdana"/>
                <w:sz w:val="18"/>
                <w:szCs w:val="18"/>
              </w:rPr>
              <w:t>Asimismo,</w:t>
            </w:r>
            <w:r w:rsidR="00981C4C">
              <w:rPr>
                <w:rFonts w:ascii="Verdana" w:hAnsi="Verdana"/>
                <w:sz w:val="18"/>
                <w:szCs w:val="18"/>
              </w:rPr>
              <w:t xml:space="preserve"> debe presentar los últimos avances en el campo de la perpetración contemporánea de los actos delictivos como los delitos cibernéticos.</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52471" w:rsidRDefault="005A4E47" w:rsidP="00CB3026">
            <w:pPr>
              <w:rPr>
                <w:rFonts w:ascii="Verdana" w:hAnsi="Verdana"/>
                <w:b/>
                <w:sz w:val="28"/>
                <w:szCs w:val="28"/>
              </w:rPr>
            </w:pPr>
            <w:r>
              <w:rPr>
                <w:rFonts w:ascii="Verdana" w:hAnsi="Verdana"/>
                <w:b/>
                <w:sz w:val="28"/>
                <w:szCs w:val="28"/>
              </w:rPr>
              <w:t>Contenido de la lección</w:t>
            </w:r>
          </w:p>
        </w:tc>
      </w:tr>
      <w:tr w:rsidR="003406F3" w:rsidRPr="00352471" w14:paraId="57CC7AA4" w14:textId="77777777" w:rsidTr="00ED79D5">
        <w:trPr>
          <w:trHeight w:val="629"/>
        </w:trPr>
        <w:tc>
          <w:tcPr>
            <w:tcW w:w="1925"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Pr>
                <w:rFonts w:ascii="Verdana" w:hAnsi="Verdana"/>
                <w:b/>
                <w:sz w:val="22"/>
                <w:szCs w:val="22"/>
              </w:rPr>
              <w:t>Números de transparencia</w:t>
            </w:r>
          </w:p>
        </w:tc>
        <w:tc>
          <w:tcPr>
            <w:tcW w:w="7085"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Pr>
                <w:rFonts w:ascii="Verdana" w:hAnsi="Verdana"/>
                <w:b/>
                <w:sz w:val="22"/>
                <w:szCs w:val="22"/>
              </w:rPr>
              <w:t>Contenido</w:t>
            </w:r>
          </w:p>
        </w:tc>
      </w:tr>
      <w:tr w:rsidR="003406F3" w:rsidRPr="00352471" w14:paraId="11A12D7E" w14:textId="77777777" w:rsidTr="00ED79D5">
        <w:trPr>
          <w:trHeight w:val="530"/>
        </w:trPr>
        <w:tc>
          <w:tcPr>
            <w:tcW w:w="1925"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Pr>
                <w:rFonts w:ascii="Verdana" w:hAnsi="Verdana"/>
                <w:sz w:val="18"/>
                <w:szCs w:val="18"/>
              </w:rPr>
              <w:t>1 a 3</w:t>
            </w:r>
          </w:p>
        </w:tc>
        <w:tc>
          <w:tcPr>
            <w:tcW w:w="7085" w:type="dxa"/>
            <w:gridSpan w:val="2"/>
            <w:vAlign w:val="center"/>
          </w:tcPr>
          <w:p w14:paraId="36345B59" w14:textId="76001558" w:rsidR="003630ED" w:rsidRPr="00352471"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Las primeras transparencias describen la estructura y los objetivos de esta sesión. Los delegados tendrán la posibilidad de hacer consultas preliminares que puedan tener con respecto a la estructura y los objetivos de la sesión.</w:t>
            </w:r>
          </w:p>
        </w:tc>
      </w:tr>
      <w:tr w:rsidR="009709E0" w:rsidRPr="00352471" w14:paraId="71E3AEF2" w14:textId="77777777" w:rsidTr="00ED79D5">
        <w:trPr>
          <w:trHeight w:val="539"/>
        </w:trPr>
        <w:tc>
          <w:tcPr>
            <w:tcW w:w="1925" w:type="dxa"/>
            <w:vAlign w:val="center"/>
          </w:tcPr>
          <w:p w14:paraId="644F4525" w14:textId="087BBC00" w:rsidR="009709E0" w:rsidRDefault="009709E0" w:rsidP="00D71168">
            <w:pPr>
              <w:jc w:val="center"/>
              <w:rPr>
                <w:rFonts w:ascii="Verdana" w:hAnsi="Verdana"/>
                <w:sz w:val="18"/>
                <w:szCs w:val="18"/>
              </w:rPr>
            </w:pPr>
            <w:r>
              <w:rPr>
                <w:rFonts w:ascii="Verdana" w:hAnsi="Verdana"/>
                <w:sz w:val="18"/>
                <w:szCs w:val="18"/>
              </w:rPr>
              <w:t>4 - 5</w:t>
            </w:r>
          </w:p>
        </w:tc>
        <w:tc>
          <w:tcPr>
            <w:tcW w:w="7085" w:type="dxa"/>
            <w:gridSpan w:val="2"/>
            <w:vAlign w:val="center"/>
          </w:tcPr>
          <w:p w14:paraId="501C89EA" w14:textId="1EA5198E" w:rsidR="009709E0" w:rsidRPr="00981C4C" w:rsidRDefault="00C511B6" w:rsidP="00981C4C">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Esta transparencia brinda información sobre las principales dificultades actuales respecto al entendimiento y la implementación práctica del derecho sustantivo, procesal e internacional en el campo de la ciberdelincuencia</w:t>
            </w:r>
            <w:r>
              <w:rPr>
                <w:rFonts w:ascii="Verdana" w:hAnsi="Verdana"/>
                <w:color w:val="000000"/>
                <w:sz w:val="18"/>
                <w:szCs w:val="18"/>
              </w:rPr>
              <w:t xml:space="preserve">. </w:t>
            </w:r>
          </w:p>
        </w:tc>
      </w:tr>
      <w:tr w:rsidR="009709E0" w:rsidRPr="00352471" w14:paraId="3A56FCB4" w14:textId="77777777" w:rsidTr="00ED79D5">
        <w:trPr>
          <w:trHeight w:val="539"/>
        </w:trPr>
        <w:tc>
          <w:tcPr>
            <w:tcW w:w="1925" w:type="dxa"/>
            <w:vAlign w:val="center"/>
          </w:tcPr>
          <w:p w14:paraId="26A94FCD" w14:textId="3644DB40" w:rsidR="009709E0" w:rsidRDefault="00981C4C" w:rsidP="00D71168">
            <w:pPr>
              <w:jc w:val="center"/>
              <w:rPr>
                <w:rFonts w:ascii="Verdana" w:hAnsi="Verdana"/>
                <w:sz w:val="18"/>
                <w:szCs w:val="18"/>
              </w:rPr>
            </w:pPr>
            <w:r>
              <w:rPr>
                <w:rFonts w:ascii="Verdana" w:hAnsi="Verdana"/>
                <w:sz w:val="18"/>
                <w:szCs w:val="18"/>
              </w:rPr>
              <w:lastRenderedPageBreak/>
              <w:t>6</w:t>
            </w:r>
          </w:p>
        </w:tc>
        <w:tc>
          <w:tcPr>
            <w:tcW w:w="7085" w:type="dxa"/>
            <w:gridSpan w:val="2"/>
            <w:vAlign w:val="center"/>
          </w:tcPr>
          <w:p w14:paraId="187029DA" w14:textId="1635C09C" w:rsidR="00981C4C" w:rsidRPr="003F62DF" w:rsidRDefault="003F62DF" w:rsidP="00981C4C">
            <w:pPr>
              <w:autoSpaceDE w:val="0"/>
              <w:autoSpaceDN w:val="0"/>
              <w:adjustRightInd w:val="0"/>
              <w:spacing w:line="280" w:lineRule="exact"/>
              <w:jc w:val="both"/>
              <w:rPr>
                <w:rFonts w:ascii="Verdana" w:hAnsi="Verdana" w:cs="Calibri"/>
                <w:color w:val="000000"/>
                <w:sz w:val="18"/>
                <w:szCs w:val="18"/>
              </w:rPr>
            </w:pPr>
            <w:r>
              <w:rPr>
                <w:rFonts w:ascii="Verdana" w:hAnsi="Verdana"/>
                <w:sz w:val="18"/>
                <w:szCs w:val="18"/>
              </w:rPr>
              <w:t>Esta transparencia brinda información sobre la Convención de Budapest, su implementación y artículos. Los formadores deben tener el texto de la Convención con notas explicativas listas a su lado.</w:t>
            </w:r>
          </w:p>
          <w:p w14:paraId="48673487" w14:textId="5738FF10" w:rsidR="009709E0" w:rsidRPr="00827F36" w:rsidRDefault="009709E0" w:rsidP="003F62DF">
            <w:pPr>
              <w:autoSpaceDE w:val="0"/>
              <w:autoSpaceDN w:val="0"/>
              <w:adjustRightInd w:val="0"/>
              <w:spacing w:line="280" w:lineRule="exact"/>
              <w:jc w:val="both"/>
              <w:rPr>
                <w:rFonts w:ascii="Verdana" w:hAnsi="Verdana" w:cs="Times"/>
                <w:color w:val="000000"/>
                <w:sz w:val="18"/>
                <w:szCs w:val="18"/>
                <w:lang w:val="es-ES"/>
              </w:rPr>
            </w:pPr>
          </w:p>
        </w:tc>
      </w:tr>
      <w:tr w:rsidR="003406F3" w:rsidRPr="003F62DF" w14:paraId="65F07CB5" w14:textId="77777777" w:rsidTr="00ED79D5">
        <w:trPr>
          <w:trHeight w:val="539"/>
        </w:trPr>
        <w:tc>
          <w:tcPr>
            <w:tcW w:w="1925" w:type="dxa"/>
            <w:vAlign w:val="center"/>
          </w:tcPr>
          <w:p w14:paraId="6F5AEB2D" w14:textId="42DF99DC" w:rsidR="00D82C18" w:rsidRPr="00352471" w:rsidRDefault="003F62DF" w:rsidP="00D71168">
            <w:pPr>
              <w:jc w:val="center"/>
              <w:rPr>
                <w:rFonts w:ascii="Verdana" w:hAnsi="Verdana"/>
                <w:sz w:val="18"/>
                <w:szCs w:val="18"/>
              </w:rPr>
            </w:pPr>
            <w:r>
              <w:rPr>
                <w:rFonts w:ascii="Verdana" w:hAnsi="Verdana"/>
                <w:sz w:val="18"/>
                <w:szCs w:val="18"/>
              </w:rPr>
              <w:t>7</w:t>
            </w:r>
          </w:p>
        </w:tc>
        <w:tc>
          <w:tcPr>
            <w:tcW w:w="7085" w:type="dxa"/>
            <w:gridSpan w:val="2"/>
            <w:vAlign w:val="center"/>
          </w:tcPr>
          <w:p w14:paraId="649FEA68" w14:textId="0B7E04E4" w:rsidR="002131BC" w:rsidRPr="003F62DF" w:rsidRDefault="009D0620" w:rsidP="009D0620">
            <w:pPr>
              <w:autoSpaceDE w:val="0"/>
              <w:autoSpaceDN w:val="0"/>
              <w:adjustRightInd w:val="0"/>
              <w:spacing w:line="280" w:lineRule="exact"/>
              <w:jc w:val="both"/>
              <w:rPr>
                <w:rFonts w:ascii="Verdana" w:hAnsi="Verdana"/>
                <w:szCs w:val="18"/>
              </w:rPr>
            </w:pPr>
            <w:r>
              <w:rPr>
                <w:rFonts w:ascii="Verdana" w:hAnsi="Verdana"/>
                <w:color w:val="000000"/>
                <w:sz w:val="18"/>
                <w:szCs w:val="18"/>
              </w:rPr>
              <w:t>Alcance de la transparencia gráfica de la Convención. Más de 130 países ratificaron, firmaron o están implementando la Convención de diversas maneras.</w:t>
            </w:r>
          </w:p>
        </w:tc>
      </w:tr>
      <w:tr w:rsidR="003406F3" w:rsidRPr="00352471" w14:paraId="3236CF7B" w14:textId="77777777" w:rsidTr="00ED79D5">
        <w:trPr>
          <w:trHeight w:val="1295"/>
        </w:trPr>
        <w:tc>
          <w:tcPr>
            <w:tcW w:w="1925" w:type="dxa"/>
            <w:vAlign w:val="center"/>
          </w:tcPr>
          <w:p w14:paraId="63F93ACC" w14:textId="67604DC4" w:rsidR="00A00A58" w:rsidRPr="00352471" w:rsidRDefault="003F62DF" w:rsidP="0018454B">
            <w:pPr>
              <w:jc w:val="center"/>
              <w:rPr>
                <w:rFonts w:ascii="Verdana" w:hAnsi="Verdana"/>
                <w:sz w:val="18"/>
                <w:szCs w:val="18"/>
              </w:rPr>
            </w:pPr>
            <w:r>
              <w:rPr>
                <w:rFonts w:ascii="Verdana" w:hAnsi="Verdana"/>
                <w:sz w:val="18"/>
                <w:szCs w:val="18"/>
              </w:rPr>
              <w:t>8</w:t>
            </w:r>
          </w:p>
        </w:tc>
        <w:tc>
          <w:tcPr>
            <w:tcW w:w="7085" w:type="dxa"/>
            <w:gridSpan w:val="2"/>
            <w:vAlign w:val="center"/>
          </w:tcPr>
          <w:p w14:paraId="6B518A62" w14:textId="06D72C35" w:rsidR="00B4237D" w:rsidRPr="00352471" w:rsidRDefault="009D0620" w:rsidP="005C56FD">
            <w:pPr>
              <w:spacing w:before="120" w:after="120" w:line="280" w:lineRule="exact"/>
              <w:jc w:val="both"/>
              <w:rPr>
                <w:rFonts w:ascii="Verdana" w:hAnsi="Verdana"/>
                <w:sz w:val="18"/>
                <w:szCs w:val="18"/>
              </w:rPr>
            </w:pPr>
            <w:r>
              <w:rPr>
                <w:rFonts w:ascii="Verdana" w:hAnsi="Verdana"/>
                <w:sz w:val="18"/>
                <w:szCs w:val="18"/>
              </w:rPr>
              <w:t>Alcance de la transparencia de la Convención. Artículos sobre conducta delictiva, instrumentos procesales y cooperación internacional de la Convención gráficamente presentados, destacando el vínculo con la armonización y la necesidad.</w:t>
            </w:r>
            <w:bookmarkStart w:id="0" w:name="_GoBack"/>
            <w:bookmarkEnd w:id="0"/>
          </w:p>
        </w:tc>
      </w:tr>
      <w:tr w:rsidR="003406F3" w:rsidRPr="00352471" w14:paraId="5AA3C4AD" w14:textId="77777777" w:rsidTr="00ED79D5">
        <w:trPr>
          <w:trHeight w:val="557"/>
        </w:trPr>
        <w:tc>
          <w:tcPr>
            <w:tcW w:w="1925" w:type="dxa"/>
            <w:vAlign w:val="center"/>
          </w:tcPr>
          <w:p w14:paraId="07F9F799" w14:textId="47AB572E" w:rsidR="00A00A58" w:rsidRPr="00352471" w:rsidRDefault="009D0620" w:rsidP="009709E0">
            <w:pPr>
              <w:jc w:val="center"/>
              <w:rPr>
                <w:rFonts w:ascii="Verdana" w:hAnsi="Verdana"/>
                <w:sz w:val="18"/>
                <w:szCs w:val="18"/>
              </w:rPr>
            </w:pPr>
            <w:r>
              <w:rPr>
                <w:rFonts w:ascii="Verdana" w:hAnsi="Verdana"/>
                <w:sz w:val="18"/>
                <w:szCs w:val="18"/>
              </w:rPr>
              <w:t>9</w:t>
            </w:r>
          </w:p>
        </w:tc>
        <w:tc>
          <w:tcPr>
            <w:tcW w:w="7085" w:type="dxa"/>
            <w:gridSpan w:val="2"/>
            <w:vAlign w:val="center"/>
          </w:tcPr>
          <w:p w14:paraId="1B9C6A39" w14:textId="226232B8" w:rsidR="009A2F63" w:rsidRPr="003F62DF" w:rsidRDefault="003F62DF" w:rsidP="003F62DF">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Esta transparencia muestra las dificultades de la evidencia e informática en la nube y la Convención sobre la ciberdelincuencia en relación a ello.</w:t>
            </w:r>
          </w:p>
        </w:tc>
      </w:tr>
      <w:tr w:rsidR="009A2F63" w:rsidRPr="00352471" w14:paraId="0951A486" w14:textId="77777777" w:rsidTr="00ED79D5">
        <w:trPr>
          <w:trHeight w:val="1340"/>
        </w:trPr>
        <w:tc>
          <w:tcPr>
            <w:tcW w:w="1925" w:type="dxa"/>
            <w:vAlign w:val="center"/>
          </w:tcPr>
          <w:p w14:paraId="5D758CF8" w14:textId="09368FAE" w:rsidR="009A2F63" w:rsidRPr="00352471" w:rsidRDefault="009D0620" w:rsidP="009709E0">
            <w:pPr>
              <w:jc w:val="center"/>
              <w:rPr>
                <w:rFonts w:ascii="Verdana" w:hAnsi="Verdana"/>
                <w:sz w:val="18"/>
                <w:szCs w:val="18"/>
              </w:rPr>
            </w:pPr>
            <w:r>
              <w:rPr>
                <w:rFonts w:ascii="Verdana" w:hAnsi="Verdana"/>
                <w:sz w:val="18"/>
                <w:szCs w:val="18"/>
              </w:rPr>
              <w:t>10 - 11</w:t>
            </w:r>
          </w:p>
        </w:tc>
        <w:tc>
          <w:tcPr>
            <w:tcW w:w="7085" w:type="dxa"/>
            <w:gridSpan w:val="2"/>
            <w:vAlign w:val="center"/>
          </w:tcPr>
          <w:p w14:paraId="01ADF30B" w14:textId="642C1B13" w:rsidR="009709E0" w:rsidRPr="003F62DF" w:rsidRDefault="00D44EE1" w:rsidP="003F62DF">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Las transparencias muestran la organización y el trabajo del grupo T-CY del Comité de Evidencias en la Nube (CEG), incluidos los problemas que fueron identificados y para los cuales el grupo T-CY debe recomendar una solución de la manera más eficaz posible.</w:t>
            </w:r>
          </w:p>
        </w:tc>
      </w:tr>
      <w:tr w:rsidR="005C56FD" w:rsidRPr="00352471" w14:paraId="2960FE36" w14:textId="77777777" w:rsidTr="00ED79D5">
        <w:trPr>
          <w:trHeight w:val="1007"/>
        </w:trPr>
        <w:tc>
          <w:tcPr>
            <w:tcW w:w="1925" w:type="dxa"/>
            <w:vAlign w:val="center"/>
          </w:tcPr>
          <w:p w14:paraId="1B19173D" w14:textId="43456317" w:rsidR="005C56FD" w:rsidRPr="00352471" w:rsidRDefault="003F62DF" w:rsidP="007C58CF">
            <w:pPr>
              <w:jc w:val="center"/>
              <w:rPr>
                <w:rFonts w:ascii="Verdana" w:hAnsi="Verdana"/>
                <w:sz w:val="18"/>
                <w:szCs w:val="18"/>
              </w:rPr>
            </w:pPr>
            <w:r>
              <w:rPr>
                <w:rFonts w:ascii="Verdana" w:hAnsi="Verdana"/>
                <w:sz w:val="18"/>
                <w:szCs w:val="18"/>
              </w:rPr>
              <w:t>12</w:t>
            </w:r>
          </w:p>
        </w:tc>
        <w:tc>
          <w:tcPr>
            <w:tcW w:w="7085" w:type="dxa"/>
            <w:gridSpan w:val="2"/>
            <w:vAlign w:val="center"/>
          </w:tcPr>
          <w:p w14:paraId="2C9D4B5D" w14:textId="68083E2D" w:rsidR="005C56FD" w:rsidRPr="00A96105" w:rsidRDefault="00D44EE1" w:rsidP="00A96105">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Esta transparencia brinda información sobre la comparación entre abonado, tráfico y datos de contenido.</w:t>
            </w:r>
          </w:p>
        </w:tc>
      </w:tr>
      <w:tr w:rsidR="00E44E2C" w:rsidRPr="00352471" w14:paraId="3A14F27A" w14:textId="77777777" w:rsidTr="00ED79D5">
        <w:trPr>
          <w:trHeight w:val="872"/>
        </w:trPr>
        <w:tc>
          <w:tcPr>
            <w:tcW w:w="1925" w:type="dxa"/>
            <w:vAlign w:val="center"/>
          </w:tcPr>
          <w:p w14:paraId="3CCBBF4D" w14:textId="77777777" w:rsidR="00E44E2C" w:rsidRPr="00352471" w:rsidRDefault="00E44E2C" w:rsidP="00A67BED">
            <w:pPr>
              <w:jc w:val="center"/>
              <w:rPr>
                <w:rFonts w:ascii="Verdana" w:hAnsi="Verdana"/>
                <w:sz w:val="18"/>
                <w:szCs w:val="18"/>
              </w:rPr>
            </w:pPr>
            <w:r>
              <w:rPr>
                <w:rFonts w:ascii="Verdana" w:hAnsi="Verdana"/>
                <w:sz w:val="18"/>
                <w:szCs w:val="18"/>
              </w:rPr>
              <w:t>13</w:t>
            </w:r>
          </w:p>
        </w:tc>
        <w:tc>
          <w:tcPr>
            <w:tcW w:w="7085" w:type="dxa"/>
            <w:gridSpan w:val="2"/>
            <w:vAlign w:val="center"/>
          </w:tcPr>
          <w:p w14:paraId="6F76C29D" w14:textId="77777777"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Esta transparencia brinda información sobre la asistencia legal mutua y las dificultades actuales de una cooperación continua y satisfactoria respecto a los delitos cibernéticos. </w:t>
            </w:r>
          </w:p>
        </w:tc>
      </w:tr>
      <w:tr w:rsidR="0094549A" w:rsidRPr="00352471" w14:paraId="5D4D7912" w14:textId="77777777" w:rsidTr="00ED79D5">
        <w:trPr>
          <w:trHeight w:val="1340"/>
        </w:trPr>
        <w:tc>
          <w:tcPr>
            <w:tcW w:w="1925" w:type="dxa"/>
            <w:vAlign w:val="center"/>
          </w:tcPr>
          <w:p w14:paraId="41B16CC3" w14:textId="7C2E817E" w:rsidR="0094549A" w:rsidRPr="00352471" w:rsidRDefault="008345C2" w:rsidP="007C58CF">
            <w:pPr>
              <w:jc w:val="center"/>
              <w:rPr>
                <w:rFonts w:ascii="Verdana" w:hAnsi="Verdana"/>
                <w:sz w:val="18"/>
                <w:szCs w:val="18"/>
              </w:rPr>
            </w:pPr>
            <w:r>
              <w:rPr>
                <w:rFonts w:ascii="Verdana" w:hAnsi="Verdana"/>
                <w:sz w:val="18"/>
                <w:szCs w:val="18"/>
              </w:rPr>
              <w:t>14 - 15</w:t>
            </w:r>
          </w:p>
        </w:tc>
        <w:tc>
          <w:tcPr>
            <w:tcW w:w="7085" w:type="dxa"/>
            <w:gridSpan w:val="2"/>
            <w:vAlign w:val="center"/>
          </w:tcPr>
          <w:p w14:paraId="4EA64FBA" w14:textId="196A361D" w:rsidR="0094549A" w:rsidRPr="008345C2" w:rsidRDefault="00A96105" w:rsidP="008345C2">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 xml:space="preserve">Transparencia de la pérdida de ubicación. </w:t>
            </w:r>
            <w:r>
              <w:rPr>
                <w:rFonts w:ascii="Verdana" w:hAnsi="Verdana"/>
                <w:sz w:val="18"/>
                <w:szCs w:val="18"/>
              </w:rPr>
              <w:t>El formador debe tener conocimiento de las dificultades presentadas en las reuniones del grupo T-CY al respecto y las soluciones implementadas hasta el momento por las diferentes jurisdicciones nacionales.</w:t>
            </w:r>
          </w:p>
        </w:tc>
      </w:tr>
      <w:tr w:rsidR="00E44E2C" w:rsidRPr="00352471" w14:paraId="15A805A1" w14:textId="77777777" w:rsidTr="00ED79D5">
        <w:trPr>
          <w:trHeight w:val="872"/>
        </w:trPr>
        <w:tc>
          <w:tcPr>
            <w:tcW w:w="1925" w:type="dxa"/>
            <w:vAlign w:val="center"/>
          </w:tcPr>
          <w:p w14:paraId="50A70C75" w14:textId="6CB8684F" w:rsidR="00E44E2C" w:rsidRPr="00E44E2C" w:rsidRDefault="00E44E2C" w:rsidP="00A67BED">
            <w:pPr>
              <w:jc w:val="center"/>
              <w:rPr>
                <w:rFonts w:ascii="Verdana" w:hAnsi="Verdana"/>
                <w:sz w:val="18"/>
                <w:szCs w:val="18"/>
              </w:rPr>
            </w:pPr>
            <w:r>
              <w:rPr>
                <w:rFonts w:ascii="Verdana" w:hAnsi="Verdana"/>
                <w:sz w:val="18"/>
                <w:szCs w:val="18"/>
              </w:rPr>
              <w:t>16 - 18</w:t>
            </w:r>
          </w:p>
        </w:tc>
        <w:tc>
          <w:tcPr>
            <w:tcW w:w="7085" w:type="dxa"/>
            <w:gridSpan w:val="2"/>
            <w:vAlign w:val="center"/>
          </w:tcPr>
          <w:p w14:paraId="294163B1" w14:textId="77777777"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r>
              <w:rPr>
                <w:rFonts w:ascii="Verdana" w:hAnsi="Verdana"/>
                <w:sz w:val="18"/>
                <w:szCs w:val="18"/>
              </w:rPr>
              <w:t>Estas transparencias describen con más detalle la cooperación del sector público y privado específicamente, en este caso, entre los órganos de justicia legal competentes y las empresas que proveen servicios de Internet. Se consideran diferentes aspectos al respecto como la presencia del proveedor de servicios de Internet (ISP), ofrecimiento de los servicios, divulgación voluntaria de la identificación básica del abonado (BSI) y los datos de tráfico por parte de los ISPs en algunos países (o no), etc.</w:t>
            </w:r>
          </w:p>
          <w:p w14:paraId="5536A979" w14:textId="77777777"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p>
          <w:p w14:paraId="3395D20D" w14:textId="59D9FF82"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También se proporcionan datos estadísticos de 2015 de algunas empresas y países. </w:t>
            </w:r>
          </w:p>
        </w:tc>
      </w:tr>
      <w:tr w:rsidR="00E44E2C" w:rsidRPr="00352471" w14:paraId="03675E97" w14:textId="77777777" w:rsidTr="00ED79D5">
        <w:trPr>
          <w:trHeight w:val="872"/>
        </w:trPr>
        <w:tc>
          <w:tcPr>
            <w:tcW w:w="1925" w:type="dxa"/>
            <w:vAlign w:val="center"/>
          </w:tcPr>
          <w:p w14:paraId="69ECC136" w14:textId="5D62EAC4" w:rsidR="00E44E2C" w:rsidRPr="00352471" w:rsidRDefault="00E44E2C" w:rsidP="00A67BED">
            <w:pPr>
              <w:jc w:val="center"/>
              <w:rPr>
                <w:rFonts w:ascii="Verdana" w:hAnsi="Verdana"/>
                <w:sz w:val="18"/>
                <w:szCs w:val="18"/>
              </w:rPr>
            </w:pPr>
            <w:r>
              <w:rPr>
                <w:rFonts w:ascii="Verdana" w:hAnsi="Verdana"/>
                <w:sz w:val="18"/>
                <w:szCs w:val="18"/>
              </w:rPr>
              <w:t>19 - 20</w:t>
            </w:r>
          </w:p>
        </w:tc>
        <w:tc>
          <w:tcPr>
            <w:tcW w:w="7085" w:type="dxa"/>
            <w:gridSpan w:val="2"/>
            <w:vAlign w:val="center"/>
          </w:tcPr>
          <w:p w14:paraId="3ABD18A6" w14:textId="6E726114"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Las transparencias abarcan los procedimientos de emergencia a través de la asistencia legal mutua (MLA) y la cooperación directa y protección de datos y otras protecciones. </w:t>
            </w:r>
          </w:p>
        </w:tc>
      </w:tr>
      <w:tr w:rsidR="00E44E2C" w:rsidRPr="00352471" w14:paraId="43ABF540" w14:textId="77777777" w:rsidTr="00ED79D5">
        <w:trPr>
          <w:trHeight w:val="872"/>
        </w:trPr>
        <w:tc>
          <w:tcPr>
            <w:tcW w:w="1925" w:type="dxa"/>
            <w:vAlign w:val="center"/>
          </w:tcPr>
          <w:p w14:paraId="1B2C10B8" w14:textId="63854980" w:rsidR="00E44E2C" w:rsidRPr="00352471" w:rsidRDefault="00E44E2C" w:rsidP="00A67BED">
            <w:pPr>
              <w:jc w:val="center"/>
              <w:rPr>
                <w:rFonts w:ascii="Verdana" w:hAnsi="Verdana"/>
                <w:sz w:val="18"/>
                <w:szCs w:val="18"/>
              </w:rPr>
            </w:pPr>
            <w:r>
              <w:rPr>
                <w:rFonts w:ascii="Verdana" w:hAnsi="Verdana"/>
                <w:sz w:val="18"/>
                <w:szCs w:val="18"/>
              </w:rPr>
              <w:t>21 - 28</w:t>
            </w:r>
          </w:p>
        </w:tc>
        <w:tc>
          <w:tcPr>
            <w:tcW w:w="7085" w:type="dxa"/>
            <w:gridSpan w:val="2"/>
            <w:vAlign w:val="center"/>
          </w:tcPr>
          <w:p w14:paraId="048A2B4E" w14:textId="1ECF4EBD"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Estas transparencias abarcan las soluciones identificadas por el Grupo del Comité de evidencias en la nube (CoE), incluyendo asistencias legales mutuas más efectivas, guía de orientación sobre el Art. 18 de la Convención de Budapest, normas locales sobre órdenes de producción, cooperación con proveedores: medidas prácticas y protocolos adicionales a la Convención de Budapest. </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lastRenderedPageBreak/>
              <w:t>Ejercicios prácticos</w:t>
            </w:r>
          </w:p>
          <w:p w14:paraId="04D65D89" w14:textId="4B6843BA" w:rsidR="00CB3026" w:rsidRPr="00352471" w:rsidRDefault="006B067C" w:rsidP="005F4B3C">
            <w:pPr>
              <w:spacing w:before="120" w:after="120" w:line="280" w:lineRule="exact"/>
              <w:rPr>
                <w:rFonts w:ascii="Verdana" w:hAnsi="Verdana"/>
                <w:sz w:val="18"/>
                <w:szCs w:val="18"/>
              </w:rPr>
            </w:pPr>
            <w:r>
              <w:rPr>
                <w:rFonts w:ascii="Verdana" w:hAnsi="Verdana"/>
                <w:sz w:val="18"/>
                <w:szCs w:val="18"/>
              </w:rPr>
              <w:t>No hay ejercicios prácticos obligatorios.</w:t>
            </w:r>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t>Evaluación/prueba de conocimiento</w:t>
            </w:r>
          </w:p>
          <w:p w14:paraId="4496975B" w14:textId="21853C86" w:rsidR="00CB3026" w:rsidRPr="00352471" w:rsidRDefault="00B468A3" w:rsidP="0017583E">
            <w:pPr>
              <w:spacing w:before="120" w:after="120" w:line="280" w:lineRule="exact"/>
              <w:jc w:val="both"/>
              <w:rPr>
                <w:rFonts w:ascii="Verdana" w:hAnsi="Verdana"/>
                <w:sz w:val="18"/>
                <w:szCs w:val="18"/>
              </w:rPr>
            </w:pPr>
            <w:r>
              <w:rPr>
                <w:rFonts w:ascii="Verdana" w:hAnsi="Verdana"/>
                <w:sz w:val="18"/>
                <w:szCs w:val="18"/>
              </w:rPr>
              <w:t>No se ha preparado ninguna evaluación formal para esta sesión. Se espera que los delegados participen activamente.</w:t>
            </w:r>
          </w:p>
        </w:tc>
      </w:tr>
    </w:tbl>
    <w:p w14:paraId="15498912" w14:textId="77777777" w:rsidR="00D82C18" w:rsidRPr="00352471" w:rsidRDefault="00D82C18">
      <w:pPr>
        <w:rPr>
          <w:rFonts w:ascii="Verdana" w:hAnsi="Verdana"/>
        </w:rPr>
      </w:pPr>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604020202020204"/>
    <w:charset w:val="00"/>
    <w:family w:val="auto"/>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10"/>
  </w:num>
  <w:num w:numId="7">
    <w:abstractNumId w:val="1"/>
  </w:num>
  <w:num w:numId="8">
    <w:abstractNumId w:val="4"/>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2CD5"/>
    <w:rsid w:val="000509A6"/>
    <w:rsid w:val="00105DD4"/>
    <w:rsid w:val="0017583E"/>
    <w:rsid w:val="00175ADE"/>
    <w:rsid w:val="0018454B"/>
    <w:rsid w:val="00185B76"/>
    <w:rsid w:val="001A22BC"/>
    <w:rsid w:val="001B428D"/>
    <w:rsid w:val="001B5DAD"/>
    <w:rsid w:val="002131BC"/>
    <w:rsid w:val="00271010"/>
    <w:rsid w:val="0027512B"/>
    <w:rsid w:val="002A0937"/>
    <w:rsid w:val="002E0016"/>
    <w:rsid w:val="002F375E"/>
    <w:rsid w:val="0031058B"/>
    <w:rsid w:val="0033609D"/>
    <w:rsid w:val="003406F3"/>
    <w:rsid w:val="00352471"/>
    <w:rsid w:val="0036129C"/>
    <w:rsid w:val="003630ED"/>
    <w:rsid w:val="003958A0"/>
    <w:rsid w:val="00397FEA"/>
    <w:rsid w:val="003E0EDB"/>
    <w:rsid w:val="003F2BCF"/>
    <w:rsid w:val="003F6045"/>
    <w:rsid w:val="003F62DF"/>
    <w:rsid w:val="00450591"/>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27F36"/>
    <w:rsid w:val="008345C2"/>
    <w:rsid w:val="008E3FE7"/>
    <w:rsid w:val="009277BD"/>
    <w:rsid w:val="0094072C"/>
    <w:rsid w:val="0094549A"/>
    <w:rsid w:val="00965ADD"/>
    <w:rsid w:val="009709E0"/>
    <w:rsid w:val="00981C4C"/>
    <w:rsid w:val="009A2F63"/>
    <w:rsid w:val="009D0620"/>
    <w:rsid w:val="009E559A"/>
    <w:rsid w:val="00A00A58"/>
    <w:rsid w:val="00A03CF0"/>
    <w:rsid w:val="00A4110D"/>
    <w:rsid w:val="00A53D26"/>
    <w:rsid w:val="00A734A5"/>
    <w:rsid w:val="00A9431E"/>
    <w:rsid w:val="00A96105"/>
    <w:rsid w:val="00AF62EC"/>
    <w:rsid w:val="00B03741"/>
    <w:rsid w:val="00B4237D"/>
    <w:rsid w:val="00B468A3"/>
    <w:rsid w:val="00B569A5"/>
    <w:rsid w:val="00B71D66"/>
    <w:rsid w:val="00BD6890"/>
    <w:rsid w:val="00C511B6"/>
    <w:rsid w:val="00C541A2"/>
    <w:rsid w:val="00CB02C4"/>
    <w:rsid w:val="00CB3026"/>
    <w:rsid w:val="00CB7EB1"/>
    <w:rsid w:val="00CF0C7C"/>
    <w:rsid w:val="00D44EE1"/>
    <w:rsid w:val="00D71168"/>
    <w:rsid w:val="00D82C18"/>
    <w:rsid w:val="00D944B5"/>
    <w:rsid w:val="00D95F87"/>
    <w:rsid w:val="00DB09DC"/>
    <w:rsid w:val="00DC0837"/>
    <w:rsid w:val="00E13BE7"/>
    <w:rsid w:val="00E17E67"/>
    <w:rsid w:val="00E44E2C"/>
    <w:rsid w:val="00E55549"/>
    <w:rsid w:val="00E7344B"/>
    <w:rsid w:val="00E95703"/>
    <w:rsid w:val="00ED79D5"/>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1C4C"/>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D0E7B-A4CB-1348-AA3B-1CED4C150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791</Words>
  <Characters>4257</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Ademas lo más</cp:lastModifiedBy>
  <cp:revision>2</cp:revision>
  <dcterms:created xsi:type="dcterms:W3CDTF">2019-04-01T23:02:00Z</dcterms:created>
  <dcterms:modified xsi:type="dcterms:W3CDTF">2019-04-01T23:02:00Z</dcterms:modified>
</cp:coreProperties>
</file>