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3602811B"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36028119" w14:textId="77777777"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602811A" w14:textId="79833715" w:rsidR="008713A9" w:rsidRPr="00C240FE" w:rsidRDefault="00C240FE" w:rsidP="00C029E4">
            <w:pPr>
              <w:rPr>
                <w:rFonts w:ascii="Tahoma" w:hAnsi="Tahoma" w:cs="Tahoma"/>
                <w:b/>
                <w:caps/>
                <w:sz w:val="18"/>
                <w:szCs w:val="18"/>
                <w:lang w:val="fr-FR"/>
              </w:rPr>
            </w:pPr>
            <w:r w:rsidRPr="00C240FE">
              <w:rPr>
                <w:rFonts w:ascii="Tahoma" w:hAnsi="Tahoma" w:cs="Tahoma"/>
                <w:b/>
                <w:caps/>
                <w:sz w:val="18"/>
                <w:szCs w:val="18"/>
                <w:lang w:val="fr-FR"/>
              </w:rPr>
              <w:t>2019/AO</w:t>
            </w:r>
            <w:r>
              <w:rPr>
                <w:rFonts w:ascii="Tahoma" w:hAnsi="Tahoma" w:cs="Tahoma"/>
                <w:b/>
                <w:caps/>
                <w:sz w:val="18"/>
                <w:szCs w:val="18"/>
                <w:lang w:val="fr-FR"/>
              </w:rPr>
              <w:t>…..</w:t>
            </w:r>
          </w:p>
        </w:tc>
      </w:tr>
      <w:tr w:rsidR="008713A9" w:rsidRPr="00561E48" w14:paraId="3602811E"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3602811C" w14:textId="77777777"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602811D" w14:textId="77777777" w:rsidR="008713A9" w:rsidRPr="00561E48" w:rsidRDefault="00951F14" w:rsidP="00C029E4">
            <w:pPr>
              <w:rPr>
                <w:rFonts w:ascii="Tahoma" w:hAnsi="Tahoma" w:cs="Tahoma"/>
                <w:b/>
                <w:caps/>
                <w:sz w:val="18"/>
                <w:szCs w:val="18"/>
                <w:highlight w:val="cyan"/>
                <w:lang w:val="fr-FR"/>
              </w:rPr>
            </w:pPr>
            <w:r>
              <w:rPr>
                <w:rFonts w:ascii="Tahoma" w:hAnsi="Tahoma" w:cs="Tahoma"/>
                <w:b/>
                <w:caps/>
                <w:sz w:val="18"/>
                <w:szCs w:val="18"/>
                <w:lang w:val="fr-FR"/>
              </w:rPr>
              <w:t xml:space="preserve">Pmm </w:t>
            </w:r>
            <w:r w:rsidR="00B36FE8" w:rsidRPr="00B36FE8">
              <w:rPr>
                <w:rFonts w:ascii="Tahoma" w:hAnsi="Tahoma" w:cs="Tahoma"/>
                <w:b/>
                <w:caps/>
                <w:sz w:val="18"/>
                <w:szCs w:val="18"/>
                <w:lang w:val="fr-FR"/>
              </w:rPr>
              <w:t xml:space="preserve">2061 </w:t>
            </w:r>
            <w:r>
              <w:rPr>
                <w:rFonts w:ascii="Tahoma" w:hAnsi="Tahoma" w:cs="Tahoma"/>
                <w:b/>
                <w:caps/>
                <w:sz w:val="18"/>
                <w:szCs w:val="18"/>
                <w:lang w:val="fr-FR"/>
              </w:rPr>
              <w:t>BH</w:t>
            </w:r>
            <w:r w:rsidR="00B36FE8">
              <w:rPr>
                <w:rFonts w:ascii="Tahoma" w:hAnsi="Tahoma" w:cs="Tahoma"/>
                <w:b/>
                <w:caps/>
                <w:sz w:val="18"/>
                <w:szCs w:val="18"/>
                <w:lang w:val="fr-FR"/>
              </w:rPr>
              <w:t xml:space="preserve"> </w:t>
            </w:r>
            <w:r w:rsidR="00B36FE8" w:rsidRPr="00B36FE8">
              <w:rPr>
                <w:rFonts w:ascii="Tahoma" w:hAnsi="Tahoma" w:cs="Tahoma"/>
                <w:b/>
                <w:caps/>
                <w:sz w:val="18"/>
                <w:szCs w:val="18"/>
                <w:lang w:val="fr-FR"/>
              </w:rPr>
              <w:t>4738</w:t>
            </w:r>
          </w:p>
        </w:tc>
      </w:tr>
      <w:tr w:rsidR="008713A9" w:rsidRPr="009764A4" w14:paraId="36028121"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3602811F" w14:textId="77777777"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6028120" w14:textId="77777777" w:rsidR="008713A9" w:rsidRPr="00E14CCB" w:rsidRDefault="007B09FC" w:rsidP="00C31D1B">
            <w:pPr>
              <w:rPr>
                <w:rFonts w:ascii="Tahoma" w:hAnsi="Tahoma" w:cs="Tahoma"/>
                <w:b/>
                <w:caps/>
                <w:sz w:val="18"/>
                <w:szCs w:val="18"/>
                <w:highlight w:val="cyan"/>
                <w:lang w:val="es-ES"/>
              </w:rPr>
            </w:pPr>
            <w:r w:rsidRPr="00E14CCB">
              <w:rPr>
                <w:rFonts w:ascii="Tahoma" w:hAnsi="Tahoma" w:cs="Tahoma"/>
                <w:b/>
                <w:caps/>
                <w:sz w:val="18"/>
                <w:szCs w:val="18"/>
                <w:lang w:val="es-ES"/>
              </w:rPr>
              <w:t>Hela Rezouga; Hela</w:t>
            </w:r>
            <w:r w:rsidR="00951F14" w:rsidRPr="00E14CCB">
              <w:rPr>
                <w:rFonts w:ascii="Tahoma" w:hAnsi="Tahoma" w:cs="Tahoma"/>
                <w:b/>
                <w:caps/>
                <w:sz w:val="18"/>
                <w:szCs w:val="18"/>
                <w:lang w:val="es-ES"/>
              </w:rPr>
              <w:t>.</w:t>
            </w:r>
            <w:r w:rsidRPr="00E14CCB">
              <w:rPr>
                <w:rFonts w:ascii="Tahoma" w:hAnsi="Tahoma" w:cs="Tahoma"/>
                <w:b/>
                <w:caps/>
                <w:sz w:val="18"/>
                <w:szCs w:val="18"/>
                <w:lang w:val="es-ES"/>
              </w:rPr>
              <w:t>rezouga</w:t>
            </w:r>
            <w:r w:rsidR="00951F14" w:rsidRPr="00E14CCB">
              <w:rPr>
                <w:rFonts w:ascii="Tahoma" w:hAnsi="Tahoma" w:cs="Tahoma"/>
                <w:b/>
                <w:caps/>
                <w:sz w:val="18"/>
                <w:szCs w:val="18"/>
                <w:lang w:val="es-ES"/>
              </w:rPr>
              <w:t>@coe.int</w:t>
            </w:r>
          </w:p>
        </w:tc>
      </w:tr>
    </w:tbl>
    <w:p w14:paraId="36028122" w14:textId="77777777"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36028123" w14:textId="77777777" w:rsidR="00C20349" w:rsidRPr="00561E48" w:rsidRDefault="00C20349" w:rsidP="00E17F6A">
      <w:pPr>
        <w:rPr>
          <w:rFonts w:ascii="Tahoma" w:hAnsi="Tahoma" w:cs="Tahoma"/>
          <w:b/>
          <w:lang w:val="fr-FR"/>
        </w:rPr>
      </w:pPr>
      <w:r w:rsidRPr="00561E48">
        <w:rPr>
          <w:rFonts w:ascii="Tahoma" w:hAnsi="Tahoma" w:cs="Tahoma"/>
          <w:b/>
          <w:lang w:val="fr-FR"/>
        </w:rPr>
        <w:t>(</w:t>
      </w:r>
      <w:r w:rsidR="00AA01F6" w:rsidRPr="00AA01F6">
        <w:rPr>
          <w:rFonts w:ascii="Tahoma" w:hAnsi="Tahoma" w:cs="Tahoma"/>
          <w:b/>
          <w:bCs/>
          <w:lang w:val="fr-FR"/>
        </w:rPr>
        <w:t>Mise en concurrence</w:t>
      </w:r>
      <w:r w:rsidR="00BC3EF7" w:rsidRPr="00AA01F6">
        <w:rPr>
          <w:rFonts w:ascii="Tahoma" w:hAnsi="Tahoma" w:cs="Tahoma"/>
          <w:b/>
          <w:bCs/>
          <w:lang w:val="fr-FR"/>
        </w:rPr>
        <w:t xml:space="preserve"> </w:t>
      </w:r>
      <w:r w:rsidR="0085784E" w:rsidRPr="00AA01F6">
        <w:rPr>
          <w:rFonts w:ascii="Tahoma" w:hAnsi="Tahoma" w:cs="Tahoma"/>
          <w:b/>
          <w:lang w:val="fr-FR"/>
        </w:rPr>
        <w:t>/</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36028124" w14:textId="77777777" w:rsidR="00BD6B89" w:rsidRPr="00561E48" w:rsidRDefault="00BD6B89" w:rsidP="00C20349">
      <w:pPr>
        <w:jc w:val="center"/>
        <w:rPr>
          <w:rFonts w:ascii="Tahoma" w:hAnsi="Tahoma" w:cs="Tahoma"/>
          <w:b/>
          <w:sz w:val="16"/>
          <w:szCs w:val="16"/>
          <w:lang w:val="fr-FR"/>
        </w:rPr>
      </w:pPr>
    </w:p>
    <w:p w14:paraId="36028125" w14:textId="5A955CE6" w:rsidR="00126DFA" w:rsidRDefault="005F4D6F" w:rsidP="00BC0A8D">
      <w:pPr>
        <w:rPr>
          <w:rFonts w:ascii="Tahoma" w:hAnsi="Tahoma" w:cs="Tahoma"/>
          <w:b/>
          <w:lang w:val="fr-FR"/>
        </w:rPr>
      </w:pPr>
      <w:r w:rsidRPr="00EF56B2">
        <w:rPr>
          <w:rFonts w:ascii="Tahoma" w:hAnsi="Tahoma" w:cs="Tahoma"/>
          <w:b/>
          <w:lang w:val="fr-FR"/>
        </w:rPr>
        <w:t>Le présent Acte d’E</w:t>
      </w:r>
      <w:r w:rsidR="001D6688" w:rsidRPr="00EF56B2">
        <w:rPr>
          <w:rFonts w:ascii="Tahoma" w:hAnsi="Tahoma" w:cs="Tahoma"/>
          <w:b/>
          <w:lang w:val="fr-FR"/>
        </w:rPr>
        <w:t xml:space="preserve">ngagement </w:t>
      </w:r>
      <w:r w:rsidRPr="00EF56B2">
        <w:rPr>
          <w:rFonts w:ascii="Tahoma" w:hAnsi="Tahoma" w:cs="Tahoma"/>
          <w:b/>
          <w:lang w:val="fr-FR"/>
        </w:rPr>
        <w:t>régit les termes et conditions applicables a</w:t>
      </w:r>
      <w:r w:rsidR="001D6688" w:rsidRPr="00EF56B2">
        <w:rPr>
          <w:rFonts w:ascii="Tahoma" w:hAnsi="Tahoma" w:cs="Tahoma"/>
          <w:b/>
          <w:lang w:val="fr-FR"/>
        </w:rPr>
        <w:t>u contr</w:t>
      </w:r>
      <w:r w:rsidRPr="00EF56B2">
        <w:rPr>
          <w:rFonts w:ascii="Tahoma" w:hAnsi="Tahoma" w:cs="Tahoma"/>
          <w:b/>
          <w:lang w:val="fr-FR"/>
        </w:rPr>
        <w:t>at-</w:t>
      </w:r>
      <w:r w:rsidR="001D6688" w:rsidRPr="00EF56B2">
        <w:rPr>
          <w:rFonts w:ascii="Tahoma" w:hAnsi="Tahoma" w:cs="Tahoma"/>
          <w:b/>
          <w:lang w:val="fr-FR"/>
        </w:rPr>
        <w:t>cadre entre le Prestat</w:t>
      </w:r>
      <w:r w:rsidR="00CD752E" w:rsidRPr="00EF56B2">
        <w:rPr>
          <w:rFonts w:ascii="Tahoma" w:hAnsi="Tahoma" w:cs="Tahoma"/>
          <w:b/>
          <w:lang w:val="fr-FR"/>
        </w:rPr>
        <w:t xml:space="preserve">aire (voir détails ci-dessous) </w:t>
      </w:r>
      <w:r w:rsidR="001D6688" w:rsidRPr="00EF56B2">
        <w:rPr>
          <w:rFonts w:ascii="Tahoma" w:hAnsi="Tahoma" w:cs="Tahoma"/>
          <w:b/>
          <w:lang w:val="fr-FR"/>
        </w:rPr>
        <w:t>et le Conseil de l’Europe</w:t>
      </w:r>
      <w:r w:rsidR="001D6688" w:rsidRPr="00E14CCB">
        <w:rPr>
          <w:vertAlign w:val="superscript"/>
        </w:rPr>
        <w:footnoteReference w:id="2"/>
      </w:r>
      <w:r w:rsidR="001D6688" w:rsidRPr="00E14CCB">
        <w:rPr>
          <w:rFonts w:ascii="Tahoma" w:hAnsi="Tahoma" w:cs="Tahoma"/>
          <w:b/>
          <w:vertAlign w:val="superscript"/>
          <w:lang w:val="fr-FR"/>
        </w:rPr>
        <w:t xml:space="preserve"> </w:t>
      </w:r>
      <w:r w:rsidR="001D6688" w:rsidRPr="00EF56B2">
        <w:rPr>
          <w:rFonts w:ascii="Tahoma" w:hAnsi="Tahoma" w:cs="Tahoma"/>
          <w:b/>
          <w:lang w:val="fr-FR"/>
        </w:rPr>
        <w:t xml:space="preserve">pour la </w:t>
      </w:r>
      <w:r w:rsidRPr="00EF56B2">
        <w:rPr>
          <w:rFonts w:ascii="Tahoma" w:hAnsi="Tahoma" w:cs="Tahoma"/>
          <w:b/>
          <w:lang w:val="fr-FR"/>
        </w:rPr>
        <w:t>fourniture</w:t>
      </w:r>
      <w:r w:rsidR="00844F82" w:rsidRPr="00EF56B2">
        <w:rPr>
          <w:rFonts w:ascii="Tahoma" w:hAnsi="Tahoma" w:cs="Tahoma"/>
          <w:b/>
          <w:lang w:val="fr-FR"/>
        </w:rPr>
        <w:t xml:space="preserve"> de</w:t>
      </w:r>
      <w:r w:rsidR="001D6688" w:rsidRPr="00EF56B2">
        <w:rPr>
          <w:rFonts w:ascii="Tahoma" w:hAnsi="Tahoma" w:cs="Tahoma"/>
          <w:b/>
          <w:lang w:val="fr-FR"/>
        </w:rPr>
        <w:t xml:space="preserve"> </w:t>
      </w:r>
      <w:r w:rsidR="0025048A" w:rsidRPr="00EF56B2">
        <w:rPr>
          <w:rFonts w:ascii="Tahoma" w:hAnsi="Tahoma" w:cs="Tahoma"/>
          <w:b/>
          <w:lang w:val="fr-FR"/>
        </w:rPr>
        <w:t xml:space="preserve">services de consultance juridique et technique dans le domaine </w:t>
      </w:r>
      <w:r w:rsidR="00126DFA" w:rsidRPr="00EF56B2">
        <w:rPr>
          <w:rFonts w:ascii="Tahoma" w:hAnsi="Tahoma" w:cs="Tahoma"/>
          <w:b/>
          <w:lang w:val="fr-FR"/>
        </w:rPr>
        <w:t>de la promotion de la liberté d’expression et</w:t>
      </w:r>
      <w:r w:rsidR="006234A6">
        <w:rPr>
          <w:rFonts w:ascii="Tahoma" w:hAnsi="Tahoma" w:cs="Tahoma"/>
          <w:b/>
          <w:lang w:val="fr-FR"/>
        </w:rPr>
        <w:t xml:space="preserve"> du pluralisme des médias en Tunisie</w:t>
      </w:r>
      <w:r w:rsidR="003A639B">
        <w:rPr>
          <w:rFonts w:ascii="Tahoma" w:hAnsi="Tahoma" w:cs="Tahoma"/>
          <w:b/>
          <w:lang w:val="fr-FR"/>
        </w:rPr>
        <w:t xml:space="preserve"> et dans la région MENA</w:t>
      </w:r>
      <w:r w:rsidR="00126DFA" w:rsidRPr="00EF56B2">
        <w:rPr>
          <w:rFonts w:ascii="Tahoma" w:hAnsi="Tahoma" w:cs="Tahoma"/>
          <w:b/>
          <w:lang w:val="fr-FR"/>
        </w:rPr>
        <w:t xml:space="preserve">. </w:t>
      </w:r>
    </w:p>
    <w:p w14:paraId="36028126" w14:textId="77777777" w:rsidR="00436430" w:rsidRPr="00EF56B2" w:rsidRDefault="00436430" w:rsidP="00BC0A8D">
      <w:pPr>
        <w:rPr>
          <w:rFonts w:ascii="Tahoma" w:hAnsi="Tahoma" w:cs="Tahoma"/>
          <w:b/>
          <w:lang w:val="fr-FR"/>
        </w:rPr>
      </w:pPr>
    </w:p>
    <w:p w14:paraId="36028127" w14:textId="77777777" w:rsidR="00371509" w:rsidRDefault="001D6688" w:rsidP="00126DFA">
      <w:pPr>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36028128" w14:textId="77777777" w:rsidR="00436430" w:rsidRPr="00561E48" w:rsidRDefault="00436430" w:rsidP="00126DFA">
      <w:pPr>
        <w:rPr>
          <w:rFonts w:ascii="Tahoma" w:hAnsi="Tahoma" w:cs="Tahoma"/>
          <w:b/>
          <w:sz w:val="16"/>
          <w:szCs w:val="16"/>
          <w:lang w:val="fr-FR"/>
        </w:rPr>
      </w:pPr>
    </w:p>
    <w:p w14:paraId="36028129"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3602812A" w14:textId="77777777"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3602812B" w14:textId="77777777"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3602812C" w14:textId="77777777"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3602812D" w14:textId="77777777"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w:t>
      </w:r>
      <w:proofErr w:type="spellStart"/>
      <w:r w:rsidR="00844F82" w:rsidRPr="00561E48">
        <w:rPr>
          <w:rFonts w:ascii="Tahoma" w:hAnsi="Tahoma" w:cs="Tahoma"/>
          <w:color w:val="FF0000"/>
          <w:sz w:val="18"/>
          <w:szCs w:val="18"/>
          <w:lang w:val="fr-FR"/>
        </w:rPr>
        <w:t>CoE</w:t>
      </w:r>
      <w:proofErr w:type="spellEnd"/>
      <w:r w:rsidR="00844F82" w:rsidRPr="00561E48">
        <w:rPr>
          <w:rFonts w:ascii="Tahoma" w:hAnsi="Tahoma" w:cs="Tahoma"/>
          <w:color w:val="FF0000"/>
          <w:sz w:val="18"/>
          <w:szCs w:val="18"/>
          <w:lang w:val="fr-FR"/>
        </w:rPr>
        <w:t>, ci-dessus)</w:t>
      </w:r>
    </w:p>
    <w:p w14:paraId="3602812E"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3602812F"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36028134"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6028130" w14:textId="77777777"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31" w14:textId="77777777"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3602813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33" w14:textId="77777777" w:rsidR="008713A9" w:rsidRPr="00561E48" w:rsidRDefault="008713A9" w:rsidP="00135199">
            <w:pPr>
              <w:rPr>
                <w:rFonts w:ascii="Tahoma" w:hAnsi="Tahoma" w:cs="Tahoma"/>
                <w:color w:val="000000"/>
                <w:sz w:val="20"/>
                <w:szCs w:val="20"/>
                <w:lang w:val="fr-FR"/>
              </w:rPr>
            </w:pPr>
          </w:p>
        </w:tc>
      </w:tr>
      <w:tr w:rsidR="008713A9" w:rsidRPr="00561E48" w14:paraId="36028139"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3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36" w14:textId="77777777"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36028137"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38" w14:textId="77777777" w:rsidR="008713A9" w:rsidRPr="00561E48" w:rsidRDefault="008713A9" w:rsidP="00135199">
            <w:pPr>
              <w:rPr>
                <w:rFonts w:ascii="Tahoma" w:hAnsi="Tahoma" w:cs="Tahoma"/>
                <w:sz w:val="20"/>
                <w:szCs w:val="20"/>
                <w:lang w:val="fr-FR"/>
              </w:rPr>
            </w:pPr>
          </w:p>
        </w:tc>
      </w:tr>
      <w:tr w:rsidR="008713A9" w:rsidRPr="00561E48" w14:paraId="3602813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3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3B" w14:textId="77777777"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3602813C"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3D" w14:textId="77777777" w:rsidR="008713A9" w:rsidRPr="00561E48" w:rsidRDefault="008713A9" w:rsidP="00135199">
            <w:pPr>
              <w:rPr>
                <w:rFonts w:ascii="Tahoma" w:hAnsi="Tahoma" w:cs="Tahoma"/>
                <w:sz w:val="20"/>
                <w:szCs w:val="20"/>
                <w:lang w:val="fr-FR"/>
              </w:rPr>
            </w:pPr>
          </w:p>
        </w:tc>
      </w:tr>
      <w:tr w:rsidR="008713A9" w:rsidRPr="00561E48" w14:paraId="36028143"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40" w14:textId="7777777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3602814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42" w14:textId="77777777" w:rsidR="008713A9" w:rsidRPr="00561E48" w:rsidRDefault="008713A9" w:rsidP="00135199">
            <w:pPr>
              <w:rPr>
                <w:rFonts w:ascii="Tahoma" w:hAnsi="Tahoma" w:cs="Tahoma"/>
                <w:sz w:val="20"/>
                <w:szCs w:val="20"/>
                <w:lang w:val="fr-FR"/>
              </w:rPr>
            </w:pPr>
          </w:p>
        </w:tc>
      </w:tr>
      <w:tr w:rsidR="008713A9" w:rsidRPr="00561E48" w14:paraId="3602814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4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45" w14:textId="77777777"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36028146"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47" w14:textId="77777777" w:rsidR="008713A9" w:rsidRPr="00561E48" w:rsidRDefault="008713A9" w:rsidP="00135199">
            <w:pPr>
              <w:rPr>
                <w:rFonts w:ascii="Tahoma" w:hAnsi="Tahoma" w:cs="Tahoma"/>
                <w:sz w:val="20"/>
                <w:szCs w:val="20"/>
                <w:lang w:val="fr-FR"/>
              </w:rPr>
            </w:pPr>
          </w:p>
        </w:tc>
      </w:tr>
      <w:tr w:rsidR="008713A9" w:rsidRPr="00561E48" w14:paraId="3602814D"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4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4A" w14:textId="77777777"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3602814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4C" w14:textId="77777777" w:rsidR="008713A9" w:rsidRPr="00561E48" w:rsidRDefault="008713A9" w:rsidP="00135199">
            <w:pPr>
              <w:rPr>
                <w:rFonts w:ascii="Tahoma" w:hAnsi="Tahoma" w:cs="Tahoma"/>
                <w:sz w:val="20"/>
                <w:szCs w:val="20"/>
                <w:lang w:val="fr-FR"/>
              </w:rPr>
            </w:pPr>
          </w:p>
        </w:tc>
      </w:tr>
      <w:tr w:rsidR="008713A9" w:rsidRPr="00561E48" w14:paraId="3602815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4E"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4F" w14:textId="7777777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36028150"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51" w14:textId="77777777" w:rsidR="008713A9" w:rsidRPr="00561E48" w:rsidRDefault="008713A9" w:rsidP="00135199">
            <w:pPr>
              <w:rPr>
                <w:rFonts w:ascii="Tahoma" w:hAnsi="Tahoma" w:cs="Tahoma"/>
                <w:sz w:val="20"/>
                <w:szCs w:val="20"/>
                <w:lang w:val="fr-FR"/>
              </w:rPr>
            </w:pPr>
          </w:p>
        </w:tc>
      </w:tr>
      <w:tr w:rsidR="00B017DB" w:rsidRPr="00561E48" w14:paraId="36028157"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6028153" w14:textId="77777777"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54"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36028155" w14:textId="7777777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028156" w14:textId="77777777" w:rsidR="00B017DB" w:rsidRPr="00561E48" w:rsidRDefault="00B017DB" w:rsidP="00135199">
            <w:pPr>
              <w:rPr>
                <w:rFonts w:ascii="Tahoma" w:hAnsi="Tahoma" w:cs="Tahoma"/>
                <w:sz w:val="20"/>
                <w:szCs w:val="20"/>
                <w:lang w:val="fr-FR"/>
              </w:rPr>
            </w:pPr>
          </w:p>
        </w:tc>
      </w:tr>
      <w:tr w:rsidR="00B017DB" w:rsidRPr="009764A4" w14:paraId="3602815F"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36028158" w14:textId="77777777"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59"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3602815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602815B" w14:textId="77777777"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02815C"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3602815D" w14:textId="7777777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02815E" w14:textId="77777777" w:rsidR="00B017DB" w:rsidRPr="00561E48" w:rsidRDefault="00B017DB" w:rsidP="00135199">
            <w:pPr>
              <w:rPr>
                <w:rFonts w:ascii="Tahoma" w:hAnsi="Tahoma" w:cs="Tahoma"/>
                <w:sz w:val="20"/>
                <w:szCs w:val="20"/>
                <w:lang w:val="fr-FR"/>
              </w:rPr>
            </w:pPr>
          </w:p>
        </w:tc>
      </w:tr>
      <w:tr w:rsidR="00B017DB" w:rsidRPr="00561E48" w14:paraId="36028168"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3602816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61"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36028162" w14:textId="77777777"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36028163" w14:textId="77777777"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028164"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6028165"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36028166"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028167" w14:textId="77777777" w:rsidR="00B017DB" w:rsidRPr="00561E48" w:rsidRDefault="00B017DB" w:rsidP="00135199">
            <w:pPr>
              <w:rPr>
                <w:rFonts w:ascii="Tahoma" w:hAnsi="Tahoma" w:cs="Tahoma"/>
                <w:sz w:val="20"/>
                <w:szCs w:val="20"/>
                <w:lang w:val="fr-FR"/>
              </w:rPr>
            </w:pPr>
          </w:p>
        </w:tc>
      </w:tr>
      <w:tr w:rsidR="00B017DB" w:rsidRPr="00561E48" w14:paraId="36028170"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36028169"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281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3602816B" w14:textId="77777777"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02816C"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3602816D"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3602816E"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02816F" w14:textId="77777777" w:rsidR="00B017DB" w:rsidRPr="00561E48" w:rsidRDefault="00B017DB" w:rsidP="00135199">
            <w:pPr>
              <w:rPr>
                <w:rFonts w:ascii="Tahoma" w:hAnsi="Tahoma" w:cs="Tahoma"/>
                <w:sz w:val="20"/>
                <w:szCs w:val="20"/>
                <w:lang w:val="fr-FR"/>
              </w:rPr>
            </w:pPr>
          </w:p>
        </w:tc>
      </w:tr>
    </w:tbl>
    <w:p w14:paraId="53E69DDA" w14:textId="77777777" w:rsidR="00E14CCB" w:rsidRDefault="00E14CCB" w:rsidP="00EF56B2">
      <w:pPr>
        <w:pBdr>
          <w:bottom w:val="single" w:sz="2" w:space="1" w:color="808080"/>
        </w:pBdr>
        <w:tabs>
          <w:tab w:val="left" w:pos="284"/>
        </w:tabs>
        <w:spacing w:after="120"/>
        <w:ind w:right="142"/>
        <w:rPr>
          <w:rFonts w:ascii="Tahoma" w:hAnsi="Tahoma" w:cs="Tahoma"/>
          <w:b/>
          <w:lang w:val="fr-FR" w:eastAsia="en-US"/>
        </w:rPr>
      </w:pPr>
    </w:p>
    <w:p w14:paraId="0133023D" w14:textId="77777777" w:rsidR="00E14CCB" w:rsidRDefault="00E14CCB" w:rsidP="00EF56B2">
      <w:pPr>
        <w:pBdr>
          <w:bottom w:val="single" w:sz="2" w:space="1" w:color="808080"/>
        </w:pBdr>
        <w:tabs>
          <w:tab w:val="left" w:pos="284"/>
        </w:tabs>
        <w:spacing w:after="120"/>
        <w:ind w:right="142"/>
        <w:rPr>
          <w:rFonts w:ascii="Tahoma" w:hAnsi="Tahoma" w:cs="Tahoma"/>
          <w:b/>
          <w:lang w:val="fr-FR" w:eastAsia="en-US"/>
        </w:rPr>
      </w:pPr>
    </w:p>
    <w:p w14:paraId="36028171" w14:textId="51428D49" w:rsidR="0072200B" w:rsidRPr="00561E48" w:rsidRDefault="009445F7" w:rsidP="00EF56B2">
      <w:pPr>
        <w:pBdr>
          <w:bottom w:val="single" w:sz="2" w:space="1" w:color="808080"/>
        </w:pBdr>
        <w:tabs>
          <w:tab w:val="left" w:pos="284"/>
        </w:tabs>
        <w:spacing w:after="120"/>
        <w:ind w:right="142"/>
        <w:rPr>
          <w:rFonts w:ascii="Tahoma" w:hAnsi="Tahoma" w:cs="Tahoma"/>
          <w:b/>
          <w:lang w:val="fr-FR" w:eastAsia="en-US"/>
        </w:rPr>
      </w:pPr>
      <w:r>
        <w:rPr>
          <w:rFonts w:ascii="Tahoma" w:hAnsi="Tahoma" w:cs="Tahoma"/>
          <w:b/>
          <w:lang w:val="fr-FR" w:eastAsia="en-US"/>
        </w:rPr>
        <w:lastRenderedPageBreak/>
        <w:t>A</w:t>
      </w:r>
      <w:r w:rsidR="0072200B" w:rsidRPr="00561E48">
        <w:rPr>
          <w:rFonts w:ascii="Tahoma" w:hAnsi="Tahoma" w:cs="Tahoma"/>
          <w:b/>
          <w:lang w:val="fr-FR" w:eastAsia="en-US"/>
        </w:rPr>
        <w:t xml:space="preserve">.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5A5B6619" w14:textId="7F68B4DB" w:rsidR="00E8250B" w:rsidRDefault="0061395D" w:rsidP="00E8250B">
      <w:pPr>
        <w:spacing w:after="120"/>
        <w:jc w:val="both"/>
        <w:rPr>
          <w:rFonts w:ascii="Tahoma" w:hAnsi="Tahoma" w:cs="Tahoma"/>
          <w:i/>
          <w:sz w:val="20"/>
          <w:szCs w:val="20"/>
          <w:lang w:val="fr-FR"/>
        </w:rPr>
      </w:pPr>
      <w:r w:rsidRPr="0061395D">
        <w:rPr>
          <w:rFonts w:ascii="Tahoma" w:hAnsi="Tahoma" w:cs="Tahoma"/>
          <w:sz w:val="20"/>
          <w:szCs w:val="20"/>
          <w:lang w:val="fr-FR"/>
        </w:rPr>
        <w:t>Le Conseil de l’Europe met actuellement en œuvre deux Programmes conjoints Union européenne/Conseil de l’Europe : 1/ « Assurer la durabilité de la gouvernance démocratique et des droits de l’Homme dans le sud de la Méditerranée » (Programme Sud III)  dont un des objectifs est de promouvoir les échanges et la mise en réseau dans la région du sud de la Méditerranée notamment dans le domaine de la lutte contre la violence à l'égard des femmes. 2/ « Projet d’Appui aux Instances Indépendantes en Tunisie » (PAII-T). Ce Programme vise à accompagner la mise en place des instances indépendantes en Tunisie prévues par la constitution de 2014 ainsi que d’autres instances indépendantes non-constitutionnelles et à leur apporter l’ appui technique, financier et logistique nécessaire dans l’exercice de leurs mandats et de leurs attributions statutaires en toute indépendance. Une composante du projet se concentre sur l’appui à la Haute Autorité Indépendante de la Communication Audiovisuelle (HAICA) et la prochaine Instance de la Communication Audiovisuelle (ICA).</w:t>
      </w:r>
      <w:r w:rsidRPr="0061395D">
        <w:rPr>
          <w:rFonts w:ascii="Tahoma" w:hAnsi="Tahoma" w:cs="Tahoma"/>
          <w:i/>
          <w:sz w:val="20"/>
          <w:szCs w:val="20"/>
          <w:lang w:val="fr-FR"/>
        </w:rPr>
        <w:t xml:space="preserve"> </w:t>
      </w:r>
    </w:p>
    <w:p w14:paraId="36028175" w14:textId="1697D88D" w:rsidR="000D6B0B" w:rsidRPr="0061395D" w:rsidRDefault="000D6B0B" w:rsidP="00E8250B">
      <w:pPr>
        <w:spacing w:after="120"/>
        <w:jc w:val="both"/>
        <w:rPr>
          <w:rFonts w:ascii="Tahoma" w:hAnsi="Tahoma" w:cs="Tahoma"/>
          <w:sz w:val="20"/>
          <w:szCs w:val="20"/>
          <w:lang w:val="fr-FR"/>
        </w:rPr>
      </w:pPr>
      <w:bookmarkStart w:id="0" w:name="_GoBack"/>
      <w:bookmarkEnd w:id="0"/>
      <w:r w:rsidRPr="0061395D">
        <w:rPr>
          <w:rFonts w:ascii="Tahoma" w:hAnsi="Tahoma" w:cs="Tahoma"/>
          <w:sz w:val="20"/>
          <w:szCs w:val="20"/>
          <w:lang w:val="fr-FR"/>
        </w:rPr>
        <w:t>Ces programmes comprennent plusieurs éléments visant à soutenir les autorités nationales et les éventuels réseaux transnationaux ou régionaux en termes de:</w:t>
      </w:r>
    </w:p>
    <w:p w14:paraId="36028176" w14:textId="77777777" w:rsidR="000D6B0B" w:rsidRPr="0061395D" w:rsidRDefault="000D6B0B" w:rsidP="00FE42C7">
      <w:pPr>
        <w:jc w:val="both"/>
        <w:rPr>
          <w:rFonts w:ascii="Tahoma" w:hAnsi="Tahoma" w:cs="Tahoma"/>
          <w:sz w:val="20"/>
          <w:szCs w:val="20"/>
          <w:lang w:val="fr-FR"/>
        </w:rPr>
      </w:pPr>
      <w:r w:rsidRPr="0061395D">
        <w:rPr>
          <w:rFonts w:ascii="Tahoma" w:hAnsi="Tahoma" w:cs="Tahoma"/>
          <w:sz w:val="20"/>
          <w:szCs w:val="20"/>
          <w:lang w:val="fr-FR"/>
        </w:rPr>
        <w:t>- soutien aux éventuelles réformes législatives et réglementaires visant à aligner progressivement la législation et/ou le cadre réglementaire national aux standards du Conseil de l’Europe ; modération de sessions de travail; production des études)</w:t>
      </w:r>
    </w:p>
    <w:p w14:paraId="36028177" w14:textId="77777777" w:rsidR="000D6B0B" w:rsidRPr="0061395D" w:rsidRDefault="000D6B0B" w:rsidP="00FE42C7">
      <w:pPr>
        <w:jc w:val="both"/>
        <w:rPr>
          <w:rFonts w:ascii="Tahoma" w:hAnsi="Tahoma" w:cs="Tahoma"/>
          <w:sz w:val="20"/>
          <w:szCs w:val="20"/>
          <w:lang w:val="fr-FR"/>
        </w:rPr>
      </w:pPr>
      <w:r w:rsidRPr="0061395D">
        <w:rPr>
          <w:rFonts w:ascii="Tahoma" w:hAnsi="Tahoma" w:cs="Tahoma"/>
          <w:sz w:val="20"/>
          <w:szCs w:val="20"/>
          <w:lang w:val="fr-FR"/>
        </w:rPr>
        <w:t xml:space="preserve">- renforcement des capacités des autorités de régulation de l’audiovisuel, des Ministères compétents dans l’exercice des différents aspects de leur mission (régulation, formation, supervision, éducation aux médias, sensibilisation etc.) et en vue de soutenir une meilleure connaissance des standards du Conseil de l’Europe  </w:t>
      </w:r>
    </w:p>
    <w:p w14:paraId="36028178" w14:textId="77777777" w:rsidR="000D6B0B" w:rsidRPr="0061395D" w:rsidRDefault="000D6B0B" w:rsidP="00FE42C7">
      <w:pPr>
        <w:jc w:val="both"/>
        <w:rPr>
          <w:rFonts w:ascii="Tahoma" w:hAnsi="Tahoma" w:cs="Tahoma"/>
          <w:sz w:val="20"/>
          <w:szCs w:val="20"/>
          <w:lang w:val="fr-FR"/>
        </w:rPr>
      </w:pPr>
      <w:r w:rsidRPr="0061395D">
        <w:rPr>
          <w:rFonts w:ascii="Tahoma" w:hAnsi="Tahoma" w:cs="Tahoma"/>
          <w:sz w:val="20"/>
          <w:szCs w:val="20"/>
          <w:lang w:val="fr-FR"/>
        </w:rPr>
        <w:t xml:space="preserve">- assistance technique et renforcement des capacités des journalistes et de leurs  organisations (Syndicats, Organisations d’autorégulation, société civile, étudiants </w:t>
      </w:r>
      <w:proofErr w:type="spellStart"/>
      <w:r w:rsidRPr="0061395D">
        <w:rPr>
          <w:rFonts w:ascii="Tahoma" w:hAnsi="Tahoma" w:cs="Tahoma"/>
          <w:sz w:val="20"/>
          <w:szCs w:val="20"/>
          <w:lang w:val="fr-FR"/>
        </w:rPr>
        <w:t>etc</w:t>
      </w:r>
      <w:proofErr w:type="spellEnd"/>
      <w:r w:rsidRPr="0061395D">
        <w:rPr>
          <w:rFonts w:ascii="Tahoma" w:hAnsi="Tahoma" w:cs="Tahoma"/>
          <w:sz w:val="20"/>
          <w:szCs w:val="20"/>
          <w:lang w:val="fr-FR"/>
        </w:rPr>
        <w:t>) dans l’exercice de leurs rôles et mandats.</w:t>
      </w:r>
    </w:p>
    <w:p w14:paraId="36028179" w14:textId="77777777" w:rsidR="000D6B0B" w:rsidRPr="0061395D" w:rsidRDefault="000D6B0B" w:rsidP="00FE42C7">
      <w:pPr>
        <w:jc w:val="both"/>
        <w:rPr>
          <w:rFonts w:ascii="Tahoma" w:hAnsi="Tahoma" w:cs="Tahoma"/>
          <w:sz w:val="20"/>
          <w:szCs w:val="20"/>
          <w:lang w:val="fr-FR"/>
        </w:rPr>
      </w:pPr>
      <w:r w:rsidRPr="0061395D">
        <w:rPr>
          <w:rFonts w:ascii="Tahoma" w:hAnsi="Tahoma" w:cs="Tahoma"/>
          <w:sz w:val="20"/>
          <w:szCs w:val="20"/>
          <w:lang w:val="fr-FR"/>
        </w:rPr>
        <w:tab/>
      </w:r>
    </w:p>
    <w:p w14:paraId="3602817B" w14:textId="77777777" w:rsidR="000D6B0B" w:rsidRPr="0061395D" w:rsidRDefault="000D6B0B" w:rsidP="00FE42C7">
      <w:pPr>
        <w:jc w:val="both"/>
        <w:rPr>
          <w:rFonts w:ascii="Tahoma" w:hAnsi="Tahoma" w:cs="Tahoma"/>
          <w:sz w:val="20"/>
          <w:szCs w:val="20"/>
          <w:lang w:val="fr-FR"/>
        </w:rPr>
      </w:pPr>
      <w:r w:rsidRPr="0061395D">
        <w:rPr>
          <w:rFonts w:ascii="Tahoma" w:hAnsi="Tahoma" w:cs="Tahoma"/>
          <w:sz w:val="20"/>
          <w:szCs w:val="20"/>
          <w:lang w:val="fr-FR"/>
        </w:rPr>
        <w:t xml:space="preserve">Le programme  PAII-T prendra fin le 30 décembre 2021.  Il se déroule en Tunisie. </w:t>
      </w:r>
      <w:r w:rsidRPr="0061395D">
        <w:rPr>
          <w:rFonts w:ascii="Tahoma" w:hAnsi="Tahoma" w:cs="Tahoma"/>
          <w:sz w:val="20"/>
          <w:szCs w:val="20"/>
          <w:lang w:val="fr-FR"/>
        </w:rPr>
        <w:tab/>
      </w:r>
    </w:p>
    <w:p w14:paraId="3602817C" w14:textId="7EAC880D" w:rsidR="007B09FC" w:rsidRPr="0061395D" w:rsidRDefault="000D6B0B" w:rsidP="00FE42C7">
      <w:pPr>
        <w:jc w:val="both"/>
        <w:rPr>
          <w:rFonts w:ascii="Tahoma" w:hAnsi="Tahoma" w:cs="Tahoma"/>
          <w:sz w:val="20"/>
          <w:szCs w:val="20"/>
          <w:lang w:val="fr-FR"/>
        </w:rPr>
      </w:pPr>
      <w:r w:rsidRPr="0061395D">
        <w:rPr>
          <w:rFonts w:ascii="Tahoma" w:hAnsi="Tahoma" w:cs="Tahoma"/>
          <w:sz w:val="20"/>
          <w:szCs w:val="20"/>
          <w:lang w:val="fr-FR"/>
        </w:rPr>
        <w:t>Le pr</w:t>
      </w:r>
      <w:r w:rsidR="0061395D" w:rsidRPr="0061395D">
        <w:rPr>
          <w:rFonts w:ascii="Tahoma" w:hAnsi="Tahoma" w:cs="Tahoma"/>
          <w:sz w:val="20"/>
          <w:szCs w:val="20"/>
          <w:lang w:val="fr-FR"/>
        </w:rPr>
        <w:t>o</w:t>
      </w:r>
      <w:r w:rsidRPr="0061395D">
        <w:rPr>
          <w:rFonts w:ascii="Tahoma" w:hAnsi="Tahoma" w:cs="Tahoma"/>
          <w:sz w:val="20"/>
          <w:szCs w:val="20"/>
          <w:lang w:val="fr-FR"/>
        </w:rPr>
        <w:t xml:space="preserve">gramme Sud III prendra fin le 29 février 2020. </w:t>
      </w:r>
      <w:r w:rsidR="0061395D" w:rsidRPr="0061395D">
        <w:rPr>
          <w:rFonts w:ascii="Tahoma" w:hAnsi="Tahoma" w:cs="Tahoma"/>
          <w:color w:val="000000" w:themeColor="text1"/>
          <w:sz w:val="20"/>
          <w:szCs w:val="20"/>
          <w:lang w:val="fr-FR"/>
        </w:rPr>
        <w:t>Le Programme Sud III est ouvert aux partenaires du sud de la Méditerranée couverts par le nouvel instrument européen de voisinage (IEV) et la Politique du Conseil de l’Europe à l’égard des régions voisines (Algérie, Egypte, Israël, Jordanie, Liban, Libye, Maroc, Palestine*</w:t>
      </w:r>
      <w:r w:rsidR="0061395D" w:rsidRPr="0061395D">
        <w:rPr>
          <w:rStyle w:val="FootnoteReference"/>
          <w:rFonts w:ascii="Tahoma" w:hAnsi="Tahoma" w:cs="Tahoma"/>
          <w:color w:val="000000" w:themeColor="text1"/>
          <w:sz w:val="20"/>
          <w:szCs w:val="20"/>
        </w:rPr>
        <w:footnoteReference w:id="3"/>
      </w:r>
      <w:r w:rsidR="0061395D" w:rsidRPr="0061395D">
        <w:rPr>
          <w:rFonts w:ascii="Tahoma" w:hAnsi="Tahoma" w:cs="Tahoma"/>
          <w:color w:val="000000" w:themeColor="text1"/>
          <w:sz w:val="20"/>
          <w:szCs w:val="20"/>
          <w:lang w:val="fr-FR"/>
        </w:rPr>
        <w:t xml:space="preserve"> et Tunisie).</w:t>
      </w:r>
      <w:r w:rsidR="0061395D" w:rsidRPr="0061395D">
        <w:rPr>
          <w:rStyle w:val="FootnoteReference"/>
          <w:rFonts w:ascii="Tahoma" w:hAnsi="Tahoma" w:cs="Tahoma"/>
          <w:color w:val="000000" w:themeColor="text1"/>
          <w:sz w:val="20"/>
          <w:szCs w:val="20"/>
          <w:lang w:val="fr-FR"/>
        </w:rPr>
        <w:t xml:space="preserve"> </w:t>
      </w:r>
    </w:p>
    <w:p w14:paraId="3602817D" w14:textId="2B27BAF4" w:rsidR="007B09FC" w:rsidRDefault="007B09FC" w:rsidP="00FE42C7">
      <w:pPr>
        <w:tabs>
          <w:tab w:val="left" w:pos="900"/>
        </w:tabs>
        <w:jc w:val="both"/>
        <w:rPr>
          <w:rFonts w:ascii="Tahoma" w:hAnsi="Tahoma" w:cs="Tahoma"/>
          <w:color w:val="000000" w:themeColor="text1"/>
          <w:sz w:val="18"/>
          <w:szCs w:val="20"/>
          <w:lang w:val="fr-FR"/>
        </w:rPr>
      </w:pPr>
      <w:r w:rsidRPr="007B09FC">
        <w:rPr>
          <w:rFonts w:ascii="Tahoma" w:hAnsi="Tahoma" w:cs="Tahoma"/>
          <w:color w:val="000000" w:themeColor="text1"/>
          <w:sz w:val="18"/>
          <w:szCs w:val="20"/>
          <w:lang w:val="fr-FR"/>
        </w:rPr>
        <w:tab/>
      </w:r>
    </w:p>
    <w:p w14:paraId="2E3BED1F" w14:textId="45FB3B3F" w:rsidR="00BF1F24" w:rsidRPr="00BF1F24" w:rsidRDefault="00BF1F24" w:rsidP="00FE42C7">
      <w:pPr>
        <w:tabs>
          <w:tab w:val="left" w:pos="900"/>
        </w:tabs>
        <w:jc w:val="both"/>
        <w:rPr>
          <w:rFonts w:ascii="Tahoma" w:hAnsi="Tahoma" w:cs="Tahoma"/>
          <w:i/>
          <w:color w:val="000000" w:themeColor="text1"/>
          <w:sz w:val="18"/>
          <w:szCs w:val="20"/>
          <w:lang w:val="fr-FR"/>
        </w:rPr>
      </w:pPr>
      <w:r>
        <w:rPr>
          <w:rFonts w:ascii="Tahoma" w:hAnsi="Tahoma" w:cs="Tahoma"/>
          <w:i/>
          <w:color w:val="000000" w:themeColor="text1"/>
          <w:sz w:val="18"/>
          <w:szCs w:val="20"/>
          <w:lang w:val="fr-FR"/>
        </w:rPr>
        <w:t>Contrat cadre</w:t>
      </w:r>
    </w:p>
    <w:p w14:paraId="3602817E" w14:textId="57917751" w:rsidR="000D6B0B" w:rsidRDefault="000D6B0B" w:rsidP="00FE42C7">
      <w:pPr>
        <w:spacing w:line="276" w:lineRule="auto"/>
        <w:ind w:right="142"/>
        <w:jc w:val="both"/>
        <w:rPr>
          <w:rFonts w:ascii="Tahoma" w:hAnsi="Tahoma" w:cs="Tahoma"/>
          <w:sz w:val="20"/>
          <w:szCs w:val="20"/>
          <w:lang w:val="fr-FR"/>
        </w:rPr>
      </w:pPr>
      <w:r w:rsidRPr="00561E48">
        <w:rPr>
          <w:rFonts w:ascii="Tahoma" w:hAnsi="Tahoma" w:cs="Tahoma"/>
          <w:sz w:val="20"/>
          <w:szCs w:val="20"/>
          <w:lang w:val="fr-FR"/>
        </w:rPr>
        <w:t xml:space="preserve">Dans ce contexte, le Conseil </w:t>
      </w:r>
      <w:r>
        <w:rPr>
          <w:rFonts w:ascii="Tahoma" w:hAnsi="Tahoma" w:cs="Tahoma"/>
          <w:sz w:val="20"/>
          <w:szCs w:val="20"/>
          <w:lang w:val="fr-FR"/>
        </w:rPr>
        <w:t xml:space="preserve">de l’Europe </w:t>
      </w:r>
      <w:r w:rsidRPr="008077DB">
        <w:rPr>
          <w:rFonts w:ascii="Tahoma" w:hAnsi="Tahoma" w:cs="Tahoma"/>
          <w:sz w:val="20"/>
          <w:szCs w:val="20"/>
          <w:lang w:val="fr-FR"/>
        </w:rPr>
        <w:t>souhaite faire appel à</w:t>
      </w:r>
      <w:r>
        <w:rPr>
          <w:rFonts w:ascii="Tahoma" w:hAnsi="Tahoma" w:cs="Tahoma"/>
          <w:sz w:val="20"/>
          <w:szCs w:val="20"/>
          <w:lang w:val="fr-FR"/>
        </w:rPr>
        <w:t xml:space="preserve"> </w:t>
      </w:r>
      <w:r w:rsidRPr="00CF7B9E">
        <w:rPr>
          <w:rFonts w:ascii="Tahoma" w:hAnsi="Tahoma" w:cs="Tahoma"/>
          <w:sz w:val="20"/>
          <w:szCs w:val="20"/>
          <w:lang w:val="fr-FR"/>
        </w:rPr>
        <w:t xml:space="preserve">un maximum de </w:t>
      </w:r>
      <w:r>
        <w:rPr>
          <w:rFonts w:ascii="Tahoma" w:hAnsi="Tahoma" w:cs="Tahoma"/>
          <w:sz w:val="20"/>
          <w:szCs w:val="20"/>
          <w:lang w:val="fr-FR"/>
        </w:rPr>
        <w:t>120 p</w:t>
      </w:r>
      <w:r w:rsidRPr="008077DB">
        <w:rPr>
          <w:rFonts w:ascii="Tahoma" w:hAnsi="Tahoma" w:cs="Tahoma"/>
          <w:sz w:val="20"/>
          <w:szCs w:val="20"/>
          <w:lang w:val="fr-FR"/>
        </w:rPr>
        <w:t>restataire</w:t>
      </w:r>
      <w:r w:rsidRPr="00561E48">
        <w:rPr>
          <w:rFonts w:ascii="Tahoma" w:hAnsi="Tahoma" w:cs="Tahoma"/>
          <w:sz w:val="20"/>
          <w:szCs w:val="20"/>
          <w:lang w:val="fr-FR"/>
        </w:rPr>
        <w:t xml:space="preserve">s </w:t>
      </w:r>
      <w:r w:rsidR="00E14CCB">
        <w:rPr>
          <w:rFonts w:ascii="Tahoma" w:hAnsi="Tahoma" w:cs="Tahoma"/>
          <w:sz w:val="20"/>
          <w:szCs w:val="20"/>
          <w:lang w:val="fr-FR"/>
        </w:rPr>
        <w:t xml:space="preserve">repartis sur 4 lots </w:t>
      </w:r>
      <w:r w:rsidRPr="00561E48">
        <w:rPr>
          <w:rFonts w:ascii="Tahoma" w:hAnsi="Tahoma" w:cs="Tahoma"/>
          <w:sz w:val="20"/>
          <w:szCs w:val="20"/>
          <w:lang w:val="fr-FR"/>
        </w:rPr>
        <w:t>pour la fourniture de</w:t>
      </w:r>
      <w:r>
        <w:rPr>
          <w:rFonts w:ascii="Tahoma" w:hAnsi="Tahoma" w:cs="Tahoma"/>
          <w:sz w:val="20"/>
          <w:szCs w:val="20"/>
          <w:lang w:val="fr-FR"/>
        </w:rPr>
        <w:t xml:space="preserve"> </w:t>
      </w:r>
      <w:r w:rsidRPr="008077DB">
        <w:rPr>
          <w:rFonts w:ascii="Tahoma" w:hAnsi="Tahoma" w:cs="Tahoma"/>
          <w:sz w:val="20"/>
          <w:szCs w:val="20"/>
          <w:lang w:val="fr-FR"/>
        </w:rPr>
        <w:t>services de consultance juridique et technique</w:t>
      </w:r>
      <w:r>
        <w:rPr>
          <w:rFonts w:ascii="Tahoma" w:hAnsi="Tahoma" w:cs="Tahoma"/>
          <w:sz w:val="20"/>
          <w:szCs w:val="20"/>
          <w:lang w:val="fr-FR"/>
        </w:rPr>
        <w:t>.</w:t>
      </w:r>
      <w:r w:rsidRPr="008077DB">
        <w:rPr>
          <w:rFonts w:ascii="Tahoma" w:hAnsi="Tahoma" w:cs="Tahoma"/>
          <w:sz w:val="20"/>
          <w:szCs w:val="20"/>
          <w:lang w:val="fr-FR"/>
        </w:rPr>
        <w:t xml:space="preserve"> </w:t>
      </w:r>
      <w:r w:rsidRPr="00561E48">
        <w:rPr>
          <w:rFonts w:ascii="Tahoma" w:hAnsi="Tahoma" w:cs="Tahoma"/>
          <w:sz w:val="20"/>
          <w:szCs w:val="20"/>
          <w:lang w:val="fr-FR"/>
        </w:rPr>
        <w:t xml:space="preserve"> </w:t>
      </w:r>
    </w:p>
    <w:p w14:paraId="5E0806DD" w14:textId="5E5D9422" w:rsidR="00BF1F24" w:rsidRDefault="00BF1F24" w:rsidP="00FE42C7">
      <w:pPr>
        <w:spacing w:line="276" w:lineRule="auto"/>
        <w:ind w:right="142"/>
        <w:jc w:val="both"/>
        <w:rPr>
          <w:rFonts w:ascii="Tahoma" w:hAnsi="Tahoma" w:cs="Tahoma"/>
          <w:sz w:val="20"/>
          <w:szCs w:val="20"/>
          <w:lang w:val="fr-FR"/>
        </w:rPr>
      </w:pPr>
      <w:r>
        <w:rPr>
          <w:rFonts w:ascii="Tahoma" w:hAnsi="Tahoma" w:cs="Tahoma"/>
          <w:sz w:val="20"/>
          <w:szCs w:val="20"/>
          <w:lang w:val="fr-FR"/>
        </w:rPr>
        <w:t xml:space="preserve">Les différents services prévus dans le cadre de chaque lot de ce contrat cadre sont détaillés dans le Dossier de Consultation / Termes de référence. </w:t>
      </w:r>
    </w:p>
    <w:p w14:paraId="4708BEBB" w14:textId="77777777" w:rsidR="00BF1F24" w:rsidRPr="00561E48" w:rsidRDefault="00BF1F24" w:rsidP="00FE42C7">
      <w:pPr>
        <w:spacing w:line="276" w:lineRule="auto"/>
        <w:ind w:right="142"/>
        <w:jc w:val="both"/>
        <w:rPr>
          <w:rFonts w:ascii="Tahoma" w:hAnsi="Tahoma" w:cs="Tahoma"/>
          <w:sz w:val="20"/>
          <w:szCs w:val="20"/>
          <w:lang w:val="fr-FR"/>
        </w:rPr>
      </w:pPr>
    </w:p>
    <w:p w14:paraId="3602817F" w14:textId="4B88E8F3" w:rsidR="000D6B0B" w:rsidRPr="00E8250B" w:rsidRDefault="00BF1F24" w:rsidP="00FE42C7">
      <w:pPr>
        <w:spacing w:line="276" w:lineRule="auto"/>
        <w:ind w:right="142"/>
        <w:jc w:val="both"/>
        <w:rPr>
          <w:rFonts w:ascii="Tahoma" w:hAnsi="Tahoma" w:cs="Tahoma"/>
          <w:i/>
          <w:sz w:val="20"/>
          <w:szCs w:val="20"/>
          <w:lang w:val="fr-FR"/>
        </w:rPr>
      </w:pPr>
      <w:r>
        <w:rPr>
          <w:rFonts w:ascii="Tahoma" w:hAnsi="Tahoma" w:cs="Tahoma"/>
          <w:i/>
          <w:sz w:val="20"/>
          <w:szCs w:val="20"/>
          <w:lang w:val="fr-FR"/>
        </w:rPr>
        <w:t>Bons de commande</w:t>
      </w:r>
    </w:p>
    <w:p w14:paraId="36028180" w14:textId="77777777" w:rsidR="0079079F" w:rsidRPr="00561E48" w:rsidRDefault="0079079F" w:rsidP="00FE42C7">
      <w:pPr>
        <w:spacing w:line="276" w:lineRule="auto"/>
        <w:ind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0D6B0B">
        <w:rPr>
          <w:rFonts w:ascii="Tahoma" w:hAnsi="Tahoma" w:cs="Tahoma"/>
          <w:sz w:val="20"/>
          <w:szCs w:val="20"/>
          <w:lang w:val="fr-FR"/>
        </w:rPr>
        <w:t>p</w:t>
      </w:r>
      <w:r w:rsidR="00C32676" w:rsidRPr="00561E48">
        <w:rPr>
          <w:rFonts w:ascii="Tahoma" w:hAnsi="Tahoma" w:cs="Tahoma"/>
          <w:sz w:val="20"/>
          <w:szCs w:val="20"/>
          <w:lang w:val="fr-FR"/>
        </w:rPr>
        <w:t>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w:t>
      </w:r>
      <w:r w:rsidR="000D6B0B">
        <w:rPr>
          <w:rFonts w:ascii="Tahoma" w:hAnsi="Tahoma" w:cs="Tahoma"/>
          <w:sz w:val="20"/>
          <w:szCs w:val="20"/>
          <w:lang w:val="fr-FR"/>
        </w:rPr>
        <w:t xml:space="preserve">de l’Europe </w:t>
      </w:r>
      <w:r w:rsidRPr="00561E48">
        <w:rPr>
          <w:rFonts w:ascii="Tahoma" w:hAnsi="Tahoma" w:cs="Tahoma"/>
          <w:sz w:val="20"/>
          <w:szCs w:val="20"/>
          <w:lang w:val="fr-FR"/>
        </w:rPr>
        <w:t xml:space="preserve">signé </w:t>
      </w:r>
      <w:r w:rsidR="00C32676" w:rsidRPr="00561E48">
        <w:rPr>
          <w:rFonts w:ascii="Tahoma" w:hAnsi="Tahoma" w:cs="Tahoma"/>
          <w:sz w:val="20"/>
          <w:szCs w:val="20"/>
          <w:lang w:val="fr-FR"/>
        </w:rPr>
        <w:t xml:space="preserve">dans les </w:t>
      </w:r>
      <w:r w:rsidR="0025048A" w:rsidRPr="00CF7B9E">
        <w:rPr>
          <w:rFonts w:ascii="Tahoma" w:hAnsi="Tahoma" w:cs="Tahoma"/>
          <w:b/>
          <w:sz w:val="20"/>
          <w:szCs w:val="20"/>
          <w:lang w:val="fr-FR"/>
        </w:rPr>
        <w:t>5</w:t>
      </w:r>
      <w:r w:rsidR="00C32676" w:rsidRPr="00CF7B9E">
        <w:rPr>
          <w:rFonts w:ascii="Tahoma" w:hAnsi="Tahoma" w:cs="Tahoma"/>
          <w:b/>
          <w:sz w:val="20"/>
          <w:szCs w:val="20"/>
          <w:lang w:val="fr-FR"/>
        </w:rPr>
        <w:t xml:space="preserve"> (</w:t>
      </w:r>
      <w:r w:rsidR="0025048A" w:rsidRPr="00CF7B9E">
        <w:rPr>
          <w:rFonts w:ascii="Tahoma" w:hAnsi="Tahoma" w:cs="Tahoma"/>
          <w:b/>
          <w:sz w:val="20"/>
          <w:szCs w:val="20"/>
          <w:lang w:val="fr-FR"/>
        </w:rPr>
        <w:t>cinq</w:t>
      </w:r>
      <w:r w:rsidR="00C32676" w:rsidRPr="00CF7B9E">
        <w:rPr>
          <w:rFonts w:ascii="Tahoma" w:hAnsi="Tahoma" w:cs="Tahoma"/>
          <w:b/>
          <w:sz w:val="20"/>
          <w:szCs w:val="20"/>
          <w:lang w:val="fr-FR"/>
        </w:rPr>
        <w:t xml:space="preserve">) jours </w:t>
      </w:r>
      <w:r w:rsidR="00C32676" w:rsidRPr="00561E48">
        <w:rPr>
          <w:rFonts w:ascii="Tahoma" w:hAnsi="Tahoma" w:cs="Tahoma"/>
          <w:sz w:val="20"/>
          <w:szCs w:val="20"/>
          <w:lang w:val="fr-FR"/>
        </w:rPr>
        <w:t>ouvrés à compter de</w:t>
      </w:r>
      <w:r w:rsidRPr="00561E48">
        <w:rPr>
          <w:rFonts w:ascii="Tahoma" w:hAnsi="Tahoma" w:cs="Tahoma"/>
          <w:sz w:val="20"/>
          <w:szCs w:val="20"/>
          <w:lang w:val="fr-FR"/>
        </w:rPr>
        <w:t xml:space="preserve"> sa réception.</w:t>
      </w:r>
    </w:p>
    <w:p w14:paraId="36028182" w14:textId="77777777" w:rsidR="00213BF9" w:rsidRPr="00CF7B9E" w:rsidRDefault="00213BF9" w:rsidP="00FE42C7">
      <w:pPr>
        <w:ind w:right="142"/>
        <w:jc w:val="both"/>
        <w:rPr>
          <w:rFonts w:ascii="Tahoma" w:hAnsi="Tahoma" w:cs="Tahoma"/>
          <w:b/>
          <w:sz w:val="20"/>
          <w:szCs w:val="20"/>
          <w:lang w:val="fr-FR"/>
        </w:rPr>
      </w:pPr>
      <w:r w:rsidRPr="00CF7B9E">
        <w:rPr>
          <w:rFonts w:ascii="Tahoma" w:hAnsi="Tahoma" w:cs="Tahoma"/>
          <w:b/>
          <w:sz w:val="20"/>
          <w:szCs w:val="20"/>
          <w:lang w:val="fr-FR"/>
        </w:rPr>
        <w:t>« </w:t>
      </w:r>
      <w:proofErr w:type="spellStart"/>
      <w:r w:rsidR="00C32676" w:rsidRPr="00CF7B9E">
        <w:rPr>
          <w:rFonts w:ascii="Tahoma" w:hAnsi="Tahoma" w:cs="Tahoma"/>
          <w:b/>
          <w:sz w:val="20"/>
          <w:szCs w:val="20"/>
          <w:lang w:val="fr-FR"/>
        </w:rPr>
        <w:t>Pooling</w:t>
      </w:r>
      <w:proofErr w:type="spellEnd"/>
      <w:r w:rsidRPr="00CF7B9E">
        <w:rPr>
          <w:rFonts w:ascii="Tahoma" w:hAnsi="Tahoma" w:cs="Tahoma"/>
          <w:b/>
          <w:sz w:val="20"/>
          <w:szCs w:val="20"/>
          <w:lang w:val="fr-FR"/>
        </w:rPr>
        <w:t> »</w:t>
      </w:r>
    </w:p>
    <w:p w14:paraId="36028183" w14:textId="77777777" w:rsidR="005456B4" w:rsidRPr="00CF7B9E" w:rsidRDefault="005456B4" w:rsidP="00FE42C7">
      <w:pPr>
        <w:ind w:right="142"/>
        <w:jc w:val="both"/>
        <w:rPr>
          <w:rFonts w:ascii="Tahoma" w:hAnsi="Tahoma" w:cs="Tahoma"/>
          <w:sz w:val="20"/>
          <w:szCs w:val="20"/>
          <w:lang w:val="fr-FR"/>
        </w:rPr>
      </w:pPr>
      <w:r w:rsidRPr="00CF7B9E">
        <w:rPr>
          <w:rFonts w:ascii="Tahoma" w:hAnsi="Tahoma" w:cs="Tahoma"/>
          <w:sz w:val="20"/>
          <w:szCs w:val="20"/>
          <w:lang w:val="fr-FR"/>
        </w:rPr>
        <w:t>Pour chaque commande, le Conseil</w:t>
      </w:r>
      <w:r w:rsidR="00E34147">
        <w:rPr>
          <w:rFonts w:ascii="Tahoma" w:hAnsi="Tahoma" w:cs="Tahoma"/>
          <w:sz w:val="20"/>
          <w:szCs w:val="20"/>
          <w:lang w:val="fr-FR"/>
        </w:rPr>
        <w:t xml:space="preserve"> de l’Europe</w:t>
      </w:r>
      <w:r w:rsidRPr="00CF7B9E">
        <w:rPr>
          <w:rFonts w:ascii="Tahoma" w:hAnsi="Tahoma" w:cs="Tahoma"/>
          <w:sz w:val="20"/>
          <w:szCs w:val="20"/>
          <w:lang w:val="fr-FR"/>
        </w:rPr>
        <w:t xml:space="preserve"> choisira, parmi les soumissionnaires présélectionnés, le </w:t>
      </w:r>
      <w:r w:rsidR="00C22B8E" w:rsidRPr="00CF7B9E">
        <w:rPr>
          <w:rFonts w:ascii="Tahoma" w:hAnsi="Tahoma" w:cs="Tahoma"/>
          <w:sz w:val="20"/>
          <w:szCs w:val="20"/>
          <w:lang w:val="fr-FR"/>
        </w:rPr>
        <w:t>prestataire</w:t>
      </w:r>
      <w:r w:rsidRPr="00CF7B9E">
        <w:rPr>
          <w:rFonts w:ascii="Tahoma" w:hAnsi="Tahoma" w:cs="Tahoma"/>
          <w:sz w:val="20"/>
          <w:szCs w:val="20"/>
          <w:lang w:val="fr-FR"/>
        </w:rPr>
        <w:t xml:space="preserve"> qui</w:t>
      </w:r>
      <w:r w:rsidR="00C22B8E" w:rsidRPr="00CF7B9E">
        <w:rPr>
          <w:rFonts w:ascii="Tahoma" w:hAnsi="Tahoma" w:cs="Tahoma"/>
          <w:sz w:val="20"/>
          <w:szCs w:val="20"/>
          <w:lang w:val="fr-FR"/>
        </w:rPr>
        <w:t xml:space="preserve"> présente l’offre économiquement la plus avantageuse en rapport avec le besoin à couvrir, à la lumière </w:t>
      </w:r>
      <w:r w:rsidRPr="00CF7B9E">
        <w:rPr>
          <w:rFonts w:ascii="Tahoma" w:hAnsi="Tahoma" w:cs="Tahoma"/>
          <w:sz w:val="20"/>
          <w:szCs w:val="20"/>
          <w:lang w:val="fr-FR"/>
        </w:rPr>
        <w:t>des critères suivants:</w:t>
      </w:r>
      <w:r w:rsidRPr="008077DB">
        <w:rPr>
          <w:rFonts w:ascii="Tahoma" w:hAnsi="Tahoma" w:cs="Tahoma"/>
          <w:sz w:val="20"/>
          <w:szCs w:val="20"/>
          <w:lang w:val="fr-FR"/>
        </w:rPr>
        <w:t xml:space="preserve">  </w:t>
      </w:r>
    </w:p>
    <w:p w14:paraId="36028184" w14:textId="77777777" w:rsidR="005456B4" w:rsidRPr="00CF7B9E" w:rsidRDefault="005456B4" w:rsidP="00FE42C7">
      <w:pPr>
        <w:pStyle w:val="Default"/>
        <w:numPr>
          <w:ilvl w:val="0"/>
          <w:numId w:val="22"/>
        </w:numPr>
        <w:ind w:left="567" w:right="142" w:hanging="283"/>
        <w:jc w:val="both"/>
        <w:rPr>
          <w:rFonts w:ascii="Tahoma" w:hAnsi="Tahoma" w:cs="Tahoma"/>
          <w:sz w:val="20"/>
          <w:szCs w:val="20"/>
          <w:lang w:val="fr-FR"/>
        </w:rPr>
      </w:pPr>
      <w:r w:rsidRPr="00CF7B9E">
        <w:rPr>
          <w:rFonts w:ascii="Tahoma" w:hAnsi="Tahoma" w:cs="Tahoma"/>
          <w:sz w:val="20"/>
          <w:szCs w:val="20"/>
          <w:lang w:val="fr-FR"/>
        </w:rPr>
        <w:t xml:space="preserve">la qualité (y compris, s'il y a lieu: la compétence, l'expertise, la disponibilité des ressources et les méthodes proposées pour </w:t>
      </w:r>
      <w:r w:rsidR="00C22B8E" w:rsidRPr="00CF7B9E">
        <w:rPr>
          <w:rFonts w:ascii="Tahoma" w:hAnsi="Tahoma" w:cs="Tahoma"/>
          <w:sz w:val="20"/>
          <w:szCs w:val="20"/>
          <w:lang w:val="fr-FR"/>
        </w:rPr>
        <w:t>exécuter le contrat</w:t>
      </w:r>
      <w:r w:rsidRPr="00CF7B9E">
        <w:rPr>
          <w:rFonts w:ascii="Tahoma" w:hAnsi="Tahoma" w:cs="Tahoma"/>
          <w:sz w:val="20"/>
          <w:szCs w:val="20"/>
          <w:lang w:val="fr-FR"/>
        </w:rPr>
        <w:t>);</w:t>
      </w:r>
    </w:p>
    <w:p w14:paraId="36028185" w14:textId="77777777" w:rsidR="005456B4" w:rsidRPr="00CF7B9E" w:rsidRDefault="005456B4" w:rsidP="00FE42C7">
      <w:pPr>
        <w:pStyle w:val="Default"/>
        <w:numPr>
          <w:ilvl w:val="0"/>
          <w:numId w:val="22"/>
        </w:numPr>
        <w:ind w:left="567" w:right="142" w:hanging="283"/>
        <w:jc w:val="both"/>
        <w:rPr>
          <w:rFonts w:ascii="Tahoma" w:hAnsi="Tahoma" w:cs="Tahoma"/>
          <w:sz w:val="20"/>
          <w:szCs w:val="20"/>
          <w:lang w:val="fr-FR"/>
        </w:rPr>
      </w:pPr>
      <w:r w:rsidRPr="00CF7B9E">
        <w:rPr>
          <w:rFonts w:ascii="Tahoma" w:hAnsi="Tahoma" w:cs="Tahoma"/>
          <w:sz w:val="20"/>
          <w:szCs w:val="20"/>
          <w:lang w:val="fr-FR"/>
        </w:rPr>
        <w:t>la di</w:t>
      </w:r>
      <w:r w:rsidR="00C22B8E" w:rsidRPr="00CF7B9E">
        <w:rPr>
          <w:rFonts w:ascii="Tahoma" w:hAnsi="Tahoma" w:cs="Tahoma"/>
          <w:sz w:val="20"/>
          <w:szCs w:val="20"/>
          <w:lang w:val="fr-FR"/>
        </w:rPr>
        <w:t>sponibilité (y compris, sans s'</w:t>
      </w:r>
      <w:r w:rsidRPr="00CF7B9E">
        <w:rPr>
          <w:rFonts w:ascii="Tahoma" w:hAnsi="Tahoma" w:cs="Tahoma"/>
          <w:sz w:val="20"/>
          <w:szCs w:val="20"/>
          <w:lang w:val="fr-FR"/>
        </w:rPr>
        <w:t>y limiter, la capacité de respecter les délais requis et, le cas échéant, l'emplacement géographique); et</w:t>
      </w:r>
    </w:p>
    <w:p w14:paraId="36028186" w14:textId="77777777" w:rsidR="005456B4" w:rsidRPr="00CF7B9E" w:rsidRDefault="005456B4" w:rsidP="00FE42C7">
      <w:pPr>
        <w:pStyle w:val="Default"/>
        <w:numPr>
          <w:ilvl w:val="0"/>
          <w:numId w:val="22"/>
        </w:numPr>
        <w:ind w:left="567" w:right="142" w:hanging="283"/>
        <w:jc w:val="both"/>
        <w:rPr>
          <w:rFonts w:ascii="Tahoma" w:hAnsi="Tahoma" w:cs="Tahoma"/>
          <w:sz w:val="20"/>
          <w:szCs w:val="20"/>
          <w:lang w:val="fr-FR"/>
        </w:rPr>
      </w:pPr>
      <w:r w:rsidRPr="00CF7B9E">
        <w:rPr>
          <w:rFonts w:ascii="Tahoma" w:hAnsi="Tahoma" w:cs="Tahoma"/>
          <w:sz w:val="20"/>
          <w:szCs w:val="20"/>
          <w:lang w:val="fr-FR"/>
        </w:rPr>
        <w:t>le prix.</w:t>
      </w:r>
    </w:p>
    <w:p w14:paraId="36028187" w14:textId="77777777" w:rsidR="00C22B8E" w:rsidRPr="00CF7B9E" w:rsidRDefault="00C22B8E" w:rsidP="00FE42C7">
      <w:pPr>
        <w:pStyle w:val="Default"/>
        <w:ind w:left="142" w:right="142"/>
        <w:jc w:val="both"/>
        <w:rPr>
          <w:rFonts w:ascii="Tahoma" w:hAnsi="Tahoma" w:cs="Tahoma"/>
          <w:sz w:val="20"/>
          <w:szCs w:val="20"/>
          <w:lang w:val="fr-FR"/>
        </w:rPr>
      </w:pPr>
    </w:p>
    <w:p w14:paraId="36028188" w14:textId="77777777" w:rsidR="00C22B8E" w:rsidRPr="00CF7B9E" w:rsidRDefault="00C22B8E" w:rsidP="00FE42C7">
      <w:pPr>
        <w:pStyle w:val="Default"/>
        <w:ind w:right="142"/>
        <w:jc w:val="both"/>
        <w:rPr>
          <w:rFonts w:ascii="Tahoma" w:hAnsi="Tahoma" w:cs="Tahoma"/>
          <w:sz w:val="20"/>
          <w:szCs w:val="20"/>
          <w:lang w:val="fr-FR"/>
        </w:rPr>
      </w:pPr>
      <w:r w:rsidRPr="00CF7B9E">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6028189" w14:textId="6778C7D5" w:rsidR="00691AEC" w:rsidRDefault="00691AEC" w:rsidP="00FE42C7">
      <w:pPr>
        <w:spacing w:line="276" w:lineRule="auto"/>
        <w:ind w:right="142"/>
        <w:jc w:val="both"/>
        <w:rPr>
          <w:rFonts w:ascii="Tahoma" w:hAnsi="Tahoma" w:cs="Tahoma"/>
          <w:sz w:val="20"/>
          <w:szCs w:val="20"/>
          <w:lang w:val="fr-FR"/>
        </w:rPr>
      </w:pPr>
    </w:p>
    <w:p w14:paraId="1F972400" w14:textId="044CE3E1" w:rsidR="00E8250B" w:rsidRDefault="00E8250B" w:rsidP="00FE42C7">
      <w:pPr>
        <w:spacing w:line="276" w:lineRule="auto"/>
        <w:ind w:right="142"/>
        <w:jc w:val="both"/>
        <w:rPr>
          <w:rFonts w:ascii="Tahoma" w:hAnsi="Tahoma" w:cs="Tahoma"/>
          <w:sz w:val="20"/>
          <w:szCs w:val="20"/>
          <w:lang w:val="fr-FR"/>
        </w:rPr>
      </w:pPr>
    </w:p>
    <w:p w14:paraId="14CED3FB" w14:textId="5DA70239" w:rsidR="00E8250B" w:rsidRDefault="00E8250B" w:rsidP="00FE42C7">
      <w:pPr>
        <w:spacing w:line="276" w:lineRule="auto"/>
        <w:ind w:right="142"/>
        <w:jc w:val="both"/>
        <w:rPr>
          <w:rFonts w:ascii="Tahoma" w:hAnsi="Tahoma" w:cs="Tahoma"/>
          <w:sz w:val="20"/>
          <w:szCs w:val="20"/>
          <w:lang w:val="fr-FR"/>
        </w:rPr>
      </w:pPr>
    </w:p>
    <w:p w14:paraId="6B0D2DD4" w14:textId="73A41825" w:rsidR="00E8250B" w:rsidRDefault="00E8250B" w:rsidP="00FE42C7">
      <w:pPr>
        <w:spacing w:line="276" w:lineRule="auto"/>
        <w:ind w:right="142"/>
        <w:jc w:val="both"/>
        <w:rPr>
          <w:rFonts w:ascii="Tahoma" w:hAnsi="Tahoma" w:cs="Tahoma"/>
          <w:sz w:val="20"/>
          <w:szCs w:val="20"/>
          <w:lang w:val="fr-FR"/>
        </w:rPr>
      </w:pPr>
    </w:p>
    <w:p w14:paraId="793F46A3" w14:textId="77777777" w:rsidR="00E8250B" w:rsidRDefault="00E8250B" w:rsidP="00FE42C7">
      <w:pPr>
        <w:spacing w:line="276" w:lineRule="auto"/>
        <w:ind w:right="142"/>
        <w:jc w:val="both"/>
        <w:rPr>
          <w:rFonts w:ascii="Tahoma" w:hAnsi="Tahoma" w:cs="Tahoma"/>
          <w:sz w:val="20"/>
          <w:szCs w:val="20"/>
          <w:lang w:val="fr-FR"/>
        </w:rPr>
      </w:pPr>
    </w:p>
    <w:p w14:paraId="3602818A" w14:textId="03354374" w:rsidR="00691AEC" w:rsidRDefault="00691AEC" w:rsidP="00EF56B2">
      <w:pPr>
        <w:spacing w:line="276" w:lineRule="auto"/>
        <w:ind w:right="142"/>
        <w:jc w:val="both"/>
        <w:rPr>
          <w:rFonts w:ascii="Tahoma" w:hAnsi="Tahoma" w:cs="Tahoma"/>
          <w:sz w:val="20"/>
          <w:szCs w:val="20"/>
          <w:lang w:val="fr-FR"/>
        </w:rPr>
      </w:pPr>
      <w:r w:rsidRPr="00CF7B9E">
        <w:rPr>
          <w:rFonts w:ascii="Tahoma" w:hAnsi="Tahoma" w:cs="Tahoma"/>
          <w:b/>
          <w:sz w:val="20"/>
          <w:szCs w:val="20"/>
          <w:lang w:val="fr-FR"/>
        </w:rPr>
        <w:t>Lots</w:t>
      </w:r>
      <w:r w:rsidR="009535CC">
        <w:rPr>
          <w:rFonts w:ascii="Tahoma" w:hAnsi="Tahoma" w:cs="Tahoma"/>
          <w:b/>
          <w:sz w:val="20"/>
          <w:szCs w:val="20"/>
          <w:lang w:val="fr-FR"/>
        </w:rPr>
        <w:t> :</w:t>
      </w:r>
    </w:p>
    <w:p w14:paraId="3602818B" w14:textId="77777777" w:rsidR="008B14A9" w:rsidRPr="00CF7B9E" w:rsidRDefault="008B14A9" w:rsidP="00EF56B2">
      <w:pPr>
        <w:spacing w:after="200" w:line="276" w:lineRule="auto"/>
        <w:jc w:val="both"/>
        <w:rPr>
          <w:rFonts w:ascii="Tahoma" w:eastAsiaTheme="minorHAnsi" w:hAnsi="Tahoma" w:cs="Tahoma"/>
          <w:sz w:val="20"/>
          <w:szCs w:val="20"/>
          <w:lang w:val="fr-FR" w:eastAsia="en-US"/>
        </w:rPr>
      </w:pPr>
      <w:r w:rsidRPr="00CF7B9E">
        <w:rPr>
          <w:rFonts w:ascii="Tahoma" w:eastAsiaTheme="minorHAnsi" w:hAnsi="Tahoma" w:cs="Tahoma"/>
          <w:sz w:val="20"/>
          <w:szCs w:val="20"/>
          <w:lang w:val="fr-FR" w:eastAsia="en-US"/>
        </w:rPr>
        <w:lastRenderedPageBreak/>
        <w:t>Le/la soumissionnaire déclare présenter une offre pour le(s) lot(s) suivant(s) :</w:t>
      </w:r>
    </w:p>
    <w:p w14:paraId="3602818C" w14:textId="77777777" w:rsidR="008B14A9" w:rsidRPr="00CF7B9E" w:rsidRDefault="008B14A9" w:rsidP="00E14CCB">
      <w:pPr>
        <w:pBdr>
          <w:top w:val="single" w:sz="2" w:space="1" w:color="FF0000"/>
          <w:left w:val="single" w:sz="2" w:space="4" w:color="FF0000"/>
          <w:bottom w:val="single" w:sz="2" w:space="1" w:color="FF0000"/>
          <w:right w:val="single" w:sz="2" w:space="0" w:color="FF0000"/>
        </w:pBdr>
        <w:tabs>
          <w:tab w:val="left" w:pos="7371"/>
          <w:tab w:val="left" w:pos="7513"/>
        </w:tabs>
        <w:spacing w:after="200" w:line="276" w:lineRule="auto"/>
        <w:ind w:left="142" w:right="1842"/>
        <w:jc w:val="both"/>
        <w:rPr>
          <w:rFonts w:ascii="Tahoma" w:eastAsiaTheme="minorHAnsi" w:hAnsi="Tahoma" w:cs="Tahoma"/>
          <w:color w:val="FF0000"/>
          <w:sz w:val="18"/>
          <w:szCs w:val="18"/>
          <w:lang w:val="fr-FR" w:eastAsia="en-US"/>
        </w:rPr>
      </w:pPr>
      <w:r w:rsidRPr="00CF7B9E">
        <w:rPr>
          <w:rFonts w:ascii="Tahoma" w:eastAsiaTheme="minorHAnsi" w:hAnsi="Tahoma" w:cs="Tahoma"/>
          <w:color w:val="FF0000"/>
          <w:sz w:val="18"/>
          <w:szCs w:val="18"/>
          <w:lang w:val="fr-FR" w:eastAsia="en-US"/>
        </w:rPr>
        <w:t>Le/la soumissionnaire doit cocher la ou les case(s) correspondant au(x) lot(s) pour lequel ou lesquels il souhaite présenter une offre. Il peut candidater à un, plusieurs ou tous les lots.</w: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1"/>
        <w:gridCol w:w="816"/>
        <w:gridCol w:w="6471"/>
        <w:gridCol w:w="3161"/>
      </w:tblGrid>
      <w:tr w:rsidR="008B14A9" w:rsidRPr="009764A4" w14:paraId="36028192" w14:textId="77777777" w:rsidTr="00E14CCB">
        <w:trPr>
          <w:gridBefore w:val="1"/>
          <w:wBefore w:w="85" w:type="pct"/>
          <w:trHeight w:val="673"/>
          <w:jc w:val="center"/>
        </w:trPr>
        <w:tc>
          <w:tcPr>
            <w:tcW w:w="384" w:type="pct"/>
            <w:tcBorders>
              <w:top w:val="nil"/>
              <w:left w:val="nil"/>
              <w:bottom w:val="single" w:sz="2" w:space="0" w:color="FF0000"/>
              <w:right w:val="single" w:sz="2" w:space="0" w:color="808080" w:themeColor="background1" w:themeShade="80"/>
            </w:tcBorders>
            <w:shd w:val="clear" w:color="auto" w:fill="FFFFFF" w:themeFill="background1"/>
            <w:vAlign w:val="center"/>
          </w:tcPr>
          <w:p w14:paraId="3602818E" w14:textId="75A6CD68" w:rsidR="008B14A9" w:rsidRPr="00CF7B9E" w:rsidRDefault="008B14A9" w:rsidP="008B14A9">
            <w:pPr>
              <w:spacing w:after="200" w:line="276" w:lineRule="auto"/>
              <w:ind w:left="-142"/>
              <w:jc w:val="center"/>
              <w:rPr>
                <w:rFonts w:ascii="Tahoma" w:eastAsia="Calibri" w:hAnsi="Tahoma" w:cs="Tahoma"/>
                <w:bCs/>
                <w:sz w:val="36"/>
                <w:szCs w:val="36"/>
                <w:lang w:val="fr-FR" w:eastAsia="en-US"/>
              </w:rPr>
            </w:pPr>
            <w:r w:rsidRPr="008B14A9">
              <w:rPr>
                <w:rFonts w:ascii="Arial Narrow" w:eastAsiaTheme="minorHAnsi" w:hAnsi="Arial Narrow" w:cstheme="minorBidi"/>
                <w:b/>
                <w:noProof/>
                <w:lang w:val="en-US" w:eastAsia="en-US"/>
              </w:rPr>
              <mc:AlternateContent>
                <mc:Choice Requires="wps">
                  <w:drawing>
                    <wp:anchor distT="0" distB="0" distL="114300" distR="114300" simplePos="0" relativeHeight="251660289" behindDoc="0" locked="1" layoutInCell="1" allowOverlap="1" wp14:anchorId="36028294" wp14:editId="3A3F0C71">
                      <wp:simplePos x="0" y="0"/>
                      <wp:positionH relativeFrom="column">
                        <wp:posOffset>29845</wp:posOffset>
                      </wp:positionH>
                      <wp:positionV relativeFrom="paragraph">
                        <wp:posOffset>-162560</wp:posOffset>
                      </wp:positionV>
                      <wp:extent cx="256540" cy="625475"/>
                      <wp:effectExtent l="19050" t="0" r="10160" b="4127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56540" cy="625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271A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35pt;margin-top:-12.8pt;width:20.2pt;height:49.2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h8TgIAALMEAAAOAAAAZHJzL2Uyb0RvYy54bWysVE1v2zAMvQ/YfxB0X5wYcdoYdYqiXYcB&#10;3Vqg2+6MJMfa9DVJiZN/P0p2smS7DfPBIUX68ZFPzM3tXiuyEz5Iaxo6m0wpEYZZLs2moV+/PL67&#10;piREMByUNaKhBxHo7ertm5ve1aK0nVVceIIgJtS9a2gXo6uLIrBOaAgT64TBYGu9hoiu3xTcQ4/o&#10;WhXldLooeuu585aJEPD0YQjSVcZvW8Hic9sGEYlqKHKL+e3ze53exeoG6o0H10k20oB/YKFBGix6&#10;gnqACGTr5V9QWjJvg23jhFld2LaVTOQesJvZ9I9uXjtwIveCwwnuNKbw/2DZ592LJ5I3dEGJAY0S&#10;3W2jzZVJmcbTu1Bj1qt78anB4J4s+xGIsfcdmI24Cw6HjNLj58cj723fCeDIc5YgiguM5AREI+v+&#10;k+VYELBgHt6+9Zp4m9Cm19P05GOcEtlnyQ4nycQ+EoaHZbWo5igsw9CirOZXVS4IdcJKfJ0P8YOw&#10;miSjoVt3l9hlXNg9hZhF42PrwL9jH61WeAd2oEiVOQx35CynvMhZzq7zoAqoR0S0jmXzyKyS/FEq&#10;lR2/Wd8rTxC+oY/5GRmH8zRlSN/QZVVWmepFLFxCHDli1Ys0LSOulpK6oeMwcyNJmPeGZzuCVION&#10;HyszKpXEGXRfW35AobIkOGTccxyhgG/4S0mPW9PQ8HMLXlCiPhqUezmbJzVidubVVYmOP4+szyNg&#10;WGdxGRFsMO/jsJpb5+Wmy7cqzczYdCdbGY93aeA10sXNQOti9c79nPX7v2b1CwAA//8DAFBLAwQU&#10;AAYACAAAACEAzP3z9N0AAAAHAQAADwAAAGRycy9kb3ducmV2LnhtbEyOTU/DMBBE70j8B2uRuLVO&#10;o37QkE0VkJA4QUnogdvWXpKI2I5itw3/HnOC42hGb16+m0wvzjz6zlmExTwBwVY53dkG4b1+mt2B&#10;8IGspt5ZRvhmD7vi+iqnTLuLfeNzFRoRIdZnhNCGMGRSetWyIT93A9vYfbrRUIhxbKQe6RLhppdp&#10;kqyloc7Gh5YGfmxZfVUng0D0Wqp2X5dTpQ71g3/+0PplQLy9mcp7EIGn8DeGX/2oDkV0OrqT1V70&#10;CMtNHCLM0tUaROyXqwWII8Im3YIscvnfv/gBAAD//wMAUEsBAi0AFAAGAAgAAAAhALaDOJL+AAAA&#10;4QEAABMAAAAAAAAAAAAAAAAAAAAAAFtDb250ZW50X1R5cGVzXS54bWxQSwECLQAUAAYACAAAACEA&#10;OP0h/9YAAACUAQAACwAAAAAAAAAAAAAAAAAvAQAAX3JlbHMvLnJlbHNQSwECLQAUAAYACAAAACEA&#10;n5Q4fE4CAACzBAAADgAAAAAAAAAAAAAAAAAuAgAAZHJzL2Uyb0RvYy54bWxQSwECLQAUAAYACAAA&#10;ACEAzP3z9N0AAAAHAQAADwAAAAAAAAAAAAAAAACoBAAAZHJzL2Rvd25yZXYueG1sUEsFBgAAAAAE&#10;AAQA8wAAALIFAAAAAA==&#10;" adj="5243" strokecolor="red">
                      <o:lock v:ext="edit" aspectratio="t"/>
                      <v:textbox style="layout-flow:vertical-ideographic"/>
                      <w10:anchorlock/>
                    </v:shape>
                  </w:pict>
                </mc:Fallback>
              </mc:AlternateContent>
            </w:r>
          </w:p>
        </w:tc>
        <w:tc>
          <w:tcPr>
            <w:tcW w:w="3044" w:type="pct"/>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3602818F" w14:textId="77777777" w:rsidR="008B14A9" w:rsidRPr="00CF7B9E" w:rsidRDefault="008B14A9" w:rsidP="008B14A9">
            <w:pPr>
              <w:spacing w:before="60" w:after="60" w:line="276" w:lineRule="auto"/>
              <w:ind w:left="-142" w:right="-391"/>
              <w:jc w:val="center"/>
              <w:rPr>
                <w:rFonts w:ascii="Tahoma" w:eastAsia="Calibri" w:hAnsi="Tahoma" w:cs="Tahoma"/>
                <w:b/>
                <w:bCs/>
                <w:sz w:val="18"/>
                <w:szCs w:val="18"/>
                <w:lang w:val="fr-FR" w:eastAsia="en-US"/>
              </w:rPr>
            </w:pPr>
            <w:r w:rsidRPr="00CF7B9E">
              <w:rPr>
                <w:rFonts w:ascii="Tahoma" w:eastAsia="Calibri" w:hAnsi="Tahoma" w:cs="Tahoma"/>
                <w:b/>
                <w:bCs/>
                <w:sz w:val="18"/>
                <w:szCs w:val="18"/>
                <w:lang w:val="fr-FR" w:eastAsia="en-US"/>
              </w:rPr>
              <w:t>Lots</w:t>
            </w:r>
          </w:p>
        </w:tc>
        <w:tc>
          <w:tcPr>
            <w:tcW w:w="1487" w:type="pct"/>
            <w:tcBorders>
              <w:left w:val="single" w:sz="2" w:space="0" w:color="808080" w:themeColor="background1" w:themeShade="80"/>
              <w:bottom w:val="single" w:sz="2" w:space="0" w:color="808080"/>
            </w:tcBorders>
            <w:shd w:val="clear" w:color="auto" w:fill="F2F2F2" w:themeFill="background1" w:themeFillShade="F2"/>
            <w:vAlign w:val="center"/>
          </w:tcPr>
          <w:p w14:paraId="36028190" w14:textId="77777777" w:rsidR="008B14A9" w:rsidRPr="00CF7B9E" w:rsidRDefault="008B14A9" w:rsidP="008B14A9">
            <w:pPr>
              <w:spacing w:before="60" w:after="60" w:line="276" w:lineRule="auto"/>
              <w:ind w:left="-142" w:right="-391"/>
              <w:jc w:val="center"/>
              <w:rPr>
                <w:rFonts w:ascii="Tahoma" w:eastAsia="Calibri" w:hAnsi="Tahoma" w:cs="Tahoma"/>
                <w:b/>
                <w:bCs/>
                <w:sz w:val="18"/>
                <w:szCs w:val="18"/>
                <w:lang w:val="fr-FR" w:eastAsia="en-US"/>
              </w:rPr>
            </w:pPr>
            <w:r w:rsidRPr="00CF7B9E">
              <w:rPr>
                <w:rFonts w:ascii="Tahoma" w:eastAsia="Calibri" w:hAnsi="Tahoma" w:cs="Tahoma"/>
                <w:b/>
                <w:bCs/>
                <w:sz w:val="18"/>
                <w:szCs w:val="18"/>
                <w:lang w:val="fr-FR" w:eastAsia="en-US"/>
              </w:rPr>
              <w:t>Nombre maximum de candidats</w:t>
            </w:r>
          </w:p>
          <w:p w14:paraId="36028191" w14:textId="77777777" w:rsidR="008B14A9" w:rsidRPr="00CF7B9E" w:rsidRDefault="008B14A9" w:rsidP="008B14A9">
            <w:pPr>
              <w:spacing w:before="60" w:after="60" w:line="276" w:lineRule="auto"/>
              <w:ind w:left="-142" w:right="-391"/>
              <w:jc w:val="center"/>
              <w:rPr>
                <w:rFonts w:ascii="Tahoma" w:eastAsia="Calibri" w:hAnsi="Tahoma" w:cs="Tahoma"/>
                <w:b/>
                <w:bCs/>
                <w:sz w:val="18"/>
                <w:szCs w:val="18"/>
                <w:lang w:val="fr-FR" w:eastAsia="en-US"/>
              </w:rPr>
            </w:pPr>
            <w:r w:rsidRPr="00CF7B9E">
              <w:rPr>
                <w:rFonts w:ascii="Tahoma" w:eastAsia="Calibri" w:hAnsi="Tahoma" w:cs="Tahoma"/>
                <w:b/>
                <w:bCs/>
                <w:sz w:val="18"/>
                <w:szCs w:val="18"/>
                <w:lang w:val="fr-FR" w:eastAsia="en-US"/>
              </w:rPr>
              <w:t>qui seront sélectionnés</w:t>
            </w:r>
          </w:p>
        </w:tc>
      </w:tr>
      <w:tr w:rsidR="008B14A9" w:rsidRPr="008B14A9" w14:paraId="36028197" w14:textId="77777777" w:rsidTr="00E14CCB">
        <w:trPr>
          <w:trHeight w:val="704"/>
          <w:jc w:val="center"/>
        </w:trPr>
        <w:sdt>
          <w:sdtPr>
            <w:rPr>
              <w:rFonts w:ascii="Tahoma" w:eastAsia="Calibri" w:hAnsi="Tahoma" w:cs="Tahoma"/>
              <w:bCs/>
              <w:sz w:val="36"/>
              <w:szCs w:val="36"/>
              <w:lang w:val="fr-FR" w:eastAsia="en-US"/>
            </w:rPr>
            <w:id w:val="1737904043"/>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93" w14:textId="77777777" w:rsidR="008B14A9" w:rsidRPr="00CF7B9E" w:rsidRDefault="008B14A9" w:rsidP="008B14A9">
                <w:pPr>
                  <w:spacing w:after="200" w:line="276" w:lineRule="auto"/>
                  <w:ind w:left="-142" w:right="-249"/>
                  <w:jc w:val="center"/>
                  <w:rPr>
                    <w:rFonts w:ascii="Tahoma" w:eastAsia="Calibri" w:hAnsi="Tahoma" w:cs="Tahoma"/>
                    <w:bCs/>
                    <w:sz w:val="36"/>
                    <w:szCs w:val="36"/>
                    <w:lang w:val="fr-FR" w:eastAsia="en-US"/>
                  </w:rPr>
                </w:pPr>
                <w:r w:rsidRPr="008B14A9">
                  <w:rPr>
                    <w:rFonts w:ascii="Segoe UI Symbol" w:eastAsia="MS Gothic" w:hAnsi="Segoe UI Symbol" w:cs="Segoe UI Symbol"/>
                    <w:bCs/>
                    <w:sz w:val="36"/>
                    <w:szCs w:val="36"/>
                    <w:lang w:val="fr-FR" w:eastAsia="en-US"/>
                  </w:rPr>
                  <w:t>☐</w:t>
                </w:r>
              </w:p>
            </w:tc>
          </w:sdtContent>
        </w:sdt>
        <w:tc>
          <w:tcPr>
            <w:tcW w:w="3044" w:type="pct"/>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28194" w14:textId="3034D82E" w:rsidR="00E34147" w:rsidRPr="00E34147" w:rsidRDefault="008B14A9" w:rsidP="00E34147">
            <w:pPr>
              <w:rPr>
                <w:rFonts w:ascii="Tahoma" w:hAnsi="Tahoma" w:cs="Tahoma"/>
                <w:color w:val="000000" w:themeColor="text1"/>
                <w:sz w:val="18"/>
                <w:szCs w:val="20"/>
                <w:lang w:val="fr-FR"/>
              </w:rPr>
            </w:pPr>
            <w:r w:rsidRPr="00EF56B2">
              <w:rPr>
                <w:rFonts w:ascii="Tahoma" w:eastAsia="Calibri" w:hAnsi="Tahoma" w:cs="Tahoma"/>
                <w:b/>
                <w:bCs/>
                <w:sz w:val="18"/>
                <w:szCs w:val="18"/>
                <w:lang w:val="fr-FR" w:eastAsia="en-US"/>
              </w:rPr>
              <w:t xml:space="preserve">Lot 1 </w:t>
            </w:r>
            <w:r w:rsidR="00E34147">
              <w:rPr>
                <w:rFonts w:ascii="Tahoma" w:eastAsia="Calibri" w:hAnsi="Tahoma" w:cs="Tahoma"/>
                <w:b/>
                <w:bCs/>
                <w:sz w:val="18"/>
                <w:szCs w:val="18"/>
                <w:lang w:val="fr-FR" w:eastAsia="en-US"/>
              </w:rPr>
              <w:t>-</w:t>
            </w:r>
            <w:r w:rsidR="00E34147" w:rsidRPr="00E34147">
              <w:rPr>
                <w:rFonts w:ascii="Tahoma" w:hAnsi="Tahoma" w:cs="Tahoma"/>
                <w:color w:val="000000" w:themeColor="text1"/>
                <w:sz w:val="18"/>
                <w:szCs w:val="20"/>
                <w:lang w:val="fr-FR"/>
              </w:rPr>
              <w:t xml:space="preserve"> Assistance technique aux instances de régulation de l’audiovisuel et aux autres acteurs institutionnels en matière de réformes législative et réglementaires concernant la liberté d’expression et le pluralisme des médias</w:t>
            </w:r>
            <w:r w:rsidR="00E34147">
              <w:rPr>
                <w:rFonts w:ascii="Tahoma" w:hAnsi="Tahoma" w:cs="Tahoma"/>
                <w:color w:val="000000" w:themeColor="text1"/>
                <w:sz w:val="18"/>
                <w:szCs w:val="20"/>
                <w:lang w:val="fr-FR"/>
              </w:rPr>
              <w:t>.</w:t>
            </w:r>
          </w:p>
          <w:p w14:paraId="36028195" w14:textId="77777777" w:rsidR="008B14A9" w:rsidRPr="00951F14" w:rsidRDefault="008B14A9" w:rsidP="00EF56B2">
            <w:pPr>
              <w:spacing w:before="60" w:after="60" w:line="276" w:lineRule="auto"/>
              <w:ind w:right="-9" w:hanging="108"/>
              <w:rPr>
                <w:rFonts w:ascii="Tahoma" w:eastAsia="Calibri" w:hAnsi="Tahoma" w:cs="Tahoma"/>
                <w:b/>
                <w:bCs/>
                <w:sz w:val="16"/>
                <w:szCs w:val="16"/>
                <w:highlight w:val="green"/>
                <w:lang w:val="fr-FR" w:eastAsia="en-US"/>
              </w:rPr>
            </w:pPr>
          </w:p>
        </w:tc>
        <w:tc>
          <w:tcPr>
            <w:tcW w:w="1487" w:type="pct"/>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028196" w14:textId="77777777" w:rsidR="008B14A9" w:rsidRPr="00CF7B9E" w:rsidRDefault="00387D75" w:rsidP="00AC210C">
            <w:pPr>
              <w:spacing w:before="60" w:after="60" w:line="276" w:lineRule="auto"/>
              <w:ind w:left="-142"/>
              <w:jc w:val="center"/>
              <w:rPr>
                <w:rFonts w:ascii="Tahoma" w:eastAsia="Calibri" w:hAnsi="Tahoma" w:cs="Tahoma"/>
                <w:b/>
                <w:bCs/>
                <w:sz w:val="18"/>
                <w:szCs w:val="18"/>
                <w:lang w:val="fr-FR" w:eastAsia="en-US"/>
              </w:rPr>
            </w:pPr>
            <w:r>
              <w:rPr>
                <w:rFonts w:ascii="Tahoma" w:eastAsia="Calibri" w:hAnsi="Tahoma" w:cs="Tahoma"/>
                <w:b/>
                <w:bCs/>
                <w:sz w:val="18"/>
                <w:szCs w:val="18"/>
                <w:lang w:val="fr-FR" w:eastAsia="en-US"/>
              </w:rPr>
              <w:t>30</w:t>
            </w:r>
          </w:p>
        </w:tc>
      </w:tr>
      <w:tr w:rsidR="008B14A9" w:rsidRPr="008B14A9" w14:paraId="3602819C" w14:textId="77777777" w:rsidTr="00E14CCB">
        <w:trPr>
          <w:trHeight w:val="1174"/>
          <w:jc w:val="center"/>
        </w:trPr>
        <w:sdt>
          <w:sdtPr>
            <w:rPr>
              <w:rFonts w:ascii="Tahoma" w:eastAsia="Calibri" w:hAnsi="Tahoma" w:cs="Tahoma"/>
              <w:bCs/>
              <w:sz w:val="36"/>
              <w:szCs w:val="36"/>
              <w:lang w:val="fr-FR" w:eastAsia="en-US"/>
            </w:rPr>
            <w:id w:val="-195618340"/>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98" w14:textId="6BFCC3FB" w:rsidR="008B14A9" w:rsidRPr="00CF7B9E" w:rsidRDefault="00E14CCB" w:rsidP="008B14A9">
                <w:pPr>
                  <w:spacing w:after="200" w:line="276" w:lineRule="auto"/>
                  <w:ind w:left="-142" w:right="-249"/>
                  <w:jc w:val="center"/>
                  <w:rPr>
                    <w:rFonts w:ascii="Tahoma" w:eastAsia="Calibri" w:hAnsi="Tahoma" w:cs="Tahoma"/>
                    <w:bCs/>
                    <w:sz w:val="36"/>
                    <w:szCs w:val="36"/>
                    <w:lang w:val="fr-FR" w:eastAsia="en-US"/>
                  </w:rPr>
                </w:pPr>
                <w:r>
                  <w:rPr>
                    <w:rFonts w:ascii="MS Gothic" w:eastAsia="MS Gothic" w:hAnsi="MS Gothic" w:cs="Tahoma" w:hint="eastAsia"/>
                    <w:bCs/>
                    <w:sz w:val="36"/>
                    <w:szCs w:val="36"/>
                    <w:lang w:val="fr-FR" w:eastAsia="en-US"/>
                  </w:rPr>
                  <w:t>☐</w:t>
                </w:r>
              </w:p>
            </w:tc>
          </w:sdtContent>
        </w:sdt>
        <w:tc>
          <w:tcPr>
            <w:tcW w:w="3043"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2819A" w14:textId="5AF76699" w:rsidR="008B14A9" w:rsidRPr="00951F14" w:rsidRDefault="008B14A9" w:rsidP="00E14CCB">
            <w:pPr>
              <w:spacing w:before="60" w:after="60" w:line="276" w:lineRule="auto"/>
              <w:ind w:right="-249"/>
              <w:rPr>
                <w:rFonts w:ascii="Tahoma" w:eastAsia="Calibri" w:hAnsi="Tahoma" w:cs="Tahoma"/>
                <w:bCs/>
                <w:sz w:val="18"/>
                <w:szCs w:val="18"/>
                <w:highlight w:val="green"/>
                <w:lang w:val="fr-FR" w:eastAsia="en-US"/>
              </w:rPr>
            </w:pPr>
            <w:r w:rsidRPr="00EF56B2">
              <w:rPr>
                <w:rFonts w:ascii="Tahoma" w:eastAsia="Calibri" w:hAnsi="Tahoma" w:cs="Tahoma"/>
                <w:b/>
                <w:bCs/>
                <w:sz w:val="18"/>
                <w:szCs w:val="18"/>
                <w:lang w:val="fr-FR" w:eastAsia="en-US"/>
              </w:rPr>
              <w:t>Lot 2</w:t>
            </w:r>
            <w:r w:rsidRPr="00EF56B2">
              <w:rPr>
                <w:rFonts w:ascii="Tahoma" w:eastAsia="Calibri" w:hAnsi="Tahoma" w:cs="Tahoma"/>
                <w:bCs/>
                <w:sz w:val="18"/>
                <w:szCs w:val="18"/>
                <w:lang w:val="fr-FR" w:eastAsia="en-US"/>
              </w:rPr>
              <w:t xml:space="preserve"> - </w:t>
            </w:r>
            <w:r w:rsidR="00E34147" w:rsidRPr="00E34147">
              <w:rPr>
                <w:rFonts w:ascii="Tahoma" w:hAnsi="Tahoma" w:cs="Tahoma"/>
                <w:color w:val="000000" w:themeColor="text1"/>
                <w:sz w:val="18"/>
                <w:szCs w:val="20"/>
                <w:lang w:val="fr-FR"/>
              </w:rPr>
              <w:t>Conception et mise en place de stratégies et actions de communication et développement d’outils de sensibilisation permettant d’accroître la compréhension du rôle des instances chargées de l’audio-visuel (actuelle et future), l’appropriation des questions liées au genre par les médias et d’autres thématiques.</w:t>
            </w:r>
          </w:p>
        </w:tc>
        <w:tc>
          <w:tcPr>
            <w:tcW w:w="148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02819B" w14:textId="77777777" w:rsidR="008B14A9" w:rsidRPr="00CF7B9E" w:rsidRDefault="00387D75" w:rsidP="008B14A9">
            <w:pPr>
              <w:spacing w:before="60" w:after="60" w:line="276" w:lineRule="auto"/>
              <w:ind w:left="-142"/>
              <w:jc w:val="center"/>
              <w:rPr>
                <w:rFonts w:ascii="Tahoma" w:eastAsia="Calibri" w:hAnsi="Tahoma" w:cs="Tahoma"/>
                <w:b/>
                <w:bCs/>
                <w:sz w:val="18"/>
                <w:szCs w:val="18"/>
                <w:lang w:val="fr-FR" w:eastAsia="en-US"/>
              </w:rPr>
            </w:pPr>
            <w:r>
              <w:rPr>
                <w:rFonts w:ascii="Tahoma" w:eastAsia="Calibri" w:hAnsi="Tahoma" w:cs="Tahoma"/>
                <w:b/>
                <w:bCs/>
                <w:sz w:val="18"/>
                <w:szCs w:val="18"/>
                <w:lang w:val="fr-FR" w:eastAsia="en-US"/>
              </w:rPr>
              <w:t>30</w:t>
            </w:r>
          </w:p>
        </w:tc>
      </w:tr>
      <w:tr w:rsidR="008B14A9" w:rsidRPr="008B14A9" w14:paraId="360281A0" w14:textId="77777777" w:rsidTr="00E14CCB">
        <w:trPr>
          <w:trHeight w:val="547"/>
          <w:jc w:val="center"/>
        </w:trPr>
        <w:sdt>
          <w:sdtPr>
            <w:rPr>
              <w:rFonts w:ascii="Tahoma" w:eastAsia="Calibri" w:hAnsi="Tahoma" w:cs="Tahoma"/>
              <w:bCs/>
              <w:sz w:val="36"/>
              <w:szCs w:val="36"/>
              <w:lang w:val="fr-FR" w:eastAsia="en-US"/>
            </w:rPr>
            <w:id w:val="-572281707"/>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9D" w14:textId="77777777" w:rsidR="008B14A9" w:rsidRPr="00C128AB" w:rsidRDefault="00E34147" w:rsidP="008B14A9">
                <w:pPr>
                  <w:spacing w:after="200" w:line="276" w:lineRule="auto"/>
                  <w:ind w:left="-142" w:right="-249"/>
                  <w:jc w:val="center"/>
                  <w:rPr>
                    <w:rFonts w:ascii="Tahoma" w:eastAsia="Calibri" w:hAnsi="Tahoma" w:cs="Tahoma"/>
                    <w:bCs/>
                    <w:sz w:val="36"/>
                    <w:szCs w:val="36"/>
                    <w:lang w:val="fr-FR" w:eastAsia="en-US"/>
                  </w:rPr>
                </w:pPr>
                <w:r>
                  <w:rPr>
                    <w:rFonts w:ascii="MS Gothic" w:eastAsia="MS Gothic" w:hAnsi="MS Gothic" w:cs="Tahoma" w:hint="eastAsia"/>
                    <w:bCs/>
                    <w:sz w:val="36"/>
                    <w:szCs w:val="36"/>
                    <w:lang w:val="fr-FR" w:eastAsia="en-US"/>
                  </w:rPr>
                  <w:t>☐</w:t>
                </w:r>
              </w:p>
            </w:tc>
          </w:sdtContent>
        </w:sdt>
        <w:tc>
          <w:tcPr>
            <w:tcW w:w="3044"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2819E" w14:textId="77777777" w:rsidR="008B14A9" w:rsidRPr="00E34147" w:rsidRDefault="008B14A9" w:rsidP="00EF56B2">
            <w:pPr>
              <w:spacing w:before="60" w:after="60" w:line="276" w:lineRule="auto"/>
              <w:ind w:hanging="108"/>
              <w:rPr>
                <w:rFonts w:ascii="Tahoma" w:eastAsia="Calibri" w:hAnsi="Tahoma" w:cs="Tahoma"/>
                <w:b/>
                <w:bCs/>
                <w:sz w:val="18"/>
                <w:szCs w:val="18"/>
                <w:lang w:val="fr-FR" w:eastAsia="en-US"/>
              </w:rPr>
            </w:pPr>
            <w:r w:rsidRPr="00EF56B2">
              <w:rPr>
                <w:rFonts w:ascii="Tahoma" w:eastAsia="Calibri" w:hAnsi="Tahoma" w:cs="Tahoma"/>
                <w:b/>
                <w:bCs/>
                <w:sz w:val="18"/>
                <w:szCs w:val="18"/>
                <w:lang w:val="fr-FR" w:eastAsia="en-US"/>
              </w:rPr>
              <w:t xml:space="preserve">  Lot 3</w:t>
            </w:r>
            <w:r w:rsidRPr="00EF56B2">
              <w:rPr>
                <w:rFonts w:ascii="Tahoma" w:eastAsia="Calibri" w:hAnsi="Tahoma" w:cs="Tahoma"/>
                <w:bCs/>
                <w:sz w:val="18"/>
                <w:szCs w:val="18"/>
                <w:lang w:val="fr-FR" w:eastAsia="en-US"/>
              </w:rPr>
              <w:t xml:space="preserve"> </w:t>
            </w:r>
            <w:r w:rsidR="00AC210C" w:rsidRPr="00EF56B2">
              <w:rPr>
                <w:rFonts w:ascii="Tahoma" w:eastAsia="Calibri" w:hAnsi="Tahoma" w:cs="Tahoma"/>
                <w:bCs/>
                <w:sz w:val="18"/>
                <w:szCs w:val="18"/>
                <w:lang w:val="fr-FR" w:eastAsia="en-US"/>
              </w:rPr>
              <w:t xml:space="preserve">- </w:t>
            </w:r>
            <w:r w:rsidR="00E34147" w:rsidRPr="00E34147">
              <w:rPr>
                <w:rFonts w:ascii="Tahoma" w:hAnsi="Tahoma" w:cs="Tahoma"/>
                <w:color w:val="000000" w:themeColor="text1"/>
                <w:sz w:val="18"/>
                <w:szCs w:val="20"/>
                <w:lang w:val="fr-FR"/>
              </w:rPr>
              <w:t>Renforcement des capacités/ sensibilisation des autorités de régulation de l’audiovisuel et autres acteurs institutionnels (entre autres agents des ministères concernées et membres de l’Assemblée des représentants du peuple ARP) ainsi que promotion d’échanges interprofessionnels</w:t>
            </w:r>
            <w:r w:rsidR="00E34147">
              <w:rPr>
                <w:rFonts w:ascii="Tahoma" w:hAnsi="Tahoma" w:cs="Tahoma"/>
                <w:color w:val="000000" w:themeColor="text1"/>
                <w:sz w:val="18"/>
                <w:szCs w:val="20"/>
                <w:lang w:val="fr-FR"/>
              </w:rPr>
              <w:t>.</w:t>
            </w:r>
          </w:p>
        </w:tc>
        <w:tc>
          <w:tcPr>
            <w:tcW w:w="148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02819F" w14:textId="77777777" w:rsidR="008B14A9" w:rsidRPr="00CF7B9E" w:rsidRDefault="00387D75" w:rsidP="008B14A9">
            <w:pPr>
              <w:spacing w:before="60" w:after="60" w:line="276" w:lineRule="auto"/>
              <w:ind w:left="-142"/>
              <w:jc w:val="center"/>
              <w:rPr>
                <w:rFonts w:ascii="Tahoma" w:eastAsia="Calibri" w:hAnsi="Tahoma" w:cs="Tahoma"/>
                <w:b/>
                <w:bCs/>
                <w:sz w:val="18"/>
                <w:szCs w:val="18"/>
                <w:highlight w:val="cyan"/>
                <w:lang w:val="fr-FR" w:eastAsia="en-US"/>
              </w:rPr>
            </w:pPr>
            <w:r>
              <w:rPr>
                <w:rFonts w:ascii="Tahoma" w:eastAsia="Calibri" w:hAnsi="Tahoma" w:cs="Tahoma"/>
                <w:b/>
                <w:bCs/>
                <w:sz w:val="18"/>
                <w:szCs w:val="18"/>
                <w:lang w:val="fr-FR" w:eastAsia="en-US"/>
              </w:rPr>
              <w:t>30</w:t>
            </w:r>
          </w:p>
        </w:tc>
      </w:tr>
      <w:tr w:rsidR="00E34147" w:rsidRPr="008B14A9" w14:paraId="360281A4" w14:textId="77777777" w:rsidTr="00E14CCB">
        <w:trPr>
          <w:trHeight w:val="547"/>
          <w:jc w:val="center"/>
        </w:trPr>
        <w:sdt>
          <w:sdtPr>
            <w:rPr>
              <w:rFonts w:ascii="Tahoma" w:eastAsia="Calibri" w:hAnsi="Tahoma" w:cs="Tahoma"/>
              <w:bCs/>
              <w:sz w:val="36"/>
              <w:szCs w:val="36"/>
              <w:lang w:val="fr-FR" w:eastAsia="en-US"/>
            </w:rPr>
            <w:id w:val="-1415935071"/>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A1" w14:textId="77777777" w:rsidR="00E34147" w:rsidRDefault="00E34147" w:rsidP="008B14A9">
                <w:pPr>
                  <w:spacing w:after="200" w:line="276" w:lineRule="auto"/>
                  <w:ind w:left="-142" w:right="-249"/>
                  <w:jc w:val="center"/>
                  <w:rPr>
                    <w:rFonts w:ascii="Tahoma" w:eastAsia="Calibri" w:hAnsi="Tahoma" w:cs="Tahoma"/>
                    <w:bCs/>
                    <w:sz w:val="36"/>
                    <w:szCs w:val="36"/>
                    <w:lang w:val="fr-FR" w:eastAsia="en-US"/>
                  </w:rPr>
                </w:pPr>
                <w:r>
                  <w:rPr>
                    <w:rFonts w:ascii="MS Gothic" w:eastAsia="MS Gothic" w:hAnsi="MS Gothic" w:cs="Tahoma" w:hint="eastAsia"/>
                    <w:bCs/>
                    <w:sz w:val="36"/>
                    <w:szCs w:val="36"/>
                    <w:lang w:val="fr-FR" w:eastAsia="en-US"/>
                  </w:rPr>
                  <w:t>☐</w:t>
                </w:r>
              </w:p>
            </w:tc>
          </w:sdtContent>
        </w:sdt>
        <w:tc>
          <w:tcPr>
            <w:tcW w:w="3044"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281A2" w14:textId="77777777" w:rsidR="00E34147" w:rsidRPr="00E34147" w:rsidRDefault="00E34147" w:rsidP="00E34147">
            <w:pPr>
              <w:spacing w:before="60" w:after="60" w:line="276" w:lineRule="auto"/>
              <w:rPr>
                <w:rFonts w:ascii="Tahoma" w:eastAsia="Calibri" w:hAnsi="Tahoma" w:cs="Tahoma"/>
                <w:b/>
                <w:bCs/>
                <w:sz w:val="18"/>
                <w:szCs w:val="18"/>
                <w:lang w:val="fr-FR" w:eastAsia="en-US"/>
              </w:rPr>
            </w:pPr>
            <w:r w:rsidRPr="00EF56B2">
              <w:rPr>
                <w:rFonts w:ascii="Tahoma" w:eastAsia="Calibri" w:hAnsi="Tahoma" w:cs="Tahoma"/>
                <w:b/>
                <w:bCs/>
                <w:sz w:val="18"/>
                <w:szCs w:val="18"/>
                <w:lang w:val="fr-FR" w:eastAsia="en-US"/>
              </w:rPr>
              <w:t xml:space="preserve">Lot </w:t>
            </w:r>
            <w:r>
              <w:rPr>
                <w:rFonts w:ascii="Tahoma" w:eastAsia="Calibri" w:hAnsi="Tahoma" w:cs="Tahoma"/>
                <w:b/>
                <w:bCs/>
                <w:sz w:val="18"/>
                <w:szCs w:val="18"/>
                <w:lang w:val="fr-FR" w:eastAsia="en-US"/>
              </w:rPr>
              <w:t>4</w:t>
            </w:r>
            <w:r w:rsidRPr="00EF56B2">
              <w:rPr>
                <w:rFonts w:ascii="Tahoma" w:eastAsia="Calibri" w:hAnsi="Tahoma" w:cs="Tahoma"/>
                <w:bCs/>
                <w:sz w:val="18"/>
                <w:szCs w:val="18"/>
                <w:lang w:val="fr-FR" w:eastAsia="en-US"/>
              </w:rPr>
              <w:t xml:space="preserve"> -</w:t>
            </w:r>
            <w:r>
              <w:rPr>
                <w:rFonts w:ascii="Tahoma" w:eastAsia="Calibri" w:hAnsi="Tahoma" w:cs="Tahoma"/>
                <w:bCs/>
                <w:sz w:val="18"/>
                <w:szCs w:val="18"/>
                <w:lang w:val="fr-FR" w:eastAsia="en-US"/>
              </w:rPr>
              <w:t xml:space="preserve">  </w:t>
            </w:r>
            <w:r w:rsidRPr="00E34147">
              <w:rPr>
                <w:rFonts w:ascii="Tahoma" w:hAnsi="Tahoma" w:cs="Tahoma"/>
                <w:color w:val="000000" w:themeColor="text1"/>
                <w:sz w:val="18"/>
                <w:szCs w:val="20"/>
                <w:lang w:val="fr-FR"/>
              </w:rPr>
              <w:t xml:space="preserve">Renforcement des capacités des professionnels des médias (journalistes, éditeurs et autres et de leurs organisations) concernant les secteurs d’intervention des instances de régulation de l’audio-visuel, les mécanismes d’autorégulation ainsi que les standards du </w:t>
            </w:r>
            <w:proofErr w:type="spellStart"/>
            <w:r w:rsidRPr="00E34147">
              <w:rPr>
                <w:rFonts w:ascii="Tahoma" w:hAnsi="Tahoma" w:cs="Tahoma"/>
                <w:color w:val="000000" w:themeColor="text1"/>
                <w:sz w:val="18"/>
                <w:szCs w:val="20"/>
                <w:lang w:val="fr-FR"/>
              </w:rPr>
              <w:t>CoE</w:t>
            </w:r>
            <w:proofErr w:type="spellEnd"/>
            <w:r w:rsidRPr="00E34147">
              <w:rPr>
                <w:rFonts w:ascii="Tahoma" w:hAnsi="Tahoma" w:cs="Tahoma"/>
                <w:color w:val="000000" w:themeColor="text1"/>
                <w:sz w:val="18"/>
                <w:szCs w:val="20"/>
                <w:lang w:val="fr-FR"/>
              </w:rPr>
              <w:t xml:space="preserve"> en terme de liberté d’expression; initiatives de sensibilisation/formation concernant la lutte contre la violence à l’égard des femmes dans les médias, etc</w:t>
            </w:r>
            <w:r>
              <w:rPr>
                <w:rFonts w:ascii="Tahoma" w:hAnsi="Tahoma" w:cs="Tahoma"/>
                <w:color w:val="000000" w:themeColor="text1"/>
                <w:sz w:val="18"/>
                <w:szCs w:val="20"/>
                <w:lang w:val="fr-FR"/>
              </w:rPr>
              <w:t>.</w:t>
            </w:r>
          </w:p>
        </w:tc>
        <w:tc>
          <w:tcPr>
            <w:tcW w:w="148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0281A3" w14:textId="77777777" w:rsidR="00E34147" w:rsidRDefault="00E34147" w:rsidP="008B14A9">
            <w:pPr>
              <w:spacing w:before="60" w:after="60" w:line="276" w:lineRule="auto"/>
              <w:ind w:left="-142"/>
              <w:jc w:val="center"/>
              <w:rPr>
                <w:rFonts w:ascii="Tahoma" w:eastAsia="Calibri" w:hAnsi="Tahoma" w:cs="Tahoma"/>
                <w:b/>
                <w:bCs/>
                <w:sz w:val="18"/>
                <w:szCs w:val="18"/>
                <w:lang w:val="fr-FR" w:eastAsia="en-US"/>
              </w:rPr>
            </w:pPr>
            <w:r>
              <w:rPr>
                <w:rFonts w:ascii="Tahoma" w:eastAsia="Calibri" w:hAnsi="Tahoma" w:cs="Tahoma"/>
                <w:b/>
                <w:bCs/>
                <w:sz w:val="18"/>
                <w:szCs w:val="18"/>
                <w:lang w:val="fr-FR" w:eastAsia="en-US"/>
              </w:rPr>
              <w:t>30</w:t>
            </w:r>
          </w:p>
        </w:tc>
      </w:tr>
    </w:tbl>
    <w:p w14:paraId="360281A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360281A8" w14:textId="138AFE0F" w:rsidR="00B017DB" w:rsidRPr="00561E48" w:rsidRDefault="00CA067E" w:rsidP="002B4CD4">
      <w:pPr>
        <w:spacing w:line="276" w:lineRule="auto"/>
        <w:ind w:left="142" w:right="142"/>
        <w:jc w:val="both"/>
        <w:rPr>
          <w:rFonts w:ascii="Tahoma" w:hAnsi="Tahoma" w:cs="Tahoma"/>
          <w:color w:val="000000"/>
          <w:sz w:val="20"/>
          <w:szCs w:val="20"/>
          <w:lang w:val="fr-FR" w:eastAsia="en-US"/>
        </w:rPr>
      </w:pPr>
      <w:r w:rsidRPr="00561E48">
        <w:rPr>
          <w:rFonts w:ascii="Tahoma" w:hAnsi="Tahoma" w:cs="Tahoma"/>
          <w:sz w:val="20"/>
          <w:szCs w:val="20"/>
          <w:lang w:val="fr-FR"/>
        </w:rPr>
        <w:t>Les prix indiqués dans le tableau ci-dessous sont fixes et non susceptibles de révision, pour toute la durée du contrat-cadre.</w:t>
      </w:r>
      <w:r w:rsidR="00E14CCB">
        <w:rPr>
          <w:rFonts w:ascii="Tahoma" w:hAnsi="Tahoma" w:cs="Tahoma"/>
          <w:sz w:val="20"/>
          <w:szCs w:val="20"/>
          <w:lang w:val="fr-FR"/>
        </w:rPr>
        <w:t xml:space="preserve"> </w:t>
      </w:r>
      <w:r w:rsidR="00240827" w:rsidRPr="00561E48">
        <w:rPr>
          <w:rFonts w:ascii="Tahoma" w:hAnsi="Tahoma" w:cs="Tahoma"/>
          <w:color w:val="000000"/>
          <w:sz w:val="20"/>
          <w:szCs w:val="20"/>
          <w:lang w:val="fr-FR" w:eastAsia="en-US"/>
        </w:rPr>
        <w:t xml:space="preserve">Les prix sont indiqués en </w:t>
      </w:r>
      <w:r w:rsidR="002F5A8E" w:rsidRPr="00CF7B9E">
        <w:rPr>
          <w:rFonts w:ascii="Tahoma" w:hAnsi="Tahoma" w:cs="Tahoma"/>
          <w:color w:val="000000"/>
          <w:sz w:val="20"/>
          <w:szCs w:val="20"/>
          <w:lang w:val="fr-FR" w:eastAsia="en-US"/>
        </w:rPr>
        <w:t>Euros</w:t>
      </w:r>
      <w:r w:rsidR="002F5A8E" w:rsidRPr="00561E48">
        <w:rPr>
          <w:rFonts w:ascii="Tahoma" w:hAnsi="Tahoma" w:cs="Tahoma"/>
          <w:color w:val="000000"/>
          <w:sz w:val="20"/>
          <w:szCs w:val="20"/>
          <w:lang w:val="fr-FR" w:eastAsia="en-US"/>
        </w:rPr>
        <w:t xml:space="preserve"> </w:t>
      </w:r>
      <w:r w:rsidR="00CF64A3" w:rsidRPr="00561E48">
        <w:rPr>
          <w:rFonts w:ascii="Tahoma" w:hAnsi="Tahoma" w:cs="Tahoma"/>
          <w:color w:val="000000"/>
          <w:sz w:val="20"/>
          <w:szCs w:val="20"/>
          <w:lang w:val="fr-FR" w:eastAsia="en-US"/>
        </w:rPr>
        <w:t>hors taxes</w:t>
      </w:r>
      <w:r w:rsidR="00B017DB" w:rsidRPr="00561E48">
        <w:rPr>
          <w:rFonts w:ascii="Tahoma" w:hAnsi="Tahoma" w:cs="Tahoma"/>
          <w:color w:val="000000"/>
          <w:sz w:val="20"/>
          <w:szCs w:val="20"/>
          <w:lang w:val="fr-FR" w:eastAsia="en-US"/>
        </w:rPr>
        <w:t>.</w:t>
      </w:r>
    </w:p>
    <w:p w14:paraId="360281AA" w14:textId="00CF30E3" w:rsidR="003A0F5F" w:rsidRPr="0082690E" w:rsidRDefault="002F5A8E" w:rsidP="0082690E">
      <w:pPr>
        <w:spacing w:line="276" w:lineRule="auto"/>
        <w:ind w:left="142" w:right="142"/>
        <w:jc w:val="both"/>
        <w:rPr>
          <w:rFonts w:ascii="Tahoma" w:hAnsi="Tahoma" w:cs="Tahoma"/>
          <w:color w:val="000000"/>
          <w:sz w:val="20"/>
          <w:szCs w:val="20"/>
          <w:lang w:val="fr-FR" w:eastAsia="en-US"/>
        </w:rPr>
      </w:pPr>
      <w:r w:rsidRPr="00CF7B9E">
        <w:rPr>
          <w:rFonts w:ascii="Tahoma" w:hAnsi="Tahoma" w:cs="Tahoma"/>
          <w:b/>
          <w:color w:val="000000"/>
          <w:sz w:val="20"/>
          <w:szCs w:val="20"/>
          <w:u w:val="single"/>
          <w:lang w:val="fr-FR" w:eastAsia="en-US"/>
        </w:rPr>
        <w:t xml:space="preserve">Toute offre </w:t>
      </w:r>
      <w:r w:rsidR="00CF64A3" w:rsidRPr="00CF7B9E">
        <w:rPr>
          <w:rFonts w:ascii="Tahoma" w:hAnsi="Tahoma" w:cs="Tahoma"/>
          <w:b/>
          <w:color w:val="000000"/>
          <w:sz w:val="20"/>
          <w:szCs w:val="20"/>
          <w:u w:val="single"/>
          <w:lang w:val="fr-FR" w:eastAsia="en-US"/>
        </w:rPr>
        <w:t>proposant</w:t>
      </w:r>
      <w:r w:rsidRPr="00CF7B9E">
        <w:rPr>
          <w:rFonts w:ascii="Tahoma" w:hAnsi="Tahoma" w:cs="Tahoma"/>
          <w:b/>
          <w:color w:val="000000"/>
          <w:sz w:val="20"/>
          <w:szCs w:val="20"/>
          <w:u w:val="single"/>
          <w:lang w:val="fr-FR" w:eastAsia="en-US"/>
        </w:rPr>
        <w:t xml:space="preserve"> un p</w:t>
      </w:r>
      <w:r w:rsidR="001739D7">
        <w:rPr>
          <w:rFonts w:ascii="Tahoma" w:hAnsi="Tahoma" w:cs="Tahoma"/>
          <w:b/>
          <w:color w:val="000000"/>
          <w:sz w:val="20"/>
          <w:szCs w:val="20"/>
          <w:u w:val="single"/>
          <w:lang w:val="fr-FR" w:eastAsia="en-US"/>
        </w:rPr>
        <w:t>rix par unité au-dessus du plafond</w:t>
      </w:r>
      <w:r w:rsidRPr="00CF7B9E">
        <w:rPr>
          <w:rFonts w:ascii="Tahoma" w:hAnsi="Tahoma" w:cs="Tahoma"/>
          <w:b/>
          <w:color w:val="000000"/>
          <w:sz w:val="20"/>
          <w:szCs w:val="20"/>
          <w:u w:val="single"/>
          <w:lang w:val="fr-FR" w:eastAsia="en-US"/>
        </w:rPr>
        <w:t xml:space="preserve"> d’exclusion sera automatiquement et entièrement exclue </w:t>
      </w:r>
      <w:r w:rsidR="00CF64A3" w:rsidRPr="00CF7B9E">
        <w:rPr>
          <w:rFonts w:ascii="Tahoma" w:hAnsi="Tahoma" w:cs="Tahoma"/>
          <w:b/>
          <w:color w:val="000000"/>
          <w:sz w:val="20"/>
          <w:szCs w:val="20"/>
          <w:u w:val="single"/>
          <w:lang w:val="fr-FR" w:eastAsia="en-US"/>
        </w:rPr>
        <w:t>de la procédure</w:t>
      </w:r>
    </w:p>
    <w:p w14:paraId="360281AB" w14:textId="77777777"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360281AC"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36028296" wp14:editId="63168924">
                <wp:simplePos x="0" y="0"/>
                <wp:positionH relativeFrom="column">
                  <wp:posOffset>4675505</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1E4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8.15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4OsS34AAAAAkBAAAPAAAAZHJzL2Rvd25yZXYueG1sTI9NT4NAEIbvJv6HzZh4Me1S&#10;GsEgQ2NMPLS3fiTG28KugLKzyC6U/nvHUz1O5sn7Pm++mW0nJjP41hHCahmBMFQ53VKNcDq+LZ5A&#10;+KBIq86RQbgYD5vi9iZXmXZn2pvpEGrBIeQzhdCE0GdS+qoxVvml6w3x79MNVgU+h1rqQZ053HYy&#10;jqJEWtUSNzSqN6+Nqb4Po0XQDzR9bL/qS3n5ofew3e9O43GHeH83vzyDCGYOVxj+9FkdCnYq3Uja&#10;iw4hXSdrRhEWqxgEA2kS87gSIUkfQRa5/L+g+AUAAP//AwBQSwECLQAUAAYACAAAACEAtoM4kv4A&#10;AADhAQAAEwAAAAAAAAAAAAAAAAAAAAAAW0NvbnRlbnRfVHlwZXNdLnhtbFBLAQItABQABgAIAAAA&#10;IQA4/SH/1gAAAJQBAAALAAAAAAAAAAAAAAAAAC8BAABfcmVscy8ucmVsc1BLAQItABQABgAIAAAA&#10;IQCTt3nYTQIAALIEAAAOAAAAAAAAAAAAAAAAAC4CAABkcnMvZTJvRG9jLnhtbFBLAQItABQABgAI&#10;AAAAIQD4OsS3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360281B2" w14:textId="77777777" w:rsidTr="002B4CD4">
        <w:trPr>
          <w:trHeight w:val="688"/>
          <w:jc w:val="center"/>
        </w:trPr>
        <w:tc>
          <w:tcPr>
            <w:tcW w:w="7455" w:type="dxa"/>
            <w:shd w:val="clear" w:color="auto" w:fill="DBE5F1" w:themeFill="accent1" w:themeFillTint="33"/>
            <w:vAlign w:val="center"/>
          </w:tcPr>
          <w:p w14:paraId="360281AD" w14:textId="77777777"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360281AE" w14:textId="77777777"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360281AF" w14:textId="77777777"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360281B0" w14:textId="77777777" w:rsidR="004F2CFB" w:rsidRPr="00B319CD" w:rsidRDefault="001739D7" w:rsidP="00A0376A">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Plafond</w:t>
            </w:r>
            <w:r w:rsidR="007E3BF6" w:rsidRPr="00CF7B9E">
              <w:rPr>
                <w:rFonts w:ascii="Tahoma" w:hAnsi="Tahoma" w:cs="Tahoma"/>
                <w:b/>
                <w:sz w:val="18"/>
                <w:szCs w:val="18"/>
                <w:lang w:val="fr-FR" w:eastAsia="en-US"/>
              </w:rPr>
              <w:t xml:space="preserve"> d’exclusion</w:t>
            </w:r>
          </w:p>
          <w:p w14:paraId="360281B1" w14:textId="77777777" w:rsidR="004F2CFB" w:rsidRPr="00CF7B9E" w:rsidRDefault="004F2CFB" w:rsidP="00A0376A">
            <w:pPr>
              <w:spacing w:line="276" w:lineRule="auto"/>
              <w:ind w:left="-426" w:right="-490"/>
              <w:jc w:val="center"/>
              <w:rPr>
                <w:rFonts w:ascii="Tahoma" w:hAnsi="Tahoma" w:cs="Tahoma"/>
                <w:b/>
                <w:sz w:val="18"/>
                <w:szCs w:val="18"/>
                <w:lang w:val="fr-FR" w:eastAsia="en-US"/>
              </w:rPr>
            </w:pPr>
            <w:r w:rsidRPr="00CF7B9E">
              <w:rPr>
                <w:b/>
                <w:sz w:val="18"/>
                <w:szCs w:val="18"/>
                <w:lang w:val="fr-FR" w:eastAsia="en-US"/>
              </w:rPr>
              <w:t>▼</w:t>
            </w:r>
          </w:p>
        </w:tc>
      </w:tr>
      <w:tr w:rsidR="004F2CFB" w:rsidRPr="00561E48" w14:paraId="360281B6"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360281B3" w14:textId="3E579591" w:rsidR="004F2CFB" w:rsidRPr="00D71402" w:rsidRDefault="008B14A9" w:rsidP="00A0376A">
            <w:pPr>
              <w:spacing w:line="276" w:lineRule="auto"/>
              <w:rPr>
                <w:rFonts w:ascii="Tahoma" w:hAnsi="Tahoma" w:cs="Tahoma"/>
                <w:sz w:val="18"/>
                <w:szCs w:val="18"/>
                <w:lang w:val="fr-FR" w:eastAsia="en-US"/>
              </w:rPr>
            </w:pPr>
            <w:r w:rsidRPr="00D71402">
              <w:rPr>
                <w:rFonts w:ascii="Tahoma" w:hAnsi="Tahoma" w:cs="Tahoma"/>
                <w:sz w:val="18"/>
                <w:szCs w:val="18"/>
                <w:lang w:val="fr-FR" w:eastAsia="en-US"/>
              </w:rPr>
              <w:t>Lot 1 …</w:t>
            </w:r>
            <w:r w:rsidR="00FA086E" w:rsidRPr="00E14CCB">
              <w:rPr>
                <w:lang w:val="fr-FR"/>
              </w:rPr>
              <w:t xml:space="preserve"> </w:t>
            </w:r>
            <w:r w:rsidR="00E14CCB" w:rsidRPr="000846AB">
              <w:rPr>
                <w:rFonts w:ascii="Tahoma" w:hAnsi="Tahoma" w:cs="Tahoma"/>
                <w:sz w:val="18"/>
                <w:szCs w:val="18"/>
                <w:lang w:val="fr-FR"/>
              </w:rPr>
              <w:t>Une</w:t>
            </w:r>
            <w:r w:rsidR="00E14CCB" w:rsidRPr="00E14CCB">
              <w:rPr>
                <w:rFonts w:ascii="Tahoma" w:hAnsi="Tahoma" w:cs="Tahoma"/>
                <w:sz w:val="18"/>
                <w:szCs w:val="18"/>
                <w:lang w:val="fr-FR"/>
              </w:rPr>
              <w:t xml:space="preserve"> j</w:t>
            </w:r>
            <w:r w:rsidR="00E14CCB" w:rsidRPr="00D71402">
              <w:rPr>
                <w:rFonts w:ascii="Tahoma" w:hAnsi="Tahoma" w:cs="Tahoma"/>
                <w:sz w:val="18"/>
                <w:szCs w:val="18"/>
                <w:lang w:val="fr-FR"/>
              </w:rPr>
              <w:t>ournée</w:t>
            </w:r>
            <w:r w:rsidR="00E14CCB" w:rsidRPr="00D71402">
              <w:rPr>
                <w:rFonts w:ascii="Tahoma" w:hAnsi="Tahoma" w:cs="Tahoma"/>
                <w:sz w:val="18"/>
                <w:szCs w:val="18"/>
                <w:lang w:val="fr-FR" w:eastAsia="en-US"/>
              </w:rPr>
              <w:t xml:space="preserv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B4"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0281B5" w14:textId="77777777" w:rsidR="004F2CFB" w:rsidRPr="00CF7B9E" w:rsidRDefault="00E34147"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w:t>
            </w:r>
            <w:r w:rsidR="00AC210C" w:rsidRPr="00CF7B9E">
              <w:rPr>
                <w:rFonts w:ascii="Tahoma" w:hAnsi="Tahoma" w:cs="Tahoma"/>
                <w:sz w:val="18"/>
                <w:szCs w:val="18"/>
                <w:lang w:val="fr-FR" w:eastAsia="en-US"/>
              </w:rPr>
              <w:t>€</w:t>
            </w:r>
          </w:p>
        </w:tc>
      </w:tr>
      <w:tr w:rsidR="008B14A9" w:rsidRPr="00561E48" w14:paraId="360281BA"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360281B7" w14:textId="54D75081" w:rsidR="008B14A9" w:rsidRPr="00D71402" w:rsidRDefault="008B14A9" w:rsidP="00A0376A">
            <w:pPr>
              <w:spacing w:line="276" w:lineRule="auto"/>
              <w:rPr>
                <w:rFonts w:ascii="Tahoma" w:hAnsi="Tahoma" w:cs="Tahoma"/>
                <w:sz w:val="18"/>
                <w:szCs w:val="18"/>
                <w:lang w:val="fr-FR" w:eastAsia="en-US"/>
              </w:rPr>
            </w:pPr>
            <w:r w:rsidRPr="00D71402">
              <w:rPr>
                <w:rFonts w:ascii="Tahoma" w:hAnsi="Tahoma" w:cs="Tahoma"/>
                <w:sz w:val="18"/>
                <w:szCs w:val="18"/>
                <w:lang w:val="fr-FR" w:eastAsia="en-US"/>
              </w:rPr>
              <w:t>Lot 2 …</w:t>
            </w:r>
            <w:r w:rsidR="00FA086E" w:rsidRPr="00E14CCB">
              <w:rPr>
                <w:lang w:val="fr-FR"/>
              </w:rPr>
              <w:t xml:space="preserve"> </w:t>
            </w:r>
            <w:r w:rsidR="00E14CCB" w:rsidRPr="000846AB">
              <w:rPr>
                <w:rFonts w:ascii="Tahoma" w:hAnsi="Tahoma" w:cs="Tahoma"/>
                <w:sz w:val="18"/>
                <w:szCs w:val="18"/>
                <w:lang w:val="fr-FR"/>
              </w:rPr>
              <w:t>Une</w:t>
            </w:r>
            <w:r w:rsidR="00E14CCB" w:rsidRPr="00E14CCB">
              <w:rPr>
                <w:rFonts w:ascii="Tahoma" w:hAnsi="Tahoma" w:cs="Tahoma"/>
                <w:sz w:val="18"/>
                <w:szCs w:val="18"/>
                <w:lang w:val="fr-FR"/>
              </w:rPr>
              <w:t xml:space="preserve"> j</w:t>
            </w:r>
            <w:r w:rsidR="00E14CCB" w:rsidRPr="00D71402">
              <w:rPr>
                <w:rFonts w:ascii="Tahoma" w:hAnsi="Tahoma" w:cs="Tahoma"/>
                <w:sz w:val="18"/>
                <w:szCs w:val="18"/>
                <w:lang w:val="fr-FR"/>
              </w:rPr>
              <w:t>ournée</w:t>
            </w:r>
            <w:r w:rsidR="00E14CCB" w:rsidRPr="00D71402">
              <w:rPr>
                <w:rFonts w:ascii="Tahoma" w:hAnsi="Tahoma" w:cs="Tahoma"/>
                <w:sz w:val="18"/>
                <w:szCs w:val="18"/>
                <w:lang w:val="fr-FR" w:eastAsia="en-US"/>
              </w:rPr>
              <w:t xml:space="preserv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B8" w14:textId="77777777" w:rsidR="008B14A9" w:rsidRPr="00561E48" w:rsidRDefault="008B14A9"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0281B9" w14:textId="77777777" w:rsidR="008B14A9" w:rsidRPr="00CF7B9E" w:rsidRDefault="00951F14"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r w:rsidR="00FA086E" w:rsidRPr="00CF7B9E">
              <w:rPr>
                <w:rFonts w:ascii="Tahoma" w:hAnsi="Tahoma" w:cs="Tahoma"/>
                <w:sz w:val="18"/>
                <w:szCs w:val="18"/>
                <w:lang w:val="fr-FR" w:eastAsia="en-US"/>
              </w:rPr>
              <w:t>€</w:t>
            </w:r>
          </w:p>
        </w:tc>
      </w:tr>
      <w:tr w:rsidR="008B14A9" w:rsidRPr="00561E48" w14:paraId="360281BE"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360281BB" w14:textId="0A38DFB4" w:rsidR="008B14A9" w:rsidRPr="00D71402" w:rsidRDefault="008B14A9" w:rsidP="00A0376A">
            <w:pPr>
              <w:spacing w:line="276" w:lineRule="auto"/>
              <w:rPr>
                <w:rFonts w:ascii="Tahoma" w:hAnsi="Tahoma" w:cs="Tahoma"/>
                <w:sz w:val="18"/>
                <w:szCs w:val="18"/>
                <w:lang w:val="fr-FR" w:eastAsia="en-US"/>
              </w:rPr>
            </w:pPr>
            <w:r w:rsidRPr="00D71402">
              <w:rPr>
                <w:rFonts w:ascii="Tahoma" w:hAnsi="Tahoma" w:cs="Tahoma"/>
                <w:sz w:val="18"/>
                <w:szCs w:val="18"/>
                <w:lang w:val="fr-FR" w:eastAsia="en-US"/>
              </w:rPr>
              <w:t>Lot 3…</w:t>
            </w:r>
            <w:r w:rsidR="00FA086E" w:rsidRPr="00E14CCB">
              <w:rPr>
                <w:lang w:val="fr-FR"/>
              </w:rPr>
              <w:t xml:space="preserve"> </w:t>
            </w:r>
            <w:r w:rsidR="00E14CCB" w:rsidRPr="000846AB">
              <w:rPr>
                <w:rFonts w:ascii="Tahoma" w:hAnsi="Tahoma" w:cs="Tahoma"/>
                <w:sz w:val="18"/>
                <w:szCs w:val="18"/>
                <w:lang w:val="fr-FR"/>
              </w:rPr>
              <w:t>Une</w:t>
            </w:r>
            <w:r w:rsidR="00E14CCB" w:rsidRPr="00E14CCB">
              <w:rPr>
                <w:rFonts w:ascii="Tahoma" w:hAnsi="Tahoma" w:cs="Tahoma"/>
                <w:sz w:val="18"/>
                <w:szCs w:val="18"/>
                <w:lang w:val="fr-FR"/>
              </w:rPr>
              <w:t xml:space="preserve"> j</w:t>
            </w:r>
            <w:r w:rsidR="00FA086E" w:rsidRPr="00D71402">
              <w:rPr>
                <w:rFonts w:ascii="Tahoma" w:hAnsi="Tahoma" w:cs="Tahoma"/>
                <w:sz w:val="18"/>
                <w:szCs w:val="18"/>
                <w:lang w:val="fr-FR"/>
              </w:rPr>
              <w:t>ournée</w:t>
            </w:r>
            <w:r w:rsidR="00FA086E" w:rsidRPr="00D71402">
              <w:rPr>
                <w:rFonts w:ascii="Tahoma" w:hAnsi="Tahoma" w:cs="Tahoma"/>
                <w:sz w:val="18"/>
                <w:szCs w:val="18"/>
                <w:lang w:val="fr-FR" w:eastAsia="en-US"/>
              </w:rPr>
              <w:t xml:space="preserv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BC" w14:textId="77777777" w:rsidR="008B14A9" w:rsidRPr="00561E48" w:rsidRDefault="008B14A9"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0281BD" w14:textId="77777777" w:rsidR="008B14A9" w:rsidRPr="00CF7B9E" w:rsidRDefault="00951F14"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r w:rsidR="00B319CD" w:rsidRPr="00CF7B9E">
              <w:rPr>
                <w:rFonts w:ascii="Tahoma" w:hAnsi="Tahoma" w:cs="Tahoma"/>
                <w:sz w:val="18"/>
                <w:szCs w:val="18"/>
                <w:lang w:val="fr-FR" w:eastAsia="en-US"/>
              </w:rPr>
              <w:t>€</w:t>
            </w:r>
          </w:p>
        </w:tc>
      </w:tr>
      <w:tr w:rsidR="00E34147" w:rsidRPr="00561E48" w14:paraId="360281C2"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360281BF" w14:textId="3DDDB83B" w:rsidR="00E34147" w:rsidRPr="00D71402" w:rsidRDefault="00E34147" w:rsidP="00E34147">
            <w:pPr>
              <w:spacing w:line="276" w:lineRule="auto"/>
              <w:rPr>
                <w:rFonts w:ascii="Tahoma" w:hAnsi="Tahoma" w:cs="Tahoma"/>
                <w:sz w:val="18"/>
                <w:szCs w:val="18"/>
                <w:lang w:val="fr-FR" w:eastAsia="en-US"/>
              </w:rPr>
            </w:pPr>
            <w:r w:rsidRPr="00D71402">
              <w:rPr>
                <w:rFonts w:ascii="Tahoma" w:hAnsi="Tahoma" w:cs="Tahoma"/>
                <w:sz w:val="18"/>
                <w:szCs w:val="18"/>
                <w:lang w:val="fr-FR" w:eastAsia="en-US"/>
              </w:rPr>
              <w:t xml:space="preserve">Lot </w:t>
            </w:r>
            <w:r>
              <w:rPr>
                <w:rFonts w:ascii="Tahoma" w:hAnsi="Tahoma" w:cs="Tahoma"/>
                <w:sz w:val="18"/>
                <w:szCs w:val="18"/>
                <w:lang w:val="fr-FR" w:eastAsia="en-US"/>
              </w:rPr>
              <w:t>4</w:t>
            </w:r>
            <w:r w:rsidRPr="00D71402">
              <w:rPr>
                <w:rFonts w:ascii="Tahoma" w:hAnsi="Tahoma" w:cs="Tahoma"/>
                <w:sz w:val="18"/>
                <w:szCs w:val="18"/>
                <w:lang w:val="fr-FR" w:eastAsia="en-US"/>
              </w:rPr>
              <w:t>…</w:t>
            </w:r>
            <w:r w:rsidRPr="00E14CCB">
              <w:rPr>
                <w:lang w:val="fr-FR"/>
              </w:rPr>
              <w:t xml:space="preserve"> </w:t>
            </w:r>
            <w:r w:rsidR="00E14CCB" w:rsidRPr="000846AB">
              <w:rPr>
                <w:rFonts w:ascii="Tahoma" w:hAnsi="Tahoma" w:cs="Tahoma"/>
                <w:sz w:val="18"/>
                <w:szCs w:val="18"/>
                <w:lang w:val="fr-FR"/>
              </w:rPr>
              <w:t>Une</w:t>
            </w:r>
            <w:r w:rsidR="00E14CCB" w:rsidRPr="00E14CCB">
              <w:rPr>
                <w:rFonts w:ascii="Tahoma" w:hAnsi="Tahoma" w:cs="Tahoma"/>
                <w:sz w:val="18"/>
                <w:szCs w:val="18"/>
                <w:lang w:val="fr-FR"/>
              </w:rPr>
              <w:t xml:space="preserve"> j</w:t>
            </w:r>
            <w:r w:rsidR="00E14CCB" w:rsidRPr="00D71402">
              <w:rPr>
                <w:rFonts w:ascii="Tahoma" w:hAnsi="Tahoma" w:cs="Tahoma"/>
                <w:sz w:val="18"/>
                <w:szCs w:val="18"/>
                <w:lang w:val="fr-FR"/>
              </w:rPr>
              <w:t>ournée</w:t>
            </w:r>
            <w:r w:rsidR="00E14CCB" w:rsidRPr="00D71402">
              <w:rPr>
                <w:rFonts w:ascii="Tahoma" w:hAnsi="Tahoma" w:cs="Tahoma"/>
                <w:sz w:val="18"/>
                <w:szCs w:val="18"/>
                <w:lang w:val="fr-FR" w:eastAsia="en-US"/>
              </w:rPr>
              <w:t xml:space="preserv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281C0" w14:textId="77777777" w:rsidR="00E34147" w:rsidRPr="00561E48" w:rsidRDefault="00E34147" w:rsidP="00E34147">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0281C1" w14:textId="77777777" w:rsidR="00E34147" w:rsidRDefault="00E34147" w:rsidP="00E34147">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r w:rsidRPr="00CF7B9E">
              <w:rPr>
                <w:rFonts w:ascii="Tahoma" w:hAnsi="Tahoma" w:cs="Tahoma"/>
                <w:sz w:val="18"/>
                <w:szCs w:val="18"/>
                <w:lang w:val="fr-FR" w:eastAsia="en-US"/>
              </w:rPr>
              <w:t>€</w:t>
            </w:r>
          </w:p>
        </w:tc>
      </w:tr>
    </w:tbl>
    <w:p w14:paraId="360281C3"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5"/>
        <w:gridCol w:w="1381"/>
      </w:tblGrid>
      <w:tr w:rsidR="00F24E0D" w:rsidRPr="00561E48" w14:paraId="360281C6" w14:textId="77777777" w:rsidTr="00F82A09">
        <w:trPr>
          <w:jc w:val="center"/>
        </w:trPr>
        <w:tc>
          <w:tcPr>
            <w:tcW w:w="9371" w:type="dxa"/>
            <w:shd w:val="clear" w:color="auto" w:fill="DBE5F1" w:themeFill="accent1" w:themeFillTint="33"/>
            <w:vAlign w:val="center"/>
          </w:tcPr>
          <w:p w14:paraId="360281C4" w14:textId="77777777" w:rsidR="00F24E0D" w:rsidRPr="00D71402" w:rsidRDefault="00F24E0D" w:rsidP="00F82A09">
            <w:pPr>
              <w:rPr>
                <w:rFonts w:ascii="Tahoma" w:hAnsi="Tahoma" w:cs="Tahoma"/>
                <w:sz w:val="18"/>
                <w:szCs w:val="18"/>
                <w:lang w:val="fr-FR"/>
              </w:rPr>
            </w:pPr>
            <w:r w:rsidRPr="00D71402">
              <w:rPr>
                <w:rFonts w:ascii="Tahoma" w:hAnsi="Tahoma" w:cs="Tahoma"/>
                <w:sz w:val="18"/>
                <w:szCs w:val="18"/>
                <w:lang w:val="fr-FR"/>
              </w:rPr>
              <w:t>Ce contrat-cadre prend effet à compter de sa signature par les deux parties et est conclu jusqu’au</w:t>
            </w:r>
          </w:p>
        </w:tc>
        <w:tc>
          <w:tcPr>
            <w:tcW w:w="1383" w:type="dxa"/>
            <w:shd w:val="clear" w:color="auto" w:fill="F2F2F2" w:themeFill="background1" w:themeFillShade="F2"/>
          </w:tcPr>
          <w:sdt>
            <w:sdtPr>
              <w:rPr>
                <w:rStyle w:val="Style71"/>
                <w:rFonts w:ascii="Tahoma" w:hAnsi="Tahoma" w:cs="Tahoma"/>
                <w:szCs w:val="20"/>
                <w:lang w:val="fr-FR"/>
              </w:rPr>
              <w:id w:val="1100988778"/>
              <w:date w:fullDate="2021-12-31T00:00:00Z">
                <w:dateFormat w:val="dd/MM/yyyy"/>
                <w:lid w:val="fr-FR"/>
                <w:storeMappedDataAs w:val="dateTime"/>
                <w:calendar w:val="gregorian"/>
              </w:date>
            </w:sdtPr>
            <w:sdtEndPr>
              <w:rPr>
                <w:rStyle w:val="Style71"/>
              </w:rPr>
            </w:sdtEndPr>
            <w:sdtContent>
              <w:p w14:paraId="360281C5" w14:textId="77777777" w:rsidR="00F24E0D" w:rsidRPr="00561E48" w:rsidRDefault="00B319CD" w:rsidP="00B319CD">
                <w:pPr>
                  <w:spacing w:before="120" w:after="120"/>
                  <w:rPr>
                    <w:rFonts w:ascii="Tahoma" w:hAnsi="Tahoma" w:cs="Tahoma"/>
                    <w:sz w:val="20"/>
                    <w:szCs w:val="20"/>
                    <w:lang w:val="fr-FR"/>
                  </w:rPr>
                </w:pPr>
                <w:r>
                  <w:rPr>
                    <w:rStyle w:val="Style71"/>
                    <w:rFonts w:ascii="Tahoma" w:hAnsi="Tahoma" w:cs="Tahoma"/>
                    <w:szCs w:val="20"/>
                    <w:lang w:val="fr-FR"/>
                  </w:rPr>
                  <w:t>31/12/2021</w:t>
                </w:r>
              </w:p>
            </w:sdtContent>
          </w:sdt>
        </w:tc>
      </w:tr>
      <w:tr w:rsidR="00F24E0D" w:rsidRPr="00561E48" w14:paraId="360281C9" w14:textId="77777777" w:rsidTr="00F82A09">
        <w:trPr>
          <w:jc w:val="center"/>
        </w:trPr>
        <w:tc>
          <w:tcPr>
            <w:tcW w:w="9371" w:type="dxa"/>
            <w:shd w:val="clear" w:color="auto" w:fill="DBE5F1" w:themeFill="accent1" w:themeFillTint="33"/>
            <w:vAlign w:val="center"/>
          </w:tcPr>
          <w:p w14:paraId="360281C7" w14:textId="77777777" w:rsidR="00F24E0D" w:rsidRPr="00D71402" w:rsidRDefault="00F24E0D" w:rsidP="00F82A09">
            <w:pPr>
              <w:rPr>
                <w:rFonts w:ascii="Tahoma" w:hAnsi="Tahoma" w:cs="Tahoma"/>
                <w:sz w:val="18"/>
                <w:szCs w:val="18"/>
                <w:lang w:val="fr-FR"/>
              </w:rPr>
            </w:pPr>
            <w:r w:rsidRPr="00D71402">
              <w:rPr>
                <w:rFonts w:ascii="Tahoma" w:hAnsi="Tahoma" w:cs="Tahoma"/>
                <w:sz w:val="18"/>
                <w:szCs w:val="18"/>
                <w:lang w:val="fr-FR"/>
              </w:rPr>
              <w:t xml:space="preserve">Ce contrat-cadre </w:t>
            </w:r>
            <w:r w:rsidR="0081075C" w:rsidRPr="00D71402">
              <w:rPr>
                <w:rFonts w:ascii="Tahoma" w:hAnsi="Tahoma" w:cs="Tahoma"/>
                <w:sz w:val="18"/>
                <w:szCs w:val="18"/>
                <w:lang w:val="fr-FR"/>
              </w:rPr>
              <w:t xml:space="preserve">peut </w:t>
            </w:r>
            <w:r w:rsidRPr="00D71402">
              <w:rPr>
                <w:rFonts w:ascii="Tahoma" w:hAnsi="Tahoma" w:cs="Tahoma"/>
                <w:sz w:val="18"/>
                <w:szCs w:val="18"/>
                <w:lang w:val="fr-FR"/>
              </w:rPr>
              <w:t xml:space="preserve">être renouvelé </w:t>
            </w:r>
            <w:r w:rsidR="006F46D3" w:rsidRPr="00D71402">
              <w:rPr>
                <w:rFonts w:ascii="Tahoma" w:hAnsi="Tahoma" w:cs="Tahoma"/>
                <w:sz w:val="18"/>
                <w:szCs w:val="18"/>
                <w:lang w:val="fr-FR"/>
              </w:rPr>
              <w:t xml:space="preserve">par accord écrit </w:t>
            </w:r>
            <w:r w:rsidRPr="00D71402">
              <w:rPr>
                <w:rFonts w:ascii="Tahoma" w:hAnsi="Tahoma" w:cs="Tahoma"/>
                <w:sz w:val="18"/>
                <w:szCs w:val="18"/>
                <w:lang w:val="fr-FR"/>
              </w:rPr>
              <w:t>jusqu’au</w:t>
            </w:r>
          </w:p>
        </w:tc>
        <w:tc>
          <w:tcPr>
            <w:tcW w:w="1383" w:type="dxa"/>
            <w:shd w:val="clear" w:color="auto" w:fill="F2F2F2" w:themeFill="background1" w:themeFillShade="F2"/>
          </w:tcPr>
          <w:sdt>
            <w:sdtPr>
              <w:rPr>
                <w:rStyle w:val="Style71"/>
                <w:rFonts w:ascii="Tahoma" w:hAnsi="Tahoma" w:cs="Tahoma"/>
                <w:szCs w:val="20"/>
                <w:lang w:val="fr-FR"/>
              </w:rPr>
              <w:id w:val="924156108"/>
              <w:date w:fullDate="2022-12-31T00:00:00Z">
                <w:dateFormat w:val="dd/MM/yyyy"/>
                <w:lid w:val="fr-FR"/>
                <w:storeMappedDataAs w:val="dateTime"/>
                <w:calendar w:val="gregorian"/>
              </w:date>
            </w:sdtPr>
            <w:sdtEndPr>
              <w:rPr>
                <w:rStyle w:val="Style71"/>
              </w:rPr>
            </w:sdtEndPr>
            <w:sdtContent>
              <w:p w14:paraId="360281C8" w14:textId="77777777" w:rsidR="00F24E0D" w:rsidRPr="00561E48" w:rsidRDefault="00B319CD" w:rsidP="00B319CD">
                <w:pPr>
                  <w:spacing w:before="120" w:after="120"/>
                  <w:rPr>
                    <w:rStyle w:val="Style71"/>
                    <w:rFonts w:ascii="Tahoma" w:hAnsi="Tahoma" w:cs="Tahoma"/>
                    <w:szCs w:val="20"/>
                    <w:lang w:val="fr-FR"/>
                  </w:rPr>
                </w:pPr>
                <w:r>
                  <w:rPr>
                    <w:rStyle w:val="Style71"/>
                    <w:rFonts w:ascii="Tahoma" w:hAnsi="Tahoma" w:cs="Tahoma"/>
                    <w:szCs w:val="20"/>
                    <w:lang w:val="fr-FR"/>
                  </w:rPr>
                  <w:t>31/12/2022</w:t>
                </w:r>
              </w:p>
            </w:sdtContent>
          </w:sdt>
        </w:tc>
      </w:tr>
    </w:tbl>
    <w:p w14:paraId="360281CA" w14:textId="77777777"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w:t>
      </w:r>
      <w:r w:rsidR="007E3BF6" w:rsidRPr="00561E48">
        <w:rPr>
          <w:rFonts w:ascii="Tahoma" w:hAnsi="Tahoma" w:cs="Tahoma"/>
          <w:b/>
          <w:lang w:val="fr-FR"/>
        </w:rPr>
        <w:t xml:space="preserve"> </w:t>
      </w:r>
      <w:r w:rsidR="002F631F" w:rsidRPr="00561E48">
        <w:rPr>
          <w:rFonts w:ascii="Tahoma" w:hAnsi="Tahoma" w:cs="Tahoma"/>
          <w:b/>
          <w:lang w:val="fr-FR"/>
        </w:rPr>
        <w:t>accord</w:t>
      </w:r>
      <w:r w:rsidR="007E3BF6" w:rsidRPr="00561E48">
        <w:rPr>
          <w:rFonts w:ascii="Tahoma" w:hAnsi="Tahoma" w:cs="Tahoma"/>
          <w:b/>
          <w:lang w:val="fr-FR"/>
        </w:rPr>
        <w:t xml:space="preserve"> et signature</w:t>
      </w:r>
    </w:p>
    <w:p w14:paraId="360281CB"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360281CC" w14:textId="77777777"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p>
    <w:p w14:paraId="360281CD"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360281CE" w14:textId="77777777"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360281CF"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360281D0"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0281D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60281D2"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360281D3" w14:textId="77777777"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M</w:t>
      </w:r>
      <w:r w:rsidR="00A91754" w:rsidRPr="00561E48">
        <w:rPr>
          <w:rFonts w:ascii="Tahoma" w:hAnsi="Tahoma" w:cs="Tahoma"/>
          <w:sz w:val="19"/>
          <w:szCs w:val="19"/>
          <w:lang w:val="fr-FR"/>
        </w:rPr>
        <w:t>’engage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w:t>
      </w:r>
      <w:r w:rsidR="00F24028">
        <w:rPr>
          <w:rFonts w:ascii="Tahoma" w:hAnsi="Tahoma" w:cs="Tahoma"/>
          <w:sz w:val="19"/>
          <w:szCs w:val="19"/>
          <w:lang w:val="fr-FR"/>
        </w:rPr>
        <w:t>,</w:t>
      </w:r>
      <w:r w:rsidR="00A91754" w:rsidRPr="00561E48">
        <w:rPr>
          <w:rFonts w:ascii="Tahoma" w:hAnsi="Tahoma" w:cs="Tahoma"/>
          <w:sz w:val="19"/>
          <w:szCs w:val="19"/>
          <w:lang w:val="fr-FR"/>
        </w:rPr>
        <w:t> </w:t>
      </w:r>
      <w:r w:rsidR="00F24028" w:rsidRPr="00F24028">
        <w:rPr>
          <w:rFonts w:ascii="Tahoma" w:hAnsi="Tahoma" w:cs="Tahoma"/>
          <w:sz w:val="19"/>
          <w:szCs w:val="19"/>
          <w:lang w:val="fr-FR"/>
        </w:rPr>
        <w:t xml:space="preserve">ou inclusion sur les listes des personnes ou entités sujettes aux mesures restrictives appliquées par l’Union Européenne (disponible sur </w:t>
      </w:r>
      <w:r w:rsidR="008022D9">
        <w:fldChar w:fldCharType="begin"/>
      </w:r>
      <w:r w:rsidR="008022D9" w:rsidRPr="009764A4">
        <w:rPr>
          <w:lang w:val="fr-FR"/>
        </w:rPr>
        <w:instrText xml:space="preserve"> HYPERLINK "http://www.sanctionsmap.eu" </w:instrText>
      </w:r>
      <w:r w:rsidR="008022D9">
        <w:fldChar w:fldCharType="separate"/>
      </w:r>
      <w:r w:rsidR="00F24028" w:rsidRPr="00F24028">
        <w:rPr>
          <w:rStyle w:val="Hyperlink"/>
          <w:rFonts w:ascii="Tahoma" w:hAnsi="Tahoma" w:cs="Tahoma"/>
          <w:sz w:val="19"/>
          <w:szCs w:val="19"/>
          <w:lang w:val="fr-FR"/>
        </w:rPr>
        <w:t>www.sanctionsmap.eu</w:t>
      </w:r>
      <w:r w:rsidR="008022D9">
        <w:rPr>
          <w:rStyle w:val="Hyperlink"/>
          <w:rFonts w:ascii="Tahoma" w:hAnsi="Tahoma" w:cs="Tahoma"/>
          <w:sz w:val="19"/>
          <w:szCs w:val="19"/>
          <w:lang w:val="fr-FR"/>
        </w:rPr>
        <w:fldChar w:fldCharType="end"/>
      </w:r>
      <w:r w:rsidR="00F24028" w:rsidRPr="00F24028">
        <w:rPr>
          <w:rFonts w:ascii="Tahoma" w:hAnsi="Tahoma" w:cs="Tahoma"/>
          <w:sz w:val="19"/>
          <w:szCs w:val="19"/>
          <w:lang w:val="fr-FR"/>
        </w:rPr>
        <w:t xml:space="preserve">) </w:t>
      </w:r>
      <w:r w:rsidR="00A91754" w:rsidRPr="00561E48">
        <w:rPr>
          <w:rFonts w:ascii="Tahoma" w:hAnsi="Tahoma" w:cs="Tahoma"/>
          <w:sz w:val="19"/>
          <w:szCs w:val="19"/>
          <w:lang w:val="fr-FR"/>
        </w:rPr>
        <w:t xml:space="preserve">; </w:t>
      </w:r>
    </w:p>
    <w:p w14:paraId="360281D4" w14:textId="77777777"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360281D5"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360281D6" w14:textId="77777777"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9764A4" w14:paraId="360281D8" w14:textId="77777777" w:rsidTr="0091516C">
        <w:trPr>
          <w:trHeight w:val="75"/>
          <w:jc w:val="center"/>
        </w:trPr>
        <w:tc>
          <w:tcPr>
            <w:tcW w:w="10813" w:type="dxa"/>
            <w:gridSpan w:val="6"/>
            <w:tcMar>
              <w:top w:w="0" w:type="dxa"/>
              <w:left w:w="108" w:type="dxa"/>
              <w:bottom w:w="0" w:type="dxa"/>
              <w:right w:w="108" w:type="dxa"/>
            </w:tcMar>
            <w:vAlign w:val="center"/>
          </w:tcPr>
          <w:p w14:paraId="360281D7" w14:textId="77777777"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36028298" wp14:editId="36028299">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9A36"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9764A4" w14:paraId="360281DE"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60281D9"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60281DA"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60281DB"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60281DC"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360281DD"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Au nom du Secrétaire Général du Conseil de l’Europe</w:t>
            </w:r>
            <w:r w:rsidRPr="00561E48">
              <w:rPr>
                <w:rFonts w:ascii="Tahoma" w:eastAsia="Calibri" w:hAnsi="Tahoma" w:cs="Tahoma"/>
                <w:b/>
                <w:bCs/>
                <w:sz w:val="20"/>
                <w:szCs w:val="20"/>
                <w:lang w:val="fr-FR" w:eastAsia="en-US"/>
              </w:rPr>
              <w:t xml:space="preserve"> </w:t>
            </w:r>
          </w:p>
        </w:tc>
      </w:tr>
      <w:tr w:rsidR="003B12BF" w:rsidRPr="009764A4" w14:paraId="360281E5"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60281DF"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60281E0"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60281E1"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60281E2"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60281E3" w14:textId="7777777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60281E4" w14:textId="77777777" w:rsidR="003B12BF" w:rsidRPr="00561E48" w:rsidRDefault="003B12BF" w:rsidP="0091516C">
            <w:pPr>
              <w:rPr>
                <w:rFonts w:ascii="Tahoma" w:eastAsia="Calibri" w:hAnsi="Tahoma" w:cs="Tahoma"/>
                <w:sz w:val="20"/>
                <w:szCs w:val="20"/>
                <w:lang w:val="fr-FR" w:eastAsia="en-US"/>
              </w:rPr>
            </w:pPr>
          </w:p>
        </w:tc>
      </w:tr>
      <w:tr w:rsidR="003B12BF" w:rsidRPr="00561E48" w14:paraId="360281EC"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360281E6"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60281E7"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60281E8"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60281E9"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360281EA" w14:textId="77777777"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60281EB" w14:textId="77777777" w:rsidR="003B12BF" w:rsidRPr="00561E48" w:rsidRDefault="003B12BF" w:rsidP="0091516C">
            <w:pPr>
              <w:rPr>
                <w:rFonts w:ascii="Tahoma" w:eastAsia="Calibri" w:hAnsi="Tahoma" w:cs="Tahoma"/>
                <w:sz w:val="20"/>
                <w:szCs w:val="20"/>
                <w:lang w:val="fr-FR" w:eastAsia="en-US"/>
              </w:rPr>
            </w:pPr>
          </w:p>
        </w:tc>
      </w:tr>
      <w:tr w:rsidR="009454DB" w:rsidRPr="00561E48" w14:paraId="360281F3"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360281ED"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60281EE"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360281EF"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60281F0"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360281F1"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360281F2"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360281FA"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360281F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60281F5"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360281F6"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60281F7"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360281F8"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360281F9"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36028202"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360281FB"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60281F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360281F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60281FE"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60281FF"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36028200"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6028201" w14:textId="77777777" w:rsidR="009454DB" w:rsidRPr="00561E48" w:rsidRDefault="009454DB" w:rsidP="0091516C">
            <w:pPr>
              <w:rPr>
                <w:rFonts w:ascii="Tahoma" w:eastAsia="Calibri" w:hAnsi="Tahoma" w:cs="Tahoma"/>
                <w:sz w:val="20"/>
                <w:szCs w:val="20"/>
                <w:lang w:val="fr-FR" w:eastAsia="en-US"/>
              </w:rPr>
            </w:pPr>
          </w:p>
        </w:tc>
      </w:tr>
    </w:tbl>
    <w:p w14:paraId="36028203" w14:textId="77777777" w:rsidR="003A0F5F" w:rsidRPr="00561E48" w:rsidRDefault="003A0F5F" w:rsidP="003A0F5F">
      <w:pPr>
        <w:jc w:val="center"/>
        <w:rPr>
          <w:rFonts w:ascii="Tahoma" w:hAnsi="Tahoma" w:cs="Tahoma"/>
          <w:sz w:val="14"/>
          <w:szCs w:val="20"/>
          <w:lang w:val="fr-FR"/>
        </w:rPr>
      </w:pPr>
    </w:p>
    <w:p w14:paraId="36028204" w14:textId="77777777"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36028205"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EF56B2">
          <w:headerReference w:type="default" r:id="rId11"/>
          <w:footerReference w:type="default" r:id="rId12"/>
          <w:headerReference w:type="first" r:id="rId13"/>
          <w:type w:val="continuous"/>
          <w:pgSz w:w="11907" w:h="16840" w:code="9"/>
          <w:pgMar w:top="993" w:right="708" w:bottom="851" w:left="567" w:header="284" w:footer="322" w:gutter="0"/>
          <w:cols w:space="708"/>
          <w:titlePg/>
          <w:docGrid w:linePitch="360"/>
        </w:sectPr>
      </w:pPr>
      <w:bookmarkStart w:id="1" w:name="_Toc179868643"/>
    </w:p>
    <w:p w14:paraId="36028206" w14:textId="77777777"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36028207"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36028208" w14:textId="77777777"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36028209" w14:textId="77777777" w:rsidR="00F24028" w:rsidRDefault="00C30B4D" w:rsidP="000B57B2">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w:t>
      </w:r>
      <w:r w:rsidR="003E2D15" w:rsidRPr="00561E48">
        <w:rPr>
          <w:rFonts w:ascii="Tahoma" w:eastAsia="Calibri" w:hAnsi="Tahoma" w:cs="Tahoma"/>
          <w:color w:val="000000" w:themeColor="text1"/>
          <w:sz w:val="18"/>
          <w:szCs w:val="18"/>
          <w:lang w:val="fr-FR" w:eastAsia="en-US"/>
        </w:rPr>
        <w:t>A</w:t>
      </w:r>
      <w:r w:rsidRPr="00561E48">
        <w:rPr>
          <w:rFonts w:ascii="Tahoma" w:eastAsia="Calibri" w:hAnsi="Tahoma" w:cs="Tahoma"/>
          <w:color w:val="000000" w:themeColor="text1"/>
          <w:sz w:val="18"/>
          <w:szCs w:val="18"/>
          <w:lang w:val="fr-FR" w:eastAsia="en-US"/>
        </w:rPr>
        <w:t>cte d’</w:t>
      </w:r>
      <w:r w:rsidR="003E2D15" w:rsidRPr="00561E48">
        <w:rPr>
          <w:rFonts w:ascii="Tahoma" w:eastAsia="Calibri" w:hAnsi="Tahoma" w:cs="Tahoma"/>
          <w:color w:val="000000" w:themeColor="text1"/>
          <w:sz w:val="18"/>
          <w:szCs w:val="18"/>
          <w:lang w:val="fr-FR" w:eastAsia="en-US"/>
        </w:rPr>
        <w:t>E</w:t>
      </w:r>
      <w:r w:rsidRPr="00561E48">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561E48">
        <w:rPr>
          <w:rFonts w:ascii="Tahoma" w:eastAsia="Calibri" w:hAnsi="Tahoma" w:cs="Tahoma"/>
          <w:color w:val="000000" w:themeColor="text1"/>
          <w:sz w:val="18"/>
          <w:szCs w:val="18"/>
          <w:lang w:val="fr-FR" w:eastAsia="en-US"/>
        </w:rPr>
        <w:t>,</w:t>
      </w:r>
      <w:r w:rsidRPr="00561E48">
        <w:rPr>
          <w:rFonts w:ascii="Tahoma" w:eastAsia="Calibri" w:hAnsi="Tahoma" w:cs="Tahoma"/>
          <w:color w:val="000000" w:themeColor="text1"/>
          <w:sz w:val="18"/>
          <w:szCs w:val="18"/>
          <w:lang w:val="fr-FR" w:eastAsia="en-US"/>
        </w:rPr>
        <w:t xml:space="preserve"> </w:t>
      </w:r>
      <w:r w:rsidR="005A4B59" w:rsidRPr="00561E48">
        <w:rPr>
          <w:rFonts w:ascii="Tahoma" w:eastAsia="Calibri" w:hAnsi="Tahoma" w:cs="Tahoma"/>
          <w:color w:val="000000" w:themeColor="text1"/>
          <w:sz w:val="18"/>
          <w:szCs w:val="18"/>
          <w:lang w:val="fr-FR" w:eastAsia="en-US"/>
        </w:rPr>
        <w:t xml:space="preserve">et de tout bon de commande ; </w:t>
      </w:r>
    </w:p>
    <w:p w14:paraId="3602820A" w14:textId="77777777" w:rsidR="000B57B2" w:rsidRDefault="00F24028" w:rsidP="000B57B2">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les Termes de référence, </w:t>
      </w:r>
      <w:r w:rsidR="005A4B59" w:rsidRPr="00561E48">
        <w:rPr>
          <w:rFonts w:ascii="Tahoma" w:eastAsia="Calibri" w:hAnsi="Tahoma" w:cs="Tahoma"/>
          <w:color w:val="000000" w:themeColor="text1"/>
          <w:sz w:val="18"/>
          <w:szCs w:val="18"/>
          <w:lang w:val="fr-FR" w:eastAsia="en-US"/>
        </w:rPr>
        <w:t>et</w:t>
      </w:r>
    </w:p>
    <w:p w14:paraId="3602820B" w14:textId="26CBFFB5" w:rsidR="005A4B59" w:rsidRPr="000B57B2" w:rsidRDefault="00E14CCB" w:rsidP="000B57B2">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005A4B59" w:rsidRPr="000B57B2">
        <w:rPr>
          <w:rFonts w:ascii="Tahoma" w:eastAsia="Calibri" w:hAnsi="Tahoma" w:cs="Tahoma"/>
          <w:color w:val="000000" w:themeColor="text1"/>
          <w:sz w:val="18"/>
          <w:szCs w:val="18"/>
          <w:lang w:val="fr-FR" w:eastAsia="en-US"/>
        </w:rPr>
        <w:t>l’offre soumise par le Prestataire.</w:t>
      </w:r>
    </w:p>
    <w:p w14:paraId="3602820C" w14:textId="77777777"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3602820D" w14:textId="77777777"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3602820E" w14:textId="77777777" w:rsidR="005A4B59" w:rsidRPr="00561E48" w:rsidRDefault="005A4B59"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3602820F" w14:textId="77777777" w:rsidR="005A4B59" w:rsidRPr="00561E48" w:rsidRDefault="005A4B59"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36028210" w14:textId="77777777" w:rsidR="005A4B59" w:rsidRPr="00561E48" w:rsidRDefault="000B57B2"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003E2D15"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36028211" w14:textId="77777777" w:rsidR="003E2D15" w:rsidRPr="00561E48" w:rsidRDefault="003E2D15"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36028212" w14:textId="77777777" w:rsidR="003E2D15" w:rsidRPr="00561E48" w:rsidRDefault="003E2D15" w:rsidP="006768AE">
      <w:pPr>
        <w:pStyle w:val="ListParagraph"/>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36028213" w14:textId="77777777"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36028214" w14:textId="77777777" w:rsidR="00901465" w:rsidRDefault="003C6D9B" w:rsidP="00B26F93">
      <w:pPr>
        <w:tabs>
          <w:tab w:val="left" w:pos="284"/>
        </w:tabs>
        <w:jc w:val="both"/>
        <w:rPr>
          <w:rFonts w:ascii="Tahoma" w:hAnsi="Tahoma" w:cs="Tahoma"/>
          <w:sz w:val="18"/>
          <w:szCs w:val="18"/>
          <w:lang w:val="fr-FR"/>
        </w:rPr>
      </w:pPr>
      <w:bookmarkStart w:id="2" w:name="_Toc179868644"/>
      <w:r>
        <w:rPr>
          <w:rFonts w:ascii="Tahoma" w:hAnsi="Tahoma" w:cs="Tahoma"/>
          <w:sz w:val="18"/>
          <w:szCs w:val="18"/>
          <w:lang w:val="fr-FR"/>
        </w:rPr>
        <w:t xml:space="preserve">2.1. </w:t>
      </w:r>
      <w:r w:rsidR="00901465"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00901465" w:rsidRPr="00561E48">
        <w:rPr>
          <w:rFonts w:ascii="Tahoma" w:hAnsi="Tahoma" w:cs="Tahoma"/>
          <w:sz w:val="18"/>
          <w:szCs w:val="18"/>
          <w:lang w:val="fr-FR"/>
        </w:rPr>
        <w:t xml:space="preserve"> la </w:t>
      </w:r>
      <w:r w:rsidR="00D51BA1" w:rsidRPr="00561E48">
        <w:rPr>
          <w:rFonts w:ascii="Tahoma" w:hAnsi="Tahoma" w:cs="Tahoma"/>
          <w:sz w:val="18"/>
          <w:szCs w:val="18"/>
          <w:lang w:val="fr-FR"/>
        </w:rPr>
        <w:t xml:space="preserve">Partie A </w:t>
      </w:r>
      <w:r w:rsidR="007044B0">
        <w:rPr>
          <w:rFonts w:ascii="Tahoma" w:hAnsi="Tahoma" w:cs="Tahoma"/>
          <w:sz w:val="18"/>
          <w:szCs w:val="18"/>
          <w:lang w:val="fr-FR"/>
        </w:rPr>
        <w:t>de l’acte d’engagement</w:t>
      </w:r>
      <w:r w:rsidR="00901465" w:rsidRPr="00561E48">
        <w:rPr>
          <w:rFonts w:ascii="Tahoma" w:hAnsi="Tahoma" w:cs="Tahoma"/>
          <w:color w:val="FF0000"/>
          <w:sz w:val="18"/>
          <w:szCs w:val="18"/>
          <w:lang w:val="fr-FR"/>
        </w:rPr>
        <w:t xml:space="preserve"> </w:t>
      </w:r>
      <w:r w:rsidR="00901465"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36028215" w14:textId="77777777" w:rsidR="003C6D9B" w:rsidRDefault="003C6D9B" w:rsidP="00B26F93">
      <w:pPr>
        <w:tabs>
          <w:tab w:val="left" w:pos="284"/>
        </w:tabs>
        <w:jc w:val="both"/>
        <w:rPr>
          <w:rFonts w:ascii="Tahoma" w:hAnsi="Tahoma" w:cs="Tahoma"/>
          <w:sz w:val="18"/>
          <w:szCs w:val="18"/>
          <w:lang w:val="fr-FR"/>
        </w:rPr>
      </w:pPr>
      <w:r>
        <w:rPr>
          <w:rFonts w:ascii="Tahoma" w:hAnsi="Tahoma" w:cs="Tahoma"/>
          <w:sz w:val="18"/>
          <w:szCs w:val="18"/>
          <w:lang w:val="fr-FR"/>
        </w:rPr>
        <w:t>2.2. Le renouvellement du présent contrat est possible, suivant les conditions décrites dans la partie A de l’Acte d’Engagement. Sauf disposition contraire dans le présent contrat, ce renouvellement ne peut se faire sans un accord écrit des deux parties.</w:t>
      </w:r>
    </w:p>
    <w:p w14:paraId="36028216" w14:textId="77777777" w:rsidR="003C6D9B" w:rsidRDefault="003C6D9B" w:rsidP="00B26F93">
      <w:pPr>
        <w:tabs>
          <w:tab w:val="left" w:pos="284"/>
        </w:tabs>
        <w:jc w:val="both"/>
        <w:rPr>
          <w:rFonts w:ascii="Tahoma" w:hAnsi="Tahoma" w:cs="Tahoma"/>
          <w:sz w:val="18"/>
          <w:szCs w:val="18"/>
          <w:lang w:val="fr-FR"/>
        </w:rPr>
      </w:pPr>
      <w:r>
        <w:rPr>
          <w:rFonts w:ascii="Tahoma" w:hAnsi="Tahoma" w:cs="Tahoma"/>
          <w:sz w:val="18"/>
          <w:szCs w:val="18"/>
          <w:lang w:val="fr-FR"/>
        </w:rPr>
        <w:t>2.3. En cas de renouvellement, les autres conditions préalablement prévues dans ce contrat demeurent inchangées.</w:t>
      </w:r>
    </w:p>
    <w:p w14:paraId="36028217" w14:textId="77777777" w:rsidR="003C6D9B" w:rsidRPr="00561E48" w:rsidRDefault="003C6D9B" w:rsidP="00B26F93">
      <w:pPr>
        <w:tabs>
          <w:tab w:val="left" w:pos="284"/>
        </w:tabs>
        <w:jc w:val="both"/>
        <w:rPr>
          <w:rFonts w:ascii="Tahoma" w:eastAsia="Calibri" w:hAnsi="Tahoma" w:cs="Tahoma"/>
          <w:color w:val="8064A2" w:themeColor="accent4"/>
          <w:sz w:val="18"/>
          <w:szCs w:val="18"/>
          <w:lang w:val="fr-FR" w:eastAsia="en-US"/>
        </w:rPr>
      </w:pPr>
    </w:p>
    <w:p w14:paraId="36028218" w14:textId="7777777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36028219" w14:textId="77777777"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3602821A"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3602821B" w14:textId="77777777"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602821C"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3602821D" w14:textId="77777777"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3602821E"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3602821F"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3602822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36028221"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36028222"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3602822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6028224"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36028225"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 xml:space="preserve">ontrat le Prestataire octroie au Conseil une </w:t>
      </w:r>
      <w:r w:rsidRPr="00CD752E">
        <w:rPr>
          <w:rFonts w:ascii="Tahoma" w:hAnsi="Tahoma" w:cs="Tahoma"/>
          <w:color w:val="000000" w:themeColor="text1"/>
          <w:sz w:val="18"/>
          <w:szCs w:val="18"/>
          <w:lang w:val="fr-FR"/>
        </w:rPr>
        <w:lastRenderedPageBreak/>
        <w:t>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6028226" w14:textId="77777777" w:rsidR="008C09DB" w:rsidRPr="009D264F"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36028227" w14:textId="77777777"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36028228" w14:textId="777777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36028229" w14:textId="77777777"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602822A" w14:textId="77777777"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3602822B"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3602822C"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3"/>
    <w:p w14:paraId="3602822D" w14:textId="77777777"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3602822E"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602822F" w14:textId="77777777"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36028230" w14:textId="77777777"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36028231" w14:textId="77777777"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3.6.1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36028232" w14:textId="77777777"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3.6.2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36028233" w14:textId="77777777"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36028234" w14:textId="77777777"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36028235" w14:textId="77777777"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6028236"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6028237"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6028238" w14:textId="77777777"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6028239"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3602823A"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3602823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3602823C"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602823D"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3602823E"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3602823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6028240"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36028241"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36028242" w14:textId="77777777"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6028243"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3602824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36028245"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6028246"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36028247"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6028248"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36028249"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3602824A"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3602824B"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3602824C" w14:textId="77777777"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3602824D" w14:textId="7777777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3602824E" w14:textId="77777777"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3602824F" w14:textId="77777777"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028250" w14:textId="77777777"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36028251" w14:textId="77777777"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36028252" w14:textId="77777777"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36028253" w14:textId="77777777"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36028254" w14:textId="77777777"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36028255" w14:textId="77777777"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36028256" w14:textId="77777777"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36028257" w14:textId="77777777"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36028258" w14:textId="77777777"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36028259" w14:textId="77777777"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3602825A" w14:textId="77777777"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3602825B" w14:textId="77777777"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3602825C" w14:textId="77777777"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3602825D" w14:textId="77777777"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3602825E" w14:textId="77777777"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3602825F" w14:textId="77777777"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w:t>
      </w:r>
      <w:r w:rsidR="00FC08DE" w:rsidRPr="00561E48">
        <w:rPr>
          <w:rFonts w:ascii="Tahoma" w:hAnsi="Tahoma" w:cs="Tahoma"/>
          <w:sz w:val="18"/>
          <w:szCs w:val="18"/>
          <w:lang w:val="fr-FR"/>
        </w:rPr>
        <w:lastRenderedPageBreak/>
        <w:t xml:space="preserve">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4"/>
      </w:r>
      <w:r w:rsidR="00E1471B" w:rsidRPr="00561E48">
        <w:rPr>
          <w:rFonts w:ascii="Tahoma" w:hAnsi="Tahoma" w:cs="Tahoma"/>
          <w:sz w:val="18"/>
          <w:szCs w:val="18"/>
          <w:lang w:val="fr-FR"/>
        </w:rPr>
        <w:t>.</w:t>
      </w:r>
    </w:p>
    <w:p w14:paraId="36028260" w14:textId="77777777"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36028261" w14:textId="7777777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36028262" w14:textId="77777777"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36028263" w14:textId="77777777" w:rsidR="00437676"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5.1 </w:t>
      </w:r>
      <w:r w:rsidR="00FC08DE" w:rsidRPr="00561E48">
        <w:rPr>
          <w:rFonts w:ascii="Tahoma" w:hAnsi="Tahoma" w:cs="Tahoma"/>
          <w:sz w:val="18"/>
          <w:szCs w:val="18"/>
          <w:lang w:val="fr-FR"/>
        </w:rPr>
        <w:t>Si le Prestataire</w:t>
      </w:r>
      <w:r w:rsidR="00437676">
        <w:rPr>
          <w:rFonts w:ascii="Tahoma" w:hAnsi="Tahoma" w:cs="Tahoma"/>
          <w:sz w:val="18"/>
          <w:szCs w:val="18"/>
          <w:lang w:val="fr-FR"/>
        </w:rPr>
        <w:t> :</w:t>
      </w:r>
    </w:p>
    <w:p w14:paraId="36028264" w14:textId="77777777" w:rsidR="00437676" w:rsidRDefault="00437676" w:rsidP="00437676">
      <w:pPr>
        <w:ind w:left="567"/>
        <w:jc w:val="both"/>
        <w:rPr>
          <w:rFonts w:ascii="Tahoma" w:hAnsi="Tahoma" w:cs="Tahoma"/>
          <w:sz w:val="18"/>
          <w:szCs w:val="18"/>
          <w:lang w:val="fr-FR"/>
        </w:rPr>
      </w:pPr>
      <w:r>
        <w:rPr>
          <w:rFonts w:ascii="Tahoma" w:hAnsi="Tahoma" w:cs="Tahoma"/>
          <w:sz w:val="18"/>
          <w:szCs w:val="18"/>
          <w:lang w:val="fr-FR"/>
        </w:rPr>
        <w:t>a)</w:t>
      </w:r>
      <w:r w:rsidR="00FC08DE" w:rsidRPr="00561E48">
        <w:rPr>
          <w:rFonts w:ascii="Tahoma" w:hAnsi="Tahoma" w:cs="Tahoma"/>
          <w:sz w:val="18"/>
          <w:szCs w:val="18"/>
          <w:lang w:val="fr-FR"/>
        </w:rPr>
        <w:t xml:space="preserve"> ne satisfait pas aux condit</w:t>
      </w:r>
      <w:r w:rsidR="008F51A7" w:rsidRPr="00561E48">
        <w:rPr>
          <w:rFonts w:ascii="Tahoma" w:hAnsi="Tahoma" w:cs="Tahoma"/>
          <w:sz w:val="18"/>
          <w:szCs w:val="18"/>
          <w:lang w:val="fr-FR"/>
        </w:rPr>
        <w:t>ions stipulées dans le présent C</w:t>
      </w:r>
      <w:r w:rsidR="00FC08DE" w:rsidRPr="00561E48">
        <w:rPr>
          <w:rFonts w:ascii="Tahoma" w:hAnsi="Tahoma" w:cs="Tahoma"/>
          <w:sz w:val="18"/>
          <w:szCs w:val="18"/>
          <w:lang w:val="fr-FR"/>
        </w:rPr>
        <w:t xml:space="preserve">ontrat ou à celles découlant de tout avenant écrit accepté par les deux parties, conformément </w:t>
      </w:r>
      <w:r w:rsidR="00732180" w:rsidRPr="00561E48">
        <w:rPr>
          <w:rFonts w:ascii="Tahoma" w:hAnsi="Tahoma" w:cs="Tahoma"/>
          <w:sz w:val="18"/>
          <w:szCs w:val="18"/>
          <w:lang w:val="fr-FR"/>
        </w:rPr>
        <w:t>aux dispositions de l’article 6</w:t>
      </w:r>
      <w:r w:rsidR="00FC08DE" w:rsidRPr="00561E48">
        <w:rPr>
          <w:rFonts w:ascii="Tahoma" w:hAnsi="Tahoma" w:cs="Tahoma"/>
          <w:sz w:val="18"/>
          <w:szCs w:val="18"/>
          <w:lang w:val="fr-FR"/>
        </w:rPr>
        <w:t xml:space="preserve"> ci-après, ou </w:t>
      </w:r>
    </w:p>
    <w:p w14:paraId="36028265" w14:textId="77777777" w:rsidR="00437676" w:rsidRDefault="00437676" w:rsidP="00437676">
      <w:pPr>
        <w:ind w:left="567"/>
        <w:jc w:val="both"/>
        <w:rPr>
          <w:rFonts w:ascii="Tahoma" w:hAnsi="Tahoma" w:cs="Tahoma"/>
          <w:sz w:val="18"/>
          <w:szCs w:val="18"/>
          <w:lang w:val="fr-FR"/>
        </w:rPr>
      </w:pPr>
      <w:r>
        <w:rPr>
          <w:rFonts w:ascii="Tahoma" w:hAnsi="Tahoma" w:cs="Tahoma"/>
          <w:sz w:val="18"/>
          <w:szCs w:val="18"/>
          <w:lang w:val="fr-FR"/>
        </w:rPr>
        <w:t xml:space="preserve">b) </w:t>
      </w:r>
      <w:r w:rsidR="00FC08DE" w:rsidRPr="00561E48">
        <w:rPr>
          <w:rFonts w:ascii="Tahoma" w:hAnsi="Tahoma" w:cs="Tahoma"/>
          <w:sz w:val="18"/>
          <w:szCs w:val="18"/>
          <w:lang w:val="fr-FR"/>
        </w:rPr>
        <w:t xml:space="preserve">assure une prestation de services d’un niveau non satisfaisant, </w:t>
      </w:r>
      <w:r>
        <w:rPr>
          <w:rFonts w:ascii="Tahoma" w:hAnsi="Tahoma" w:cs="Tahoma"/>
          <w:sz w:val="18"/>
          <w:szCs w:val="18"/>
          <w:lang w:val="fr-FR"/>
        </w:rPr>
        <w:t xml:space="preserve">conformément à l’article 1.1, ou </w:t>
      </w:r>
    </w:p>
    <w:p w14:paraId="36028266" w14:textId="77777777" w:rsidR="00437676" w:rsidRDefault="00437676" w:rsidP="00437676">
      <w:pPr>
        <w:ind w:left="567"/>
        <w:jc w:val="both"/>
        <w:rPr>
          <w:rFonts w:ascii="Tahoma" w:hAnsi="Tahoma" w:cs="Tahoma"/>
          <w:sz w:val="18"/>
          <w:szCs w:val="18"/>
          <w:lang w:val="fr-FR"/>
        </w:rPr>
      </w:pPr>
      <w:r>
        <w:rPr>
          <w:rFonts w:ascii="Tahoma" w:hAnsi="Tahoma" w:cs="Tahoma"/>
          <w:sz w:val="18"/>
          <w:szCs w:val="18"/>
          <w:lang w:val="fr-FR"/>
        </w:rPr>
        <w:t>c) est dans l’une des situations énumérées à l’article 10.2,</w:t>
      </w:r>
    </w:p>
    <w:p w14:paraId="36028267" w14:textId="77777777" w:rsidR="00FC08DE" w:rsidRPr="00561E48" w:rsidRDefault="00FC08DE" w:rsidP="00CF7B9E">
      <w:pPr>
        <w:ind w:left="567"/>
        <w:jc w:val="both"/>
        <w:rPr>
          <w:rFonts w:ascii="Tahoma" w:hAnsi="Tahoma" w:cs="Tahoma"/>
          <w:sz w:val="18"/>
          <w:szCs w:val="18"/>
          <w:lang w:val="fr-FR"/>
        </w:rPr>
      </w:pPr>
      <w:proofErr w:type="gramStart"/>
      <w:r w:rsidRPr="00561E48">
        <w:rPr>
          <w:rFonts w:ascii="Tahoma" w:hAnsi="Tahoma" w:cs="Tahoma"/>
          <w:sz w:val="18"/>
          <w:szCs w:val="18"/>
          <w:lang w:val="fr-FR"/>
        </w:rPr>
        <w:t>le</w:t>
      </w:r>
      <w:proofErr w:type="gramEnd"/>
      <w:r w:rsidRPr="00561E48">
        <w:rPr>
          <w:rFonts w:ascii="Tahoma" w:hAnsi="Tahoma" w:cs="Tahoma"/>
          <w:sz w:val="18"/>
          <w:szCs w:val="18"/>
          <w:lang w:val="fr-FR"/>
        </w:rPr>
        <w:t xml:space="preserve"> Conseil estimera qu’il s’agit d’une rupture de contrat et pourra en conséquence refuser de verser en tout ou partie les honoraires et de régler l</w:t>
      </w:r>
      <w:r w:rsidR="008F51A7" w:rsidRPr="00561E48">
        <w:rPr>
          <w:rFonts w:ascii="Tahoma" w:hAnsi="Tahoma" w:cs="Tahoma"/>
          <w:sz w:val="18"/>
          <w:szCs w:val="18"/>
          <w:lang w:val="fr-FR"/>
        </w:rPr>
        <w:t>es frais stipulés à l’article 4</w:t>
      </w:r>
      <w:r w:rsidR="00732180" w:rsidRPr="00561E48">
        <w:rPr>
          <w:rFonts w:ascii="Tahoma" w:hAnsi="Tahoma" w:cs="Tahoma"/>
          <w:sz w:val="18"/>
          <w:szCs w:val="18"/>
          <w:lang w:val="fr-FR"/>
        </w:rPr>
        <w:t>.1</w:t>
      </w:r>
      <w:r w:rsidRPr="00561E48">
        <w:rPr>
          <w:rFonts w:ascii="Tahoma" w:hAnsi="Tahoma" w:cs="Tahoma"/>
          <w:sz w:val="18"/>
          <w:szCs w:val="18"/>
          <w:lang w:val="fr-FR"/>
        </w:rPr>
        <w:t xml:space="preserve"> </w:t>
      </w:r>
      <w:r w:rsidR="00506470">
        <w:rPr>
          <w:rFonts w:ascii="Tahoma" w:hAnsi="Tahoma" w:cs="Tahoma"/>
          <w:sz w:val="18"/>
          <w:szCs w:val="18"/>
          <w:lang w:val="fr-FR"/>
        </w:rPr>
        <w:t xml:space="preserve">et 4.4. </w:t>
      </w:r>
      <w:proofErr w:type="gramStart"/>
      <w:r w:rsidRPr="00561E48">
        <w:rPr>
          <w:rFonts w:ascii="Tahoma" w:hAnsi="Tahoma" w:cs="Tahoma"/>
          <w:sz w:val="18"/>
          <w:szCs w:val="18"/>
          <w:lang w:val="fr-FR"/>
        </w:rPr>
        <w:t>ci</w:t>
      </w:r>
      <w:proofErr w:type="gramEnd"/>
      <w:r w:rsidRPr="00561E48">
        <w:rPr>
          <w:rFonts w:ascii="Tahoma" w:hAnsi="Tahoma" w:cs="Tahoma"/>
          <w:sz w:val="18"/>
          <w:szCs w:val="18"/>
          <w:lang w:val="fr-FR"/>
        </w:rPr>
        <w:t>-dessus.</w:t>
      </w:r>
    </w:p>
    <w:p w14:paraId="36028268" w14:textId="77777777"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6028269" w14:textId="77777777"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3602826A" w14:textId="7777777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3602826B" w14:textId="77777777"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3602826C" w14:textId="77777777"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3602826D"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3602826E" w14:textId="77777777"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3602826F" w14:textId="7777777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36028270" w14:textId="77777777"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36028271" w14:textId="77777777"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36028272" w14:textId="7777777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36028273" w14:textId="77777777"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36028274" w14:textId="77777777"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36028275" w14:textId="77777777"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36028276"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36028277"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36028278"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36028279" w14:textId="77777777"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3602827A" w14:textId="77777777"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3602827B" w14:textId="7777777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3602827C" w14:textId="77777777"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3602827D" w14:textId="7777777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3602827E" w14:textId="77777777"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3602827F" w14:textId="77777777"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36028280" w14:textId="77777777"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36028281" w14:textId="77777777"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p>
    <w:p w14:paraId="36028282" w14:textId="77777777"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lastRenderedPageBreak/>
        <w:t>s’il fait l'objet d'un jugement ayant autorité de chose jugée constatant un délit affectant son intégrité professionnelle ou une faute grave en matière professionnelle;</w:t>
      </w:r>
    </w:p>
    <w:p w14:paraId="36028283" w14:textId="77777777"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r w:rsidR="00056CB9">
        <w:rPr>
          <w:rFonts w:ascii="Tahoma" w:hAnsi="Tahoma" w:cs="Tahoma"/>
          <w:color w:val="000000" w:themeColor="text1"/>
          <w:sz w:val="18"/>
          <w:szCs w:val="18"/>
          <w:lang w:val="fr-FR"/>
        </w:rPr>
        <w:t> ;</w:t>
      </w:r>
    </w:p>
    <w:p w14:paraId="36028284" w14:textId="77777777" w:rsidR="00056CB9"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ou est susceptible d’être en situation de conflit d’intérêts</w:t>
      </w:r>
      <w:r w:rsidR="00056CB9">
        <w:rPr>
          <w:rFonts w:ascii="Tahoma" w:hAnsi="Tahoma" w:cs="Tahoma"/>
          <w:color w:val="000000" w:themeColor="text1"/>
          <w:sz w:val="18"/>
          <w:szCs w:val="18"/>
          <w:lang w:val="fr-FR"/>
        </w:rPr>
        <w:t> ;</w:t>
      </w:r>
    </w:p>
    <w:p w14:paraId="36028285" w14:textId="77777777" w:rsidR="008A7650" w:rsidRPr="00561E48" w:rsidRDefault="00056CB9"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056CB9">
        <w:rPr>
          <w:rFonts w:ascii="Tahoma" w:hAnsi="Tahoma" w:cs="Tahoma"/>
          <w:color w:val="000000" w:themeColor="text1"/>
          <w:sz w:val="18"/>
          <w:szCs w:val="18"/>
          <w:lang w:val="fr-FR"/>
        </w:rPr>
        <w:t>s’il est</w:t>
      </w:r>
      <w:r>
        <w:rPr>
          <w:rFonts w:ascii="Tahoma" w:hAnsi="Tahoma" w:cs="Tahoma"/>
          <w:color w:val="000000" w:themeColor="text1"/>
          <w:sz w:val="18"/>
          <w:szCs w:val="18"/>
          <w:lang w:val="fr-FR"/>
        </w:rPr>
        <w:t>,</w:t>
      </w:r>
      <w:r w:rsidRPr="00056CB9">
        <w:rPr>
          <w:rFonts w:ascii="Tahoma" w:hAnsi="Tahoma" w:cs="Tahoma"/>
          <w:color w:val="000000" w:themeColor="text1"/>
          <w:sz w:val="18"/>
          <w:szCs w:val="18"/>
          <w:lang w:val="fr-FR"/>
        </w:rPr>
        <w:t xml:space="preserve"> ou leur(s) propriétaire(s) ou cadre(s) supérieur(s) dans le cas de personnes morales, inclus dans les listes des personnes ou entités sujettes aux mesures restrictives appliquées par l’Union Européenne (disponible sur www.sanctionsmap.eu).</w:t>
      </w:r>
    </w:p>
    <w:p w14:paraId="36028286"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36028287" w14:textId="7777777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36028288" w14:textId="77777777"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36028289" w14:textId="77777777"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 dans le cas où il ne serait pas procédé à la désignation du surarbitre dans les conditions prévues ci-dessus dans un délai de six mois, le Président du Tribunal de Grande Instance de Strasbourg procédera à cette désignation.</w:t>
      </w:r>
    </w:p>
    <w:p w14:paraId="3602828A" w14:textId="77777777"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3602828B" w14:textId="77777777"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3602828C" w14:textId="77777777"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3602828D" w14:textId="77777777"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3602828E" w14:textId="77777777"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3602828F" w14:textId="77777777"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36028290" w14:textId="77777777"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36028291" w14:textId="77777777"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6028292" w14:textId="77777777"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36028293" w14:textId="77777777"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A6B5" w14:textId="77777777" w:rsidR="008022D9" w:rsidRDefault="008022D9" w:rsidP="00D50F13">
      <w:r>
        <w:separator/>
      </w:r>
    </w:p>
  </w:endnote>
  <w:endnote w:type="continuationSeparator" w:id="0">
    <w:p w14:paraId="7686191D" w14:textId="77777777" w:rsidR="008022D9" w:rsidRDefault="008022D9" w:rsidP="00D50F13">
      <w:r>
        <w:continuationSeparator/>
      </w:r>
    </w:p>
  </w:endnote>
  <w:endnote w:type="continuationNotice" w:id="1">
    <w:p w14:paraId="38FFEC19" w14:textId="77777777" w:rsidR="008022D9" w:rsidRDefault="0080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60282A3"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60282A1" w14:textId="77777777"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360282A2"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360282A4" w14:textId="77777777"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4456F" w14:textId="77777777" w:rsidR="008022D9" w:rsidRDefault="008022D9" w:rsidP="00D50F13">
      <w:r>
        <w:separator/>
      </w:r>
    </w:p>
  </w:footnote>
  <w:footnote w:type="continuationSeparator" w:id="0">
    <w:p w14:paraId="4CC24755" w14:textId="77777777" w:rsidR="008022D9" w:rsidRDefault="008022D9" w:rsidP="00D50F13">
      <w:r>
        <w:continuationSeparator/>
      </w:r>
    </w:p>
  </w:footnote>
  <w:footnote w:type="continuationNotice" w:id="1">
    <w:p w14:paraId="6BCF1FF6" w14:textId="77777777" w:rsidR="008022D9" w:rsidRDefault="008022D9"/>
  </w:footnote>
  <w:footnote w:id="2">
    <w:p w14:paraId="360282A8" w14:textId="77777777"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3032F84F" w14:textId="77777777" w:rsidR="0061395D" w:rsidRPr="0061395D" w:rsidRDefault="0061395D" w:rsidP="0061395D">
      <w:pPr>
        <w:pStyle w:val="FootnoteText"/>
        <w:rPr>
          <w:lang w:val="fr-FR"/>
        </w:rPr>
      </w:pPr>
      <w:r>
        <w:rPr>
          <w:rStyle w:val="FootnoteReference"/>
        </w:rPr>
        <w:footnoteRef/>
      </w:r>
      <w:r w:rsidRPr="0061395D">
        <w:rPr>
          <w:lang w:val="fr-FR"/>
        </w:rPr>
        <w:t xml:space="preserve"> *</w:t>
      </w:r>
      <w:r w:rsidRPr="0061395D">
        <w:rPr>
          <w:i/>
          <w:sz w:val="16"/>
          <w:szCs w:val="16"/>
          <w:lang w:val="fr-FR"/>
        </w:rPr>
        <w:t>Cette dénomination ne saurait être interprétée comme une reconnaissance d’un État de Palestine et est sans préjudice de la position de chaque État membre du Conseil de l’Europe et de l’Union européenne sur cette question.</w:t>
      </w:r>
    </w:p>
  </w:footnote>
  <w:footnote w:id="4">
    <w:p w14:paraId="360282A9"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r w:rsidR="008022D9">
        <w:fldChar w:fldCharType="begin"/>
      </w:r>
      <w:r w:rsidR="008022D9" w:rsidRPr="009764A4">
        <w:rPr>
          <w:lang w:val="fr-FR"/>
        </w:rPr>
        <w:instrText xml:space="preserve"> HYPERLINK "https://search.coe.int/cm/Pages/result_details.aspx?ObjectId=09000016805ceb34" </w:instrText>
      </w:r>
      <w:r w:rsidR="008022D9">
        <w:fldChar w:fldCharType="separate"/>
      </w:r>
      <w:r w:rsidRPr="00CB2568">
        <w:rPr>
          <w:rFonts w:ascii="Arial Narrow" w:hAnsi="Arial Narrow"/>
          <w:color w:val="0000FF"/>
          <w:sz w:val="16"/>
          <w:szCs w:val="16"/>
          <w:u w:val="single"/>
          <w:lang w:val="fr-FR"/>
        </w:rPr>
        <w:t>https://search.coe.int/cm/Pages/result_details.aspx?ObjectId=09000016805ceb34</w:t>
      </w:r>
      <w:r w:rsidR="008022D9">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776617"/>
      <w:docPartObj>
        <w:docPartGallery w:val="Page Numbers (Top of Page)"/>
        <w:docPartUnique/>
      </w:docPartObj>
    </w:sdtPr>
    <w:sdtEndPr>
      <w:rPr>
        <w:rFonts w:ascii="Arial Narrow" w:hAnsi="Arial Narrow"/>
      </w:rPr>
    </w:sdtEndPr>
    <w:sdtContent>
      <w:p w14:paraId="360282A0" w14:textId="77777777"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B258BF">
          <w:rPr>
            <w:rFonts w:ascii="Arial Narrow" w:hAnsi="Arial Narrow"/>
            <w:bCs/>
            <w:noProof/>
          </w:rPr>
          <w:t>10</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B258BF">
          <w:rPr>
            <w:rFonts w:ascii="Arial Narrow" w:hAnsi="Arial Narrow"/>
            <w:bCs/>
            <w:noProof/>
          </w:rPr>
          <w:t>10</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82A5"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360282A6" wp14:editId="360282A7">
          <wp:simplePos x="0" y="0"/>
          <wp:positionH relativeFrom="column">
            <wp:posOffset>5422900</wp:posOffset>
          </wp:positionH>
          <wp:positionV relativeFrom="paragraph">
            <wp:posOffset>45720</wp:posOffset>
          </wp:positionV>
          <wp:extent cx="1438910" cy="1152525"/>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1844487A"/>
    <w:lvl w:ilvl="0" w:tplc="04090017">
      <w:start w:val="1"/>
      <w:numFmt w:val="lowerLetter"/>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9079B"/>
    <w:multiLevelType w:val="hybridMultilevel"/>
    <w:tmpl w:val="7DFEE692"/>
    <w:lvl w:ilvl="0" w:tplc="A9802C7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5"/>
  </w:num>
  <w:num w:numId="4">
    <w:abstractNumId w:val="26"/>
  </w:num>
  <w:num w:numId="5">
    <w:abstractNumId w:val="3"/>
  </w:num>
  <w:num w:numId="6">
    <w:abstractNumId w:val="2"/>
  </w:num>
  <w:num w:numId="7">
    <w:abstractNumId w:val="12"/>
  </w:num>
  <w:num w:numId="8">
    <w:abstractNumId w:val="5"/>
  </w:num>
  <w:num w:numId="9">
    <w:abstractNumId w:val="30"/>
  </w:num>
  <w:num w:numId="10">
    <w:abstractNumId w:val="28"/>
  </w:num>
  <w:num w:numId="11">
    <w:abstractNumId w:val="21"/>
  </w:num>
  <w:num w:numId="12">
    <w:abstractNumId w:val="9"/>
  </w:num>
  <w:num w:numId="13">
    <w:abstractNumId w:val="31"/>
  </w:num>
  <w:num w:numId="14">
    <w:abstractNumId w:val="17"/>
  </w:num>
  <w:num w:numId="15">
    <w:abstractNumId w:val="29"/>
  </w:num>
  <w:num w:numId="16">
    <w:abstractNumId w:val="1"/>
  </w:num>
  <w:num w:numId="17">
    <w:abstractNumId w:val="0"/>
  </w:num>
  <w:num w:numId="18">
    <w:abstractNumId w:val="10"/>
  </w:num>
  <w:num w:numId="19">
    <w:abstractNumId w:val="14"/>
  </w:num>
  <w:num w:numId="20">
    <w:abstractNumId w:val="19"/>
  </w:num>
  <w:num w:numId="21">
    <w:abstractNumId w:val="13"/>
  </w:num>
  <w:num w:numId="22">
    <w:abstractNumId w:val="7"/>
  </w:num>
  <w:num w:numId="23">
    <w:abstractNumId w:val="4"/>
  </w:num>
  <w:num w:numId="24">
    <w:abstractNumId w:val="23"/>
  </w:num>
  <w:num w:numId="25">
    <w:abstractNumId w:val="6"/>
  </w:num>
  <w:num w:numId="26">
    <w:abstractNumId w:val="27"/>
  </w:num>
  <w:num w:numId="27">
    <w:abstractNumId w:val="22"/>
  </w:num>
  <w:num w:numId="28">
    <w:abstractNumId w:val="8"/>
  </w:num>
  <w:num w:numId="29">
    <w:abstractNumId w:val="20"/>
  </w:num>
  <w:num w:numId="30">
    <w:abstractNumId w:val="16"/>
  </w:num>
  <w:num w:numId="31">
    <w:abstractNumId w:val="18"/>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3B8D"/>
    <w:rsid w:val="00037A7D"/>
    <w:rsid w:val="0004179C"/>
    <w:rsid w:val="000478B8"/>
    <w:rsid w:val="00056CB9"/>
    <w:rsid w:val="00070683"/>
    <w:rsid w:val="00072FB8"/>
    <w:rsid w:val="0008106F"/>
    <w:rsid w:val="0008205C"/>
    <w:rsid w:val="000837E6"/>
    <w:rsid w:val="000841B9"/>
    <w:rsid w:val="00084509"/>
    <w:rsid w:val="000846AB"/>
    <w:rsid w:val="000852FE"/>
    <w:rsid w:val="00093155"/>
    <w:rsid w:val="000966F4"/>
    <w:rsid w:val="000A0D8A"/>
    <w:rsid w:val="000A19C2"/>
    <w:rsid w:val="000B26A2"/>
    <w:rsid w:val="000B4274"/>
    <w:rsid w:val="000B57B2"/>
    <w:rsid w:val="000C279C"/>
    <w:rsid w:val="000C3F9A"/>
    <w:rsid w:val="000C4D6D"/>
    <w:rsid w:val="000D3674"/>
    <w:rsid w:val="000D6B0B"/>
    <w:rsid w:val="000E0285"/>
    <w:rsid w:val="000E2440"/>
    <w:rsid w:val="000E3E9A"/>
    <w:rsid w:val="000E59DC"/>
    <w:rsid w:val="000E5DF5"/>
    <w:rsid w:val="000F1520"/>
    <w:rsid w:val="000F18A2"/>
    <w:rsid w:val="000F3067"/>
    <w:rsid w:val="000F3CB2"/>
    <w:rsid w:val="000F448F"/>
    <w:rsid w:val="000F5561"/>
    <w:rsid w:val="000F5A41"/>
    <w:rsid w:val="00102B70"/>
    <w:rsid w:val="00103895"/>
    <w:rsid w:val="00113108"/>
    <w:rsid w:val="0011556A"/>
    <w:rsid w:val="00124371"/>
    <w:rsid w:val="001253AD"/>
    <w:rsid w:val="00126183"/>
    <w:rsid w:val="0012667B"/>
    <w:rsid w:val="00126DFA"/>
    <w:rsid w:val="00127842"/>
    <w:rsid w:val="00127AB4"/>
    <w:rsid w:val="00135199"/>
    <w:rsid w:val="001359BE"/>
    <w:rsid w:val="0014098C"/>
    <w:rsid w:val="00150458"/>
    <w:rsid w:val="00150C0F"/>
    <w:rsid w:val="00160002"/>
    <w:rsid w:val="00160CE8"/>
    <w:rsid w:val="0016172B"/>
    <w:rsid w:val="00162598"/>
    <w:rsid w:val="00162743"/>
    <w:rsid w:val="0017018D"/>
    <w:rsid w:val="001739D7"/>
    <w:rsid w:val="00183E4D"/>
    <w:rsid w:val="001849D2"/>
    <w:rsid w:val="0019283C"/>
    <w:rsid w:val="00192F56"/>
    <w:rsid w:val="0019309A"/>
    <w:rsid w:val="00194E75"/>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36EA"/>
    <w:rsid w:val="001F4B81"/>
    <w:rsid w:val="001F5A87"/>
    <w:rsid w:val="002019A5"/>
    <w:rsid w:val="002111B3"/>
    <w:rsid w:val="002133FA"/>
    <w:rsid w:val="00213A16"/>
    <w:rsid w:val="00213BF9"/>
    <w:rsid w:val="00215291"/>
    <w:rsid w:val="002229B8"/>
    <w:rsid w:val="00223781"/>
    <w:rsid w:val="00225B0D"/>
    <w:rsid w:val="00225FA7"/>
    <w:rsid w:val="00230B5C"/>
    <w:rsid w:val="002336A0"/>
    <w:rsid w:val="00233894"/>
    <w:rsid w:val="00240827"/>
    <w:rsid w:val="0025048A"/>
    <w:rsid w:val="00251355"/>
    <w:rsid w:val="00256C49"/>
    <w:rsid w:val="00266619"/>
    <w:rsid w:val="00273F07"/>
    <w:rsid w:val="002818A7"/>
    <w:rsid w:val="0028670D"/>
    <w:rsid w:val="00290EAC"/>
    <w:rsid w:val="002934D0"/>
    <w:rsid w:val="00293CBB"/>
    <w:rsid w:val="00294937"/>
    <w:rsid w:val="00297D2E"/>
    <w:rsid w:val="002A2C42"/>
    <w:rsid w:val="002A56A1"/>
    <w:rsid w:val="002B4786"/>
    <w:rsid w:val="002B4CD4"/>
    <w:rsid w:val="002B52CC"/>
    <w:rsid w:val="002C6F98"/>
    <w:rsid w:val="002D471E"/>
    <w:rsid w:val="002D5425"/>
    <w:rsid w:val="002D5DC0"/>
    <w:rsid w:val="002E0260"/>
    <w:rsid w:val="002E2C86"/>
    <w:rsid w:val="002E5606"/>
    <w:rsid w:val="002F5A8E"/>
    <w:rsid w:val="002F631F"/>
    <w:rsid w:val="002F6A7C"/>
    <w:rsid w:val="00300098"/>
    <w:rsid w:val="003070D2"/>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87D75"/>
    <w:rsid w:val="0039258A"/>
    <w:rsid w:val="00394B2C"/>
    <w:rsid w:val="003A0F5F"/>
    <w:rsid w:val="003A639B"/>
    <w:rsid w:val="003B12BF"/>
    <w:rsid w:val="003B1C2E"/>
    <w:rsid w:val="003B2E7E"/>
    <w:rsid w:val="003B2E9D"/>
    <w:rsid w:val="003B4914"/>
    <w:rsid w:val="003C1D13"/>
    <w:rsid w:val="003C6D9B"/>
    <w:rsid w:val="003D25D7"/>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6430"/>
    <w:rsid w:val="00437676"/>
    <w:rsid w:val="00437926"/>
    <w:rsid w:val="00441D52"/>
    <w:rsid w:val="004470B4"/>
    <w:rsid w:val="00456407"/>
    <w:rsid w:val="00457534"/>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470"/>
    <w:rsid w:val="0050684E"/>
    <w:rsid w:val="005144E0"/>
    <w:rsid w:val="00523268"/>
    <w:rsid w:val="00527592"/>
    <w:rsid w:val="0053184A"/>
    <w:rsid w:val="00531A42"/>
    <w:rsid w:val="0053377B"/>
    <w:rsid w:val="00542FEE"/>
    <w:rsid w:val="005456B4"/>
    <w:rsid w:val="00550849"/>
    <w:rsid w:val="00561E48"/>
    <w:rsid w:val="00561EA1"/>
    <w:rsid w:val="00566A81"/>
    <w:rsid w:val="00567F3E"/>
    <w:rsid w:val="005840ED"/>
    <w:rsid w:val="00584227"/>
    <w:rsid w:val="005845C2"/>
    <w:rsid w:val="005851F4"/>
    <w:rsid w:val="00590EDA"/>
    <w:rsid w:val="005A4B59"/>
    <w:rsid w:val="005A6974"/>
    <w:rsid w:val="005B0752"/>
    <w:rsid w:val="005B17CB"/>
    <w:rsid w:val="005C5D6E"/>
    <w:rsid w:val="005C5D80"/>
    <w:rsid w:val="005E2710"/>
    <w:rsid w:val="005F0F4C"/>
    <w:rsid w:val="005F4D6F"/>
    <w:rsid w:val="005F65E7"/>
    <w:rsid w:val="00611175"/>
    <w:rsid w:val="00613313"/>
    <w:rsid w:val="0061395D"/>
    <w:rsid w:val="00621CF9"/>
    <w:rsid w:val="006232B4"/>
    <w:rsid w:val="006234A6"/>
    <w:rsid w:val="006266B6"/>
    <w:rsid w:val="006426F7"/>
    <w:rsid w:val="00646735"/>
    <w:rsid w:val="00647C28"/>
    <w:rsid w:val="00653BB6"/>
    <w:rsid w:val="006558F9"/>
    <w:rsid w:val="00660256"/>
    <w:rsid w:val="00662182"/>
    <w:rsid w:val="00662FF0"/>
    <w:rsid w:val="00664521"/>
    <w:rsid w:val="00665490"/>
    <w:rsid w:val="006717A7"/>
    <w:rsid w:val="0067529C"/>
    <w:rsid w:val="006768AE"/>
    <w:rsid w:val="006771B6"/>
    <w:rsid w:val="00680325"/>
    <w:rsid w:val="006832F7"/>
    <w:rsid w:val="00687D63"/>
    <w:rsid w:val="006912CB"/>
    <w:rsid w:val="00691AEC"/>
    <w:rsid w:val="00695065"/>
    <w:rsid w:val="006A2AD4"/>
    <w:rsid w:val="006A51F8"/>
    <w:rsid w:val="006A750B"/>
    <w:rsid w:val="006A7F07"/>
    <w:rsid w:val="006B14F0"/>
    <w:rsid w:val="006B2D7D"/>
    <w:rsid w:val="006B5CAE"/>
    <w:rsid w:val="006B71A1"/>
    <w:rsid w:val="006C378A"/>
    <w:rsid w:val="006C7D58"/>
    <w:rsid w:val="006D00AF"/>
    <w:rsid w:val="006D3613"/>
    <w:rsid w:val="006D78F7"/>
    <w:rsid w:val="006E09FC"/>
    <w:rsid w:val="006F040B"/>
    <w:rsid w:val="006F044B"/>
    <w:rsid w:val="006F1D34"/>
    <w:rsid w:val="006F46D3"/>
    <w:rsid w:val="006F4BD3"/>
    <w:rsid w:val="007027D7"/>
    <w:rsid w:val="007044B0"/>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A4C9A"/>
    <w:rsid w:val="007A4F15"/>
    <w:rsid w:val="007B0447"/>
    <w:rsid w:val="007B0925"/>
    <w:rsid w:val="007B09FC"/>
    <w:rsid w:val="007C267B"/>
    <w:rsid w:val="007C4BED"/>
    <w:rsid w:val="007D3B9C"/>
    <w:rsid w:val="007D46B2"/>
    <w:rsid w:val="007E335A"/>
    <w:rsid w:val="007E3BF6"/>
    <w:rsid w:val="007E68C7"/>
    <w:rsid w:val="007F361D"/>
    <w:rsid w:val="007F79F8"/>
    <w:rsid w:val="008022D9"/>
    <w:rsid w:val="00805318"/>
    <w:rsid w:val="00806CD2"/>
    <w:rsid w:val="008077DB"/>
    <w:rsid w:val="0081075C"/>
    <w:rsid w:val="00810D55"/>
    <w:rsid w:val="00812B47"/>
    <w:rsid w:val="00812FBB"/>
    <w:rsid w:val="00821937"/>
    <w:rsid w:val="0082549E"/>
    <w:rsid w:val="0082690E"/>
    <w:rsid w:val="00826BA5"/>
    <w:rsid w:val="00826C49"/>
    <w:rsid w:val="0083377F"/>
    <w:rsid w:val="00840C1E"/>
    <w:rsid w:val="00844F82"/>
    <w:rsid w:val="00847F47"/>
    <w:rsid w:val="008539A2"/>
    <w:rsid w:val="0085784E"/>
    <w:rsid w:val="00860FEB"/>
    <w:rsid w:val="008628C7"/>
    <w:rsid w:val="008713A9"/>
    <w:rsid w:val="00873212"/>
    <w:rsid w:val="00883C2D"/>
    <w:rsid w:val="00885AA1"/>
    <w:rsid w:val="008871ED"/>
    <w:rsid w:val="00887B2A"/>
    <w:rsid w:val="00890F8A"/>
    <w:rsid w:val="00892D73"/>
    <w:rsid w:val="008A486B"/>
    <w:rsid w:val="008A7650"/>
    <w:rsid w:val="008B14A9"/>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16914"/>
    <w:rsid w:val="009214B5"/>
    <w:rsid w:val="0093185B"/>
    <w:rsid w:val="009445F7"/>
    <w:rsid w:val="009454DB"/>
    <w:rsid w:val="00945A48"/>
    <w:rsid w:val="0095095F"/>
    <w:rsid w:val="00951F14"/>
    <w:rsid w:val="009535CC"/>
    <w:rsid w:val="00956F45"/>
    <w:rsid w:val="009628F4"/>
    <w:rsid w:val="0096566B"/>
    <w:rsid w:val="0097037F"/>
    <w:rsid w:val="00973EF1"/>
    <w:rsid w:val="009764A4"/>
    <w:rsid w:val="0098229E"/>
    <w:rsid w:val="009834FA"/>
    <w:rsid w:val="00983822"/>
    <w:rsid w:val="00987B83"/>
    <w:rsid w:val="00990642"/>
    <w:rsid w:val="00990987"/>
    <w:rsid w:val="0099105E"/>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6AE"/>
    <w:rsid w:val="00A01BC9"/>
    <w:rsid w:val="00A0376A"/>
    <w:rsid w:val="00A06007"/>
    <w:rsid w:val="00A12241"/>
    <w:rsid w:val="00A220B0"/>
    <w:rsid w:val="00A30FC9"/>
    <w:rsid w:val="00A34538"/>
    <w:rsid w:val="00A40899"/>
    <w:rsid w:val="00A45212"/>
    <w:rsid w:val="00A51EDA"/>
    <w:rsid w:val="00A535BA"/>
    <w:rsid w:val="00A53BF2"/>
    <w:rsid w:val="00A65142"/>
    <w:rsid w:val="00A65785"/>
    <w:rsid w:val="00A675CC"/>
    <w:rsid w:val="00A714F4"/>
    <w:rsid w:val="00A71B69"/>
    <w:rsid w:val="00A77DE0"/>
    <w:rsid w:val="00A8461F"/>
    <w:rsid w:val="00A85379"/>
    <w:rsid w:val="00A91754"/>
    <w:rsid w:val="00A95F1C"/>
    <w:rsid w:val="00A96A37"/>
    <w:rsid w:val="00AA01F6"/>
    <w:rsid w:val="00AA0C25"/>
    <w:rsid w:val="00AA1957"/>
    <w:rsid w:val="00AA7B01"/>
    <w:rsid w:val="00AB03AB"/>
    <w:rsid w:val="00AB13EF"/>
    <w:rsid w:val="00AB1B8D"/>
    <w:rsid w:val="00AC0A65"/>
    <w:rsid w:val="00AC210C"/>
    <w:rsid w:val="00AD33C7"/>
    <w:rsid w:val="00AD423A"/>
    <w:rsid w:val="00AD5E4A"/>
    <w:rsid w:val="00AE2A99"/>
    <w:rsid w:val="00AE5507"/>
    <w:rsid w:val="00AE797E"/>
    <w:rsid w:val="00AF2DAD"/>
    <w:rsid w:val="00B017DB"/>
    <w:rsid w:val="00B018FC"/>
    <w:rsid w:val="00B036FF"/>
    <w:rsid w:val="00B06935"/>
    <w:rsid w:val="00B11F35"/>
    <w:rsid w:val="00B14198"/>
    <w:rsid w:val="00B14D5F"/>
    <w:rsid w:val="00B21BA4"/>
    <w:rsid w:val="00B221A3"/>
    <w:rsid w:val="00B2354B"/>
    <w:rsid w:val="00B242A3"/>
    <w:rsid w:val="00B258BF"/>
    <w:rsid w:val="00B26F93"/>
    <w:rsid w:val="00B30098"/>
    <w:rsid w:val="00B3135A"/>
    <w:rsid w:val="00B319CD"/>
    <w:rsid w:val="00B36FE8"/>
    <w:rsid w:val="00B37AF1"/>
    <w:rsid w:val="00B43A63"/>
    <w:rsid w:val="00B4569A"/>
    <w:rsid w:val="00B47508"/>
    <w:rsid w:val="00B50164"/>
    <w:rsid w:val="00B5712C"/>
    <w:rsid w:val="00B57AAE"/>
    <w:rsid w:val="00B60D54"/>
    <w:rsid w:val="00B60F30"/>
    <w:rsid w:val="00B653B9"/>
    <w:rsid w:val="00B72357"/>
    <w:rsid w:val="00B74DC5"/>
    <w:rsid w:val="00B74E97"/>
    <w:rsid w:val="00BA18E5"/>
    <w:rsid w:val="00BA355F"/>
    <w:rsid w:val="00BA535D"/>
    <w:rsid w:val="00BB11AE"/>
    <w:rsid w:val="00BB66CF"/>
    <w:rsid w:val="00BC0A8D"/>
    <w:rsid w:val="00BC3EF7"/>
    <w:rsid w:val="00BC4242"/>
    <w:rsid w:val="00BD671C"/>
    <w:rsid w:val="00BD6B89"/>
    <w:rsid w:val="00BE0F5B"/>
    <w:rsid w:val="00BE13D6"/>
    <w:rsid w:val="00BE2F43"/>
    <w:rsid w:val="00BE33D8"/>
    <w:rsid w:val="00BF0EF7"/>
    <w:rsid w:val="00BF1F24"/>
    <w:rsid w:val="00BF2766"/>
    <w:rsid w:val="00C029E4"/>
    <w:rsid w:val="00C07F6F"/>
    <w:rsid w:val="00C10540"/>
    <w:rsid w:val="00C11F6F"/>
    <w:rsid w:val="00C128AB"/>
    <w:rsid w:val="00C12D50"/>
    <w:rsid w:val="00C143D1"/>
    <w:rsid w:val="00C16967"/>
    <w:rsid w:val="00C20349"/>
    <w:rsid w:val="00C20832"/>
    <w:rsid w:val="00C22B8E"/>
    <w:rsid w:val="00C240FE"/>
    <w:rsid w:val="00C30B4D"/>
    <w:rsid w:val="00C31D1B"/>
    <w:rsid w:val="00C32676"/>
    <w:rsid w:val="00C35F97"/>
    <w:rsid w:val="00C4103C"/>
    <w:rsid w:val="00C5327B"/>
    <w:rsid w:val="00C53AF9"/>
    <w:rsid w:val="00C57EAD"/>
    <w:rsid w:val="00C63C98"/>
    <w:rsid w:val="00C65EA4"/>
    <w:rsid w:val="00C674A5"/>
    <w:rsid w:val="00C73C2F"/>
    <w:rsid w:val="00C73ED8"/>
    <w:rsid w:val="00C7643B"/>
    <w:rsid w:val="00C8161F"/>
    <w:rsid w:val="00C81B85"/>
    <w:rsid w:val="00C8260C"/>
    <w:rsid w:val="00C8316F"/>
    <w:rsid w:val="00CA067E"/>
    <w:rsid w:val="00CA4416"/>
    <w:rsid w:val="00CA6E6F"/>
    <w:rsid w:val="00CB2568"/>
    <w:rsid w:val="00CC4A0E"/>
    <w:rsid w:val="00CD04A7"/>
    <w:rsid w:val="00CD061B"/>
    <w:rsid w:val="00CD752E"/>
    <w:rsid w:val="00CE0F61"/>
    <w:rsid w:val="00CE4E5E"/>
    <w:rsid w:val="00CE58F8"/>
    <w:rsid w:val="00CF4DB5"/>
    <w:rsid w:val="00CF59FB"/>
    <w:rsid w:val="00CF64A3"/>
    <w:rsid w:val="00CF7B9E"/>
    <w:rsid w:val="00D04381"/>
    <w:rsid w:val="00D10E7E"/>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1402"/>
    <w:rsid w:val="00D73100"/>
    <w:rsid w:val="00D90F8E"/>
    <w:rsid w:val="00DA66EE"/>
    <w:rsid w:val="00DC3F97"/>
    <w:rsid w:val="00DD4C16"/>
    <w:rsid w:val="00DE0239"/>
    <w:rsid w:val="00E00310"/>
    <w:rsid w:val="00E0039F"/>
    <w:rsid w:val="00E045AD"/>
    <w:rsid w:val="00E049B6"/>
    <w:rsid w:val="00E05457"/>
    <w:rsid w:val="00E05C41"/>
    <w:rsid w:val="00E05E28"/>
    <w:rsid w:val="00E0771D"/>
    <w:rsid w:val="00E11E01"/>
    <w:rsid w:val="00E1471B"/>
    <w:rsid w:val="00E14CCB"/>
    <w:rsid w:val="00E160F4"/>
    <w:rsid w:val="00E16762"/>
    <w:rsid w:val="00E17F6A"/>
    <w:rsid w:val="00E2218D"/>
    <w:rsid w:val="00E22FD7"/>
    <w:rsid w:val="00E2323F"/>
    <w:rsid w:val="00E308C4"/>
    <w:rsid w:val="00E32627"/>
    <w:rsid w:val="00E34147"/>
    <w:rsid w:val="00E41727"/>
    <w:rsid w:val="00E4398A"/>
    <w:rsid w:val="00E44537"/>
    <w:rsid w:val="00E56FDA"/>
    <w:rsid w:val="00E57189"/>
    <w:rsid w:val="00E6464C"/>
    <w:rsid w:val="00E81D73"/>
    <w:rsid w:val="00E8250B"/>
    <w:rsid w:val="00E90DC4"/>
    <w:rsid w:val="00E9309D"/>
    <w:rsid w:val="00E94437"/>
    <w:rsid w:val="00EA6641"/>
    <w:rsid w:val="00EB202F"/>
    <w:rsid w:val="00EB550D"/>
    <w:rsid w:val="00EB6C90"/>
    <w:rsid w:val="00EC08A1"/>
    <w:rsid w:val="00EC479D"/>
    <w:rsid w:val="00EE1D09"/>
    <w:rsid w:val="00EE2E04"/>
    <w:rsid w:val="00EE7240"/>
    <w:rsid w:val="00EF56B2"/>
    <w:rsid w:val="00EF66B8"/>
    <w:rsid w:val="00F00AEC"/>
    <w:rsid w:val="00F02592"/>
    <w:rsid w:val="00F130D7"/>
    <w:rsid w:val="00F17C76"/>
    <w:rsid w:val="00F21315"/>
    <w:rsid w:val="00F23365"/>
    <w:rsid w:val="00F24028"/>
    <w:rsid w:val="00F24E0D"/>
    <w:rsid w:val="00F25459"/>
    <w:rsid w:val="00F26952"/>
    <w:rsid w:val="00F270C4"/>
    <w:rsid w:val="00F30E47"/>
    <w:rsid w:val="00F50F2D"/>
    <w:rsid w:val="00F54D61"/>
    <w:rsid w:val="00F56682"/>
    <w:rsid w:val="00F57BB6"/>
    <w:rsid w:val="00F57EC4"/>
    <w:rsid w:val="00F6282F"/>
    <w:rsid w:val="00F7148B"/>
    <w:rsid w:val="00F742F2"/>
    <w:rsid w:val="00F77E7D"/>
    <w:rsid w:val="00F84B26"/>
    <w:rsid w:val="00F87C2C"/>
    <w:rsid w:val="00FA086E"/>
    <w:rsid w:val="00FA7021"/>
    <w:rsid w:val="00FA70E6"/>
    <w:rsid w:val="00FB168A"/>
    <w:rsid w:val="00FB78E6"/>
    <w:rsid w:val="00FC08DE"/>
    <w:rsid w:val="00FC3F2E"/>
    <w:rsid w:val="00FC453F"/>
    <w:rsid w:val="00FC6ECA"/>
    <w:rsid w:val="00FC72C5"/>
    <w:rsid w:val="00FC7A03"/>
    <w:rsid w:val="00FC7E0E"/>
    <w:rsid w:val="00FD4486"/>
    <w:rsid w:val="00FE1164"/>
    <w:rsid w:val="00FE42C7"/>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8119"/>
  <w15:docId w15:val="{5BD341EF-B80D-47A1-AA8A-C099E85F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UnresolvedMention1">
    <w:name w:val="Unresolved Mention1"/>
    <w:basedOn w:val="DefaultParagraphFont"/>
    <w:uiPriority w:val="99"/>
    <w:semiHidden/>
    <w:unhideWhenUsed/>
    <w:rsid w:val="00F24028"/>
    <w:rPr>
      <w:color w:val="605E5C"/>
      <w:shd w:val="clear" w:color="auto" w:fill="E1DFDD"/>
    </w:rPr>
  </w:style>
  <w:style w:type="character" w:customStyle="1" w:styleId="ListParagraphChar">
    <w:name w:val="List Paragraph Char"/>
    <w:basedOn w:val="DefaultParagraphFont"/>
    <w:link w:val="ListParagraph"/>
    <w:uiPriority w:val="34"/>
    <w:rsid w:val="00BC0A8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75590574">
      <w:bodyDiv w:val="1"/>
      <w:marLeft w:val="0"/>
      <w:marRight w:val="0"/>
      <w:marTop w:val="0"/>
      <w:marBottom w:val="0"/>
      <w:divBdr>
        <w:top w:val="none" w:sz="0" w:space="0" w:color="auto"/>
        <w:left w:val="none" w:sz="0" w:space="0" w:color="auto"/>
        <w:bottom w:val="none" w:sz="0" w:space="0" w:color="auto"/>
        <w:right w:val="none" w:sz="0" w:space="0" w:color="auto"/>
      </w:divBdr>
    </w:div>
    <w:div w:id="150832585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Approval_x0020_status xmlns="3ca45e76-8681-474c-8792-4b93c1bad613">Validated</Approval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76093DB43924E8F49F3013002B075" ma:contentTypeVersion="3" ma:contentTypeDescription="Create a new document." ma:contentTypeScope="" ma:versionID="9356c2e7cb09be2bcc984fcff0b08ba0">
  <xsd:schema xmlns:xsd="http://www.w3.org/2001/XMLSchema" xmlns:xs="http://www.w3.org/2001/XMLSchema" xmlns:p="http://schemas.microsoft.com/office/2006/metadata/properties" xmlns:ns2="3ca45e76-8681-474c-8792-4b93c1bad613" xmlns:ns3="http://schemas.microsoft.com/sharepoint/v3/fields" targetNamespace="http://schemas.microsoft.com/office/2006/metadata/properties" ma:root="true" ma:fieldsID="2efa17d80e3d741633a3cf0a8bebd2c5" ns2:_="" ns3:_="">
    <xsd:import namespace="3ca45e76-8681-474c-8792-4b93c1bad613"/>
    <xsd:import namespace="http://schemas.microsoft.com/sharepoint/v3/fields"/>
    <xsd:element name="properties">
      <xsd:complexType>
        <xsd:sequence>
          <xsd:element name="documentManagement">
            <xsd:complexType>
              <xsd:all>
                <xsd:element ref="ns2:Approval_x0020_status"/>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45e76-8681-474c-8792-4b93c1bad613" elementFormDefault="qualified">
    <xsd:import namespace="http://schemas.microsoft.com/office/2006/documentManagement/types"/>
    <xsd:import namespace="http://schemas.microsoft.com/office/infopath/2007/PartnerControls"/>
    <xsd:element name="Approval_x0020_status" ma:index="2" ma:displayName="Document status" ma:default="In progress" ma:format="Dropdown" ma:internalName="Approval_x0020_status">
      <xsd:simpleType>
        <xsd:restriction base="dms:Choice">
          <xsd:enumeration value="In progress"/>
          <xsd:enumeration value="To be validated"/>
          <xsd:enumeration value="Validat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 ds:uri="http://schemas.microsoft.com/sharepoint/v3/fields"/>
    <ds:schemaRef ds:uri="3ca45e76-8681-474c-8792-4b93c1bad613"/>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55F63950-2E36-40F2-972B-2252AE93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45e76-8681-474c-8792-4b93c1bad61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9922B-E84A-4B82-AFFB-70FCB5D6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6155</Words>
  <Characters>33854</Characters>
  <Application>Microsoft Office Word</Application>
  <DocSecurity>0</DocSecurity>
  <Lines>282</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AE.FC.RC. pour BO ou CV FR</vt:lpstr>
      <vt:lpstr>AE.FC.RC. pour BO ou CV FR</vt:lpstr>
    </vt:vector>
  </TitlesOfParts>
  <Company>Council of Europe</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 pour BO ou CV FR</dc:title>
  <dc:creator>KAUTZMANN Jean-Etienne</dc:creator>
  <cp:lastModifiedBy>BROWN Kevin</cp:lastModifiedBy>
  <cp:revision>5</cp:revision>
  <cp:lastPrinted>2019-09-27T12:37:00Z</cp:lastPrinted>
  <dcterms:created xsi:type="dcterms:W3CDTF">2019-09-27T15:27:00Z</dcterms:created>
  <dcterms:modified xsi:type="dcterms:W3CDTF">2019-09-30T13:50:00Z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0x01010034A76093DB43924E8F49F3013002B075</vt:lpwstr>
  </property>
  <property fmtid="{D5CDD505-2E9C-101B-9397-08002B2CF9AE}" pid="3" name="referencejuridique">
    <vt:lpwstr/>
  </property>
  <property fmtid="{D5CDD505-2E9C-101B-9397-08002B2CF9AE}" pid="4" name="Free keywords">
    <vt:lpwstr/>
  </property>
</Properties>
</file>