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3D6AC2" w:rsidP="00E54322">
            <w:pPr>
              <w:ind w:left="-108"/>
              <w:jc w:val="center"/>
              <w:rPr>
                <w:rFonts w:ascii="Arial Narrow" w:hAnsi="Arial Narrow" w:cs="Arial"/>
                <w:szCs w:val="20"/>
              </w:rPr>
            </w:pPr>
            <w:r w:rsidRPr="003D6AC2">
              <w:rPr>
                <w:rFonts w:ascii="Arial Narrow" w:hAnsi="Arial Narrow" w:cs="Calibri"/>
                <w:szCs w:val="20"/>
              </w:rPr>
              <w:t>CM Documents</w:t>
            </w:r>
          </w:p>
        </w:tc>
        <w:bookmarkStart w:id="0" w:name="_ML_000000000000_PARTIAL"/>
        <w:tc>
          <w:tcPr>
            <w:tcW w:w="1250" w:type="pct"/>
            <w:shd w:val="clear" w:color="auto" w:fill="auto"/>
            <w:vAlign w:val="center"/>
          </w:tcPr>
          <w:p w:rsidR="002D11B8" w:rsidRPr="007A204C" w:rsidRDefault="007A204C" w:rsidP="00CC6C4F">
            <w:pPr>
              <w:ind w:left="-40"/>
              <w:jc w:val="center"/>
              <w:rPr>
                <w:rFonts w:ascii="Arial Narrow" w:hAnsi="Arial Narrow" w:cs="Arial"/>
                <w:b/>
                <w:sz w:val="22"/>
              </w:rPr>
            </w:pPr>
            <w:r w:rsidRPr="007A204C">
              <w:rPr>
                <w:rFonts w:ascii="Arial Narrow" w:hAnsi="Arial Narrow" w:cs="Calibri"/>
                <w:b/>
                <w:sz w:val="22"/>
              </w:rPr>
              <w:fldChar w:fldCharType="begin"/>
            </w:r>
            <w:r w:rsidRPr="007A204C">
              <w:rPr>
                <w:rFonts w:ascii="Arial Narrow" w:hAnsi="Arial Narrow" w:cs="Calibri"/>
                <w:b/>
                <w:sz w:val="22"/>
              </w:rPr>
              <w:instrText xml:space="preserve"> HYPERLINK "https://search.coe.int/cm/Pages/result_details.aspx?Reference=CM/Cong(2017)Rec388-final" </w:instrText>
            </w:r>
            <w:r w:rsidRPr="007A204C">
              <w:rPr>
                <w:rFonts w:ascii="Arial Narrow" w:hAnsi="Arial Narrow" w:cs="Calibri"/>
                <w:b/>
                <w:sz w:val="22"/>
              </w:rPr>
            </w:r>
            <w:r w:rsidRPr="007A204C">
              <w:rPr>
                <w:rFonts w:ascii="Arial Narrow" w:hAnsi="Arial Narrow" w:cs="Calibri"/>
                <w:b/>
                <w:sz w:val="22"/>
              </w:rPr>
              <w:fldChar w:fldCharType="separate"/>
            </w:r>
            <w:bookmarkEnd w:id="0"/>
            <w:r w:rsidRPr="007A204C">
              <w:rPr>
                <w:rStyle w:val="Lienhypertexte"/>
                <w:rFonts w:ascii="Arial Narrow" w:hAnsi="Arial Narrow" w:cs="Calibri"/>
                <w:b/>
                <w:sz w:val="22"/>
              </w:rPr>
              <w:t>CM/Cong(2017)Rec388-final</w:t>
            </w:r>
            <w:r w:rsidRPr="007A204C">
              <w:rPr>
                <w:rFonts w:ascii="Arial Narrow" w:hAnsi="Arial Narrow" w:cs="Calibri"/>
                <w:b/>
                <w:sz w:val="22"/>
              </w:rPr>
              <w:fldChar w:fldCharType="end"/>
            </w:r>
          </w:p>
        </w:tc>
        <w:tc>
          <w:tcPr>
            <w:tcW w:w="1250" w:type="pct"/>
            <w:shd w:val="clear" w:color="auto" w:fill="auto"/>
            <w:vAlign w:val="center"/>
          </w:tcPr>
          <w:p w:rsidR="002D11B8" w:rsidRPr="00F96689" w:rsidRDefault="007A204C" w:rsidP="007F216E">
            <w:pPr>
              <w:jc w:val="right"/>
              <w:rPr>
                <w:rFonts w:ascii="Arial Narrow" w:hAnsi="Arial Narrow" w:cs="Arial"/>
                <w:sz w:val="16"/>
                <w:szCs w:val="16"/>
              </w:rPr>
            </w:pPr>
            <w:r>
              <w:rPr>
                <w:rFonts w:ascii="Arial Narrow" w:hAnsi="Arial Narrow" w:cs="Calibri"/>
                <w:sz w:val="16"/>
                <w:szCs w:val="16"/>
              </w:rPr>
              <w:t>22</w:t>
            </w:r>
            <w:bookmarkStart w:id="1" w:name="_GoBack"/>
            <w:bookmarkEnd w:id="1"/>
            <w:r w:rsidR="007F216E">
              <w:rPr>
                <w:rFonts w:ascii="Arial Narrow" w:hAnsi="Arial Narrow" w:cs="Calibri"/>
                <w:sz w:val="16"/>
                <w:szCs w:val="16"/>
              </w:rPr>
              <w:t xml:space="preserve"> </w:t>
            </w:r>
            <w:r w:rsidR="008A3DFA">
              <w:rPr>
                <w:rFonts w:ascii="Arial Narrow" w:hAnsi="Arial Narrow" w:cs="Calibri"/>
                <w:sz w:val="16"/>
                <w:szCs w:val="16"/>
              </w:rPr>
              <w:t>February</w:t>
            </w:r>
            <w:r w:rsidR="00C54D03">
              <w:rPr>
                <w:rFonts w:ascii="Arial Narrow" w:hAnsi="Arial Narrow" w:cs="Calibri"/>
                <w:sz w:val="16"/>
                <w:szCs w:val="16"/>
              </w:rPr>
              <w:t xml:space="preserve"> </w:t>
            </w:r>
            <w:r w:rsidR="002D11B8" w:rsidRPr="00F96689">
              <w:rPr>
                <w:rFonts w:ascii="Arial Narrow" w:hAnsi="Arial Narrow" w:cs="Calibri"/>
                <w:sz w:val="16"/>
                <w:szCs w:val="16"/>
              </w:rPr>
              <w:t>201</w:t>
            </w:r>
            <w:r w:rsidR="00C54D03">
              <w:rPr>
                <w:rFonts w:ascii="Arial Narrow" w:hAnsi="Arial Narrow" w:cs="Calibri"/>
                <w:sz w:val="16"/>
                <w:szCs w:val="16"/>
              </w:rPr>
              <w:t>7</w:t>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CC6C4F" w:rsidRPr="00990177" w:rsidRDefault="00C54D03" w:rsidP="00CC6C4F">
            <w:pPr>
              <w:rPr>
                <w:rFonts w:ascii="Arial Narrow" w:hAnsi="Arial Narrow" w:cs="Calibri"/>
                <w:b/>
                <w:sz w:val="28"/>
                <w:szCs w:val="28"/>
              </w:rPr>
            </w:pPr>
            <w:r w:rsidRPr="00C54D03">
              <w:rPr>
                <w:rFonts w:ascii="Arial Narrow" w:hAnsi="Arial Narrow" w:cs="Calibri"/>
                <w:b/>
                <w:sz w:val="28"/>
                <w:szCs w:val="28"/>
              </w:rPr>
              <w:t>“</w:t>
            </w:r>
            <w:r w:rsidR="00CC6C4F" w:rsidRPr="00990177">
              <w:rPr>
                <w:rFonts w:ascii="Arial Narrow" w:hAnsi="Arial Narrow" w:cs="Calibri"/>
                <w:b/>
                <w:sz w:val="28"/>
                <w:szCs w:val="28"/>
              </w:rPr>
              <w:t xml:space="preserve">The situation of Roma and Travellers in the context of rising extremism, xenophobia and the refugee crisis in Europe” </w:t>
            </w:r>
            <w:r w:rsidR="00CC6C4F" w:rsidRPr="00990177">
              <w:rPr>
                <w:rFonts w:cs="Arial"/>
                <w:b/>
                <w:sz w:val="28"/>
                <w:szCs w:val="28"/>
              </w:rPr>
              <w:t>‒</w:t>
            </w:r>
          </w:p>
          <w:p w:rsidR="00D25B45" w:rsidRPr="00D83353" w:rsidRDefault="008D2AE2" w:rsidP="00CC6C4F">
            <w:pPr>
              <w:rPr>
                <w:rFonts w:ascii="Arial Narrow" w:hAnsi="Arial Narrow" w:cs="Calibri"/>
                <w:b/>
                <w:sz w:val="28"/>
                <w:szCs w:val="28"/>
              </w:rPr>
            </w:pPr>
            <w:r w:rsidRPr="00D83353">
              <w:rPr>
                <w:rFonts w:ascii="Arial Narrow" w:hAnsi="Arial Narrow" w:cs="Calibri"/>
                <w:b/>
                <w:sz w:val="28"/>
                <w:szCs w:val="28"/>
              </w:rPr>
              <w:t>Congress of Local and Regional Authorities of the Council of Europe</w:t>
            </w:r>
            <w:r w:rsidRPr="00D83353">
              <w:rPr>
                <w:rFonts w:ascii="Arial Narrow" w:hAnsi="Arial Narrow" w:cs="Calibri"/>
                <w:b/>
                <w:sz w:val="28"/>
                <w:szCs w:val="28"/>
              </w:rPr>
              <w:br/>
              <w:t xml:space="preserve">Recommendation </w:t>
            </w:r>
            <w:r w:rsidR="00C54D03">
              <w:rPr>
                <w:rFonts w:ascii="Arial Narrow" w:hAnsi="Arial Narrow" w:cs="Calibri"/>
                <w:b/>
                <w:sz w:val="28"/>
                <w:szCs w:val="28"/>
              </w:rPr>
              <w:t>38</w:t>
            </w:r>
            <w:r w:rsidR="00CC6C4F">
              <w:rPr>
                <w:rFonts w:ascii="Arial Narrow" w:hAnsi="Arial Narrow" w:cs="Calibri"/>
                <w:b/>
                <w:sz w:val="28"/>
                <w:szCs w:val="28"/>
              </w:rPr>
              <w:t>8</w:t>
            </w:r>
            <w:r w:rsidR="00C54D03">
              <w:rPr>
                <w:rFonts w:ascii="Arial Narrow" w:hAnsi="Arial Narrow" w:cs="Calibri"/>
                <w:b/>
                <w:sz w:val="28"/>
                <w:szCs w:val="28"/>
              </w:rPr>
              <w:t xml:space="preserve"> </w:t>
            </w:r>
            <w:r w:rsidRPr="00D83353">
              <w:rPr>
                <w:rFonts w:ascii="Arial Narrow" w:hAnsi="Arial Narrow" w:cs="Calibri"/>
                <w:b/>
                <w:sz w:val="28"/>
                <w:szCs w:val="28"/>
              </w:rPr>
              <w:t>(201</w:t>
            </w:r>
            <w:r w:rsidR="00C54D03">
              <w:rPr>
                <w:rFonts w:ascii="Arial Narrow" w:hAnsi="Arial Narrow" w:cs="Calibri"/>
                <w:b/>
                <w:sz w:val="28"/>
                <w:szCs w:val="28"/>
              </w:rPr>
              <w:t>6</w:t>
            </w:r>
            <w:r w:rsidRPr="00D83353">
              <w:rPr>
                <w:rFonts w:ascii="Arial Narrow" w:hAnsi="Arial Narrow" w:cs="Calibri"/>
                <w:b/>
                <w:sz w:val="28"/>
                <w:szCs w:val="28"/>
              </w:rPr>
              <w:t>)</w:t>
            </w:r>
          </w:p>
          <w:p w:rsidR="00E457C3" w:rsidRPr="000A307B" w:rsidRDefault="008D2AE2" w:rsidP="00CC6C4F">
            <w:pPr>
              <w:rPr>
                <w:rFonts w:ascii="Arial Narrow" w:hAnsi="Arial Narrow" w:cs="Calibri"/>
                <w:b/>
                <w:szCs w:val="20"/>
              </w:rPr>
            </w:pPr>
            <w:r w:rsidRPr="00D83353">
              <w:rPr>
                <w:rFonts w:ascii="Arial Narrow" w:hAnsi="Arial Narrow" w:cs="Calibri"/>
                <w:sz w:val="22"/>
              </w:rPr>
              <w:t xml:space="preserve">(Reply adopted by the Committee of Ministers on </w:t>
            </w:r>
            <w:r w:rsidR="00CC6C4F">
              <w:rPr>
                <w:rFonts w:ascii="Arial Narrow" w:hAnsi="Arial Narrow" w:cs="Calibri"/>
                <w:sz w:val="22"/>
              </w:rPr>
              <w:t>22</w:t>
            </w:r>
            <w:r w:rsidR="00C54D03">
              <w:rPr>
                <w:rFonts w:ascii="Arial Narrow" w:hAnsi="Arial Narrow" w:cs="Calibri"/>
                <w:sz w:val="22"/>
              </w:rPr>
              <w:t xml:space="preserve"> February</w:t>
            </w:r>
            <w:r w:rsidRPr="00D83353">
              <w:rPr>
                <w:rFonts w:ascii="Arial Narrow" w:hAnsi="Arial Narrow" w:cs="Calibri"/>
                <w:sz w:val="22"/>
              </w:rPr>
              <w:t xml:space="preserve"> 201</w:t>
            </w:r>
            <w:r w:rsidR="00C54D03">
              <w:rPr>
                <w:rFonts w:ascii="Arial Narrow" w:hAnsi="Arial Narrow" w:cs="Calibri"/>
                <w:sz w:val="22"/>
              </w:rPr>
              <w:t>7</w:t>
            </w:r>
            <w:r w:rsidRPr="00D83353">
              <w:rPr>
                <w:rFonts w:ascii="Arial Narrow" w:hAnsi="Arial Narrow" w:cs="Calibri"/>
                <w:sz w:val="22"/>
              </w:rPr>
              <w:br/>
              <w:t xml:space="preserve">at the </w:t>
            </w:r>
            <w:r w:rsidR="00C54D03">
              <w:rPr>
                <w:rFonts w:ascii="Arial Narrow" w:hAnsi="Arial Narrow" w:cs="Calibri"/>
                <w:sz w:val="22"/>
              </w:rPr>
              <w:t>127</w:t>
            </w:r>
            <w:r w:rsidR="00CC6C4F">
              <w:rPr>
                <w:rFonts w:ascii="Arial Narrow" w:hAnsi="Arial Narrow" w:cs="Calibri"/>
                <w:sz w:val="22"/>
              </w:rPr>
              <w:t>8</w:t>
            </w:r>
            <w:r w:rsidR="00C54D03" w:rsidRPr="00C54D03">
              <w:rPr>
                <w:rFonts w:ascii="Arial Narrow" w:hAnsi="Arial Narrow" w:cs="Calibri"/>
                <w:sz w:val="22"/>
                <w:vertAlign w:val="superscript"/>
              </w:rPr>
              <w:t>th</w:t>
            </w:r>
            <w:r w:rsidR="00C54D03">
              <w:rPr>
                <w:rFonts w:ascii="Arial Narrow" w:hAnsi="Arial Narrow" w:cs="Calibri"/>
                <w:sz w:val="22"/>
              </w:rPr>
              <w:t xml:space="preserve"> </w:t>
            </w:r>
            <w:r w:rsidRPr="00D83353">
              <w:rPr>
                <w:rFonts w:ascii="Arial Narrow" w:hAnsi="Arial Narrow" w:cs="Calibri"/>
                <w:sz w:val="22"/>
              </w:rPr>
              <w:t>meeting of the Ministers’ Deputies)</w:t>
            </w:r>
          </w:p>
        </w:tc>
      </w:tr>
    </w:tbl>
    <w:p w:rsidR="00E54322" w:rsidRDefault="00E54322" w:rsidP="0037200F">
      <w:pPr>
        <w:rPr>
          <w:rFonts w:eastAsia="Times New Roman"/>
          <w:szCs w:val="24"/>
        </w:rPr>
      </w:pPr>
      <w:r>
        <w:rPr>
          <w:rFonts w:eastAsia="Times New Roman"/>
          <w:szCs w:val="24"/>
        </w:rPr>
        <w:t xml:space="preserve"> </w:t>
      </w:r>
    </w:p>
    <w:p w:rsidR="008D2AE2" w:rsidRDefault="008D2AE2" w:rsidP="0037200F">
      <w:pPr>
        <w:rPr>
          <w:rFonts w:eastAsia="Times New Roman"/>
          <w:szCs w:val="24"/>
        </w:rPr>
      </w:pPr>
      <w:r>
        <w:rPr>
          <w:rFonts w:eastAsia="Times New Roman"/>
          <w:szCs w:val="24"/>
        </w:rPr>
        <w:t xml:space="preserve"> </w:t>
      </w:r>
    </w:p>
    <w:p w:rsidR="00725CBD" w:rsidRPr="000F0220" w:rsidRDefault="00725CBD" w:rsidP="00725CBD">
      <w:pPr>
        <w:tabs>
          <w:tab w:val="left" w:pos="709"/>
        </w:tabs>
        <w:rPr>
          <w:rFonts w:eastAsia="Times New Roman"/>
          <w:szCs w:val="24"/>
          <w:lang w:eastAsia="fr-FR"/>
        </w:rPr>
      </w:pPr>
      <w:r w:rsidRPr="000F0220">
        <w:rPr>
          <w:rFonts w:eastAsia="Times New Roman"/>
          <w:szCs w:val="24"/>
          <w:lang w:eastAsia="fr-FR"/>
        </w:rPr>
        <w:t>1.</w:t>
      </w:r>
      <w:r w:rsidRPr="000F0220">
        <w:rPr>
          <w:rFonts w:eastAsia="Times New Roman"/>
          <w:szCs w:val="24"/>
          <w:lang w:eastAsia="fr-FR"/>
        </w:rPr>
        <w:tab/>
        <w:t>The Committee of Ministers has caref</w:t>
      </w:r>
      <w:r>
        <w:rPr>
          <w:rFonts w:eastAsia="Times New Roman"/>
          <w:szCs w:val="24"/>
          <w:lang w:eastAsia="fr-FR"/>
        </w:rPr>
        <w:t>ully examined Recommendation 388</w:t>
      </w:r>
      <w:r w:rsidRPr="000F0220">
        <w:rPr>
          <w:rFonts w:eastAsia="Times New Roman"/>
          <w:szCs w:val="24"/>
          <w:lang w:eastAsia="fr-FR"/>
        </w:rPr>
        <w:t xml:space="preserve">(2016) of the Congress of Local and Regional Authorities </w:t>
      </w:r>
      <w:r>
        <w:rPr>
          <w:rFonts w:eastAsia="Times New Roman"/>
          <w:szCs w:val="24"/>
          <w:lang w:eastAsia="fr-FR"/>
        </w:rPr>
        <w:t xml:space="preserve">on </w:t>
      </w:r>
      <w:r w:rsidRPr="000F0220">
        <w:rPr>
          <w:rFonts w:eastAsia="Times New Roman"/>
          <w:szCs w:val="24"/>
          <w:lang w:eastAsia="fr-FR"/>
        </w:rPr>
        <w:t>“</w:t>
      </w:r>
      <w:r>
        <w:rPr>
          <w:rFonts w:eastAsia="Times New Roman"/>
          <w:szCs w:val="24"/>
          <w:lang w:eastAsia="fr-FR"/>
        </w:rPr>
        <w:t>The situation of Roma and Travellers in the context of rising extremism, xenophobia and the refugee crisis in Europe</w:t>
      </w:r>
      <w:r w:rsidRPr="000F0220">
        <w:rPr>
          <w:rFonts w:eastAsia="Times New Roman"/>
          <w:szCs w:val="24"/>
          <w:lang w:eastAsia="fr-FR"/>
        </w:rPr>
        <w:t xml:space="preserve">” and has brought it to the attention of the </w:t>
      </w:r>
      <w:r>
        <w:rPr>
          <w:rFonts w:eastAsia="Times New Roman"/>
          <w:szCs w:val="24"/>
          <w:lang w:eastAsia="fr-FR"/>
        </w:rPr>
        <w:t>Ad Hoc Committee of Experts on Roma and Travellers Issues (CAHROM) and of the Joint Council of Youth.</w:t>
      </w:r>
    </w:p>
    <w:p w:rsidR="00725CBD" w:rsidRPr="000F0220" w:rsidRDefault="00725CBD" w:rsidP="00725CBD">
      <w:pPr>
        <w:rPr>
          <w:rFonts w:eastAsia="Times New Roman"/>
          <w:szCs w:val="24"/>
          <w:lang w:eastAsia="fr-FR"/>
        </w:rPr>
      </w:pPr>
    </w:p>
    <w:p w:rsidR="00725CBD" w:rsidRDefault="00725CBD" w:rsidP="00725CBD">
      <w:pPr>
        <w:rPr>
          <w:rFonts w:eastAsia="Times New Roman"/>
          <w:szCs w:val="24"/>
          <w:lang w:eastAsia="fr-FR"/>
        </w:rPr>
      </w:pPr>
      <w:r>
        <w:rPr>
          <w:rFonts w:eastAsia="Times New Roman"/>
          <w:szCs w:val="24"/>
          <w:lang w:eastAsia="fr-FR"/>
        </w:rPr>
        <w:t>2.</w:t>
      </w:r>
      <w:r>
        <w:rPr>
          <w:rFonts w:eastAsia="Times New Roman"/>
          <w:szCs w:val="24"/>
          <w:lang w:eastAsia="fr-FR"/>
        </w:rPr>
        <w:tab/>
        <w:t>The Congress will be aware that improving the situation of Roma</w:t>
      </w:r>
      <w:r>
        <w:rPr>
          <w:rStyle w:val="Appelnotedebasdep"/>
          <w:bCs/>
        </w:rPr>
        <w:footnoteReference w:id="1"/>
      </w:r>
      <w:r>
        <w:rPr>
          <w:rFonts w:eastAsia="Times New Roman"/>
          <w:szCs w:val="24"/>
          <w:lang w:eastAsia="fr-FR"/>
        </w:rPr>
        <w:t xml:space="preserve"> in Europe has long been a priority for the Committee Ministers.</w:t>
      </w:r>
      <w:r w:rsidR="007F43C0">
        <w:rPr>
          <w:rFonts w:eastAsia="Times New Roman"/>
          <w:szCs w:val="24"/>
          <w:lang w:eastAsia="fr-FR"/>
        </w:rPr>
        <w:t xml:space="preserve"> </w:t>
      </w:r>
      <w:r>
        <w:rPr>
          <w:rFonts w:eastAsia="Times New Roman"/>
          <w:szCs w:val="24"/>
          <w:lang w:eastAsia="fr-FR"/>
        </w:rPr>
        <w:t xml:space="preserve"> The implementation of its “Strasbourg Declaration on Roma” of 2010 remains high on its agenda, most recently illustrated by its approval of a Thematic Action Plan on the Inclusion of Roma and Travellers (2016-2019) which prioritises the Organisation’s action for the coming years into three areas: (1) to tackle anti-Roma and anti-Traveller prejudice, discrimination and crimes more effectively; (2) to demonstrate innovative models for inclusive policies for the most vulnerable; (3) to promote innovative models for local-level solutions.  These focus points should contribute to responding to some of the concerns raised by the Congress.  The Committee of Ministers would recall that the Action Plan aims to offer targeted support to member States on relevant inclusion policies and to implement result-oriented projects with a concrete impact.</w:t>
      </w:r>
    </w:p>
    <w:p w:rsidR="00725CBD" w:rsidRDefault="00725CBD" w:rsidP="00725CBD">
      <w:pPr>
        <w:rPr>
          <w:rFonts w:eastAsia="Times New Roman"/>
          <w:szCs w:val="24"/>
          <w:lang w:eastAsia="fr-FR"/>
        </w:rPr>
      </w:pPr>
    </w:p>
    <w:p w:rsidR="00725CBD" w:rsidRDefault="00725CBD" w:rsidP="00725CBD">
      <w:pPr>
        <w:rPr>
          <w:rFonts w:eastAsia="Times New Roman"/>
          <w:szCs w:val="24"/>
          <w:lang w:eastAsia="fr-FR"/>
        </w:rPr>
      </w:pPr>
      <w:r>
        <w:rPr>
          <w:rFonts w:eastAsia="Times New Roman"/>
          <w:szCs w:val="24"/>
          <w:lang w:eastAsia="fr-FR"/>
        </w:rPr>
        <w:t>3.</w:t>
      </w:r>
      <w:r>
        <w:rPr>
          <w:rFonts w:eastAsia="Times New Roman"/>
          <w:szCs w:val="24"/>
          <w:lang w:eastAsia="fr-FR"/>
        </w:rPr>
        <w:tab/>
        <w:t xml:space="preserve">With regard to the specific context raised by the Congress recommendation, the Committee of Ministers recognises that the general rise in extremism, intolerance and xenophobia across Europe has had negative repercussions in several areas of society and that the more vulnerable groups, not least the Roma and Travellers, are often the first victims. It notes in this context the particular responsibility which lies with public officials in avoiding and combatting the dissemination of hate speech, including against the Roma.  It invites member States to give particular consideration to paragraph 5 of the recommendation. </w:t>
      </w:r>
      <w:r w:rsidR="007F43C0">
        <w:rPr>
          <w:rFonts w:eastAsia="Times New Roman"/>
          <w:szCs w:val="24"/>
          <w:lang w:eastAsia="fr-FR"/>
        </w:rPr>
        <w:t xml:space="preserve"> </w:t>
      </w:r>
      <w:r>
        <w:rPr>
          <w:rFonts w:eastAsia="Times New Roman"/>
          <w:szCs w:val="24"/>
          <w:lang w:eastAsia="fr-FR"/>
        </w:rPr>
        <w:t>The Committee also recalls in this context the recommendations made by the Commissioner for Human Rights and the European Commission against Racism and Intolerance (ECRI) to member States regarding the integration of Roma and the fight against anti-</w:t>
      </w:r>
      <w:proofErr w:type="spellStart"/>
      <w:r>
        <w:rPr>
          <w:rFonts w:eastAsia="Times New Roman"/>
          <w:szCs w:val="24"/>
          <w:lang w:eastAsia="fr-FR"/>
        </w:rPr>
        <w:t>Gypsyism</w:t>
      </w:r>
      <w:proofErr w:type="spellEnd"/>
      <w:r>
        <w:rPr>
          <w:rFonts w:eastAsia="Times New Roman"/>
          <w:szCs w:val="24"/>
          <w:lang w:eastAsia="fr-FR"/>
        </w:rPr>
        <w:t>.</w:t>
      </w:r>
    </w:p>
    <w:p w:rsidR="00725CBD" w:rsidRDefault="00725CBD" w:rsidP="00725CBD">
      <w:pPr>
        <w:rPr>
          <w:rFonts w:eastAsia="Times New Roman"/>
          <w:szCs w:val="24"/>
          <w:lang w:eastAsia="fr-FR"/>
        </w:rPr>
      </w:pPr>
    </w:p>
    <w:p w:rsidR="00725CBD" w:rsidRDefault="00725CBD" w:rsidP="00725CBD">
      <w:pPr>
        <w:rPr>
          <w:rFonts w:eastAsia="Times New Roman"/>
          <w:szCs w:val="24"/>
          <w:lang w:eastAsia="fr-FR"/>
        </w:rPr>
      </w:pPr>
      <w:r>
        <w:rPr>
          <w:rFonts w:eastAsia="Times New Roman"/>
          <w:szCs w:val="24"/>
          <w:lang w:eastAsia="fr-FR"/>
        </w:rPr>
        <w:t>4.</w:t>
      </w:r>
      <w:r>
        <w:rPr>
          <w:rFonts w:eastAsia="Times New Roman"/>
          <w:szCs w:val="24"/>
          <w:lang w:eastAsia="fr-FR"/>
        </w:rPr>
        <w:tab/>
        <w:t xml:space="preserve">The Committee of Ministers is aware of the concerns that the increased flows of migrants and refugees towards Europe may have financial and political consequences and ultimately lessen or divert the efforts underway to promote the inclusion of Roma. The Committee concurs with the Congress that member States should continue to have integration strategies and anti-discrimination legislation and policies which allow for all possible cases of discrimination to be addressed, including those confronted by Roma and Travellers, whilst taking care to avoid suggesting situations of competition when considering one population group (such as migrants) in relation to another (Roma).  The Committee of Ministers notes that when planning for integration policies of migrants, the good practices and lessons learned in the social inclusion/integration of </w:t>
      </w:r>
      <w:r w:rsidRPr="00725CBD">
        <w:rPr>
          <w:rFonts w:eastAsia="Times New Roman"/>
          <w:szCs w:val="24"/>
          <w:lang w:eastAsia="fr-FR"/>
        </w:rPr>
        <w:t xml:space="preserve">persons belonging to </w:t>
      </w:r>
      <w:r>
        <w:rPr>
          <w:rFonts w:eastAsia="Times New Roman"/>
          <w:szCs w:val="24"/>
          <w:lang w:eastAsia="fr-FR"/>
        </w:rPr>
        <w:t xml:space="preserve">marginalised communities like the Roma could bring a useful contribution. </w:t>
      </w:r>
    </w:p>
    <w:p w:rsidR="00725CBD" w:rsidRDefault="00725CBD" w:rsidP="00725CBD">
      <w:pPr>
        <w:rPr>
          <w:rFonts w:eastAsia="Times New Roman"/>
          <w:szCs w:val="24"/>
          <w:lang w:eastAsia="fr-FR"/>
        </w:rPr>
      </w:pPr>
    </w:p>
    <w:p w:rsidR="00725CBD" w:rsidRDefault="00725CBD">
      <w:pPr>
        <w:rPr>
          <w:rFonts w:eastAsia="Times New Roman"/>
          <w:szCs w:val="24"/>
          <w:lang w:eastAsia="fr-FR"/>
        </w:rPr>
      </w:pPr>
      <w:r>
        <w:rPr>
          <w:rFonts w:eastAsia="Times New Roman"/>
          <w:szCs w:val="24"/>
          <w:lang w:eastAsia="fr-FR"/>
        </w:rPr>
        <w:br w:type="page"/>
      </w:r>
    </w:p>
    <w:p w:rsidR="00725CBD" w:rsidRDefault="00725CBD" w:rsidP="00725CBD">
      <w:pPr>
        <w:rPr>
          <w:rFonts w:eastAsia="Times New Roman"/>
          <w:szCs w:val="24"/>
          <w:lang w:eastAsia="fr-FR"/>
        </w:rPr>
      </w:pPr>
      <w:r>
        <w:rPr>
          <w:rFonts w:eastAsia="Times New Roman"/>
          <w:szCs w:val="24"/>
          <w:lang w:eastAsia="fr-FR"/>
        </w:rPr>
        <w:lastRenderedPageBreak/>
        <w:t>5.</w:t>
      </w:r>
      <w:r>
        <w:rPr>
          <w:rFonts w:eastAsia="Times New Roman"/>
          <w:szCs w:val="24"/>
          <w:lang w:eastAsia="fr-FR"/>
        </w:rPr>
        <w:tab/>
        <w:t xml:space="preserve">The Committee of Ministers would also take the opportunity to underline the importance for governments and public authorities to ensure that their national policies </w:t>
      </w:r>
      <w:r w:rsidRPr="00725CBD">
        <w:rPr>
          <w:rFonts w:eastAsia="Times New Roman"/>
          <w:szCs w:val="24"/>
          <w:lang w:eastAsia="fr-FR"/>
        </w:rPr>
        <w:t xml:space="preserve">have the capacity to </w:t>
      </w:r>
      <w:r>
        <w:rPr>
          <w:rFonts w:eastAsia="Times New Roman"/>
          <w:szCs w:val="24"/>
          <w:lang w:eastAsia="fr-FR"/>
        </w:rPr>
        <w:t>respond to the particular difficulties faced by Roma women, who are particularly vulnerable to gender-related human rights violations or multi-discrimination. In this respect, it welcomes the new joint programme between the Council of Europe and the European Commission on Access of Roma and Traveller Women to Justice (JUSTROM), which aims to provide legal assistance and legal aid for Roma and Traveller women victims of anti-</w:t>
      </w:r>
      <w:proofErr w:type="spellStart"/>
      <w:r>
        <w:rPr>
          <w:rFonts w:eastAsia="Times New Roman"/>
          <w:szCs w:val="24"/>
          <w:lang w:eastAsia="fr-FR"/>
        </w:rPr>
        <w:t>Gypsyism</w:t>
      </w:r>
      <w:proofErr w:type="spellEnd"/>
      <w:r>
        <w:rPr>
          <w:rFonts w:eastAsia="Times New Roman"/>
          <w:szCs w:val="24"/>
          <w:lang w:eastAsia="fr-FR"/>
        </w:rPr>
        <w:t xml:space="preserve"> and any form of discrimination and violence.  It would also inform the Congress that work is also currently underway on a draft Committee of Ministers’ Recommendation on Improving Access to Justice for Roma and Travellers in Europe. </w:t>
      </w:r>
    </w:p>
    <w:p w:rsidR="00725CBD" w:rsidRDefault="00725CBD" w:rsidP="00725CBD">
      <w:pPr>
        <w:rPr>
          <w:rFonts w:eastAsia="Times New Roman"/>
          <w:szCs w:val="24"/>
          <w:lang w:eastAsia="fr-FR"/>
        </w:rPr>
      </w:pPr>
    </w:p>
    <w:p w:rsidR="00725CBD" w:rsidRDefault="00725CBD" w:rsidP="00725CBD">
      <w:pPr>
        <w:rPr>
          <w:rFonts w:eastAsia="Times New Roman"/>
          <w:szCs w:val="24"/>
          <w:lang w:eastAsia="fr-FR"/>
        </w:rPr>
      </w:pPr>
      <w:r>
        <w:rPr>
          <w:rFonts w:eastAsia="Times New Roman"/>
          <w:szCs w:val="24"/>
          <w:lang w:eastAsia="fr-FR"/>
        </w:rPr>
        <w:t>6.</w:t>
      </w:r>
      <w:r>
        <w:rPr>
          <w:rFonts w:eastAsia="Times New Roman"/>
          <w:szCs w:val="24"/>
          <w:lang w:eastAsia="fr-FR"/>
        </w:rPr>
        <w:tab/>
        <w:t>Similarly, the Committee of Ministers notes that young people in Roma communities are also faced with specific obstacles and challenges to integration. Support and assistance to young people is fundamental for bringing about positive social and economic change within Roma and Travellers’ communities.  In this respect, the Committee of Ministers would draw particular attention to the Joint Council of Youth’s Guidelines for the implementation of the Roma Youth Action Plan for 2016-2017, as well as to the manual “Mirrors – combating anti-</w:t>
      </w:r>
      <w:proofErr w:type="spellStart"/>
      <w:r>
        <w:rPr>
          <w:rFonts w:eastAsia="Times New Roman"/>
          <w:szCs w:val="24"/>
          <w:lang w:eastAsia="fr-FR"/>
        </w:rPr>
        <w:t>Gypsyism</w:t>
      </w:r>
      <w:proofErr w:type="spellEnd"/>
      <w:r>
        <w:rPr>
          <w:rFonts w:eastAsia="Times New Roman"/>
          <w:szCs w:val="24"/>
          <w:lang w:eastAsia="fr-FR"/>
        </w:rPr>
        <w:t xml:space="preserve"> through human rights education” , particularly useful for training and awareness raising activities. </w:t>
      </w:r>
    </w:p>
    <w:p w:rsidR="00725CBD" w:rsidRDefault="00725CBD" w:rsidP="00725CBD">
      <w:pPr>
        <w:rPr>
          <w:rFonts w:eastAsia="Times New Roman"/>
          <w:szCs w:val="24"/>
          <w:lang w:eastAsia="fr-FR"/>
        </w:rPr>
      </w:pPr>
    </w:p>
    <w:p w:rsidR="00725CBD" w:rsidRDefault="00725CBD" w:rsidP="00725CBD">
      <w:pPr>
        <w:rPr>
          <w:rFonts w:eastAsia="Times New Roman"/>
          <w:szCs w:val="24"/>
          <w:lang w:eastAsia="fr-FR"/>
        </w:rPr>
      </w:pPr>
      <w:r>
        <w:rPr>
          <w:rFonts w:eastAsia="Times New Roman"/>
          <w:szCs w:val="24"/>
          <w:lang w:eastAsia="fr-FR"/>
        </w:rPr>
        <w:t>7.</w:t>
      </w:r>
      <w:r>
        <w:rPr>
          <w:rFonts w:eastAsia="Times New Roman"/>
          <w:szCs w:val="24"/>
          <w:lang w:eastAsia="fr-FR"/>
        </w:rPr>
        <w:tab/>
        <w:t>The Committee of Ministers would also stress that the important role of the media, including social networks and online communication services, should not be neglected as their potential influence in either tempering or on the other hand fuelling negative stereotypes, prejudice and discrimination against Roma and Travellers can be considerable.  It encourages member States to take all appropriate action through regulation and/or the promotion of media self-regulation and other measures such as media education to combat the dissemination of such stereotypes, with full respect for the independence of the media.</w:t>
      </w:r>
    </w:p>
    <w:p w:rsidR="00725CBD" w:rsidRDefault="00725CBD" w:rsidP="00725CBD">
      <w:pPr>
        <w:rPr>
          <w:rFonts w:eastAsia="Times New Roman"/>
          <w:szCs w:val="24"/>
          <w:lang w:eastAsia="fr-FR"/>
        </w:rPr>
      </w:pPr>
    </w:p>
    <w:p w:rsidR="00725CBD" w:rsidRDefault="00725CBD" w:rsidP="00725CBD">
      <w:pPr>
        <w:rPr>
          <w:rFonts w:eastAsia="Times New Roman"/>
          <w:szCs w:val="24"/>
          <w:lang w:eastAsia="fr-FR"/>
        </w:rPr>
      </w:pPr>
      <w:r>
        <w:rPr>
          <w:rFonts w:eastAsia="Times New Roman"/>
          <w:szCs w:val="24"/>
          <w:lang w:eastAsia="fr-FR"/>
        </w:rPr>
        <w:t>8.</w:t>
      </w:r>
      <w:r>
        <w:rPr>
          <w:rFonts w:eastAsia="Times New Roman"/>
          <w:szCs w:val="24"/>
          <w:lang w:eastAsia="fr-FR"/>
        </w:rPr>
        <w:tab/>
        <w:t xml:space="preserve">Finally, the Committee encourages the Congress to continue its valuable work in promoting the inclusion of the Roma and Travellers at the local and regional level. </w:t>
      </w:r>
    </w:p>
    <w:p w:rsidR="00725CBD" w:rsidRDefault="00725CBD" w:rsidP="00725CBD">
      <w:pPr>
        <w:rPr>
          <w:rFonts w:eastAsia="Times New Roman"/>
          <w:szCs w:val="24"/>
          <w:lang w:eastAsia="fr-FR"/>
        </w:rPr>
      </w:pPr>
    </w:p>
    <w:p w:rsidR="00725CBD" w:rsidRDefault="00725CBD" w:rsidP="00725CBD">
      <w:pPr>
        <w:rPr>
          <w:rFonts w:eastAsia="Times New Roman"/>
          <w:szCs w:val="24"/>
          <w:lang w:eastAsia="fr-FR"/>
        </w:rPr>
      </w:pPr>
      <w:r>
        <w:rPr>
          <w:rFonts w:eastAsia="Times New Roman"/>
          <w:szCs w:val="24"/>
          <w:lang w:eastAsia="fr-FR"/>
        </w:rPr>
        <w:t>9.</w:t>
      </w:r>
      <w:r>
        <w:rPr>
          <w:rFonts w:eastAsia="Times New Roman"/>
          <w:szCs w:val="24"/>
          <w:lang w:eastAsia="fr-FR"/>
        </w:rPr>
        <w:tab/>
        <w:t>The Committee would recall the need to take with account the plurality and specificity of the approaches of member States with a view to bring solutions adapted to the problems encountered by the Roma and Travellers.</w:t>
      </w:r>
    </w:p>
    <w:p w:rsidR="00CC6C4F" w:rsidRDefault="00CC6C4F" w:rsidP="0037200F">
      <w:pPr>
        <w:rPr>
          <w:rFonts w:eastAsia="Times New Roman"/>
          <w:szCs w:val="24"/>
        </w:rPr>
      </w:pPr>
    </w:p>
    <w:sectPr w:rsidR="00CC6C4F" w:rsidSect="00156DC1">
      <w:headerReference w:type="even" r:id="rId8"/>
      <w:headerReference w:type="default" r:id="rId9"/>
      <w:footerReference w:type="default" r:id="rId10"/>
      <w:headerReference w:type="first" r:id="rId11"/>
      <w:footerReference w:type="first" r:id="rId12"/>
      <w:type w:val="continuous"/>
      <w:pgSz w:w="11907" w:h="16840" w:code="9"/>
      <w:pgMar w:top="993" w:right="1162" w:bottom="709" w:left="1077" w:header="454" w:footer="341"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3FA" w:rsidRDefault="00DA03FA" w:rsidP="00FD6043">
      <w:r>
        <w:separator/>
      </w:r>
    </w:p>
  </w:endnote>
  <w:endnote w:type="continuationSeparator" w:id="0">
    <w:p w:rsidR="00DA03FA" w:rsidRDefault="00DA03F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00000001"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1E7C29" w:rsidP="00E15639">
    <w:pPr>
      <w:pStyle w:val="Pieddepage"/>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3FA" w:rsidRDefault="00DA03FA" w:rsidP="00FD6043">
      <w:r>
        <w:separator/>
      </w:r>
    </w:p>
  </w:footnote>
  <w:footnote w:type="continuationSeparator" w:id="0">
    <w:p w:rsidR="00DA03FA" w:rsidRDefault="00DA03FA" w:rsidP="00FD6043">
      <w:r>
        <w:continuationSeparator/>
      </w:r>
    </w:p>
  </w:footnote>
  <w:footnote w:id="1">
    <w:p w:rsidR="00725CBD" w:rsidRPr="008E49E3" w:rsidRDefault="00725CBD" w:rsidP="00725CBD">
      <w:pPr>
        <w:pStyle w:val="Notedebasdepage"/>
        <w:rPr>
          <w:lang w:val="en-US"/>
        </w:rPr>
      </w:pPr>
      <w:r w:rsidRPr="008E49E3">
        <w:rPr>
          <w:rStyle w:val="Appelnotedebasdep"/>
        </w:rPr>
        <w:footnoteRef/>
      </w:r>
      <w:r w:rsidRPr="008E49E3">
        <w:rPr>
          <w:lang w:val="en-US"/>
        </w:rPr>
        <w:t xml:space="preserve"> </w:t>
      </w:r>
      <w:r w:rsidRPr="008E49E3">
        <w:rPr>
          <w:rFonts w:cs="Arial"/>
          <w:szCs w:val="16"/>
          <w:lang w:val="en-US"/>
        </w:rPr>
        <w:t xml:space="preserve">The terms “Roma and Travellers” are being used at the Council of Europe to encompass the wide diversity of the groups covered by the work of the Council of Europe in this field: on the one hand a) Roma, </w:t>
      </w:r>
      <w:proofErr w:type="spellStart"/>
      <w:r w:rsidRPr="008E49E3">
        <w:rPr>
          <w:rFonts w:cs="Arial"/>
          <w:szCs w:val="16"/>
          <w:lang w:val="en-US"/>
        </w:rPr>
        <w:t>Sinti</w:t>
      </w:r>
      <w:proofErr w:type="spellEnd"/>
      <w:r w:rsidRPr="008E49E3">
        <w:rPr>
          <w:rFonts w:cs="Arial"/>
          <w:szCs w:val="16"/>
          <w:lang w:val="en-US"/>
        </w:rPr>
        <w:t>/</w:t>
      </w:r>
      <w:proofErr w:type="spellStart"/>
      <w:r w:rsidRPr="008E49E3">
        <w:rPr>
          <w:rFonts w:cs="Arial"/>
          <w:szCs w:val="16"/>
          <w:lang w:val="en-US"/>
        </w:rPr>
        <w:t>Manush</w:t>
      </w:r>
      <w:proofErr w:type="spellEnd"/>
      <w:r w:rsidRPr="008E49E3">
        <w:rPr>
          <w:rFonts w:cs="Arial"/>
          <w:szCs w:val="16"/>
          <w:lang w:val="en-US"/>
        </w:rPr>
        <w:t xml:space="preserve">, </w:t>
      </w:r>
      <w:proofErr w:type="spellStart"/>
      <w:r w:rsidRPr="008E49E3">
        <w:rPr>
          <w:rFonts w:cs="Arial"/>
          <w:szCs w:val="16"/>
          <w:lang w:val="en-US"/>
        </w:rPr>
        <w:t>Calé</w:t>
      </w:r>
      <w:proofErr w:type="spellEnd"/>
      <w:r w:rsidRPr="008E49E3">
        <w:rPr>
          <w:rFonts w:cs="Arial"/>
          <w:szCs w:val="16"/>
          <w:lang w:val="en-US"/>
        </w:rPr>
        <w:t xml:space="preserve">, </w:t>
      </w:r>
      <w:proofErr w:type="spellStart"/>
      <w:r w:rsidRPr="008E49E3">
        <w:rPr>
          <w:rFonts w:cs="Arial"/>
          <w:szCs w:val="16"/>
          <w:lang w:val="en-US"/>
        </w:rPr>
        <w:t>Kaale</w:t>
      </w:r>
      <w:proofErr w:type="spellEnd"/>
      <w:r w:rsidRPr="008E49E3">
        <w:rPr>
          <w:rFonts w:cs="Arial"/>
          <w:szCs w:val="16"/>
          <w:lang w:val="en-US"/>
        </w:rPr>
        <w:t xml:space="preserve">, </w:t>
      </w:r>
      <w:proofErr w:type="spellStart"/>
      <w:r w:rsidRPr="008E49E3">
        <w:rPr>
          <w:rFonts w:cs="Arial"/>
          <w:szCs w:val="16"/>
          <w:lang w:val="en-US"/>
        </w:rPr>
        <w:t>Romanichals</w:t>
      </w:r>
      <w:proofErr w:type="spellEnd"/>
      <w:r w:rsidRPr="008E49E3">
        <w:rPr>
          <w:rFonts w:cs="Arial"/>
          <w:szCs w:val="16"/>
          <w:lang w:val="en-US"/>
        </w:rPr>
        <w:t xml:space="preserve">, </w:t>
      </w:r>
      <w:proofErr w:type="spellStart"/>
      <w:r w:rsidRPr="008E49E3">
        <w:rPr>
          <w:rFonts w:cs="Arial"/>
          <w:szCs w:val="16"/>
          <w:lang w:val="en-US"/>
        </w:rPr>
        <w:t>Boyash</w:t>
      </w:r>
      <w:proofErr w:type="spellEnd"/>
      <w:r w:rsidRPr="008E49E3">
        <w:rPr>
          <w:rFonts w:cs="Arial"/>
          <w:szCs w:val="16"/>
          <w:lang w:val="en-US"/>
        </w:rPr>
        <w:t>/</w:t>
      </w:r>
      <w:proofErr w:type="spellStart"/>
      <w:r w:rsidRPr="008E49E3">
        <w:rPr>
          <w:rFonts w:cs="Arial"/>
          <w:szCs w:val="16"/>
          <w:lang w:val="en-US"/>
        </w:rPr>
        <w:t>Rudari</w:t>
      </w:r>
      <w:proofErr w:type="spellEnd"/>
      <w:r w:rsidRPr="008E49E3">
        <w:rPr>
          <w:rFonts w:cs="Arial"/>
          <w:szCs w:val="16"/>
          <w:lang w:val="en-US"/>
        </w:rPr>
        <w:t xml:space="preserve">; b) Balkan Egyptians (Egyptians and </w:t>
      </w:r>
      <w:proofErr w:type="spellStart"/>
      <w:r w:rsidRPr="008E49E3">
        <w:rPr>
          <w:rFonts w:cs="Arial"/>
          <w:szCs w:val="16"/>
          <w:lang w:val="en-US"/>
        </w:rPr>
        <w:t>Ashkali</w:t>
      </w:r>
      <w:proofErr w:type="spellEnd"/>
      <w:r w:rsidRPr="008E49E3">
        <w:rPr>
          <w:rFonts w:cs="Arial"/>
          <w:szCs w:val="16"/>
          <w:lang w:val="en-US"/>
        </w:rPr>
        <w:t xml:space="preserve">); c) Eastern groups (Dom, </w:t>
      </w:r>
      <w:proofErr w:type="spellStart"/>
      <w:r w:rsidRPr="008E49E3">
        <w:rPr>
          <w:rFonts w:cs="Arial"/>
          <w:szCs w:val="16"/>
          <w:lang w:val="en-US"/>
        </w:rPr>
        <w:t>Lom</w:t>
      </w:r>
      <w:proofErr w:type="spellEnd"/>
      <w:r w:rsidRPr="008E49E3">
        <w:rPr>
          <w:rFonts w:cs="Arial"/>
          <w:szCs w:val="16"/>
          <w:lang w:val="en-US"/>
        </w:rPr>
        <w:t xml:space="preserve"> and </w:t>
      </w:r>
      <w:proofErr w:type="spellStart"/>
      <w:r w:rsidRPr="008E49E3">
        <w:rPr>
          <w:rFonts w:cs="Arial"/>
          <w:szCs w:val="16"/>
          <w:lang w:val="en-US"/>
        </w:rPr>
        <w:t>Abdal</w:t>
      </w:r>
      <w:proofErr w:type="spellEnd"/>
      <w:r w:rsidRPr="008E49E3">
        <w:rPr>
          <w:rFonts w:cs="Arial"/>
          <w:szCs w:val="16"/>
          <w:lang w:val="en-US"/>
        </w:rPr>
        <w:t xml:space="preserve">); and, on the other hand, groups such as Travellers, </w:t>
      </w:r>
      <w:proofErr w:type="spellStart"/>
      <w:r w:rsidRPr="008E49E3">
        <w:rPr>
          <w:rFonts w:cs="Arial"/>
          <w:szCs w:val="16"/>
          <w:lang w:val="en-US"/>
        </w:rPr>
        <w:t>Yenish</w:t>
      </w:r>
      <w:proofErr w:type="spellEnd"/>
      <w:r w:rsidRPr="008E49E3">
        <w:rPr>
          <w:rFonts w:cs="Arial"/>
          <w:szCs w:val="16"/>
          <w:lang w:val="en-US"/>
        </w:rPr>
        <w:t xml:space="preserve">, and the populations designated under the administrative term </w:t>
      </w:r>
      <w:r w:rsidRPr="008E49E3">
        <w:rPr>
          <w:rFonts w:cs="Arial"/>
          <w:i/>
          <w:iCs/>
          <w:szCs w:val="16"/>
          <w:lang w:val="en-US"/>
        </w:rPr>
        <w:t>“Gens du voyage”</w:t>
      </w:r>
      <w:r w:rsidRPr="008E49E3">
        <w:rPr>
          <w:rFonts w:cs="Arial"/>
          <w:szCs w:val="16"/>
          <w:lang w:val="en-US"/>
        </w:rPr>
        <w:t>, as well as persons who identify themselves as Gypsies.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8D2AE2" w:rsidP="00E54322">
    <w:pPr>
      <w:pStyle w:val="En-tte"/>
    </w:pPr>
    <w:r w:rsidRPr="008D2AE2">
      <w:t>CM/</w:t>
    </w:r>
    <w:proofErr w:type="gramStart"/>
    <w:r w:rsidRPr="008D2AE2">
      <w:t>Cong(</w:t>
    </w:r>
    <w:proofErr w:type="gramEnd"/>
    <w:r w:rsidRPr="008D2AE2">
      <w:t>201</w:t>
    </w:r>
    <w:r w:rsidR="0041783D">
      <w:t>7</w:t>
    </w:r>
    <w:r w:rsidRPr="008D2AE2">
      <w:t>)Rec</w:t>
    </w:r>
    <w:r w:rsidR="0041783D">
      <w:t>388</w:t>
    </w:r>
    <w:r w:rsidRPr="008D2AE2">
      <w:t>-final</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7A204C">
      <w:rPr>
        <w:noProof/>
      </w:rPr>
      <w:t>2</w:t>
    </w:r>
    <w:r w:rsidR="00E15639"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E15639" w:rsidP="00E54322">
    <w:pPr>
      <w:pStyle w:val="En-tte"/>
    </w:pPr>
    <w:r w:rsidRPr="00E54322">
      <w:tab/>
    </w:r>
    <w:r w:rsidRPr="00E54322">
      <w:fldChar w:fldCharType="begin"/>
    </w:r>
    <w:r w:rsidRPr="00E54322">
      <w:instrText xml:space="preserve"> PAGE  \* Arabic  \* MERGEFORMAT </w:instrText>
    </w:r>
    <w:r w:rsidRPr="00E54322">
      <w:fldChar w:fldCharType="separate"/>
    </w:r>
    <w:r w:rsidR="008D2AE2">
      <w:rPr>
        <w:noProof/>
      </w:rPr>
      <w:t>3</w:t>
    </w:r>
    <w:r w:rsidRPr="00E54322">
      <w:fldChar w:fldCharType="end"/>
    </w:r>
    <w:r w:rsidR="00E475F9" w:rsidRPr="00E54322">
      <w:tab/>
    </w:r>
    <w:r w:rsidR="008D2AE2" w:rsidRPr="008D2AE2">
      <w:t>CM/</w:t>
    </w:r>
    <w:proofErr w:type="gramStart"/>
    <w:r w:rsidR="008D2AE2" w:rsidRPr="008D2AE2">
      <w:t>Cong(</w:t>
    </w:r>
    <w:proofErr w:type="gramEnd"/>
    <w:r w:rsidR="008D2AE2" w:rsidRPr="008D2AE2">
      <w:t>201..)Rec...-final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877E5C" w:rsidP="00123CDD">
    <w:pPr>
      <w:pStyle w:val="En-tte"/>
      <w:spacing w:after="2280"/>
    </w:pPr>
    <w:r>
      <w:rPr>
        <w:noProof/>
        <w:lang w:eastAsia="en-GB"/>
      </w:rPr>
      <w:drawing>
        <wp:anchor distT="0" distB="0" distL="114300" distR="114300" simplePos="0" relativeHeight="251657728" behindDoc="1" locked="0" layoutInCell="0" allowOverlap="0">
          <wp:simplePos x="0" y="0"/>
          <wp:positionH relativeFrom="page">
            <wp:posOffset>309880</wp:posOffset>
          </wp:positionH>
          <wp:positionV relativeFrom="page">
            <wp:posOffset>17780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3FA"/>
    <w:rsid w:val="0001238D"/>
    <w:rsid w:val="00035FDF"/>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E7C29"/>
    <w:rsid w:val="001F297D"/>
    <w:rsid w:val="001F4F04"/>
    <w:rsid w:val="00214299"/>
    <w:rsid w:val="002250DD"/>
    <w:rsid w:val="0023437D"/>
    <w:rsid w:val="00242ABB"/>
    <w:rsid w:val="00251353"/>
    <w:rsid w:val="00262B36"/>
    <w:rsid w:val="00265917"/>
    <w:rsid w:val="002660DB"/>
    <w:rsid w:val="002861FB"/>
    <w:rsid w:val="00290B36"/>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1783D"/>
    <w:rsid w:val="004256CB"/>
    <w:rsid w:val="004329B7"/>
    <w:rsid w:val="00443709"/>
    <w:rsid w:val="00447D22"/>
    <w:rsid w:val="004553F6"/>
    <w:rsid w:val="00480D8B"/>
    <w:rsid w:val="004A37E1"/>
    <w:rsid w:val="004C0C2F"/>
    <w:rsid w:val="004C11B3"/>
    <w:rsid w:val="0050115D"/>
    <w:rsid w:val="0054041B"/>
    <w:rsid w:val="00550B6C"/>
    <w:rsid w:val="00574663"/>
    <w:rsid w:val="005B1FA1"/>
    <w:rsid w:val="005B3604"/>
    <w:rsid w:val="005C73BB"/>
    <w:rsid w:val="005D7CDF"/>
    <w:rsid w:val="005F093B"/>
    <w:rsid w:val="005F3DC6"/>
    <w:rsid w:val="00614982"/>
    <w:rsid w:val="00631491"/>
    <w:rsid w:val="00643231"/>
    <w:rsid w:val="00643C3F"/>
    <w:rsid w:val="00644AD3"/>
    <w:rsid w:val="006455FA"/>
    <w:rsid w:val="00660638"/>
    <w:rsid w:val="00671684"/>
    <w:rsid w:val="00671EA2"/>
    <w:rsid w:val="006827E4"/>
    <w:rsid w:val="006908C5"/>
    <w:rsid w:val="006F0318"/>
    <w:rsid w:val="006F6B48"/>
    <w:rsid w:val="00712E65"/>
    <w:rsid w:val="007150DE"/>
    <w:rsid w:val="00721866"/>
    <w:rsid w:val="00725CBD"/>
    <w:rsid w:val="00735569"/>
    <w:rsid w:val="007541C7"/>
    <w:rsid w:val="00761627"/>
    <w:rsid w:val="00773CFE"/>
    <w:rsid w:val="007A204C"/>
    <w:rsid w:val="007A543D"/>
    <w:rsid w:val="007B3DD0"/>
    <w:rsid w:val="007C0AD1"/>
    <w:rsid w:val="007D7B20"/>
    <w:rsid w:val="007E168C"/>
    <w:rsid w:val="007F216E"/>
    <w:rsid w:val="007F43C0"/>
    <w:rsid w:val="00800A19"/>
    <w:rsid w:val="008042E6"/>
    <w:rsid w:val="00805F04"/>
    <w:rsid w:val="00810D5A"/>
    <w:rsid w:val="00814AA2"/>
    <w:rsid w:val="0082394F"/>
    <w:rsid w:val="00853C90"/>
    <w:rsid w:val="008575F2"/>
    <w:rsid w:val="00857F73"/>
    <w:rsid w:val="0087380A"/>
    <w:rsid w:val="00877E5C"/>
    <w:rsid w:val="008A3DFA"/>
    <w:rsid w:val="008B07D4"/>
    <w:rsid w:val="008C12CC"/>
    <w:rsid w:val="008D2AE2"/>
    <w:rsid w:val="00916BF5"/>
    <w:rsid w:val="009215B8"/>
    <w:rsid w:val="00923554"/>
    <w:rsid w:val="009270C4"/>
    <w:rsid w:val="00940F14"/>
    <w:rsid w:val="009432D0"/>
    <w:rsid w:val="00950D67"/>
    <w:rsid w:val="009527D7"/>
    <w:rsid w:val="00955512"/>
    <w:rsid w:val="00963962"/>
    <w:rsid w:val="00974C41"/>
    <w:rsid w:val="009B3AB7"/>
    <w:rsid w:val="009C5258"/>
    <w:rsid w:val="009D28F3"/>
    <w:rsid w:val="00A12DEC"/>
    <w:rsid w:val="00A22D53"/>
    <w:rsid w:val="00A474E5"/>
    <w:rsid w:val="00A842D4"/>
    <w:rsid w:val="00A93CA3"/>
    <w:rsid w:val="00AB6552"/>
    <w:rsid w:val="00AB67F8"/>
    <w:rsid w:val="00AB7727"/>
    <w:rsid w:val="00AC73AA"/>
    <w:rsid w:val="00AE76B8"/>
    <w:rsid w:val="00AE79D2"/>
    <w:rsid w:val="00B06133"/>
    <w:rsid w:val="00B129D8"/>
    <w:rsid w:val="00B227AE"/>
    <w:rsid w:val="00B41B03"/>
    <w:rsid w:val="00B41EC3"/>
    <w:rsid w:val="00B63F08"/>
    <w:rsid w:val="00B81BAC"/>
    <w:rsid w:val="00B849E0"/>
    <w:rsid w:val="00B90246"/>
    <w:rsid w:val="00B920E4"/>
    <w:rsid w:val="00BA79A3"/>
    <w:rsid w:val="00BB7DCE"/>
    <w:rsid w:val="00BD25C0"/>
    <w:rsid w:val="00C049EE"/>
    <w:rsid w:val="00C109FD"/>
    <w:rsid w:val="00C14C2C"/>
    <w:rsid w:val="00C409C2"/>
    <w:rsid w:val="00C54D03"/>
    <w:rsid w:val="00C74E6F"/>
    <w:rsid w:val="00C8348A"/>
    <w:rsid w:val="00C92F89"/>
    <w:rsid w:val="00CC39DC"/>
    <w:rsid w:val="00CC6269"/>
    <w:rsid w:val="00CC6C4F"/>
    <w:rsid w:val="00CE1FF8"/>
    <w:rsid w:val="00CE4890"/>
    <w:rsid w:val="00CE6FD2"/>
    <w:rsid w:val="00D0182E"/>
    <w:rsid w:val="00D0265B"/>
    <w:rsid w:val="00D161E2"/>
    <w:rsid w:val="00D24A57"/>
    <w:rsid w:val="00D25B45"/>
    <w:rsid w:val="00D53526"/>
    <w:rsid w:val="00D554E6"/>
    <w:rsid w:val="00D70628"/>
    <w:rsid w:val="00D83353"/>
    <w:rsid w:val="00DA03FA"/>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40699"/>
    <w:rsid w:val="00F433D6"/>
    <w:rsid w:val="00F61D34"/>
    <w:rsid w:val="00F76BBD"/>
    <w:rsid w:val="00F96689"/>
    <w:rsid w:val="00FD6043"/>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aliases w:val="Footnote Refernece,Fußnotenzeichen_Raxen,callout,Footnote Reference Number, BVI fnr,BVI fnr,Footnote Reference1,Footnote Reference Superscript,Footnote text,4_G,Footnotes refss,Footnote Refernece + (Latein) Arial,10 pt,Blau"/>
    <w:link w:val="FootnoteReferneceChar"/>
    <w:unhideWhenUsed/>
    <w:qFormat/>
    <w:rsid w:val="00853C90"/>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Appelnotedebasdep"/>
    <w:rsid w:val="0041783D"/>
    <w:pPr>
      <w:spacing w:after="160" w:line="240" w:lineRule="exact"/>
    </w:pPr>
    <w:rPr>
      <w:rFonts w:ascii="Calibri" w:hAnsi="Calibri"/>
      <w:szCs w:val="20"/>
      <w:vertAlign w:val="superscript"/>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basedOn w:val="Normal"/>
    <w:link w:val="NotedebasdepageCar"/>
    <w:unhideWhenUsed/>
    <w:rsid w:val="009C5258"/>
    <w:rPr>
      <w:sz w:val="16"/>
      <w:szCs w:val="20"/>
    </w:rPr>
  </w:style>
  <w:style w:type="character" w:customStyle="1" w:styleId="NotedebasdepageCar">
    <w:name w:val="Note de bas de page Car"/>
    <w:link w:val="Notedebasdepage"/>
    <w:rsid w:val="009C5258"/>
    <w:rPr>
      <w:rFonts w:ascii="Arial" w:hAnsi="Arial"/>
      <w:sz w:val="16"/>
      <w:lang w:val="fr-FR" w:eastAsia="en-US"/>
    </w:rPr>
  </w:style>
  <w:style w:type="character" w:styleId="Appelnotedebasdep">
    <w:name w:val="footnote reference"/>
    <w:aliases w:val="Footnote Refernece,Fußnotenzeichen_Raxen,callout,Footnote Reference Number, BVI fnr,BVI fnr,Footnote Reference1,Footnote Reference Superscript,Footnote text,4_G,Footnotes refss,Footnote Refernece + (Latein) Arial,10 pt,Blau"/>
    <w:link w:val="FootnoteReferneceChar"/>
    <w:unhideWhenUsed/>
    <w:qFormat/>
    <w:rsid w:val="00853C90"/>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link w:val="Appelnotedebasdep"/>
    <w:rsid w:val="0041783D"/>
    <w:pPr>
      <w:spacing w:after="160" w:line="240" w:lineRule="exact"/>
    </w:pPr>
    <w:rPr>
      <w:rFonts w:ascii="Calibri" w:hAnsi="Calibri"/>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2657">
      <w:bodyDiv w:val="1"/>
      <w:marLeft w:val="0"/>
      <w:marRight w:val="0"/>
      <w:marTop w:val="0"/>
      <w:marBottom w:val="0"/>
      <w:divBdr>
        <w:top w:val="none" w:sz="0" w:space="0" w:color="auto"/>
        <w:left w:val="none" w:sz="0" w:space="0" w:color="auto"/>
        <w:bottom w:val="none" w:sz="0" w:space="0" w:color="auto"/>
        <w:right w:val="none" w:sz="0" w:space="0" w:color="auto"/>
      </w:divBdr>
      <w:divsChild>
        <w:div w:id="1651399279">
          <w:marLeft w:val="0"/>
          <w:marRight w:val="0"/>
          <w:marTop w:val="0"/>
          <w:marBottom w:val="0"/>
          <w:divBdr>
            <w:top w:val="none" w:sz="0" w:space="0" w:color="auto"/>
            <w:left w:val="none" w:sz="0" w:space="0" w:color="auto"/>
            <w:bottom w:val="none" w:sz="0" w:space="0" w:color="auto"/>
            <w:right w:val="none" w:sz="0" w:space="0" w:color="auto"/>
          </w:divBdr>
          <w:divsChild>
            <w:div w:id="140464717">
              <w:marLeft w:val="0"/>
              <w:marRight w:val="0"/>
              <w:marTop w:val="0"/>
              <w:marBottom w:val="0"/>
              <w:divBdr>
                <w:top w:val="none" w:sz="0" w:space="0" w:color="auto"/>
                <w:left w:val="none" w:sz="0" w:space="0" w:color="auto"/>
                <w:bottom w:val="none" w:sz="0" w:space="0" w:color="auto"/>
                <w:right w:val="none" w:sz="0" w:space="0" w:color="auto"/>
              </w:divBdr>
              <w:divsChild>
                <w:div w:id="854733698">
                  <w:marLeft w:val="0"/>
                  <w:marRight w:val="0"/>
                  <w:marTop w:val="0"/>
                  <w:marBottom w:val="0"/>
                  <w:divBdr>
                    <w:top w:val="none" w:sz="0" w:space="0" w:color="auto"/>
                    <w:left w:val="none" w:sz="0" w:space="0" w:color="auto"/>
                    <w:bottom w:val="none" w:sz="0" w:space="0" w:color="auto"/>
                    <w:right w:val="none" w:sz="0" w:space="0" w:color="auto"/>
                  </w:divBdr>
                  <w:divsChild>
                    <w:div w:id="404189593">
                      <w:marLeft w:val="0"/>
                      <w:marRight w:val="0"/>
                      <w:marTop w:val="0"/>
                      <w:marBottom w:val="0"/>
                      <w:divBdr>
                        <w:top w:val="none" w:sz="0" w:space="0" w:color="auto"/>
                        <w:left w:val="none" w:sz="0" w:space="0" w:color="auto"/>
                        <w:bottom w:val="none" w:sz="0" w:space="0" w:color="auto"/>
                        <w:right w:val="none" w:sz="0" w:space="0" w:color="auto"/>
                      </w:divBdr>
                      <w:divsChild>
                        <w:div w:id="188683393">
                          <w:marLeft w:val="0"/>
                          <w:marRight w:val="0"/>
                          <w:marTop w:val="0"/>
                          <w:marBottom w:val="0"/>
                          <w:divBdr>
                            <w:top w:val="none" w:sz="0" w:space="0" w:color="auto"/>
                            <w:left w:val="none" w:sz="0" w:space="0" w:color="auto"/>
                            <w:bottom w:val="none" w:sz="0" w:space="0" w:color="auto"/>
                            <w:right w:val="none" w:sz="0" w:space="0" w:color="auto"/>
                          </w:divBdr>
                          <w:divsChild>
                            <w:div w:id="20017497">
                              <w:marLeft w:val="0"/>
                              <w:marRight w:val="0"/>
                              <w:marTop w:val="0"/>
                              <w:marBottom w:val="0"/>
                              <w:divBdr>
                                <w:top w:val="none" w:sz="0" w:space="0" w:color="auto"/>
                                <w:left w:val="none" w:sz="0" w:space="0" w:color="auto"/>
                                <w:bottom w:val="none" w:sz="0" w:space="0" w:color="auto"/>
                                <w:right w:val="none" w:sz="0" w:space="0" w:color="auto"/>
                              </w:divBdr>
                              <w:divsChild>
                                <w:div w:id="1260673120">
                                  <w:marLeft w:val="-225"/>
                                  <w:marRight w:val="-225"/>
                                  <w:marTop w:val="0"/>
                                  <w:marBottom w:val="0"/>
                                  <w:divBdr>
                                    <w:top w:val="none" w:sz="0" w:space="0" w:color="auto"/>
                                    <w:left w:val="none" w:sz="0" w:space="0" w:color="auto"/>
                                    <w:bottom w:val="none" w:sz="0" w:space="0" w:color="auto"/>
                                    <w:right w:val="none" w:sz="0" w:space="0" w:color="auto"/>
                                  </w:divBdr>
                                  <w:divsChild>
                                    <w:div w:id="1955403402">
                                      <w:marLeft w:val="0"/>
                                      <w:marRight w:val="0"/>
                                      <w:marTop w:val="0"/>
                                      <w:marBottom w:val="0"/>
                                      <w:divBdr>
                                        <w:top w:val="none" w:sz="0" w:space="0" w:color="auto"/>
                                        <w:left w:val="none" w:sz="0" w:space="0" w:color="auto"/>
                                        <w:bottom w:val="none" w:sz="0" w:space="0" w:color="auto"/>
                                        <w:right w:val="none" w:sz="0" w:space="0" w:color="auto"/>
                                      </w:divBdr>
                                      <w:divsChild>
                                        <w:div w:id="780758247">
                                          <w:marLeft w:val="0"/>
                                          <w:marRight w:val="0"/>
                                          <w:marTop w:val="0"/>
                                          <w:marBottom w:val="0"/>
                                          <w:divBdr>
                                            <w:top w:val="none" w:sz="0" w:space="0" w:color="auto"/>
                                            <w:left w:val="none" w:sz="0" w:space="0" w:color="auto"/>
                                            <w:bottom w:val="none" w:sz="0" w:space="0" w:color="auto"/>
                                            <w:right w:val="none" w:sz="0" w:space="0" w:color="auto"/>
                                          </w:divBdr>
                                          <w:divsChild>
                                            <w:div w:id="2115442831">
                                              <w:marLeft w:val="0"/>
                                              <w:marRight w:val="0"/>
                                              <w:marTop w:val="0"/>
                                              <w:marBottom w:val="0"/>
                                              <w:divBdr>
                                                <w:top w:val="single" w:sz="6" w:space="0" w:color="EEEEEE"/>
                                                <w:left w:val="single" w:sz="6" w:space="0" w:color="EEEEEE"/>
                                                <w:bottom w:val="single" w:sz="6" w:space="0" w:color="EEEEEE"/>
                                                <w:right w:val="single" w:sz="6" w:space="0" w:color="EEEEEE"/>
                                              </w:divBdr>
                                              <w:divsChild>
                                                <w:div w:id="1843545663">
                                                  <w:marLeft w:val="0"/>
                                                  <w:marRight w:val="0"/>
                                                  <w:marTop w:val="0"/>
                                                  <w:marBottom w:val="0"/>
                                                  <w:divBdr>
                                                    <w:top w:val="none" w:sz="0" w:space="0" w:color="auto"/>
                                                    <w:left w:val="none" w:sz="0" w:space="0" w:color="auto"/>
                                                    <w:bottom w:val="none" w:sz="0" w:space="0" w:color="auto"/>
                                                    <w:right w:val="none" w:sz="0" w:space="0" w:color="auto"/>
                                                  </w:divBdr>
                                                  <w:divsChild>
                                                    <w:div w:id="1076054281">
                                                      <w:marLeft w:val="0"/>
                                                      <w:marRight w:val="0"/>
                                                      <w:marTop w:val="0"/>
                                                      <w:marBottom w:val="0"/>
                                                      <w:divBdr>
                                                        <w:top w:val="none" w:sz="0" w:space="0" w:color="auto"/>
                                                        <w:left w:val="none" w:sz="0" w:space="0" w:color="auto"/>
                                                        <w:bottom w:val="none" w:sz="0" w:space="0" w:color="auto"/>
                                                        <w:right w:val="none" w:sz="0" w:space="0" w:color="auto"/>
                                                      </w:divBdr>
                                                      <w:divsChild>
                                                        <w:div w:id="1553731800">
                                                          <w:marLeft w:val="0"/>
                                                          <w:marRight w:val="0"/>
                                                          <w:marTop w:val="0"/>
                                                          <w:marBottom w:val="0"/>
                                                          <w:divBdr>
                                                            <w:top w:val="none" w:sz="0" w:space="0" w:color="auto"/>
                                                            <w:left w:val="none" w:sz="0" w:space="0" w:color="auto"/>
                                                            <w:bottom w:val="none" w:sz="0" w:space="0" w:color="auto"/>
                                                            <w:right w:val="none" w:sz="0" w:space="0" w:color="auto"/>
                                                          </w:divBdr>
                                                          <w:divsChild>
                                                            <w:div w:id="676228680">
                                                              <w:marLeft w:val="0"/>
                                                              <w:marRight w:val="0"/>
                                                              <w:marTop w:val="0"/>
                                                              <w:marBottom w:val="0"/>
                                                              <w:divBdr>
                                                                <w:top w:val="none" w:sz="0" w:space="0" w:color="auto"/>
                                                                <w:left w:val="none" w:sz="0" w:space="0" w:color="auto"/>
                                                                <w:bottom w:val="none" w:sz="0" w:space="0" w:color="auto"/>
                                                                <w:right w:val="none" w:sz="0" w:space="0" w:color="auto"/>
                                                              </w:divBdr>
                                                              <w:divsChild>
                                                                <w:div w:id="408577422">
                                                                  <w:marLeft w:val="0"/>
                                                                  <w:marRight w:val="0"/>
                                                                  <w:marTop w:val="0"/>
                                                                  <w:marBottom w:val="0"/>
                                                                  <w:divBdr>
                                                                    <w:top w:val="none" w:sz="0" w:space="0" w:color="auto"/>
                                                                    <w:left w:val="none" w:sz="0" w:space="0" w:color="auto"/>
                                                                    <w:bottom w:val="none" w:sz="0" w:space="0" w:color="auto"/>
                                                                    <w:right w:val="none" w:sz="0" w:space="0" w:color="auto"/>
                                                                  </w:divBdr>
                                                                  <w:divsChild>
                                                                    <w:div w:id="1781218542">
                                                                      <w:marLeft w:val="0"/>
                                                                      <w:marRight w:val="0"/>
                                                                      <w:marTop w:val="0"/>
                                                                      <w:marBottom w:val="0"/>
                                                                      <w:divBdr>
                                                                        <w:top w:val="none" w:sz="0" w:space="0" w:color="auto"/>
                                                                        <w:left w:val="none" w:sz="0" w:space="0" w:color="auto"/>
                                                                        <w:bottom w:val="none" w:sz="0" w:space="0" w:color="auto"/>
                                                                        <w:right w:val="none" w:sz="0" w:space="0" w:color="auto"/>
                                                                      </w:divBdr>
                                                                      <w:divsChild>
                                                                        <w:div w:id="502863296">
                                                                          <w:marLeft w:val="0"/>
                                                                          <w:marRight w:val="0"/>
                                                                          <w:marTop w:val="0"/>
                                                                          <w:marBottom w:val="0"/>
                                                                          <w:divBdr>
                                                                            <w:top w:val="none" w:sz="0" w:space="0" w:color="auto"/>
                                                                            <w:left w:val="none" w:sz="0" w:space="0" w:color="auto"/>
                                                                            <w:bottom w:val="none" w:sz="0" w:space="0" w:color="auto"/>
                                                                            <w:right w:val="none" w:sz="0" w:space="0" w:color="auto"/>
                                                                          </w:divBdr>
                                                                          <w:divsChild>
                                                                            <w:div w:id="1388455052">
                                                                              <w:marLeft w:val="0"/>
                                                                              <w:marRight w:val="0"/>
                                                                              <w:marTop w:val="0"/>
                                                                              <w:marBottom w:val="0"/>
                                                                              <w:divBdr>
                                                                                <w:top w:val="none" w:sz="0" w:space="0" w:color="auto"/>
                                                                                <w:left w:val="none" w:sz="0" w:space="0" w:color="auto"/>
                                                                                <w:bottom w:val="none" w:sz="0" w:space="0" w:color="auto"/>
                                                                                <w:right w:val="none" w:sz="0" w:space="0" w:color="auto"/>
                                                                              </w:divBdr>
                                                                              <w:divsChild>
                                                                                <w:div w:id="17511740">
                                                                                  <w:marLeft w:val="0"/>
                                                                                  <w:marRight w:val="0"/>
                                                                                  <w:marTop w:val="0"/>
                                                                                  <w:marBottom w:val="0"/>
                                                                                  <w:divBdr>
                                                                                    <w:top w:val="none" w:sz="0" w:space="0" w:color="auto"/>
                                                                                    <w:left w:val="none" w:sz="0" w:space="0" w:color="auto"/>
                                                                                    <w:bottom w:val="none" w:sz="0" w:space="0" w:color="auto"/>
                                                                                    <w:right w:val="none" w:sz="0" w:space="0" w:color="auto"/>
                                                                                  </w:divBdr>
                                                                                  <w:divsChild>
                                                                                    <w:div w:id="11050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366859">
      <w:bodyDiv w:val="1"/>
      <w:marLeft w:val="0"/>
      <w:marRight w:val="0"/>
      <w:marTop w:val="0"/>
      <w:marBottom w:val="0"/>
      <w:divBdr>
        <w:top w:val="none" w:sz="0" w:space="0" w:color="auto"/>
        <w:left w:val="none" w:sz="0" w:space="0" w:color="auto"/>
        <w:bottom w:val="none" w:sz="0" w:space="0" w:color="auto"/>
        <w:right w:val="none" w:sz="0" w:space="0" w:color="auto"/>
      </w:divBdr>
      <w:divsChild>
        <w:div w:id="1827357138">
          <w:marLeft w:val="0"/>
          <w:marRight w:val="0"/>
          <w:marTop w:val="0"/>
          <w:marBottom w:val="0"/>
          <w:divBdr>
            <w:top w:val="none" w:sz="0" w:space="0" w:color="auto"/>
            <w:left w:val="none" w:sz="0" w:space="0" w:color="auto"/>
            <w:bottom w:val="none" w:sz="0" w:space="0" w:color="auto"/>
            <w:right w:val="none" w:sz="0" w:space="0" w:color="auto"/>
          </w:divBdr>
          <w:divsChild>
            <w:div w:id="318850786">
              <w:marLeft w:val="0"/>
              <w:marRight w:val="0"/>
              <w:marTop w:val="0"/>
              <w:marBottom w:val="0"/>
              <w:divBdr>
                <w:top w:val="none" w:sz="0" w:space="0" w:color="auto"/>
                <w:left w:val="none" w:sz="0" w:space="0" w:color="auto"/>
                <w:bottom w:val="none" w:sz="0" w:space="0" w:color="auto"/>
                <w:right w:val="none" w:sz="0" w:space="0" w:color="auto"/>
              </w:divBdr>
              <w:divsChild>
                <w:div w:id="706759495">
                  <w:marLeft w:val="0"/>
                  <w:marRight w:val="0"/>
                  <w:marTop w:val="0"/>
                  <w:marBottom w:val="0"/>
                  <w:divBdr>
                    <w:top w:val="none" w:sz="0" w:space="0" w:color="auto"/>
                    <w:left w:val="none" w:sz="0" w:space="0" w:color="auto"/>
                    <w:bottom w:val="none" w:sz="0" w:space="0" w:color="auto"/>
                    <w:right w:val="none" w:sz="0" w:space="0" w:color="auto"/>
                  </w:divBdr>
                  <w:divsChild>
                    <w:div w:id="1411922329">
                      <w:marLeft w:val="0"/>
                      <w:marRight w:val="0"/>
                      <w:marTop w:val="0"/>
                      <w:marBottom w:val="0"/>
                      <w:divBdr>
                        <w:top w:val="none" w:sz="0" w:space="0" w:color="auto"/>
                        <w:left w:val="none" w:sz="0" w:space="0" w:color="auto"/>
                        <w:bottom w:val="none" w:sz="0" w:space="0" w:color="auto"/>
                        <w:right w:val="none" w:sz="0" w:space="0" w:color="auto"/>
                      </w:divBdr>
                      <w:divsChild>
                        <w:div w:id="1298026620">
                          <w:marLeft w:val="0"/>
                          <w:marRight w:val="0"/>
                          <w:marTop w:val="0"/>
                          <w:marBottom w:val="0"/>
                          <w:divBdr>
                            <w:top w:val="none" w:sz="0" w:space="0" w:color="auto"/>
                            <w:left w:val="none" w:sz="0" w:space="0" w:color="auto"/>
                            <w:bottom w:val="none" w:sz="0" w:space="0" w:color="auto"/>
                            <w:right w:val="none" w:sz="0" w:space="0" w:color="auto"/>
                          </w:divBdr>
                          <w:divsChild>
                            <w:div w:id="1211187867">
                              <w:marLeft w:val="0"/>
                              <w:marRight w:val="0"/>
                              <w:marTop w:val="0"/>
                              <w:marBottom w:val="0"/>
                              <w:divBdr>
                                <w:top w:val="none" w:sz="0" w:space="0" w:color="auto"/>
                                <w:left w:val="none" w:sz="0" w:space="0" w:color="auto"/>
                                <w:bottom w:val="none" w:sz="0" w:space="0" w:color="auto"/>
                                <w:right w:val="none" w:sz="0" w:space="0" w:color="auto"/>
                              </w:divBdr>
                              <w:divsChild>
                                <w:div w:id="1581479939">
                                  <w:marLeft w:val="-225"/>
                                  <w:marRight w:val="-225"/>
                                  <w:marTop w:val="0"/>
                                  <w:marBottom w:val="0"/>
                                  <w:divBdr>
                                    <w:top w:val="none" w:sz="0" w:space="0" w:color="auto"/>
                                    <w:left w:val="none" w:sz="0" w:space="0" w:color="auto"/>
                                    <w:bottom w:val="none" w:sz="0" w:space="0" w:color="auto"/>
                                    <w:right w:val="none" w:sz="0" w:space="0" w:color="auto"/>
                                  </w:divBdr>
                                  <w:divsChild>
                                    <w:div w:id="274213453">
                                      <w:marLeft w:val="0"/>
                                      <w:marRight w:val="0"/>
                                      <w:marTop w:val="0"/>
                                      <w:marBottom w:val="0"/>
                                      <w:divBdr>
                                        <w:top w:val="none" w:sz="0" w:space="0" w:color="auto"/>
                                        <w:left w:val="none" w:sz="0" w:space="0" w:color="auto"/>
                                        <w:bottom w:val="none" w:sz="0" w:space="0" w:color="auto"/>
                                        <w:right w:val="none" w:sz="0" w:space="0" w:color="auto"/>
                                      </w:divBdr>
                                      <w:divsChild>
                                        <w:div w:id="1400786049">
                                          <w:marLeft w:val="0"/>
                                          <w:marRight w:val="0"/>
                                          <w:marTop w:val="0"/>
                                          <w:marBottom w:val="0"/>
                                          <w:divBdr>
                                            <w:top w:val="none" w:sz="0" w:space="0" w:color="auto"/>
                                            <w:left w:val="none" w:sz="0" w:space="0" w:color="auto"/>
                                            <w:bottom w:val="none" w:sz="0" w:space="0" w:color="auto"/>
                                            <w:right w:val="none" w:sz="0" w:space="0" w:color="auto"/>
                                          </w:divBdr>
                                          <w:divsChild>
                                            <w:div w:id="1195465279">
                                              <w:marLeft w:val="0"/>
                                              <w:marRight w:val="0"/>
                                              <w:marTop w:val="0"/>
                                              <w:marBottom w:val="0"/>
                                              <w:divBdr>
                                                <w:top w:val="single" w:sz="6" w:space="0" w:color="EEEEEE"/>
                                                <w:left w:val="single" w:sz="6" w:space="0" w:color="EEEEEE"/>
                                                <w:bottom w:val="single" w:sz="6" w:space="0" w:color="EEEEEE"/>
                                                <w:right w:val="single" w:sz="6" w:space="0" w:color="EEEEEE"/>
                                              </w:divBdr>
                                              <w:divsChild>
                                                <w:div w:id="1396125417">
                                                  <w:marLeft w:val="0"/>
                                                  <w:marRight w:val="0"/>
                                                  <w:marTop w:val="0"/>
                                                  <w:marBottom w:val="0"/>
                                                  <w:divBdr>
                                                    <w:top w:val="none" w:sz="0" w:space="0" w:color="auto"/>
                                                    <w:left w:val="none" w:sz="0" w:space="0" w:color="auto"/>
                                                    <w:bottom w:val="none" w:sz="0" w:space="0" w:color="auto"/>
                                                    <w:right w:val="none" w:sz="0" w:space="0" w:color="auto"/>
                                                  </w:divBdr>
                                                  <w:divsChild>
                                                    <w:div w:id="1303079799">
                                                      <w:marLeft w:val="0"/>
                                                      <w:marRight w:val="0"/>
                                                      <w:marTop w:val="0"/>
                                                      <w:marBottom w:val="0"/>
                                                      <w:divBdr>
                                                        <w:top w:val="none" w:sz="0" w:space="0" w:color="auto"/>
                                                        <w:left w:val="none" w:sz="0" w:space="0" w:color="auto"/>
                                                        <w:bottom w:val="none" w:sz="0" w:space="0" w:color="auto"/>
                                                        <w:right w:val="none" w:sz="0" w:space="0" w:color="auto"/>
                                                      </w:divBdr>
                                                      <w:divsChild>
                                                        <w:div w:id="1698388443">
                                                          <w:marLeft w:val="0"/>
                                                          <w:marRight w:val="0"/>
                                                          <w:marTop w:val="0"/>
                                                          <w:marBottom w:val="0"/>
                                                          <w:divBdr>
                                                            <w:top w:val="none" w:sz="0" w:space="0" w:color="auto"/>
                                                            <w:left w:val="none" w:sz="0" w:space="0" w:color="auto"/>
                                                            <w:bottom w:val="none" w:sz="0" w:space="0" w:color="auto"/>
                                                            <w:right w:val="none" w:sz="0" w:space="0" w:color="auto"/>
                                                          </w:divBdr>
                                                          <w:divsChild>
                                                            <w:div w:id="454449691">
                                                              <w:marLeft w:val="0"/>
                                                              <w:marRight w:val="0"/>
                                                              <w:marTop w:val="0"/>
                                                              <w:marBottom w:val="0"/>
                                                              <w:divBdr>
                                                                <w:top w:val="none" w:sz="0" w:space="0" w:color="auto"/>
                                                                <w:left w:val="none" w:sz="0" w:space="0" w:color="auto"/>
                                                                <w:bottom w:val="none" w:sz="0" w:space="0" w:color="auto"/>
                                                                <w:right w:val="none" w:sz="0" w:space="0" w:color="auto"/>
                                                              </w:divBdr>
                                                              <w:divsChild>
                                                                <w:div w:id="248929157">
                                                                  <w:marLeft w:val="0"/>
                                                                  <w:marRight w:val="0"/>
                                                                  <w:marTop w:val="0"/>
                                                                  <w:marBottom w:val="0"/>
                                                                  <w:divBdr>
                                                                    <w:top w:val="none" w:sz="0" w:space="0" w:color="auto"/>
                                                                    <w:left w:val="none" w:sz="0" w:space="0" w:color="auto"/>
                                                                    <w:bottom w:val="none" w:sz="0" w:space="0" w:color="auto"/>
                                                                    <w:right w:val="none" w:sz="0" w:space="0" w:color="auto"/>
                                                                  </w:divBdr>
                                                                  <w:divsChild>
                                                                    <w:div w:id="1852405812">
                                                                      <w:marLeft w:val="0"/>
                                                                      <w:marRight w:val="0"/>
                                                                      <w:marTop w:val="0"/>
                                                                      <w:marBottom w:val="0"/>
                                                                      <w:divBdr>
                                                                        <w:top w:val="none" w:sz="0" w:space="0" w:color="auto"/>
                                                                        <w:left w:val="none" w:sz="0" w:space="0" w:color="auto"/>
                                                                        <w:bottom w:val="none" w:sz="0" w:space="0" w:color="auto"/>
                                                                        <w:right w:val="none" w:sz="0" w:space="0" w:color="auto"/>
                                                                      </w:divBdr>
                                                                      <w:divsChild>
                                                                        <w:div w:id="813183322">
                                                                          <w:marLeft w:val="0"/>
                                                                          <w:marRight w:val="0"/>
                                                                          <w:marTop w:val="0"/>
                                                                          <w:marBottom w:val="0"/>
                                                                          <w:divBdr>
                                                                            <w:top w:val="none" w:sz="0" w:space="0" w:color="auto"/>
                                                                            <w:left w:val="none" w:sz="0" w:space="0" w:color="auto"/>
                                                                            <w:bottom w:val="none" w:sz="0" w:space="0" w:color="auto"/>
                                                                            <w:right w:val="none" w:sz="0" w:space="0" w:color="auto"/>
                                                                          </w:divBdr>
                                                                          <w:divsChild>
                                                                            <w:div w:id="839932018">
                                                                              <w:marLeft w:val="0"/>
                                                                              <w:marRight w:val="0"/>
                                                                              <w:marTop w:val="0"/>
                                                                              <w:marBottom w:val="0"/>
                                                                              <w:divBdr>
                                                                                <w:top w:val="none" w:sz="0" w:space="0" w:color="auto"/>
                                                                                <w:left w:val="none" w:sz="0" w:space="0" w:color="auto"/>
                                                                                <w:bottom w:val="none" w:sz="0" w:space="0" w:color="auto"/>
                                                                                <w:right w:val="none" w:sz="0" w:space="0" w:color="auto"/>
                                                                              </w:divBdr>
                                                                              <w:divsChild>
                                                                                <w:div w:id="1060010260">
                                                                                  <w:marLeft w:val="0"/>
                                                                                  <w:marRight w:val="0"/>
                                                                                  <w:marTop w:val="0"/>
                                                                                  <w:marBottom w:val="0"/>
                                                                                  <w:divBdr>
                                                                                    <w:top w:val="none" w:sz="0" w:space="0" w:color="auto"/>
                                                                                    <w:left w:val="none" w:sz="0" w:space="0" w:color="auto"/>
                                                                                    <w:bottom w:val="none" w:sz="0" w:space="0" w:color="auto"/>
                                                                                    <w:right w:val="none" w:sz="0" w:space="0" w:color="auto"/>
                                                                                  </w:divBdr>
                                                                                  <w:divsChild>
                                                                                    <w:div w:id="7882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91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A135AE7-B529-4801-B68A-DC3EC0F0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934</Words>
  <Characters>5328</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6250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 LAWRENCE</dc:creator>
  <cp:lastModifiedBy>Martine LAWRENCE</cp:lastModifiedBy>
  <cp:revision>7</cp:revision>
  <cp:lastPrinted>2017-02-02T14:44:00Z</cp:lastPrinted>
  <dcterms:created xsi:type="dcterms:W3CDTF">2017-02-14T15:22:00Z</dcterms:created>
  <dcterms:modified xsi:type="dcterms:W3CDTF">2017-02-22T14:02:00Z</dcterms:modified>
</cp:coreProperties>
</file>