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49" w:rsidRPr="009C2A49" w:rsidRDefault="009C2A49" w:rsidP="00893D45">
      <w:pPr>
        <w:tabs>
          <w:tab w:val="left" w:pos="567"/>
          <w:tab w:val="left" w:pos="1134"/>
        </w:tabs>
        <w:jc w:val="center"/>
        <w:rPr>
          <w:rFonts w:asciiTheme="minorHAnsi" w:hAnsiTheme="minorHAnsi"/>
          <w:b/>
          <w:sz w:val="22"/>
          <w:szCs w:val="22"/>
        </w:rPr>
      </w:pPr>
    </w:p>
    <w:p w:rsidR="009C2A49" w:rsidRPr="009474A4" w:rsidRDefault="009C2A49" w:rsidP="009474A4">
      <w:pPr>
        <w:pStyle w:val="Standard"/>
        <w:jc w:val="center"/>
        <w:rPr>
          <w:rFonts w:asciiTheme="minorHAnsi" w:hAnsiTheme="minorHAnsi"/>
          <w:b/>
          <w:bCs/>
          <w:sz w:val="28"/>
          <w:szCs w:val="28"/>
        </w:rPr>
      </w:pPr>
      <w:r w:rsidRPr="009474A4">
        <w:rPr>
          <w:rFonts w:asciiTheme="minorHAnsi" w:hAnsiTheme="minorHAnsi"/>
          <w:b/>
          <w:bCs/>
          <w:sz w:val="28"/>
          <w:szCs w:val="28"/>
        </w:rPr>
        <w:t>European Youth Foundation</w:t>
      </w:r>
    </w:p>
    <w:p w:rsidR="009474A4" w:rsidRDefault="009474A4" w:rsidP="009474A4">
      <w:pPr>
        <w:pStyle w:val="Standard"/>
        <w:jc w:val="center"/>
        <w:rPr>
          <w:rFonts w:asciiTheme="minorHAnsi" w:hAnsiTheme="minorHAnsi"/>
          <w:b/>
          <w:bCs/>
          <w:sz w:val="22"/>
          <w:szCs w:val="22"/>
        </w:rPr>
      </w:pPr>
    </w:p>
    <w:p w:rsidR="00893D45" w:rsidRDefault="00893D45" w:rsidP="009474A4">
      <w:pPr>
        <w:pStyle w:val="Standard"/>
        <w:jc w:val="center"/>
        <w:rPr>
          <w:rFonts w:asciiTheme="minorHAnsi" w:hAnsiTheme="minorHAnsi"/>
          <w:b/>
          <w:bCs/>
          <w:sz w:val="28"/>
          <w:szCs w:val="28"/>
        </w:rPr>
      </w:pPr>
      <w:r w:rsidRPr="009474A4">
        <w:rPr>
          <w:rFonts w:asciiTheme="minorHAnsi" w:hAnsiTheme="minorHAnsi"/>
          <w:b/>
          <w:bCs/>
          <w:sz w:val="28"/>
          <w:szCs w:val="28"/>
        </w:rPr>
        <w:t>2018-2019 Structural Grants</w:t>
      </w:r>
    </w:p>
    <w:p w:rsidR="0092490A" w:rsidRDefault="0092490A" w:rsidP="009474A4">
      <w:pPr>
        <w:pStyle w:val="Standard"/>
        <w:jc w:val="center"/>
        <w:rPr>
          <w:rFonts w:asciiTheme="minorHAnsi" w:hAnsiTheme="minorHAnsi"/>
          <w:b/>
          <w:bCs/>
        </w:rPr>
      </w:pPr>
    </w:p>
    <w:p w:rsidR="009474A4" w:rsidRDefault="009474A4" w:rsidP="009474A4">
      <w:pPr>
        <w:pStyle w:val="Standard"/>
        <w:jc w:val="center"/>
        <w:rPr>
          <w:rFonts w:asciiTheme="minorHAnsi" w:hAnsiTheme="minorHAnsi"/>
          <w:b/>
          <w:bCs/>
          <w:lang w:val="en-US"/>
        </w:rPr>
      </w:pPr>
      <w:r w:rsidRPr="009474A4">
        <w:rPr>
          <w:rFonts w:asciiTheme="minorHAnsi" w:hAnsiTheme="minorHAnsi"/>
          <w:b/>
          <w:bCs/>
        </w:rPr>
        <w:t xml:space="preserve">Allocation criteria </w:t>
      </w:r>
      <w:r w:rsidR="009C2A49" w:rsidRPr="009474A4">
        <w:rPr>
          <w:rFonts w:asciiTheme="minorHAnsi" w:hAnsiTheme="minorHAnsi"/>
          <w:b/>
          <w:bCs/>
        </w:rPr>
        <w:t xml:space="preserve">approved by the </w:t>
      </w:r>
      <w:r w:rsidR="009C2A49" w:rsidRPr="009474A4">
        <w:rPr>
          <w:rFonts w:asciiTheme="minorHAnsi" w:hAnsiTheme="minorHAnsi"/>
          <w:b/>
          <w:bCs/>
          <w:lang w:val="en-US"/>
        </w:rPr>
        <w:t>Programming Committee on Youth</w:t>
      </w:r>
    </w:p>
    <w:p w:rsidR="009C2A49" w:rsidRPr="009474A4" w:rsidRDefault="009C2A49" w:rsidP="009474A4">
      <w:pPr>
        <w:pStyle w:val="Standard"/>
        <w:jc w:val="center"/>
        <w:rPr>
          <w:rFonts w:asciiTheme="minorHAnsi" w:hAnsiTheme="minorHAnsi"/>
          <w:b/>
          <w:bCs/>
        </w:rPr>
      </w:pPr>
      <w:proofErr w:type="gramStart"/>
      <w:r w:rsidRPr="009474A4">
        <w:rPr>
          <w:rFonts w:asciiTheme="minorHAnsi" w:hAnsiTheme="minorHAnsi"/>
          <w:b/>
          <w:bCs/>
          <w:lang w:val="en-US"/>
        </w:rPr>
        <w:t>at</w:t>
      </w:r>
      <w:proofErr w:type="gramEnd"/>
      <w:r w:rsidRPr="009474A4">
        <w:rPr>
          <w:rFonts w:asciiTheme="minorHAnsi" w:hAnsiTheme="minorHAnsi"/>
          <w:b/>
          <w:bCs/>
          <w:lang w:val="en-US"/>
        </w:rPr>
        <w:t xml:space="preserve"> its 36th meeting, December 2016</w:t>
      </w:r>
    </w:p>
    <w:p w:rsidR="00893D45" w:rsidRPr="009C2A49" w:rsidRDefault="00893D45" w:rsidP="009474A4">
      <w:pPr>
        <w:pStyle w:val="Standard"/>
        <w:jc w:val="both"/>
        <w:rPr>
          <w:rFonts w:asciiTheme="minorHAnsi" w:hAnsiTheme="minorHAnsi"/>
          <w:b/>
          <w:bCs/>
          <w:sz w:val="22"/>
          <w:szCs w:val="22"/>
        </w:rPr>
      </w:pPr>
    </w:p>
    <w:p w:rsidR="009474A4" w:rsidRDefault="009474A4" w:rsidP="009474A4">
      <w:pPr>
        <w:pStyle w:val="Standard"/>
        <w:tabs>
          <w:tab w:val="left" w:pos="567"/>
        </w:tabs>
        <w:jc w:val="both"/>
        <w:rPr>
          <w:rFonts w:asciiTheme="minorHAnsi" w:hAnsiTheme="minorHAnsi"/>
          <w:b/>
          <w:bCs/>
        </w:rPr>
      </w:pPr>
    </w:p>
    <w:p w:rsidR="00893D45" w:rsidRPr="009474A4" w:rsidRDefault="00893D45" w:rsidP="009474A4">
      <w:pPr>
        <w:pStyle w:val="Standard"/>
        <w:tabs>
          <w:tab w:val="left" w:pos="567"/>
        </w:tabs>
        <w:jc w:val="both"/>
        <w:rPr>
          <w:rFonts w:asciiTheme="minorHAnsi" w:hAnsiTheme="minorHAnsi"/>
          <w:b/>
          <w:bCs/>
        </w:rPr>
      </w:pPr>
      <w:r w:rsidRPr="009474A4">
        <w:rPr>
          <w:rFonts w:asciiTheme="minorHAnsi" w:hAnsiTheme="minorHAnsi"/>
          <w:b/>
          <w:bCs/>
        </w:rPr>
        <w:t>I.</w:t>
      </w:r>
      <w:r w:rsidRPr="009474A4">
        <w:rPr>
          <w:rFonts w:asciiTheme="minorHAnsi" w:hAnsiTheme="minorHAnsi"/>
          <w:b/>
          <w:bCs/>
        </w:rPr>
        <w:tab/>
        <w:t>Eligibility criteria</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International youth NGOs (branches in at least seven member States of the European Youth Foundation) and international networks (composed of at least seven member organisations from at least seven member States of the European Youth Foundation)</w:t>
      </w:r>
      <w:bookmarkStart w:id="0" w:name="_GoBack"/>
      <w:bookmarkEnd w:id="0"/>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with a European structure or a European secretariat;</w:t>
      </w:r>
    </w:p>
    <w:p w:rsidR="00893D45" w:rsidRPr="009C2A49" w:rsidRDefault="00893D45" w:rsidP="009474A4">
      <w:pPr>
        <w:pStyle w:val="Standard"/>
        <w:ind w:left="993" w:hanging="426"/>
        <w:jc w:val="both"/>
        <w:rPr>
          <w:rFonts w:asciiTheme="minorHAnsi" w:hAnsiTheme="minorHAnsi"/>
          <w:sz w:val="22"/>
          <w:szCs w:val="22"/>
        </w:rPr>
      </w:pP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having received support during the 3 previous years (reference period: 2015, 2016 and 2017) for at least 3 international activities (EYF grant or study session in the annual programme of the European Youth Centres);</w:t>
      </w:r>
    </w:p>
    <w:p w:rsidR="00893D45" w:rsidRPr="009C2A49" w:rsidRDefault="00893D45" w:rsidP="009474A4">
      <w:pPr>
        <w:pStyle w:val="Standard"/>
        <w:ind w:left="993" w:hanging="426"/>
        <w:jc w:val="both"/>
        <w:rPr>
          <w:rFonts w:asciiTheme="minorHAnsi" w:hAnsiTheme="minorHAnsi"/>
          <w:sz w:val="22"/>
          <w:szCs w:val="22"/>
        </w:rPr>
      </w:pPr>
    </w:p>
    <w:p w:rsidR="00893D45" w:rsidRPr="009C2A49" w:rsidRDefault="00893D45" w:rsidP="009474A4">
      <w:pPr>
        <w:pStyle w:val="Standard"/>
        <w:numPr>
          <w:ilvl w:val="0"/>
          <w:numId w:val="1"/>
        </w:numPr>
        <w:ind w:left="993" w:hanging="426"/>
        <w:jc w:val="both"/>
        <w:rPr>
          <w:rFonts w:asciiTheme="minorHAnsi" w:hAnsiTheme="minorHAnsi"/>
          <w:sz w:val="22"/>
          <w:szCs w:val="22"/>
        </w:rPr>
      </w:pPr>
      <w:proofErr w:type="gramStart"/>
      <w:r w:rsidRPr="009C2A49">
        <w:rPr>
          <w:rFonts w:asciiTheme="minorHAnsi" w:hAnsiTheme="minorHAnsi"/>
          <w:sz w:val="22"/>
          <w:szCs w:val="22"/>
        </w:rPr>
        <w:t>having</w:t>
      </w:r>
      <w:proofErr w:type="gramEnd"/>
      <w:r w:rsidRPr="009C2A49">
        <w:rPr>
          <w:rFonts w:asciiTheme="minorHAnsi" w:hAnsiTheme="minorHAnsi"/>
          <w:sz w:val="22"/>
          <w:szCs w:val="22"/>
        </w:rPr>
        <w:t xml:space="preserve"> received EYF grants in at least 2 out of the 3 years of the reference period.</w:t>
      </w: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 xml:space="preserve"> </w:t>
      </w: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The following are considered as support for international activities:</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an EYF grant for an international one-off activity;</w:t>
      </w: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an EYF grant for an annual work plan (the number of international activities within a work plan will be taken into account up to a maximum of 2 per work plan)</w:t>
      </w:r>
      <w:r w:rsidRPr="009C2A49">
        <w:rPr>
          <w:rFonts w:asciiTheme="minorHAnsi" w:hAnsiTheme="minorHAnsi"/>
          <w:sz w:val="22"/>
          <w:szCs w:val="22"/>
          <w:vertAlign w:val="superscript"/>
        </w:rPr>
        <w:footnoteReference w:id="1"/>
      </w:r>
      <w:r w:rsidRPr="009C2A49">
        <w:rPr>
          <w:rFonts w:asciiTheme="minorHAnsi" w:hAnsiTheme="minorHAnsi"/>
          <w:sz w:val="22"/>
          <w:szCs w:val="22"/>
        </w:rPr>
        <w:t>;</w:t>
      </w:r>
    </w:p>
    <w:p w:rsidR="00893D45" w:rsidRPr="009C2A49" w:rsidRDefault="00893D45" w:rsidP="009474A4">
      <w:pPr>
        <w:pStyle w:val="Standard"/>
        <w:numPr>
          <w:ilvl w:val="0"/>
          <w:numId w:val="1"/>
        </w:numPr>
        <w:ind w:left="993" w:hanging="426"/>
        <w:jc w:val="both"/>
        <w:rPr>
          <w:rFonts w:asciiTheme="minorHAnsi" w:hAnsiTheme="minorHAnsi"/>
          <w:sz w:val="22"/>
          <w:szCs w:val="22"/>
        </w:rPr>
      </w:pPr>
      <w:proofErr w:type="gramStart"/>
      <w:r w:rsidRPr="009C2A49">
        <w:rPr>
          <w:rFonts w:asciiTheme="minorHAnsi" w:hAnsiTheme="minorHAnsi"/>
          <w:sz w:val="22"/>
          <w:szCs w:val="22"/>
        </w:rPr>
        <w:t>one</w:t>
      </w:r>
      <w:proofErr w:type="gramEnd"/>
      <w:r w:rsidRPr="009C2A49">
        <w:rPr>
          <w:rFonts w:asciiTheme="minorHAnsi" w:hAnsiTheme="minorHAnsi"/>
          <w:sz w:val="22"/>
          <w:szCs w:val="22"/>
        </w:rPr>
        <w:t xml:space="preserve"> study session in the programme of the European Youth Centres (Strasbourg or Budapest) during the three-year reference period.</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An international organisation/network is not eligible if:</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it has been supported only for study sessions during the reference period;</w:t>
      </w:r>
    </w:p>
    <w:p w:rsidR="00893D45" w:rsidRPr="009C2A49" w:rsidRDefault="00893D45" w:rsidP="009474A4">
      <w:pPr>
        <w:pStyle w:val="Standard"/>
        <w:numPr>
          <w:ilvl w:val="0"/>
          <w:numId w:val="1"/>
        </w:numPr>
        <w:ind w:left="993" w:hanging="426"/>
        <w:jc w:val="both"/>
        <w:rPr>
          <w:rFonts w:asciiTheme="minorHAnsi" w:hAnsiTheme="minorHAnsi"/>
          <w:sz w:val="22"/>
          <w:szCs w:val="22"/>
        </w:rPr>
      </w:pPr>
      <w:r w:rsidRPr="009C2A49">
        <w:rPr>
          <w:rFonts w:asciiTheme="minorHAnsi" w:hAnsiTheme="minorHAnsi"/>
          <w:sz w:val="22"/>
          <w:szCs w:val="22"/>
        </w:rPr>
        <w:t>it did not receive any EYF grant during the two most recent years of the reference period (2016 and 2017);</w:t>
      </w:r>
    </w:p>
    <w:p w:rsidR="00893D45" w:rsidRPr="009C2A49" w:rsidRDefault="00893D45" w:rsidP="009474A4">
      <w:pPr>
        <w:pStyle w:val="Standard"/>
        <w:numPr>
          <w:ilvl w:val="0"/>
          <w:numId w:val="1"/>
        </w:numPr>
        <w:ind w:left="993" w:hanging="426"/>
        <w:jc w:val="both"/>
        <w:rPr>
          <w:rFonts w:asciiTheme="minorHAnsi" w:hAnsiTheme="minorHAnsi"/>
          <w:sz w:val="22"/>
          <w:szCs w:val="22"/>
        </w:rPr>
      </w:pPr>
      <w:proofErr w:type="gramStart"/>
      <w:r w:rsidRPr="009C2A49">
        <w:rPr>
          <w:rFonts w:asciiTheme="minorHAnsi" w:hAnsiTheme="minorHAnsi"/>
          <w:sz w:val="22"/>
          <w:szCs w:val="22"/>
        </w:rPr>
        <w:t>it</w:t>
      </w:r>
      <w:proofErr w:type="gramEnd"/>
      <w:r w:rsidRPr="009C2A49">
        <w:rPr>
          <w:rFonts w:asciiTheme="minorHAnsi" w:hAnsiTheme="minorHAnsi"/>
          <w:sz w:val="22"/>
          <w:szCs w:val="22"/>
        </w:rPr>
        <w:t xml:space="preserve"> has received EYF grants for only one year during the reference period.</w:t>
      </w:r>
    </w:p>
    <w:p w:rsidR="00893D45" w:rsidRPr="009C2A49" w:rsidRDefault="00893D45" w:rsidP="009474A4">
      <w:pPr>
        <w:pStyle w:val="Standard"/>
        <w:jc w:val="both"/>
        <w:rPr>
          <w:rFonts w:asciiTheme="minorHAnsi" w:hAnsiTheme="minorHAnsi"/>
          <w:b/>
          <w:bCs/>
          <w:sz w:val="22"/>
          <w:szCs w:val="22"/>
        </w:rPr>
      </w:pPr>
    </w:p>
    <w:p w:rsidR="009474A4" w:rsidRDefault="009474A4">
      <w:pPr>
        <w:spacing w:after="200" w:line="276" w:lineRule="auto"/>
        <w:rPr>
          <w:rFonts w:asciiTheme="minorHAnsi" w:eastAsia="SimSun" w:hAnsiTheme="minorHAnsi" w:cs="Mangal"/>
          <w:b/>
          <w:bCs/>
          <w:kern w:val="3"/>
          <w:sz w:val="22"/>
          <w:szCs w:val="22"/>
          <w:lang w:val="en-GB" w:eastAsia="zh-CN" w:bidi="hi-IN"/>
        </w:rPr>
      </w:pPr>
      <w:r>
        <w:rPr>
          <w:rFonts w:asciiTheme="minorHAnsi" w:hAnsiTheme="minorHAnsi"/>
          <w:b/>
          <w:bCs/>
          <w:sz w:val="22"/>
          <w:szCs w:val="22"/>
        </w:rPr>
        <w:br w:type="page"/>
      </w:r>
    </w:p>
    <w:p w:rsidR="00893D45" w:rsidRPr="009C2A49" w:rsidRDefault="00893D45" w:rsidP="009474A4">
      <w:pPr>
        <w:pStyle w:val="Standard"/>
        <w:tabs>
          <w:tab w:val="left" w:pos="567"/>
        </w:tabs>
        <w:jc w:val="both"/>
        <w:rPr>
          <w:rFonts w:asciiTheme="minorHAnsi" w:hAnsiTheme="minorHAnsi"/>
          <w:b/>
          <w:bCs/>
          <w:sz w:val="22"/>
          <w:szCs w:val="22"/>
        </w:rPr>
      </w:pPr>
      <w:r w:rsidRPr="009C2A49">
        <w:rPr>
          <w:rFonts w:asciiTheme="minorHAnsi" w:hAnsiTheme="minorHAnsi"/>
          <w:b/>
          <w:bCs/>
          <w:sz w:val="22"/>
          <w:szCs w:val="22"/>
        </w:rPr>
        <w:lastRenderedPageBreak/>
        <w:t>II.</w:t>
      </w:r>
      <w:r w:rsidRPr="009C2A49">
        <w:rPr>
          <w:rFonts w:asciiTheme="minorHAnsi" w:hAnsiTheme="minorHAnsi"/>
          <w:b/>
          <w:bCs/>
          <w:sz w:val="22"/>
          <w:szCs w:val="22"/>
        </w:rPr>
        <w:tab/>
        <w:t>Method of calculation</w:t>
      </w:r>
    </w:p>
    <w:p w:rsidR="00893D45" w:rsidRPr="009C2A49" w:rsidRDefault="00893D45" w:rsidP="009474A4">
      <w:pPr>
        <w:pStyle w:val="Standard"/>
        <w:tabs>
          <w:tab w:val="left" w:pos="567"/>
        </w:tabs>
        <w:jc w:val="both"/>
        <w:rPr>
          <w:rFonts w:asciiTheme="minorHAnsi" w:hAnsiTheme="minorHAnsi"/>
          <w:b/>
          <w:bCs/>
          <w:sz w:val="22"/>
          <w:szCs w:val="22"/>
        </w:rPr>
      </w:pPr>
    </w:p>
    <w:p w:rsidR="00893D45" w:rsidRPr="009C2A49" w:rsidRDefault="00893D45" w:rsidP="009474A4">
      <w:pPr>
        <w:pStyle w:val="Standard"/>
        <w:tabs>
          <w:tab w:val="left" w:pos="567"/>
        </w:tabs>
        <w:jc w:val="both"/>
        <w:rPr>
          <w:rFonts w:asciiTheme="minorHAnsi" w:hAnsiTheme="minorHAnsi"/>
          <w:b/>
          <w:bCs/>
          <w:sz w:val="22"/>
          <w:szCs w:val="22"/>
        </w:rPr>
      </w:pPr>
      <w:r w:rsidRPr="009C2A49">
        <w:rPr>
          <w:rFonts w:asciiTheme="minorHAnsi" w:hAnsiTheme="minorHAnsi"/>
          <w:b/>
          <w:bCs/>
          <w:sz w:val="22"/>
          <w:szCs w:val="22"/>
        </w:rPr>
        <w:t>1.</w:t>
      </w:r>
      <w:r w:rsidRPr="009C2A49">
        <w:rPr>
          <w:rFonts w:asciiTheme="minorHAnsi" w:hAnsiTheme="minorHAnsi"/>
          <w:b/>
          <w:bCs/>
          <w:sz w:val="22"/>
          <w:szCs w:val="22"/>
        </w:rPr>
        <w:tab/>
        <w:t>Quantitative criteria</w:t>
      </w:r>
    </w:p>
    <w:p w:rsidR="00893D45" w:rsidRPr="009C2A49" w:rsidRDefault="00893D45" w:rsidP="009474A4">
      <w:pPr>
        <w:pStyle w:val="Standard"/>
        <w:jc w:val="both"/>
        <w:rPr>
          <w:rFonts w:asciiTheme="minorHAnsi" w:hAnsiTheme="minorHAnsi"/>
          <w:b/>
          <w:bCs/>
          <w:sz w:val="22"/>
          <w:szCs w:val="22"/>
        </w:rPr>
      </w:pPr>
    </w:p>
    <w:p w:rsidR="00893D45" w:rsidRPr="009C2A49" w:rsidRDefault="00893D45" w:rsidP="009474A4">
      <w:pPr>
        <w:pStyle w:val="Standard"/>
        <w:tabs>
          <w:tab w:val="left" w:pos="567"/>
        </w:tabs>
        <w:jc w:val="both"/>
        <w:rPr>
          <w:rFonts w:asciiTheme="minorHAnsi" w:hAnsiTheme="minorHAnsi"/>
          <w:b/>
          <w:bCs/>
          <w:i/>
          <w:iCs/>
          <w:sz w:val="22"/>
          <w:szCs w:val="22"/>
          <w:u w:val="single"/>
        </w:rPr>
      </w:pPr>
      <w:r w:rsidRPr="009C2A49">
        <w:rPr>
          <w:rFonts w:asciiTheme="minorHAnsi" w:hAnsiTheme="minorHAnsi"/>
          <w:b/>
          <w:bCs/>
          <w:sz w:val="22"/>
          <w:szCs w:val="22"/>
        </w:rPr>
        <w:t xml:space="preserve">(a) </w:t>
      </w:r>
      <w:r w:rsidRPr="009C2A49">
        <w:rPr>
          <w:rFonts w:asciiTheme="minorHAnsi" w:hAnsiTheme="minorHAnsi"/>
          <w:b/>
          <w:bCs/>
          <w:sz w:val="22"/>
          <w:szCs w:val="22"/>
        </w:rPr>
        <w:tab/>
        <w:t xml:space="preserve">Grants received from the EYF and support to study sessions in the EYCs during the three previous years: </w:t>
      </w:r>
      <w:r w:rsidRPr="009C2A49">
        <w:rPr>
          <w:rFonts w:asciiTheme="minorHAnsi" w:hAnsiTheme="minorHAnsi"/>
          <w:b/>
          <w:bCs/>
          <w:i/>
          <w:iCs/>
          <w:sz w:val="22"/>
          <w:szCs w:val="22"/>
          <w:u w:val="single"/>
        </w:rPr>
        <w:t>past relations with the EYF</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u w:val="single"/>
        </w:rPr>
        <w:t>For each reference year 2015, 2016 and 2017</w:t>
      </w:r>
      <w:r w:rsidRPr="009C2A49">
        <w:rPr>
          <w:rFonts w:asciiTheme="minorHAnsi" w:hAnsiTheme="minorHAnsi"/>
          <w:sz w:val="22"/>
          <w:szCs w:val="22"/>
        </w:rPr>
        <w:t xml:space="preserve"> a maximum of 8 points can be allocated: 6 points for an annual work plan and 2 points for an international activity (up to 4 points if no work plan granted). Pilot activities will not be considered, as international NGOs and networks are not eligible for this category.</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The maximum number of points for this criterion is 24 points (8 for each reference year).</w:t>
      </w:r>
    </w:p>
    <w:p w:rsidR="00893D45" w:rsidRPr="009C2A49" w:rsidRDefault="00893D45" w:rsidP="009474A4">
      <w:pPr>
        <w:pStyle w:val="Standard"/>
        <w:jc w:val="both"/>
        <w:rPr>
          <w:rFonts w:asciiTheme="minorHAnsi" w:hAnsiTheme="minorHAnsi"/>
          <w:b/>
          <w:bCs/>
          <w:sz w:val="22"/>
          <w:szCs w:val="22"/>
        </w:rPr>
      </w:pPr>
    </w:p>
    <w:p w:rsidR="00893D45" w:rsidRPr="009C2A49" w:rsidRDefault="00893D45" w:rsidP="009474A4">
      <w:pPr>
        <w:pStyle w:val="Standard"/>
        <w:tabs>
          <w:tab w:val="left" w:pos="567"/>
        </w:tabs>
        <w:jc w:val="both"/>
        <w:rPr>
          <w:rFonts w:asciiTheme="minorHAnsi" w:hAnsiTheme="minorHAnsi"/>
          <w:b/>
          <w:bCs/>
          <w:i/>
          <w:iCs/>
          <w:sz w:val="22"/>
          <w:szCs w:val="22"/>
          <w:u w:val="single"/>
        </w:rPr>
      </w:pPr>
      <w:r w:rsidRPr="009C2A49">
        <w:rPr>
          <w:rFonts w:asciiTheme="minorHAnsi" w:hAnsiTheme="minorHAnsi"/>
          <w:b/>
          <w:bCs/>
          <w:sz w:val="22"/>
          <w:szCs w:val="22"/>
        </w:rPr>
        <w:t xml:space="preserve">(b) </w:t>
      </w:r>
      <w:r w:rsidRPr="009C2A49">
        <w:rPr>
          <w:rFonts w:asciiTheme="minorHAnsi" w:hAnsiTheme="minorHAnsi"/>
          <w:b/>
          <w:bCs/>
          <w:sz w:val="22"/>
          <w:szCs w:val="22"/>
        </w:rPr>
        <w:tab/>
        <w:t xml:space="preserve">Number of signatory States of the European Cultural Convention in which the organisation/network applying for a grant has branches or members: </w:t>
      </w:r>
      <w:r w:rsidRPr="009C2A49">
        <w:rPr>
          <w:rFonts w:asciiTheme="minorHAnsi" w:hAnsiTheme="minorHAnsi"/>
          <w:b/>
          <w:bCs/>
          <w:i/>
          <w:iCs/>
          <w:sz w:val="22"/>
          <w:szCs w:val="22"/>
          <w:u w:val="single"/>
        </w:rPr>
        <w:t>recognition of the European dimension of the organisation/network</w:t>
      </w:r>
    </w:p>
    <w:p w:rsidR="00893D45" w:rsidRPr="009C2A49" w:rsidRDefault="00893D45" w:rsidP="009474A4">
      <w:pPr>
        <w:pStyle w:val="Standard"/>
        <w:jc w:val="both"/>
        <w:rPr>
          <w:rFonts w:asciiTheme="minorHAnsi" w:hAnsiTheme="minorHAnsi"/>
          <w:b/>
          <w:bCs/>
          <w:i/>
          <w:iCs/>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Each international organisation/network is awarded 0.5 point for each member State of the Council of Europe in which it has one or more branches/members (minimum 3.5 points / maximum of 23.5 points).</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In addition, each organisation/network is awarded 1 point for each of the 3 non Council of Europe member States signatory to the European Cultural Convention (Belarus, Kazakhstan and Holy See) in which it has one or more branches/members (3 countries, maximum of 3 points).</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bCs/>
          <w:i/>
          <w:sz w:val="22"/>
          <w:szCs w:val="22"/>
          <w:u w:val="single"/>
        </w:rPr>
      </w:pPr>
      <w:r w:rsidRPr="009C2A49">
        <w:rPr>
          <w:rFonts w:asciiTheme="minorHAnsi" w:hAnsiTheme="minorHAnsi"/>
          <w:bCs/>
          <w:sz w:val="22"/>
          <w:szCs w:val="22"/>
        </w:rPr>
        <w:t>In total for this criterion: minimum 3.5 points, maximum 26.5 points.</w:t>
      </w:r>
    </w:p>
    <w:p w:rsidR="00893D45" w:rsidRPr="009C2A49" w:rsidRDefault="00893D45" w:rsidP="009474A4">
      <w:pPr>
        <w:pStyle w:val="Standard"/>
        <w:jc w:val="both"/>
        <w:rPr>
          <w:rFonts w:asciiTheme="minorHAnsi" w:hAnsiTheme="minorHAnsi"/>
          <w:b/>
          <w:bCs/>
          <w:sz w:val="22"/>
          <w:szCs w:val="22"/>
        </w:rPr>
      </w:pPr>
    </w:p>
    <w:p w:rsidR="00893D45" w:rsidRPr="009C2A49" w:rsidRDefault="00893D45" w:rsidP="009474A4">
      <w:pPr>
        <w:pStyle w:val="Standard"/>
        <w:tabs>
          <w:tab w:val="left" w:pos="567"/>
        </w:tabs>
        <w:jc w:val="both"/>
        <w:rPr>
          <w:rFonts w:asciiTheme="minorHAnsi" w:hAnsiTheme="minorHAnsi"/>
          <w:b/>
          <w:bCs/>
          <w:sz w:val="22"/>
          <w:szCs w:val="22"/>
        </w:rPr>
      </w:pPr>
      <w:r w:rsidRPr="009C2A49">
        <w:rPr>
          <w:rFonts w:asciiTheme="minorHAnsi" w:hAnsiTheme="minorHAnsi"/>
          <w:b/>
          <w:bCs/>
          <w:sz w:val="22"/>
          <w:szCs w:val="22"/>
        </w:rPr>
        <w:t>(c)</w:t>
      </w:r>
      <w:r w:rsidRPr="009C2A49">
        <w:rPr>
          <w:rFonts w:asciiTheme="minorHAnsi" w:hAnsiTheme="minorHAnsi"/>
          <w:b/>
          <w:bCs/>
          <w:sz w:val="22"/>
          <w:szCs w:val="22"/>
        </w:rPr>
        <w:tab/>
        <w:t xml:space="preserve">Staff employed by the European structure or secretariat of the applicant organisation/network: </w:t>
      </w:r>
      <w:r w:rsidRPr="009C2A49">
        <w:rPr>
          <w:rFonts w:asciiTheme="minorHAnsi" w:hAnsiTheme="minorHAnsi"/>
          <w:b/>
          <w:bCs/>
          <w:i/>
          <w:iCs/>
          <w:sz w:val="22"/>
          <w:szCs w:val="22"/>
          <w:u w:val="single"/>
        </w:rPr>
        <w:t>direct link with a financial need</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Each international organisation/network is awarded 4.5 points if it employs staff (regardless of the number of employees, wages and number of working hours). The organisation/network must provide proof of employment.</w:t>
      </w:r>
    </w:p>
    <w:p w:rsidR="00893D45" w:rsidRPr="009C2A49" w:rsidRDefault="00893D45" w:rsidP="009474A4">
      <w:pPr>
        <w:pStyle w:val="Standard"/>
        <w:jc w:val="both"/>
        <w:rPr>
          <w:rFonts w:asciiTheme="minorHAnsi" w:hAnsiTheme="minorHAnsi"/>
          <w:b/>
          <w:bCs/>
          <w:sz w:val="22"/>
          <w:szCs w:val="22"/>
        </w:rPr>
      </w:pPr>
    </w:p>
    <w:p w:rsidR="00893D45" w:rsidRPr="009C2A49" w:rsidRDefault="00893D45" w:rsidP="009474A4">
      <w:pPr>
        <w:pStyle w:val="Standard"/>
        <w:tabs>
          <w:tab w:val="left" w:pos="567"/>
        </w:tabs>
        <w:jc w:val="both"/>
        <w:rPr>
          <w:rFonts w:asciiTheme="minorHAnsi" w:hAnsiTheme="minorHAnsi"/>
          <w:b/>
          <w:bCs/>
          <w:sz w:val="22"/>
          <w:szCs w:val="22"/>
        </w:rPr>
      </w:pPr>
      <w:r w:rsidRPr="009C2A49">
        <w:rPr>
          <w:rFonts w:asciiTheme="minorHAnsi" w:hAnsiTheme="minorHAnsi"/>
          <w:b/>
          <w:bCs/>
          <w:sz w:val="22"/>
          <w:szCs w:val="22"/>
        </w:rPr>
        <w:t>2.</w:t>
      </w:r>
      <w:r w:rsidRPr="009C2A49">
        <w:rPr>
          <w:rFonts w:asciiTheme="minorHAnsi" w:hAnsiTheme="minorHAnsi"/>
          <w:b/>
          <w:bCs/>
          <w:sz w:val="22"/>
          <w:szCs w:val="22"/>
        </w:rPr>
        <w:tab/>
        <w:t>Qualitative criteria</w:t>
      </w:r>
    </w:p>
    <w:p w:rsidR="00893D45" w:rsidRPr="009C2A49" w:rsidRDefault="00893D45" w:rsidP="009474A4">
      <w:pPr>
        <w:pStyle w:val="Standard"/>
        <w:jc w:val="both"/>
        <w:rPr>
          <w:rFonts w:asciiTheme="minorHAnsi" w:hAnsiTheme="minorHAnsi"/>
          <w:b/>
          <w:bCs/>
          <w:sz w:val="22"/>
          <w:szCs w:val="22"/>
        </w:rPr>
      </w:pPr>
    </w:p>
    <w:p w:rsidR="00893D45" w:rsidRPr="009C2A49" w:rsidRDefault="00893D45" w:rsidP="009474A4">
      <w:pPr>
        <w:pStyle w:val="Standard"/>
        <w:jc w:val="both"/>
        <w:rPr>
          <w:rFonts w:asciiTheme="minorHAnsi" w:hAnsiTheme="minorHAnsi"/>
          <w:b/>
          <w:bCs/>
          <w:i/>
          <w:iCs/>
          <w:sz w:val="22"/>
          <w:szCs w:val="22"/>
          <w:u w:val="single"/>
        </w:rPr>
      </w:pPr>
      <w:r w:rsidRPr="009C2A49">
        <w:rPr>
          <w:rFonts w:asciiTheme="minorHAnsi" w:hAnsiTheme="minorHAnsi"/>
          <w:b/>
          <w:bCs/>
          <w:sz w:val="22"/>
          <w:szCs w:val="22"/>
        </w:rPr>
        <w:t xml:space="preserve">(d) Evaluation of the strategic approach of the organisation/network: </w:t>
      </w:r>
      <w:r w:rsidRPr="009C2A49">
        <w:rPr>
          <w:rFonts w:asciiTheme="minorHAnsi" w:hAnsiTheme="minorHAnsi"/>
          <w:b/>
          <w:bCs/>
          <w:i/>
          <w:iCs/>
          <w:sz w:val="22"/>
          <w:szCs w:val="22"/>
          <w:u w:val="single"/>
        </w:rPr>
        <w:t>support to the political priorities defined by the Joint Council on Youth</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Each organisation/network is awarded a maximum of 30 points based on the assessment of the strategic approach of the applying organisation/network in relation to the priorities defined by the Joint Council on Youth for the biennium in question.</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rPr>
      </w:pPr>
      <w:r w:rsidRPr="009C2A49">
        <w:rPr>
          <w:rFonts w:asciiTheme="minorHAnsi" w:hAnsiTheme="minorHAnsi"/>
          <w:sz w:val="22"/>
          <w:szCs w:val="22"/>
        </w:rPr>
        <w:t>For 2018-2019, the Joint Council on Youth agreed on 3 expected results: 1) Access to rights, 2) Youth participation and youth work, 3) Inclusive and peaceful societies.</w:t>
      </w:r>
    </w:p>
    <w:p w:rsidR="00893D45" w:rsidRPr="009C2A49" w:rsidRDefault="00893D45" w:rsidP="009474A4">
      <w:pPr>
        <w:pStyle w:val="Standard"/>
        <w:jc w:val="both"/>
        <w:rPr>
          <w:rFonts w:asciiTheme="minorHAnsi" w:hAnsiTheme="minorHAnsi"/>
          <w:sz w:val="22"/>
          <w:szCs w:val="22"/>
        </w:rPr>
      </w:pPr>
    </w:p>
    <w:p w:rsidR="00893D45" w:rsidRPr="009C2A49" w:rsidRDefault="00893D45" w:rsidP="009474A4">
      <w:pPr>
        <w:pStyle w:val="Standard"/>
        <w:jc w:val="both"/>
        <w:rPr>
          <w:rFonts w:asciiTheme="minorHAnsi" w:hAnsiTheme="minorHAnsi"/>
          <w:sz w:val="22"/>
          <w:szCs w:val="22"/>
          <w:u w:val="single"/>
        </w:rPr>
      </w:pPr>
      <w:r w:rsidRPr="009C2A49">
        <w:rPr>
          <w:rFonts w:asciiTheme="minorHAnsi" w:hAnsiTheme="minorHAnsi"/>
          <w:sz w:val="22"/>
          <w:szCs w:val="22"/>
          <w:u w:val="single"/>
        </w:rPr>
        <w:t>Therefore the applying organisation/network will receive a qualitative mark of up to 10 points for each expected result, according to how it is included in the strategic approach (maximum 30 points).</w:t>
      </w:r>
    </w:p>
    <w:p w:rsidR="00893D45" w:rsidRPr="009C2A49" w:rsidRDefault="00893D45" w:rsidP="009474A4">
      <w:pPr>
        <w:pStyle w:val="Standard"/>
        <w:jc w:val="both"/>
        <w:rPr>
          <w:rFonts w:asciiTheme="minorHAnsi" w:hAnsiTheme="minorHAnsi"/>
          <w:sz w:val="22"/>
          <w:szCs w:val="22"/>
          <w:u w:val="single"/>
        </w:rPr>
      </w:pPr>
    </w:p>
    <w:p w:rsidR="00893D45" w:rsidRPr="009C2A49" w:rsidRDefault="00893D45" w:rsidP="009474A4">
      <w:pPr>
        <w:pStyle w:val="Standard"/>
        <w:tabs>
          <w:tab w:val="left" w:pos="567"/>
        </w:tabs>
        <w:jc w:val="both"/>
        <w:rPr>
          <w:rFonts w:asciiTheme="minorHAnsi" w:hAnsiTheme="minorHAnsi"/>
          <w:b/>
          <w:bCs/>
          <w:sz w:val="22"/>
          <w:szCs w:val="22"/>
        </w:rPr>
      </w:pPr>
      <w:r w:rsidRPr="009C2A49">
        <w:rPr>
          <w:rFonts w:asciiTheme="minorHAnsi" w:hAnsiTheme="minorHAnsi"/>
          <w:b/>
          <w:bCs/>
          <w:sz w:val="22"/>
          <w:szCs w:val="22"/>
        </w:rPr>
        <w:t>3.</w:t>
      </w:r>
      <w:r w:rsidRPr="009C2A49">
        <w:rPr>
          <w:rFonts w:asciiTheme="minorHAnsi" w:hAnsiTheme="minorHAnsi"/>
          <w:b/>
          <w:bCs/>
          <w:sz w:val="22"/>
          <w:szCs w:val="22"/>
        </w:rPr>
        <w:tab/>
        <w:t>Amount of the grant</w:t>
      </w:r>
    </w:p>
    <w:p w:rsidR="00893D45" w:rsidRPr="009C2A49" w:rsidRDefault="00893D45" w:rsidP="009474A4">
      <w:pPr>
        <w:pStyle w:val="Standard"/>
        <w:jc w:val="both"/>
        <w:rPr>
          <w:rFonts w:asciiTheme="minorHAnsi" w:hAnsiTheme="minorHAnsi"/>
          <w:b/>
          <w:bCs/>
          <w:sz w:val="22"/>
          <w:szCs w:val="22"/>
        </w:rPr>
      </w:pPr>
    </w:p>
    <w:p w:rsidR="00A5466F" w:rsidRPr="009C2A49" w:rsidRDefault="00893D45" w:rsidP="009474A4">
      <w:pPr>
        <w:pStyle w:val="Standard"/>
        <w:jc w:val="both"/>
        <w:rPr>
          <w:rFonts w:asciiTheme="minorHAnsi" w:hAnsiTheme="minorHAnsi"/>
          <w:sz w:val="22"/>
          <w:szCs w:val="22"/>
        </w:rPr>
      </w:pPr>
      <w:r w:rsidRPr="009C2A49">
        <w:rPr>
          <w:rFonts w:asciiTheme="minorHAnsi" w:hAnsiTheme="minorHAnsi"/>
          <w:bCs/>
          <w:sz w:val="22"/>
          <w:szCs w:val="22"/>
        </w:rPr>
        <w:t>Eligible organisations can request a maximum annual grant of € 25,000, i.e. a maximum of € 50,000 for two years. The actual amount granted will be calculated on the basis of the above criteria. If the grant is awarded for 2018, the same amount will be awarded in principle for 2019, based on the validation by the EYF of an interim report after one year.</w:t>
      </w:r>
    </w:p>
    <w:sectPr w:rsidR="00A5466F" w:rsidRPr="009C2A49" w:rsidSect="009474A4">
      <w:footerReference w:type="default" r:id="rId8"/>
      <w:headerReference w:type="first" r:id="rId9"/>
      <w:pgSz w:w="11906" w:h="16838" w:code="9"/>
      <w:pgMar w:top="851" w:right="1191" w:bottom="568" w:left="119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49" w:rsidRDefault="009C2A49" w:rsidP="00893D45">
      <w:r>
        <w:separator/>
      </w:r>
    </w:p>
  </w:endnote>
  <w:endnote w:type="continuationSeparator" w:id="0">
    <w:p w:rsidR="009C2A49" w:rsidRDefault="009C2A49" w:rsidP="0089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30329"/>
      <w:docPartObj>
        <w:docPartGallery w:val="Page Numbers (Bottom of Page)"/>
        <w:docPartUnique/>
      </w:docPartObj>
    </w:sdtPr>
    <w:sdtEndPr>
      <w:rPr>
        <w:rFonts w:asciiTheme="minorHAnsi" w:hAnsiTheme="minorHAnsi"/>
        <w:noProof/>
        <w:sz w:val="22"/>
        <w:szCs w:val="22"/>
      </w:rPr>
    </w:sdtEndPr>
    <w:sdtContent>
      <w:p w:rsidR="009C2A49" w:rsidRPr="009474A4" w:rsidRDefault="009C2A49">
        <w:pPr>
          <w:pStyle w:val="Footer"/>
          <w:jc w:val="center"/>
          <w:rPr>
            <w:rFonts w:asciiTheme="minorHAnsi" w:hAnsiTheme="minorHAnsi"/>
            <w:sz w:val="22"/>
            <w:szCs w:val="22"/>
          </w:rPr>
        </w:pPr>
        <w:r w:rsidRPr="009474A4">
          <w:rPr>
            <w:rFonts w:asciiTheme="minorHAnsi" w:hAnsiTheme="minorHAnsi"/>
            <w:sz w:val="22"/>
            <w:szCs w:val="22"/>
          </w:rPr>
          <w:fldChar w:fldCharType="begin"/>
        </w:r>
        <w:r w:rsidRPr="009474A4">
          <w:rPr>
            <w:rFonts w:asciiTheme="minorHAnsi" w:hAnsiTheme="minorHAnsi"/>
            <w:sz w:val="22"/>
            <w:szCs w:val="22"/>
          </w:rPr>
          <w:instrText xml:space="preserve"> PAGE   \* MERGEFORMAT </w:instrText>
        </w:r>
        <w:r w:rsidRPr="009474A4">
          <w:rPr>
            <w:rFonts w:asciiTheme="minorHAnsi" w:hAnsiTheme="minorHAnsi"/>
            <w:sz w:val="22"/>
            <w:szCs w:val="22"/>
          </w:rPr>
          <w:fldChar w:fldCharType="separate"/>
        </w:r>
        <w:r w:rsidR="0092490A">
          <w:rPr>
            <w:rFonts w:asciiTheme="minorHAnsi" w:hAnsiTheme="minorHAnsi"/>
            <w:noProof/>
            <w:sz w:val="22"/>
            <w:szCs w:val="22"/>
          </w:rPr>
          <w:t>2</w:t>
        </w:r>
        <w:r w:rsidRPr="009474A4">
          <w:rPr>
            <w:rFonts w:asciiTheme="minorHAnsi" w:hAnsiTheme="minorHAnsi"/>
            <w:noProof/>
            <w:sz w:val="22"/>
            <w:szCs w:val="22"/>
          </w:rPr>
          <w:fldChar w:fldCharType="end"/>
        </w:r>
      </w:p>
    </w:sdtContent>
  </w:sdt>
  <w:p w:rsidR="009C2A49" w:rsidRDefault="009C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49" w:rsidRDefault="009C2A49" w:rsidP="00893D45">
      <w:r>
        <w:separator/>
      </w:r>
    </w:p>
  </w:footnote>
  <w:footnote w:type="continuationSeparator" w:id="0">
    <w:p w:rsidR="009C2A49" w:rsidRDefault="009C2A49" w:rsidP="00893D45">
      <w:r>
        <w:continuationSeparator/>
      </w:r>
    </w:p>
  </w:footnote>
  <w:footnote w:id="1">
    <w:p w:rsidR="009C2A49" w:rsidRPr="009C2A49" w:rsidRDefault="009C2A49" w:rsidP="00893D45">
      <w:pPr>
        <w:pStyle w:val="FootnoteText"/>
        <w:rPr>
          <w:rFonts w:asciiTheme="minorHAnsi" w:hAnsiTheme="minorHAnsi"/>
          <w:lang w:val="en-GB"/>
        </w:rPr>
      </w:pPr>
      <w:r w:rsidRPr="009C2A49">
        <w:rPr>
          <w:rStyle w:val="FootnoteReference"/>
          <w:rFonts w:asciiTheme="minorHAnsi" w:hAnsiTheme="minorHAnsi"/>
        </w:rPr>
        <w:footnoteRef/>
      </w:r>
      <w:r w:rsidRPr="009C2A49">
        <w:rPr>
          <w:rFonts w:asciiTheme="minorHAnsi" w:hAnsiTheme="minorHAnsi"/>
        </w:rPr>
        <w:t xml:space="preserve"> </w:t>
      </w:r>
      <w:r w:rsidRPr="009C2A49">
        <w:rPr>
          <w:rFonts w:asciiTheme="minorHAnsi" w:hAnsiTheme="minorHAnsi"/>
          <w:lang w:val="en-GB"/>
        </w:rPr>
        <w:t>For example, if an organisation did not have an EYF grant in 2015, but had a work plan with 2 international activities in 2016 and a work plan with one international activity in 2017, it will be eligible. On the other hand, if it had a work plan with one international activity in 2015 and a work plan with one international activity in 2017, it will not be eligible.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49" w:rsidRDefault="009C2A49" w:rsidP="009C2A49">
    <w:pPr>
      <w:pStyle w:val="Header"/>
      <w:tabs>
        <w:tab w:val="clear" w:pos="9026"/>
        <w:tab w:val="right" w:pos="9498"/>
      </w:tabs>
    </w:pPr>
    <w:r>
      <w:rPr>
        <w:noProof/>
        <w:lang w:val="en-GB" w:eastAsia="en-GB"/>
      </w:rPr>
      <w:drawing>
        <wp:inline distT="0" distB="0" distL="0" distR="0" wp14:anchorId="20C2F08A" wp14:editId="719298B9">
          <wp:extent cx="1249680" cy="1188264"/>
          <wp:effectExtent l="0" t="0" r="7620" b="0"/>
          <wp:docPr id="4" name="Picture 4" descr="https://rm.coe.int/CoERMPublicCommonSearchServices/DisplayDCTMContent?documentId=0900001680630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m.coe.int/CoERMPublicCommonSearchServices/DisplayDCTMContent?documentId=0900001680630c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74" cy="1191872"/>
                  </a:xfrm>
                  <a:prstGeom prst="rect">
                    <a:avLst/>
                  </a:prstGeom>
                  <a:noFill/>
                  <a:ln>
                    <a:noFill/>
                  </a:ln>
                </pic:spPr>
              </pic:pic>
            </a:graphicData>
          </a:graphic>
        </wp:inline>
      </w:drawing>
    </w:r>
    <w:r>
      <w:tab/>
    </w:r>
    <w:r>
      <w:tab/>
    </w:r>
    <w:r>
      <w:rPr>
        <w:noProof/>
        <w:lang w:val="en-GB" w:eastAsia="en-GB"/>
      </w:rPr>
      <w:drawing>
        <wp:inline distT="0" distB="0" distL="0" distR="0" wp14:anchorId="1FF9F30F" wp14:editId="52EE580C">
          <wp:extent cx="1750620" cy="1402080"/>
          <wp:effectExtent l="0" t="0" r="0" b="0"/>
          <wp:docPr id="5" name="Picture 5" descr="http://www.coe.int/documents/16695/994584/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16695/994584/COE-Logo-Quadri.png/ee7b1fc6-055b-490b-a59b-a65969e440a2?t=137122281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620" cy="1402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75549"/>
    <w:multiLevelType w:val="hybridMultilevel"/>
    <w:tmpl w:val="23EC9236"/>
    <w:lvl w:ilvl="0" w:tplc="79C6FBD8">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5"/>
    <w:rsid w:val="00426876"/>
    <w:rsid w:val="005446E2"/>
    <w:rsid w:val="00893D45"/>
    <w:rsid w:val="0092490A"/>
    <w:rsid w:val="009474A4"/>
    <w:rsid w:val="009C2A49"/>
    <w:rsid w:val="00A5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3D45"/>
    <w:pPr>
      <w:tabs>
        <w:tab w:val="center" w:pos="4320"/>
        <w:tab w:val="right" w:pos="8640"/>
      </w:tabs>
    </w:pPr>
    <w:rPr>
      <w:lang w:val="en-GB" w:eastAsia="en-GB"/>
    </w:rPr>
  </w:style>
  <w:style w:type="character" w:customStyle="1" w:styleId="FooterChar">
    <w:name w:val="Footer Char"/>
    <w:basedOn w:val="DefaultParagraphFont"/>
    <w:link w:val="Footer"/>
    <w:uiPriority w:val="99"/>
    <w:rsid w:val="00893D45"/>
    <w:rPr>
      <w:rFonts w:ascii="Times New Roman" w:eastAsia="Times New Roman" w:hAnsi="Times New Roman" w:cs="Times New Roman"/>
      <w:sz w:val="24"/>
      <w:szCs w:val="24"/>
      <w:lang w:eastAsia="en-GB"/>
    </w:rPr>
  </w:style>
  <w:style w:type="paragraph" w:customStyle="1" w:styleId="Standard">
    <w:name w:val="Standard"/>
    <w:rsid w:val="00893D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semiHidden/>
    <w:unhideWhenUsed/>
    <w:rsid w:val="00893D45"/>
    <w:rPr>
      <w:sz w:val="20"/>
      <w:szCs w:val="20"/>
    </w:rPr>
  </w:style>
  <w:style w:type="character" w:customStyle="1" w:styleId="FootnoteTextChar">
    <w:name w:val="Footnote Text Char"/>
    <w:basedOn w:val="DefaultParagraphFont"/>
    <w:link w:val="FootnoteText"/>
    <w:uiPriority w:val="99"/>
    <w:semiHidden/>
    <w:rsid w:val="00893D4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93D45"/>
    <w:rPr>
      <w:vertAlign w:val="superscript"/>
    </w:rPr>
  </w:style>
  <w:style w:type="paragraph" w:styleId="Header">
    <w:name w:val="header"/>
    <w:basedOn w:val="Normal"/>
    <w:link w:val="HeaderChar"/>
    <w:uiPriority w:val="99"/>
    <w:unhideWhenUsed/>
    <w:rsid w:val="009C2A49"/>
    <w:pPr>
      <w:tabs>
        <w:tab w:val="center" w:pos="4513"/>
        <w:tab w:val="right" w:pos="9026"/>
      </w:tabs>
    </w:pPr>
  </w:style>
  <w:style w:type="character" w:customStyle="1" w:styleId="HeaderChar">
    <w:name w:val="Header Char"/>
    <w:basedOn w:val="DefaultParagraphFont"/>
    <w:link w:val="Header"/>
    <w:uiPriority w:val="99"/>
    <w:rsid w:val="009C2A4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2A49"/>
    <w:rPr>
      <w:rFonts w:ascii="Tahoma" w:hAnsi="Tahoma" w:cs="Tahoma"/>
      <w:sz w:val="16"/>
      <w:szCs w:val="16"/>
    </w:rPr>
  </w:style>
  <w:style w:type="character" w:customStyle="1" w:styleId="BalloonTextChar">
    <w:name w:val="Balloon Text Char"/>
    <w:basedOn w:val="DefaultParagraphFont"/>
    <w:link w:val="BalloonText"/>
    <w:uiPriority w:val="99"/>
    <w:semiHidden/>
    <w:rsid w:val="009C2A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3D45"/>
    <w:pPr>
      <w:tabs>
        <w:tab w:val="center" w:pos="4320"/>
        <w:tab w:val="right" w:pos="8640"/>
      </w:tabs>
    </w:pPr>
    <w:rPr>
      <w:lang w:val="en-GB" w:eastAsia="en-GB"/>
    </w:rPr>
  </w:style>
  <w:style w:type="character" w:customStyle="1" w:styleId="FooterChar">
    <w:name w:val="Footer Char"/>
    <w:basedOn w:val="DefaultParagraphFont"/>
    <w:link w:val="Footer"/>
    <w:uiPriority w:val="99"/>
    <w:rsid w:val="00893D45"/>
    <w:rPr>
      <w:rFonts w:ascii="Times New Roman" w:eastAsia="Times New Roman" w:hAnsi="Times New Roman" w:cs="Times New Roman"/>
      <w:sz w:val="24"/>
      <w:szCs w:val="24"/>
      <w:lang w:eastAsia="en-GB"/>
    </w:rPr>
  </w:style>
  <w:style w:type="paragraph" w:customStyle="1" w:styleId="Standard">
    <w:name w:val="Standard"/>
    <w:rsid w:val="00893D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otnoteText">
    <w:name w:val="footnote text"/>
    <w:basedOn w:val="Normal"/>
    <w:link w:val="FootnoteTextChar"/>
    <w:uiPriority w:val="99"/>
    <w:semiHidden/>
    <w:unhideWhenUsed/>
    <w:rsid w:val="00893D45"/>
    <w:rPr>
      <w:sz w:val="20"/>
      <w:szCs w:val="20"/>
    </w:rPr>
  </w:style>
  <w:style w:type="character" w:customStyle="1" w:styleId="FootnoteTextChar">
    <w:name w:val="Footnote Text Char"/>
    <w:basedOn w:val="DefaultParagraphFont"/>
    <w:link w:val="FootnoteText"/>
    <w:uiPriority w:val="99"/>
    <w:semiHidden/>
    <w:rsid w:val="00893D4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93D45"/>
    <w:rPr>
      <w:vertAlign w:val="superscript"/>
    </w:rPr>
  </w:style>
  <w:style w:type="paragraph" w:styleId="Header">
    <w:name w:val="header"/>
    <w:basedOn w:val="Normal"/>
    <w:link w:val="HeaderChar"/>
    <w:uiPriority w:val="99"/>
    <w:unhideWhenUsed/>
    <w:rsid w:val="009C2A49"/>
    <w:pPr>
      <w:tabs>
        <w:tab w:val="center" w:pos="4513"/>
        <w:tab w:val="right" w:pos="9026"/>
      </w:tabs>
    </w:pPr>
  </w:style>
  <w:style w:type="character" w:customStyle="1" w:styleId="HeaderChar">
    <w:name w:val="Header Char"/>
    <w:basedOn w:val="DefaultParagraphFont"/>
    <w:link w:val="Header"/>
    <w:uiPriority w:val="99"/>
    <w:rsid w:val="009C2A4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2A49"/>
    <w:rPr>
      <w:rFonts w:ascii="Tahoma" w:hAnsi="Tahoma" w:cs="Tahoma"/>
      <w:sz w:val="16"/>
      <w:szCs w:val="16"/>
    </w:rPr>
  </w:style>
  <w:style w:type="character" w:customStyle="1" w:styleId="BalloonTextChar">
    <w:name w:val="Balloon Text Char"/>
    <w:basedOn w:val="DefaultParagraphFont"/>
    <w:link w:val="BalloonText"/>
    <w:uiPriority w:val="99"/>
    <w:semiHidden/>
    <w:rsid w:val="009C2A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 Jean-Claude</dc:creator>
  <cp:lastModifiedBy>PALISSER Karen</cp:lastModifiedBy>
  <cp:revision>4</cp:revision>
  <cp:lastPrinted>2017-01-03T15:28:00Z</cp:lastPrinted>
  <dcterms:created xsi:type="dcterms:W3CDTF">2017-01-03T15:27:00Z</dcterms:created>
  <dcterms:modified xsi:type="dcterms:W3CDTF">2017-01-03T15:28:00Z</dcterms:modified>
</cp:coreProperties>
</file>