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37"/>
        <w:gridCol w:w="1533"/>
        <w:gridCol w:w="1929"/>
        <w:gridCol w:w="3063"/>
        <w:gridCol w:w="1815"/>
      </w:tblGrid>
      <w:tr w:rsidR="00BE3BD5" w:rsidRPr="004029DD" w14:paraId="56D8ACF6" w14:textId="77777777" w:rsidTr="00BE3BD5">
        <w:trPr>
          <w:trHeight w:val="1295"/>
        </w:trPr>
        <w:tc>
          <w:tcPr>
            <w:tcW w:w="1337" w:type="dxa"/>
            <w:vAlign w:val="center"/>
          </w:tcPr>
          <w:p w14:paraId="020AEFCE" w14:textId="77777777" w:rsidR="00BE3BD5" w:rsidRPr="004029DD" w:rsidRDefault="00BE3BD5" w:rsidP="00015C92">
            <w:pPr>
              <w:spacing w:after="0" w:line="240" w:lineRule="auto"/>
              <w:ind w:left="-108" w:firstLine="29"/>
              <w:jc w:val="center"/>
              <w:rPr>
                <w:rFonts w:ascii="Calibri" w:eastAsia="Calibri" w:hAnsi="Calibri" w:cs="Times New Roman"/>
                <w:iCs/>
                <w:noProof/>
                <w:lang w:val="uk-UA"/>
              </w:rPr>
            </w:pPr>
            <w:bookmarkStart w:id="0" w:name="_GoBack"/>
            <w:bookmarkEnd w:id="0"/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13179474" wp14:editId="0AA6D4E6">
                  <wp:extent cx="692506" cy="714375"/>
                  <wp:effectExtent l="0" t="0" r="0" b="0"/>
                  <wp:docPr id="11" name="Picture 11" descr="http://www.cvk.gov.ua/img/gerb_cv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http://www.cvk.gov.ua/img/gerb_cv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040" cy="720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3" w:type="dxa"/>
          </w:tcPr>
          <w:p w14:paraId="789E5A4B" w14:textId="77777777" w:rsidR="00BE3BD5" w:rsidRPr="004029DD" w:rsidRDefault="00BE3BD5" w:rsidP="00015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Cs/>
                <w:noProof/>
                <w:lang w:val="uk-UA"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drawing>
                <wp:inline distT="0" distB="0" distL="0" distR="0" wp14:anchorId="3D423C38" wp14:editId="310D00D1">
                  <wp:extent cx="990600" cy="967563"/>
                  <wp:effectExtent l="0" t="0" r="0" b="4445"/>
                  <wp:docPr id="10" name="Picture 10" descr="IFES 25 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72" descr="IFES 25 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951" cy="981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2" w:type="dxa"/>
            <w:gridSpan w:val="2"/>
            <w:vAlign w:val="center"/>
          </w:tcPr>
          <w:p w14:paraId="6DFAF2BF" w14:textId="77777777" w:rsidR="00BE3BD5" w:rsidRPr="004029DD" w:rsidRDefault="00BE3BD5" w:rsidP="00015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Cs/>
                <w:noProof/>
                <w:lang w:val="uk-UA"/>
              </w:rPr>
            </w:pPr>
          </w:p>
          <w:p w14:paraId="4F3F71C3" w14:textId="77777777" w:rsidR="00BE3BD5" w:rsidRPr="004029DD" w:rsidRDefault="00BE3BD5" w:rsidP="00015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Cs/>
                <w:noProof/>
                <w:lang w:val="uk-UA"/>
              </w:rPr>
            </w:pPr>
          </w:p>
          <w:p w14:paraId="4FFC20BA" w14:textId="77777777" w:rsidR="00BE3BD5" w:rsidRPr="004029DD" w:rsidRDefault="00BE3BD5" w:rsidP="00015C92">
            <w:pPr>
              <w:spacing w:after="0" w:line="240" w:lineRule="auto"/>
              <w:ind w:right="-108"/>
              <w:jc w:val="center"/>
              <w:rPr>
                <w:rFonts w:ascii="Calibri" w:eastAsia="Calibri" w:hAnsi="Calibri" w:cs="Times New Roman"/>
                <w:iCs/>
                <w:noProof/>
                <w:lang w:val="uk-UA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5AE52EE9" wp14:editId="25458A72">
                  <wp:extent cx="2779087" cy="291465"/>
                  <wp:effectExtent l="0" t="0" r="2540" b="0"/>
                  <wp:docPr id="9" name="Picture 9" descr="C:\Users\Пользователь\AppData\Local\Microsoft\Windows\INetCache\Content.Outlook\143MXJE7\08_Ukr_OSCE_RGB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73" descr="C:\Users\Пользователь\AppData\Local\Microsoft\Windows\INetCache\Content.Outlook\143MXJE7\08_Ukr_OSCE_RGB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139" cy="306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dxa"/>
          </w:tcPr>
          <w:p w14:paraId="16806613" w14:textId="77777777" w:rsidR="00BE3BD5" w:rsidRPr="004029DD" w:rsidRDefault="00BE3BD5" w:rsidP="00015C92">
            <w:pPr>
              <w:spacing w:after="0" w:line="240" w:lineRule="auto"/>
              <w:ind w:left="-250" w:hanging="17"/>
              <w:jc w:val="center"/>
              <w:rPr>
                <w:rFonts w:ascii="Calibri" w:eastAsia="Calibri" w:hAnsi="Calibri" w:cs="Times New Roman"/>
                <w:iCs/>
                <w:noProof/>
                <w:lang w:val="uk-UA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77DCFD2B" wp14:editId="73E95EF1">
                  <wp:extent cx="971035" cy="7810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259" cy="786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3BD5" w:rsidRPr="004029DD" w14:paraId="60E81206" w14:textId="77777777" w:rsidTr="00BE3BD5">
        <w:trPr>
          <w:trHeight w:val="1130"/>
        </w:trPr>
        <w:tc>
          <w:tcPr>
            <w:tcW w:w="2870" w:type="dxa"/>
            <w:gridSpan w:val="2"/>
            <w:vAlign w:val="center"/>
          </w:tcPr>
          <w:p w14:paraId="51702CD6" w14:textId="77777777" w:rsidR="00BE3BD5" w:rsidRPr="004029DD" w:rsidRDefault="00BE3BD5" w:rsidP="00015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lang w:val="uk-UA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5AEC3B5C" wp14:editId="33AE2358">
                  <wp:extent cx="1714500" cy="669074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431" cy="68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9" w:type="dxa"/>
          </w:tcPr>
          <w:p w14:paraId="5774F4EB" w14:textId="77777777" w:rsidR="00BE3BD5" w:rsidRPr="004029DD" w:rsidRDefault="00BE3BD5" w:rsidP="00015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noProof/>
                <w:lang w:val="uk-UA"/>
              </w:rPr>
            </w:pPr>
          </w:p>
          <w:p w14:paraId="3CE4B9C8" w14:textId="77777777" w:rsidR="00BE3BD5" w:rsidRPr="004029DD" w:rsidRDefault="00BE3BD5" w:rsidP="00BE3BD5">
            <w:pPr>
              <w:spacing w:after="0" w:line="240" w:lineRule="auto"/>
              <w:ind w:left="176" w:right="-250"/>
              <w:rPr>
                <w:rFonts w:ascii="Calibri" w:eastAsia="Calibri" w:hAnsi="Calibri" w:cs="Times New Roman"/>
                <w:b/>
                <w:noProof/>
                <w:lang w:val="uk-UA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3A8EC887" wp14:editId="12AFA98E">
                  <wp:extent cx="962025" cy="25279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037" cy="2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3" w:type="dxa"/>
            <w:vAlign w:val="center"/>
          </w:tcPr>
          <w:p w14:paraId="2DB80267" w14:textId="77777777" w:rsidR="00BE3BD5" w:rsidRPr="004029DD" w:rsidRDefault="00BE3BD5" w:rsidP="00015C92">
            <w:pPr>
              <w:spacing w:after="0" w:line="240" w:lineRule="auto"/>
              <w:ind w:left="459" w:right="477"/>
              <w:jc w:val="center"/>
              <w:rPr>
                <w:rFonts w:ascii="Calibri" w:eastAsia="Calibri" w:hAnsi="Calibri" w:cs="Times New Roman"/>
                <w:iCs/>
                <w:noProof/>
                <w:lang w:val="uk-UA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78085D23" wp14:editId="73E9FC86">
                  <wp:extent cx="771525" cy="437463"/>
                  <wp:effectExtent l="0" t="0" r="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000" cy="444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dxa"/>
            <w:vAlign w:val="center"/>
          </w:tcPr>
          <w:p w14:paraId="0740ED9B" w14:textId="77777777" w:rsidR="00BE3BD5" w:rsidRPr="004029DD" w:rsidRDefault="00BE3BD5" w:rsidP="00015C92">
            <w:pPr>
              <w:spacing w:after="0" w:line="240" w:lineRule="auto"/>
              <w:ind w:left="-250"/>
              <w:jc w:val="center"/>
              <w:rPr>
                <w:rFonts w:ascii="Calibri" w:eastAsia="Calibri" w:hAnsi="Calibri" w:cs="Times New Roman"/>
                <w:iCs/>
                <w:noProof/>
                <w:lang w:val="ru-RU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7289A7C6" wp14:editId="25F643F4">
                  <wp:extent cx="904875" cy="473646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92" cy="481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084B4B" w14:textId="77777777" w:rsidR="002405C9" w:rsidRDefault="002405C9" w:rsidP="00BE3BD5">
      <w:pPr>
        <w:jc w:val="center"/>
      </w:pPr>
    </w:p>
    <w:p w14:paraId="533D514A" w14:textId="77777777" w:rsidR="00BE3BD5" w:rsidRPr="00BE3BD5" w:rsidRDefault="00BE3BD5" w:rsidP="00BE3BD5">
      <w:pPr>
        <w:jc w:val="center"/>
        <w:rPr>
          <w:b/>
          <w:lang w:val="uk-UA"/>
        </w:rPr>
      </w:pPr>
      <w:r w:rsidRPr="00BE3BD5">
        <w:rPr>
          <w:b/>
          <w:lang w:val="uk-UA"/>
        </w:rPr>
        <w:t xml:space="preserve">Конференція </w:t>
      </w:r>
    </w:p>
    <w:p w14:paraId="726463F0" w14:textId="77777777" w:rsidR="00BE3BD5" w:rsidRPr="00BE3BD5" w:rsidRDefault="00BE3BD5" w:rsidP="00BE3BD5">
      <w:pPr>
        <w:jc w:val="center"/>
        <w:rPr>
          <w:b/>
          <w:lang w:val="uk-UA"/>
        </w:rPr>
      </w:pPr>
      <w:r w:rsidRPr="00BE3BD5">
        <w:rPr>
          <w:b/>
          <w:lang w:val="uk-UA"/>
        </w:rPr>
        <w:t>«Місцеві вибори 2015: висновки та рекомендації»</w:t>
      </w:r>
    </w:p>
    <w:p w14:paraId="105AE926" w14:textId="77777777" w:rsidR="00BE3BD5" w:rsidRPr="00BE3BD5" w:rsidRDefault="00BE3BD5" w:rsidP="00BE3BD5">
      <w:pPr>
        <w:jc w:val="center"/>
        <w:rPr>
          <w:b/>
          <w:lang w:val="uk-UA"/>
        </w:rPr>
      </w:pPr>
      <w:r w:rsidRPr="00BE3BD5">
        <w:rPr>
          <w:b/>
          <w:lang w:val="uk-UA"/>
        </w:rPr>
        <w:t>Рекомендації</w:t>
      </w:r>
    </w:p>
    <w:p w14:paraId="0AAF0D22" w14:textId="77777777" w:rsidR="00BE3BD5" w:rsidRDefault="00BE3BD5" w:rsidP="00BE3BD5">
      <w:pPr>
        <w:jc w:val="center"/>
        <w:rPr>
          <w:lang w:val="uk-UA"/>
        </w:rPr>
      </w:pPr>
    </w:p>
    <w:p w14:paraId="789778E9" w14:textId="77777777" w:rsidR="00BE3BD5" w:rsidRDefault="00BE3BD5" w:rsidP="00F53BB6">
      <w:pPr>
        <w:jc w:val="both"/>
        <w:rPr>
          <w:lang w:val="uk-UA"/>
        </w:rPr>
      </w:pPr>
      <w:r>
        <w:rPr>
          <w:lang w:val="uk-UA"/>
        </w:rPr>
        <w:t>16-17 грудня 2015 року Міжнародна фундація виборчих систем (</w:t>
      </w:r>
      <w:r>
        <w:t>IFES</w:t>
      </w:r>
      <w:r w:rsidRPr="00F53BB6">
        <w:rPr>
          <w:lang w:val="uk-UA"/>
        </w:rPr>
        <w:t>)</w:t>
      </w:r>
      <w:r>
        <w:rPr>
          <w:lang w:val="uk-UA"/>
        </w:rPr>
        <w:t xml:space="preserve">, </w:t>
      </w:r>
      <w:r w:rsidR="00F53BB6" w:rsidRPr="00F53BB6">
        <w:rPr>
          <w:lang w:val="uk-UA"/>
        </w:rPr>
        <w:t xml:space="preserve">Координатор проектів ОБСЄ в Україні та Рада Європи спільно </w:t>
      </w:r>
      <w:r w:rsidR="00F53BB6">
        <w:rPr>
          <w:lang w:val="uk-UA"/>
        </w:rPr>
        <w:t xml:space="preserve">з Центральною виборчою комісією провели конференцію «Місцеві вибори 2015: висновки та рекомендації». </w:t>
      </w:r>
    </w:p>
    <w:p w14:paraId="66067F40" w14:textId="28EA1691" w:rsidR="00F53BB6" w:rsidRDefault="00F53BB6" w:rsidP="00F53BB6">
      <w:pPr>
        <w:tabs>
          <w:tab w:val="left" w:pos="1155"/>
        </w:tabs>
        <w:spacing w:after="0"/>
        <w:jc w:val="both"/>
        <w:rPr>
          <w:lang w:val="uk-UA"/>
        </w:rPr>
      </w:pPr>
      <w:r w:rsidRPr="00DC07DE">
        <w:rPr>
          <w:lang w:val="uk-UA"/>
        </w:rPr>
        <w:t xml:space="preserve">Метою </w:t>
      </w:r>
      <w:r w:rsidR="00015C92">
        <w:rPr>
          <w:lang w:val="uk-UA"/>
        </w:rPr>
        <w:t>цієї</w:t>
      </w:r>
      <w:r w:rsidR="00015C92" w:rsidRPr="00DC07DE">
        <w:rPr>
          <w:lang w:val="uk-UA"/>
        </w:rPr>
        <w:t xml:space="preserve"> </w:t>
      </w:r>
      <w:r w:rsidRPr="00DC07DE">
        <w:rPr>
          <w:lang w:val="uk-UA"/>
        </w:rPr>
        <w:t xml:space="preserve">конференції </w:t>
      </w:r>
      <w:r>
        <w:rPr>
          <w:lang w:val="uk-UA"/>
        </w:rPr>
        <w:t>стало</w:t>
      </w:r>
      <w:r w:rsidRPr="00DC07DE">
        <w:rPr>
          <w:lang w:val="uk-UA"/>
        </w:rPr>
        <w:t xml:space="preserve"> обговорення результатів місцевих виборів</w:t>
      </w:r>
      <w:r w:rsidR="00015C92">
        <w:rPr>
          <w:lang w:val="uk-UA"/>
        </w:rPr>
        <w:t xml:space="preserve">, </w:t>
      </w:r>
      <w:r w:rsidRPr="00DC07DE">
        <w:rPr>
          <w:lang w:val="uk-UA"/>
        </w:rPr>
        <w:t>проблем, які виникали під час виборчого процесу, а також можливих шляхів їх вирішення</w:t>
      </w:r>
      <w:r>
        <w:rPr>
          <w:lang w:val="uk-UA"/>
        </w:rPr>
        <w:t xml:space="preserve">. </w:t>
      </w:r>
      <w:r w:rsidR="00015C92">
        <w:rPr>
          <w:lang w:val="uk-UA"/>
        </w:rPr>
        <w:t>Участь у</w:t>
      </w:r>
      <w:r w:rsidRPr="00DC07DE">
        <w:rPr>
          <w:lang w:val="uk-UA"/>
        </w:rPr>
        <w:t xml:space="preserve"> заході </w:t>
      </w:r>
      <w:r>
        <w:rPr>
          <w:lang w:val="uk-UA"/>
        </w:rPr>
        <w:t xml:space="preserve">взяли </w:t>
      </w:r>
      <w:r w:rsidRPr="00DC07DE">
        <w:rPr>
          <w:lang w:val="uk-UA"/>
        </w:rPr>
        <w:t xml:space="preserve">представники органів адміністрування виборів, </w:t>
      </w:r>
      <w:r w:rsidR="001949DE">
        <w:rPr>
          <w:lang w:val="uk-UA"/>
        </w:rPr>
        <w:t xml:space="preserve">органів </w:t>
      </w:r>
      <w:r w:rsidRPr="00DC07DE">
        <w:rPr>
          <w:lang w:val="uk-UA"/>
        </w:rPr>
        <w:t>законодавчої</w:t>
      </w:r>
      <w:r w:rsidR="00015C92">
        <w:rPr>
          <w:lang w:val="uk-UA"/>
        </w:rPr>
        <w:t>,</w:t>
      </w:r>
      <w:r w:rsidRPr="00DC07DE">
        <w:rPr>
          <w:lang w:val="uk-UA"/>
        </w:rPr>
        <w:t xml:space="preserve"> виконавчої </w:t>
      </w:r>
      <w:r w:rsidR="001949DE">
        <w:rPr>
          <w:lang w:val="uk-UA"/>
        </w:rPr>
        <w:t>та судової</w:t>
      </w:r>
      <w:r w:rsidR="00015C92" w:rsidRPr="00DC07DE">
        <w:rPr>
          <w:lang w:val="uk-UA"/>
        </w:rPr>
        <w:t xml:space="preserve"> </w:t>
      </w:r>
      <w:r w:rsidRPr="00DC07DE">
        <w:rPr>
          <w:lang w:val="uk-UA"/>
        </w:rPr>
        <w:t xml:space="preserve">влади, місій міжнародних та громадських організацій, які здійснювали спостереження за виборчим процесом, експерти </w:t>
      </w:r>
      <w:r w:rsidR="009D38A2">
        <w:rPr>
          <w:lang w:val="uk-UA"/>
        </w:rPr>
        <w:t>з</w:t>
      </w:r>
      <w:r w:rsidRPr="00DC07DE">
        <w:rPr>
          <w:lang w:val="uk-UA"/>
        </w:rPr>
        <w:t xml:space="preserve"> </w:t>
      </w:r>
      <w:r w:rsidR="009D38A2" w:rsidRPr="00DC07DE">
        <w:rPr>
          <w:lang w:val="uk-UA"/>
        </w:rPr>
        <w:t>виборчо</w:t>
      </w:r>
      <w:r w:rsidR="009D38A2">
        <w:rPr>
          <w:lang w:val="uk-UA"/>
        </w:rPr>
        <w:t>го</w:t>
      </w:r>
      <w:r w:rsidR="009D38A2" w:rsidRPr="00DC07DE">
        <w:rPr>
          <w:lang w:val="uk-UA"/>
        </w:rPr>
        <w:t xml:space="preserve"> </w:t>
      </w:r>
      <w:r w:rsidRPr="00DC07DE">
        <w:rPr>
          <w:lang w:val="uk-UA"/>
        </w:rPr>
        <w:t>прав</w:t>
      </w:r>
      <w:r w:rsidR="009D38A2">
        <w:rPr>
          <w:lang w:val="uk-UA"/>
        </w:rPr>
        <w:t>а</w:t>
      </w:r>
      <w:r w:rsidRPr="00DC07DE">
        <w:rPr>
          <w:lang w:val="uk-UA"/>
        </w:rPr>
        <w:t xml:space="preserve"> та </w:t>
      </w:r>
      <w:r>
        <w:rPr>
          <w:lang w:val="uk-UA"/>
        </w:rPr>
        <w:t xml:space="preserve">представники наукової спільноти (список учасників конференції додається). </w:t>
      </w:r>
    </w:p>
    <w:p w14:paraId="224C96CA" w14:textId="77777777" w:rsidR="00F53BB6" w:rsidRDefault="00F53BB6" w:rsidP="00F53BB6">
      <w:pPr>
        <w:tabs>
          <w:tab w:val="left" w:pos="1155"/>
        </w:tabs>
        <w:spacing w:after="0"/>
        <w:jc w:val="both"/>
        <w:rPr>
          <w:lang w:val="uk-UA"/>
        </w:rPr>
      </w:pPr>
    </w:p>
    <w:p w14:paraId="6F41835E" w14:textId="10CC20C2" w:rsidR="00F53BB6" w:rsidRDefault="00F53BB6" w:rsidP="00F53BB6">
      <w:p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 xml:space="preserve">Учасники конференції працювали </w:t>
      </w:r>
      <w:r w:rsidR="00E47819">
        <w:rPr>
          <w:lang w:val="uk-UA"/>
        </w:rPr>
        <w:t xml:space="preserve">у форматі пленарних засідань та </w:t>
      </w:r>
      <w:r>
        <w:rPr>
          <w:lang w:val="uk-UA"/>
        </w:rPr>
        <w:t xml:space="preserve">в чотирьох робочих групах: </w:t>
      </w:r>
    </w:p>
    <w:p w14:paraId="3F59B1FF" w14:textId="77777777" w:rsidR="00F53BB6" w:rsidRDefault="00F53BB6" w:rsidP="00F53BB6">
      <w:pPr>
        <w:pStyle w:val="ListParagraph"/>
        <w:numPr>
          <w:ilvl w:val="0"/>
          <w:numId w:val="1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>Виборча система на місцевих виборах та досвід її впровадження</w:t>
      </w:r>
      <w:r w:rsidR="00015C92">
        <w:rPr>
          <w:lang w:val="uk-UA"/>
        </w:rPr>
        <w:t>;</w:t>
      </w:r>
    </w:p>
    <w:p w14:paraId="6F0E5F6C" w14:textId="50AA6D6C" w:rsidR="00F53BB6" w:rsidRDefault="00F53BB6" w:rsidP="00F53BB6">
      <w:pPr>
        <w:pStyle w:val="ListParagraph"/>
        <w:numPr>
          <w:ilvl w:val="0"/>
          <w:numId w:val="1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 xml:space="preserve">Політичні </w:t>
      </w:r>
      <w:r w:rsidR="00015C92">
        <w:rPr>
          <w:lang w:val="uk-UA"/>
        </w:rPr>
        <w:t xml:space="preserve">актори </w:t>
      </w:r>
      <w:r>
        <w:rPr>
          <w:lang w:val="uk-UA"/>
        </w:rPr>
        <w:t>та спостерігачі: статус та роль</w:t>
      </w:r>
      <w:r w:rsidR="00015C92">
        <w:rPr>
          <w:lang w:val="uk-UA"/>
        </w:rPr>
        <w:t>;</w:t>
      </w:r>
    </w:p>
    <w:p w14:paraId="156F9FA2" w14:textId="77777777" w:rsidR="00F53BB6" w:rsidRDefault="00F53BB6" w:rsidP="00F53BB6">
      <w:pPr>
        <w:pStyle w:val="ListParagraph"/>
        <w:numPr>
          <w:ilvl w:val="0"/>
          <w:numId w:val="1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>Адміністрування виборчого процесу: виборчі комісії на місцевих виборах, їх структура та склад</w:t>
      </w:r>
      <w:r w:rsidR="00015C92">
        <w:rPr>
          <w:lang w:val="uk-UA"/>
        </w:rPr>
        <w:t>;</w:t>
      </w:r>
    </w:p>
    <w:p w14:paraId="764BC4D1" w14:textId="77777777" w:rsidR="00F53BB6" w:rsidRDefault="00F53BB6" w:rsidP="00F53BB6">
      <w:pPr>
        <w:pStyle w:val="ListParagraph"/>
        <w:numPr>
          <w:ilvl w:val="0"/>
          <w:numId w:val="1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 xml:space="preserve">Участь виборців у виборчому процесі: виборчі права, обізнаність виборців та усвідомлений вибір. </w:t>
      </w:r>
    </w:p>
    <w:p w14:paraId="53CA8441" w14:textId="77777777" w:rsidR="00F53BB6" w:rsidRDefault="00F53BB6" w:rsidP="00F53BB6">
      <w:pPr>
        <w:tabs>
          <w:tab w:val="left" w:pos="1155"/>
        </w:tabs>
        <w:spacing w:after="0"/>
        <w:jc w:val="both"/>
        <w:rPr>
          <w:lang w:val="uk-UA"/>
        </w:rPr>
      </w:pPr>
    </w:p>
    <w:p w14:paraId="1B40950C" w14:textId="0CCB6168" w:rsidR="00F53BB6" w:rsidRPr="004960F3" w:rsidRDefault="00862470" w:rsidP="00F53BB6">
      <w:pPr>
        <w:tabs>
          <w:tab w:val="left" w:pos="1155"/>
        </w:tabs>
        <w:spacing w:after="0"/>
        <w:jc w:val="both"/>
        <w:rPr>
          <w:lang w:val="ru-RU"/>
        </w:rPr>
      </w:pPr>
      <w:proofErr w:type="spellStart"/>
      <w:r>
        <w:rPr>
          <w:lang w:val="uk-UA"/>
        </w:rPr>
        <w:t>Модерація</w:t>
      </w:r>
      <w:proofErr w:type="spellEnd"/>
      <w:r w:rsidR="00E47819">
        <w:rPr>
          <w:lang w:val="uk-UA"/>
        </w:rPr>
        <w:t xml:space="preserve"> дискусій у кожній робочій групі </w:t>
      </w:r>
      <w:r>
        <w:rPr>
          <w:lang w:val="uk-UA"/>
        </w:rPr>
        <w:t>здійснювалася</w:t>
      </w:r>
      <w:r w:rsidR="00B050CA">
        <w:rPr>
          <w:lang w:val="uk-UA"/>
        </w:rPr>
        <w:t xml:space="preserve"> </w:t>
      </w:r>
      <w:r w:rsidR="00456372">
        <w:rPr>
          <w:lang w:val="uk-UA"/>
        </w:rPr>
        <w:t xml:space="preserve">місцевими </w:t>
      </w:r>
      <w:r w:rsidR="00E47819">
        <w:rPr>
          <w:lang w:val="uk-UA"/>
        </w:rPr>
        <w:t>експерт</w:t>
      </w:r>
      <w:r w:rsidR="00456372">
        <w:rPr>
          <w:lang w:val="uk-UA"/>
        </w:rPr>
        <w:t>ами з питань виборів</w:t>
      </w:r>
      <w:r w:rsidR="00E47819">
        <w:rPr>
          <w:lang w:val="uk-UA"/>
        </w:rPr>
        <w:t xml:space="preserve">. </w:t>
      </w:r>
      <w:r>
        <w:rPr>
          <w:lang w:val="uk-UA"/>
        </w:rPr>
        <w:t>Цей</w:t>
      </w:r>
      <w:r w:rsidR="00E47819">
        <w:rPr>
          <w:lang w:val="uk-UA"/>
        </w:rPr>
        <w:t xml:space="preserve"> документ</w:t>
      </w:r>
      <w:r w:rsidR="00B050CA">
        <w:rPr>
          <w:lang w:val="uk-UA"/>
        </w:rPr>
        <w:t xml:space="preserve"> </w:t>
      </w:r>
      <w:r>
        <w:rPr>
          <w:lang w:val="uk-UA"/>
        </w:rPr>
        <w:t>містить</w:t>
      </w:r>
      <w:r w:rsidR="00E47819">
        <w:rPr>
          <w:lang w:val="uk-UA"/>
        </w:rPr>
        <w:t xml:space="preserve"> висновки та рекомендації конференції</w:t>
      </w:r>
      <w:r w:rsidR="00B050CA">
        <w:rPr>
          <w:lang w:val="uk-UA"/>
        </w:rPr>
        <w:t>,</w:t>
      </w:r>
      <w:r>
        <w:rPr>
          <w:lang w:val="uk-UA"/>
        </w:rPr>
        <w:t xml:space="preserve"> які складені на основі </w:t>
      </w:r>
      <w:r w:rsidR="0076472E">
        <w:rPr>
          <w:lang w:val="uk-UA"/>
        </w:rPr>
        <w:t xml:space="preserve">підсумків обговорень, </w:t>
      </w:r>
      <w:r>
        <w:rPr>
          <w:lang w:val="uk-UA"/>
        </w:rPr>
        <w:t xml:space="preserve">отриманих від кожного </w:t>
      </w:r>
      <w:r w:rsidR="00456372">
        <w:rPr>
          <w:lang w:val="uk-UA"/>
        </w:rPr>
        <w:t xml:space="preserve">з </w:t>
      </w:r>
      <w:r>
        <w:rPr>
          <w:lang w:val="uk-UA"/>
        </w:rPr>
        <w:t>експерт</w:t>
      </w:r>
      <w:r w:rsidR="00456372">
        <w:rPr>
          <w:lang w:val="uk-UA"/>
        </w:rPr>
        <w:t>ів</w:t>
      </w:r>
      <w:r w:rsidR="00B050CA">
        <w:rPr>
          <w:lang w:val="uk-UA"/>
        </w:rPr>
        <w:t>.</w:t>
      </w:r>
      <w:r w:rsidR="00E47819">
        <w:rPr>
          <w:lang w:val="uk-UA"/>
        </w:rPr>
        <w:t xml:space="preserve"> </w:t>
      </w:r>
    </w:p>
    <w:p w14:paraId="17A2A243" w14:textId="77777777" w:rsidR="000D2777" w:rsidRPr="00C56803" w:rsidRDefault="000D2777" w:rsidP="00F53BB6">
      <w:pPr>
        <w:tabs>
          <w:tab w:val="left" w:pos="1155"/>
        </w:tabs>
        <w:spacing w:after="0"/>
        <w:jc w:val="both"/>
        <w:rPr>
          <w:lang w:val="ru-RU"/>
        </w:rPr>
      </w:pPr>
    </w:p>
    <w:p w14:paraId="5537A0F5" w14:textId="750ABF89" w:rsidR="000D2777" w:rsidRPr="00C56803" w:rsidRDefault="002E49EE" w:rsidP="002E49EE">
      <w:pPr>
        <w:tabs>
          <w:tab w:val="left" w:pos="1155"/>
        </w:tabs>
        <w:spacing w:after="0"/>
        <w:jc w:val="center"/>
        <w:rPr>
          <w:b/>
          <w:lang w:val="uk-UA"/>
        </w:rPr>
      </w:pPr>
      <w:r w:rsidRPr="00C56803">
        <w:rPr>
          <w:b/>
          <w:lang w:val="uk-UA"/>
        </w:rPr>
        <w:t xml:space="preserve">Ключові </w:t>
      </w:r>
      <w:r w:rsidR="00B050CA">
        <w:rPr>
          <w:b/>
          <w:lang w:val="uk-UA"/>
        </w:rPr>
        <w:t xml:space="preserve">висновки та </w:t>
      </w:r>
      <w:r w:rsidRPr="00C56803">
        <w:rPr>
          <w:b/>
          <w:lang w:val="uk-UA"/>
        </w:rPr>
        <w:t>рекомендації</w:t>
      </w:r>
    </w:p>
    <w:p w14:paraId="5226AED2" w14:textId="77777777" w:rsidR="002E49EE" w:rsidRPr="00C56803" w:rsidRDefault="002E49EE" w:rsidP="002E49EE">
      <w:pPr>
        <w:tabs>
          <w:tab w:val="left" w:pos="1155"/>
        </w:tabs>
        <w:spacing w:after="0"/>
        <w:jc w:val="center"/>
        <w:rPr>
          <w:b/>
          <w:lang w:val="uk-UA"/>
        </w:rPr>
      </w:pPr>
    </w:p>
    <w:p w14:paraId="310D83A2" w14:textId="055694B1" w:rsidR="00F53BB6" w:rsidRDefault="00F53BB6" w:rsidP="00BB1770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 w:rsidRPr="00C56803">
        <w:rPr>
          <w:lang w:val="uk-UA"/>
        </w:rPr>
        <w:t xml:space="preserve">Закон України від 14.07.2015 № 595-VIII «Про місцеві вибори» </w:t>
      </w:r>
      <w:r w:rsidR="00953FA2">
        <w:rPr>
          <w:lang w:val="uk-UA"/>
        </w:rPr>
        <w:t xml:space="preserve">(далі – </w:t>
      </w:r>
      <w:r w:rsidR="00C04A7D">
        <w:rPr>
          <w:lang w:val="uk-UA"/>
        </w:rPr>
        <w:t>«</w:t>
      </w:r>
      <w:r w:rsidR="00953FA2">
        <w:rPr>
          <w:lang w:val="uk-UA"/>
        </w:rPr>
        <w:t>Закон про місцеві вибори</w:t>
      </w:r>
      <w:r w:rsidR="00C04A7D">
        <w:rPr>
          <w:lang w:val="uk-UA"/>
        </w:rPr>
        <w:t>» або «Закон»</w:t>
      </w:r>
      <w:r w:rsidR="00953FA2">
        <w:rPr>
          <w:lang w:val="uk-UA"/>
        </w:rPr>
        <w:t xml:space="preserve">) </w:t>
      </w:r>
      <w:r w:rsidRPr="00C56803">
        <w:rPr>
          <w:lang w:val="uk-UA"/>
        </w:rPr>
        <w:t>був прийнятий</w:t>
      </w:r>
      <w:r w:rsidR="000E5A6D">
        <w:rPr>
          <w:lang w:val="uk-UA"/>
        </w:rPr>
        <w:t xml:space="preserve"> надто пізно, лише за</w:t>
      </w:r>
      <w:r w:rsidRPr="00C56803">
        <w:rPr>
          <w:lang w:val="uk-UA"/>
        </w:rPr>
        <w:t xml:space="preserve"> </w:t>
      </w:r>
      <w:r w:rsidR="0072308A" w:rsidRPr="00C56803">
        <w:rPr>
          <w:lang w:val="uk-UA"/>
        </w:rPr>
        <w:t>2 місяці до початку виборчого процесу</w:t>
      </w:r>
      <w:r w:rsidR="00015C92">
        <w:rPr>
          <w:lang w:val="uk-UA"/>
        </w:rPr>
        <w:t>.</w:t>
      </w:r>
      <w:r w:rsidR="00015C92" w:rsidRPr="00C56803">
        <w:rPr>
          <w:lang w:val="uk-UA"/>
        </w:rPr>
        <w:t xml:space="preserve"> </w:t>
      </w:r>
      <w:r w:rsidR="00015C92">
        <w:rPr>
          <w:lang w:val="uk-UA"/>
        </w:rPr>
        <w:t>Це</w:t>
      </w:r>
      <w:r w:rsidR="00015C92" w:rsidRPr="00C56803">
        <w:rPr>
          <w:lang w:val="uk-UA"/>
        </w:rPr>
        <w:t xml:space="preserve"> </w:t>
      </w:r>
      <w:r w:rsidRPr="00C56803">
        <w:rPr>
          <w:lang w:val="uk-UA"/>
        </w:rPr>
        <w:t xml:space="preserve">не </w:t>
      </w:r>
      <w:r w:rsidR="00015C92">
        <w:rPr>
          <w:lang w:val="uk-UA"/>
        </w:rPr>
        <w:t>дозволило</w:t>
      </w:r>
      <w:r w:rsidRPr="00C56803">
        <w:rPr>
          <w:lang w:val="uk-UA"/>
        </w:rPr>
        <w:t xml:space="preserve"> </w:t>
      </w:r>
      <w:r w:rsidR="000E5A6D">
        <w:rPr>
          <w:lang w:val="uk-UA"/>
        </w:rPr>
        <w:t xml:space="preserve">партіям та потенційним кандидатам </w:t>
      </w:r>
      <w:r w:rsidR="00015C92">
        <w:rPr>
          <w:lang w:val="uk-UA"/>
        </w:rPr>
        <w:t>належним чином</w:t>
      </w:r>
      <w:r w:rsidRPr="00C56803">
        <w:rPr>
          <w:lang w:val="uk-UA"/>
        </w:rPr>
        <w:t xml:space="preserve"> підготуватися до місцевих виборів, </w:t>
      </w:r>
      <w:r w:rsidR="0072308A" w:rsidRPr="00C56803">
        <w:rPr>
          <w:lang w:val="uk-UA"/>
        </w:rPr>
        <w:t xml:space="preserve">а також </w:t>
      </w:r>
      <w:r w:rsidR="00015C92">
        <w:rPr>
          <w:lang w:val="uk-UA"/>
        </w:rPr>
        <w:t>суттєво ускладнило роботу</w:t>
      </w:r>
      <w:r w:rsidR="0072308A" w:rsidRPr="00C56803">
        <w:rPr>
          <w:lang w:val="uk-UA"/>
        </w:rPr>
        <w:t xml:space="preserve"> виборчих комісій. </w:t>
      </w:r>
      <w:r w:rsidR="005F3236" w:rsidRPr="00C56803">
        <w:rPr>
          <w:lang w:val="uk-UA"/>
        </w:rPr>
        <w:t xml:space="preserve">Учасники конференції </w:t>
      </w:r>
      <w:r w:rsidR="00015C92">
        <w:rPr>
          <w:lang w:val="uk-UA"/>
        </w:rPr>
        <w:t>вкотре</w:t>
      </w:r>
      <w:r w:rsidR="00F34A98" w:rsidRPr="00C56803">
        <w:rPr>
          <w:lang w:val="uk-UA"/>
        </w:rPr>
        <w:t xml:space="preserve"> наголошують на необхідності дотримання міжнародних </w:t>
      </w:r>
      <w:r w:rsidR="00F34A98" w:rsidRPr="00C56803">
        <w:rPr>
          <w:lang w:val="uk-UA"/>
        </w:rPr>
        <w:lastRenderedPageBreak/>
        <w:t xml:space="preserve">стандартів виборів, зокрема, в частині </w:t>
      </w:r>
      <w:r w:rsidR="00015C92">
        <w:rPr>
          <w:lang w:val="uk-UA"/>
        </w:rPr>
        <w:t xml:space="preserve">внесення </w:t>
      </w:r>
      <w:r w:rsidR="00F34A98" w:rsidRPr="00C56803">
        <w:rPr>
          <w:lang w:val="uk-UA"/>
        </w:rPr>
        <w:t xml:space="preserve">змін </w:t>
      </w:r>
      <w:r w:rsidR="00015C92">
        <w:rPr>
          <w:lang w:val="uk-UA"/>
        </w:rPr>
        <w:t xml:space="preserve">до виборчого </w:t>
      </w:r>
      <w:r w:rsidR="00F34A98" w:rsidRPr="00C56803">
        <w:rPr>
          <w:lang w:val="uk-UA"/>
        </w:rPr>
        <w:t xml:space="preserve">законодавства не менш як за рік до дня виборів. </w:t>
      </w:r>
      <w:r w:rsidR="00263BD3" w:rsidRPr="00C56803">
        <w:rPr>
          <w:lang w:val="uk-UA"/>
        </w:rPr>
        <w:t xml:space="preserve">Найбільш оптимальним шляхом вирішення цієї проблеми могло б стати прийняття </w:t>
      </w:r>
      <w:r w:rsidR="00015C92">
        <w:rPr>
          <w:lang w:val="uk-UA"/>
        </w:rPr>
        <w:t>В</w:t>
      </w:r>
      <w:r w:rsidR="00263BD3" w:rsidRPr="00C56803">
        <w:rPr>
          <w:lang w:val="uk-UA"/>
        </w:rPr>
        <w:t>иборчого кодексу, який уніфікува</w:t>
      </w:r>
      <w:r w:rsidR="009D38A2">
        <w:rPr>
          <w:lang w:val="uk-UA"/>
        </w:rPr>
        <w:t>в би</w:t>
      </w:r>
      <w:r w:rsidR="00263BD3" w:rsidRPr="00C56803">
        <w:rPr>
          <w:lang w:val="uk-UA"/>
        </w:rPr>
        <w:t xml:space="preserve"> виборчі процеси на парламентських, президентських та місцевих виборах</w:t>
      </w:r>
      <w:r w:rsidR="002E49EE" w:rsidRPr="00C56803">
        <w:rPr>
          <w:lang w:val="uk-UA"/>
        </w:rPr>
        <w:t>. Це</w:t>
      </w:r>
      <w:r w:rsidR="001779E7" w:rsidRPr="00C56803">
        <w:rPr>
          <w:lang w:val="uk-UA"/>
        </w:rPr>
        <w:t>,</w:t>
      </w:r>
      <w:r w:rsidR="002E49EE" w:rsidRPr="00C56803">
        <w:rPr>
          <w:lang w:val="uk-UA"/>
        </w:rPr>
        <w:t xml:space="preserve"> </w:t>
      </w:r>
      <w:r w:rsidR="00263BD3" w:rsidRPr="00C56803">
        <w:rPr>
          <w:lang w:val="uk-UA"/>
        </w:rPr>
        <w:t>безумовно</w:t>
      </w:r>
      <w:r w:rsidR="001779E7" w:rsidRPr="00C56803">
        <w:rPr>
          <w:lang w:val="uk-UA"/>
        </w:rPr>
        <w:t>,</w:t>
      </w:r>
      <w:r w:rsidR="00263BD3" w:rsidRPr="00C56803">
        <w:rPr>
          <w:lang w:val="uk-UA"/>
        </w:rPr>
        <w:t xml:space="preserve"> дозволило б усім учасникам виборчого процесу завчасно знати </w:t>
      </w:r>
      <w:r w:rsidR="00015C92">
        <w:rPr>
          <w:lang w:val="uk-UA"/>
        </w:rPr>
        <w:t>“</w:t>
      </w:r>
      <w:r w:rsidR="00263BD3" w:rsidRPr="00C56803">
        <w:rPr>
          <w:lang w:val="uk-UA"/>
        </w:rPr>
        <w:t>правила гри</w:t>
      </w:r>
      <w:r w:rsidR="00015C92">
        <w:rPr>
          <w:lang w:val="uk-UA"/>
        </w:rPr>
        <w:t>”</w:t>
      </w:r>
      <w:r w:rsidR="00263BD3" w:rsidRPr="00C56803">
        <w:rPr>
          <w:lang w:val="uk-UA"/>
        </w:rPr>
        <w:t xml:space="preserve"> та належним чином підготуватися до </w:t>
      </w:r>
      <w:r w:rsidR="00015C92">
        <w:rPr>
          <w:lang w:val="uk-UA"/>
        </w:rPr>
        <w:t>участі у виборах</w:t>
      </w:r>
      <w:r w:rsidR="00263BD3" w:rsidRPr="00C56803">
        <w:rPr>
          <w:lang w:val="uk-UA"/>
        </w:rPr>
        <w:t>,</w:t>
      </w:r>
      <w:r w:rsidR="00015C92">
        <w:rPr>
          <w:lang w:val="uk-UA"/>
        </w:rPr>
        <w:t xml:space="preserve"> </w:t>
      </w:r>
      <w:r w:rsidR="00263BD3" w:rsidRPr="00C56803">
        <w:rPr>
          <w:lang w:val="uk-UA"/>
        </w:rPr>
        <w:t xml:space="preserve">значною мірою покращило б організацію виборчого процесу, сприяло б </w:t>
      </w:r>
      <w:r w:rsidR="002E49EE" w:rsidRPr="00C56803">
        <w:rPr>
          <w:lang w:val="uk-UA"/>
        </w:rPr>
        <w:t xml:space="preserve">його </w:t>
      </w:r>
      <w:r w:rsidR="00263BD3" w:rsidRPr="00C56803">
        <w:rPr>
          <w:lang w:val="uk-UA"/>
        </w:rPr>
        <w:t>чесності та прозорості</w:t>
      </w:r>
      <w:r w:rsidR="00015C92">
        <w:rPr>
          <w:lang w:val="uk-UA"/>
        </w:rPr>
        <w:t>, підвищенню рівня</w:t>
      </w:r>
      <w:r w:rsidR="00263BD3" w:rsidRPr="00C56803">
        <w:rPr>
          <w:lang w:val="uk-UA"/>
        </w:rPr>
        <w:t xml:space="preserve"> довіри виборців до результатів виборів. </w:t>
      </w:r>
    </w:p>
    <w:p w14:paraId="4BBE9E29" w14:textId="417B2D47" w:rsidR="003F3076" w:rsidRPr="003F3076" w:rsidRDefault="003F3076" w:rsidP="003F3076">
      <w:pPr>
        <w:tabs>
          <w:tab w:val="left" w:pos="709"/>
        </w:tabs>
        <w:spacing w:after="0"/>
        <w:ind w:left="709"/>
        <w:jc w:val="both"/>
        <w:rPr>
          <w:lang w:val="uk-UA"/>
        </w:rPr>
      </w:pPr>
      <w:r w:rsidRPr="003F3076">
        <w:rPr>
          <w:b/>
          <w:lang w:val="uk-UA"/>
        </w:rPr>
        <w:t>Рекомендація 1:</w:t>
      </w:r>
      <w:r w:rsidRPr="003F3076">
        <w:rPr>
          <w:lang w:val="uk-UA"/>
        </w:rPr>
        <w:t xml:space="preserve"> переконати </w:t>
      </w:r>
      <w:r>
        <w:rPr>
          <w:lang w:val="uk-UA"/>
        </w:rPr>
        <w:t>представників законодавчої гілки влади</w:t>
      </w:r>
      <w:r w:rsidRPr="003F3076">
        <w:rPr>
          <w:lang w:val="uk-UA"/>
        </w:rPr>
        <w:t xml:space="preserve"> ухвалити виборчий кодекс.</w:t>
      </w:r>
    </w:p>
    <w:p w14:paraId="58094275" w14:textId="77777777" w:rsidR="003F3076" w:rsidRPr="003F3076" w:rsidRDefault="003F3076" w:rsidP="003F3076">
      <w:pPr>
        <w:tabs>
          <w:tab w:val="left" w:pos="1155"/>
        </w:tabs>
        <w:spacing w:after="0"/>
        <w:jc w:val="both"/>
        <w:rPr>
          <w:lang w:val="uk-UA"/>
        </w:rPr>
      </w:pPr>
    </w:p>
    <w:p w14:paraId="26DF4420" w14:textId="77777777" w:rsidR="00994544" w:rsidRPr="00994544" w:rsidRDefault="008129A0" w:rsidP="00BB1770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 w:rsidRPr="00C56803">
        <w:rPr>
          <w:lang w:val="uk-UA"/>
        </w:rPr>
        <w:t>Виборча система, яка застосовувалась на виборах депутатів обласних, районних, міських та районних в міст</w:t>
      </w:r>
      <w:r w:rsidR="00015C92">
        <w:rPr>
          <w:lang w:val="uk-UA"/>
        </w:rPr>
        <w:t>ах</w:t>
      </w:r>
      <w:r w:rsidRPr="00C56803">
        <w:rPr>
          <w:lang w:val="uk-UA"/>
        </w:rPr>
        <w:t xml:space="preserve"> рад, була </w:t>
      </w:r>
      <w:r w:rsidR="005F3236" w:rsidRPr="00C56803">
        <w:rPr>
          <w:lang w:val="uk-UA"/>
        </w:rPr>
        <w:t xml:space="preserve">складною та </w:t>
      </w:r>
      <w:r w:rsidR="00015C92">
        <w:rPr>
          <w:lang w:val="uk-UA"/>
        </w:rPr>
        <w:t>недостатньо зрозумілою (з точки зору наслідків її застосування)</w:t>
      </w:r>
      <w:r w:rsidR="00015C92" w:rsidRPr="00C56803">
        <w:rPr>
          <w:lang w:val="uk-UA"/>
        </w:rPr>
        <w:t xml:space="preserve"> </w:t>
      </w:r>
      <w:r w:rsidR="005F3236" w:rsidRPr="00C56803">
        <w:rPr>
          <w:lang w:val="uk-UA"/>
        </w:rPr>
        <w:t xml:space="preserve">як </w:t>
      </w:r>
      <w:r w:rsidR="00722F77">
        <w:rPr>
          <w:lang w:val="uk-UA"/>
        </w:rPr>
        <w:t xml:space="preserve">для </w:t>
      </w:r>
      <w:r w:rsidR="00015C92">
        <w:rPr>
          <w:lang w:val="uk-UA"/>
        </w:rPr>
        <w:t>партій і кандидатів на виборах</w:t>
      </w:r>
      <w:r w:rsidR="005F3236" w:rsidRPr="00C56803">
        <w:rPr>
          <w:lang w:val="uk-UA"/>
        </w:rPr>
        <w:t xml:space="preserve">, </w:t>
      </w:r>
      <w:r w:rsidR="00722F77">
        <w:rPr>
          <w:lang w:val="uk-UA"/>
        </w:rPr>
        <w:t xml:space="preserve">так і для </w:t>
      </w:r>
      <w:r w:rsidR="00015C92">
        <w:rPr>
          <w:lang w:val="uk-UA"/>
        </w:rPr>
        <w:t>виборчої адміністрації</w:t>
      </w:r>
      <w:r w:rsidR="005F3236" w:rsidRPr="00C56803">
        <w:rPr>
          <w:lang w:val="uk-UA"/>
        </w:rPr>
        <w:t xml:space="preserve"> та виборців. </w:t>
      </w:r>
      <w:r w:rsidR="00015C92">
        <w:rPr>
          <w:lang w:val="uk-UA"/>
        </w:rPr>
        <w:t xml:space="preserve">При впровадженні цієї системи не було враховано вимоги </w:t>
      </w:r>
      <w:r w:rsidR="00F34A98" w:rsidRPr="00C56803">
        <w:rPr>
          <w:lang w:val="uk-UA"/>
        </w:rPr>
        <w:t xml:space="preserve">Конституції щодо </w:t>
      </w:r>
      <w:r w:rsidR="00015C92" w:rsidRPr="00C56803">
        <w:rPr>
          <w:lang w:val="uk-UA"/>
        </w:rPr>
        <w:t>представ</w:t>
      </w:r>
      <w:r w:rsidR="00015C92">
        <w:rPr>
          <w:lang w:val="uk-UA"/>
        </w:rPr>
        <w:t>ництва спільних</w:t>
      </w:r>
      <w:r w:rsidR="00015C92" w:rsidRPr="00C56803">
        <w:rPr>
          <w:lang w:val="uk-UA"/>
        </w:rPr>
        <w:t xml:space="preserve"> </w:t>
      </w:r>
      <w:r w:rsidR="00F34A98" w:rsidRPr="00C56803">
        <w:rPr>
          <w:lang w:val="uk-UA"/>
        </w:rPr>
        <w:t xml:space="preserve">інтересів територіальних громад </w:t>
      </w:r>
      <w:r w:rsidR="00015C92">
        <w:rPr>
          <w:lang w:val="uk-UA"/>
        </w:rPr>
        <w:t>у районних та обласних радах</w:t>
      </w:r>
      <w:r w:rsidR="00F34A98" w:rsidRPr="00C56803">
        <w:rPr>
          <w:lang w:val="uk-UA"/>
        </w:rPr>
        <w:t xml:space="preserve">. </w:t>
      </w:r>
      <w:r w:rsidR="00015C92">
        <w:rPr>
          <w:lang w:val="uk-UA"/>
        </w:rPr>
        <w:t>Хоча</w:t>
      </w:r>
      <w:r w:rsidR="005F3236" w:rsidRPr="00C56803">
        <w:rPr>
          <w:lang w:val="uk-UA"/>
        </w:rPr>
        <w:t xml:space="preserve"> </w:t>
      </w:r>
      <w:r w:rsidR="00015C92">
        <w:rPr>
          <w:lang w:val="uk-UA"/>
        </w:rPr>
        <w:t xml:space="preserve">ця </w:t>
      </w:r>
      <w:r w:rsidR="005F3236" w:rsidRPr="00C56803">
        <w:rPr>
          <w:lang w:val="uk-UA"/>
        </w:rPr>
        <w:t>виборча система</w:t>
      </w:r>
      <w:r w:rsidR="00015C92">
        <w:rPr>
          <w:lang w:val="uk-UA"/>
        </w:rPr>
        <w:t xml:space="preserve"> і</w:t>
      </w:r>
      <w:r w:rsidR="005F3236" w:rsidRPr="00C56803">
        <w:rPr>
          <w:lang w:val="uk-UA"/>
        </w:rPr>
        <w:t xml:space="preserve"> забезпечила пропорційний розподіл </w:t>
      </w:r>
      <w:r w:rsidR="00015C92">
        <w:rPr>
          <w:lang w:val="uk-UA"/>
        </w:rPr>
        <w:t>мандатів у представницьких органах між відповідними місцевими організаціями партій, які взяли участь у виборах,</w:t>
      </w:r>
      <w:r w:rsidR="00015C92" w:rsidRPr="00C56803">
        <w:rPr>
          <w:lang w:val="uk-UA"/>
        </w:rPr>
        <w:t xml:space="preserve"> </w:t>
      </w:r>
      <w:r w:rsidR="00015C92">
        <w:rPr>
          <w:lang w:val="uk-UA"/>
        </w:rPr>
        <w:t xml:space="preserve">результати її застосування на практиці далеко не завжди були логічними. </w:t>
      </w:r>
      <w:r w:rsidR="0040693C">
        <w:rPr>
          <w:lang w:val="uk-UA"/>
        </w:rPr>
        <w:t>В</w:t>
      </w:r>
      <w:r w:rsidR="00015C92">
        <w:rPr>
          <w:lang w:val="uk-UA"/>
        </w:rPr>
        <w:t xml:space="preserve"> окремих тер</w:t>
      </w:r>
      <w:r w:rsidR="001949DE">
        <w:rPr>
          <w:lang w:val="uk-UA"/>
        </w:rPr>
        <w:t>иторіальних виборчих округах вза</w:t>
      </w:r>
      <w:r w:rsidR="00015C92">
        <w:rPr>
          <w:lang w:val="uk-UA"/>
        </w:rPr>
        <w:t>галі не було обрано жодного депутата</w:t>
      </w:r>
      <w:r w:rsidR="0040693C">
        <w:rPr>
          <w:lang w:val="uk-UA"/>
        </w:rPr>
        <w:t xml:space="preserve"> (на </w:t>
      </w:r>
      <w:r w:rsidR="001949DE">
        <w:rPr>
          <w:lang w:val="uk-UA"/>
        </w:rPr>
        <w:t>рівні</w:t>
      </w:r>
      <w:r w:rsidR="0040693C">
        <w:rPr>
          <w:lang w:val="uk-UA"/>
        </w:rPr>
        <w:t xml:space="preserve"> областей – у середньому 20% округів)</w:t>
      </w:r>
      <w:r w:rsidR="00015C92">
        <w:rPr>
          <w:lang w:val="uk-UA"/>
        </w:rPr>
        <w:t>; в деяких округах – було обрано по 2 і більше депутати</w:t>
      </w:r>
      <w:r w:rsidR="0040693C">
        <w:rPr>
          <w:lang w:val="uk-UA"/>
        </w:rPr>
        <w:t xml:space="preserve"> (на рівні областей – у середньому 15% округів)</w:t>
      </w:r>
      <w:r w:rsidR="00015C92">
        <w:rPr>
          <w:lang w:val="uk-UA"/>
        </w:rPr>
        <w:t xml:space="preserve">, </w:t>
      </w:r>
      <w:r w:rsidR="0040693C">
        <w:rPr>
          <w:lang w:val="uk-UA"/>
        </w:rPr>
        <w:t>а</w:t>
      </w:r>
      <w:r w:rsidR="00015C92">
        <w:rPr>
          <w:lang w:val="uk-UA"/>
        </w:rPr>
        <w:t xml:space="preserve"> в деяких округах обраними стали не кандидати від партій, які підтримувались більшістю виборців, а</w:t>
      </w:r>
      <w:r w:rsidR="0040693C">
        <w:rPr>
          <w:lang w:val="uk-UA"/>
        </w:rPr>
        <w:t>, навпаки,</w:t>
      </w:r>
      <w:r w:rsidR="00015C92">
        <w:rPr>
          <w:lang w:val="uk-UA"/>
        </w:rPr>
        <w:t xml:space="preserve"> кандидати, </w:t>
      </w:r>
      <w:r w:rsidR="001949DE">
        <w:rPr>
          <w:lang w:val="uk-UA"/>
        </w:rPr>
        <w:t>підтримані мен</w:t>
      </w:r>
      <w:r w:rsidR="0040693C">
        <w:rPr>
          <w:lang w:val="uk-UA"/>
        </w:rPr>
        <w:t>шістю виборців</w:t>
      </w:r>
      <w:r w:rsidR="00015C92">
        <w:rPr>
          <w:lang w:val="uk-UA"/>
        </w:rPr>
        <w:t xml:space="preserve">. Більше того, в окремих випадках </w:t>
      </w:r>
      <w:r w:rsidR="0040693C">
        <w:rPr>
          <w:lang w:val="uk-UA"/>
        </w:rPr>
        <w:t xml:space="preserve">обрані депутати взагалі не отримали жодного голосу на свою підтримку. </w:t>
      </w:r>
    </w:p>
    <w:p w14:paraId="6E7FB36B" w14:textId="144B51DE" w:rsidR="0072308A" w:rsidRPr="00C56803" w:rsidRDefault="00994544" w:rsidP="00994544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994544">
        <w:rPr>
          <w:b/>
          <w:lang w:val="uk-UA"/>
        </w:rPr>
        <w:t xml:space="preserve">Рекомендація </w:t>
      </w:r>
      <w:r w:rsidRPr="00994544">
        <w:rPr>
          <w:b/>
          <w:lang w:val="ru-RU"/>
        </w:rPr>
        <w:t>2</w:t>
      </w:r>
      <w:r w:rsidRPr="00994544">
        <w:rPr>
          <w:lang w:val="uk-UA"/>
        </w:rPr>
        <w:t xml:space="preserve">: </w:t>
      </w:r>
      <w:r>
        <w:rPr>
          <w:lang w:val="uk-UA"/>
        </w:rPr>
        <w:t xml:space="preserve">Утриматися від </w:t>
      </w:r>
      <w:r w:rsidR="005F3236" w:rsidRPr="00C56803">
        <w:rPr>
          <w:lang w:val="uk-UA"/>
        </w:rPr>
        <w:t xml:space="preserve"> застосува</w:t>
      </w:r>
      <w:r>
        <w:rPr>
          <w:lang w:val="uk-UA"/>
        </w:rPr>
        <w:t>ння</w:t>
      </w:r>
      <w:r w:rsidR="005F3236" w:rsidRPr="00C56803">
        <w:rPr>
          <w:lang w:val="uk-UA"/>
        </w:rPr>
        <w:t xml:space="preserve"> </w:t>
      </w:r>
      <w:r w:rsidR="0040693C">
        <w:rPr>
          <w:lang w:val="uk-UA"/>
        </w:rPr>
        <w:t>аналогічн</w:t>
      </w:r>
      <w:r>
        <w:rPr>
          <w:lang w:val="uk-UA"/>
        </w:rPr>
        <w:t>ої</w:t>
      </w:r>
      <w:r w:rsidR="0040693C" w:rsidRPr="00C56803">
        <w:rPr>
          <w:lang w:val="uk-UA"/>
        </w:rPr>
        <w:t xml:space="preserve"> </w:t>
      </w:r>
      <w:r w:rsidR="005F3236" w:rsidRPr="00C56803">
        <w:rPr>
          <w:lang w:val="uk-UA"/>
        </w:rPr>
        <w:t>виборч</w:t>
      </w:r>
      <w:r>
        <w:rPr>
          <w:lang w:val="uk-UA"/>
        </w:rPr>
        <w:t>ої</w:t>
      </w:r>
      <w:r w:rsidR="005F3236" w:rsidRPr="00C56803">
        <w:rPr>
          <w:lang w:val="uk-UA"/>
        </w:rPr>
        <w:t xml:space="preserve"> систем</w:t>
      </w:r>
      <w:r>
        <w:rPr>
          <w:lang w:val="uk-UA"/>
        </w:rPr>
        <w:t>и</w:t>
      </w:r>
      <w:r w:rsidR="005F3236" w:rsidRPr="00C56803">
        <w:rPr>
          <w:lang w:val="uk-UA"/>
        </w:rPr>
        <w:t xml:space="preserve"> </w:t>
      </w:r>
      <w:r w:rsidR="0040693C">
        <w:rPr>
          <w:lang w:val="uk-UA"/>
        </w:rPr>
        <w:t xml:space="preserve">на будь-яких </w:t>
      </w:r>
      <w:r>
        <w:rPr>
          <w:lang w:val="uk-UA"/>
        </w:rPr>
        <w:t xml:space="preserve">майбутніх </w:t>
      </w:r>
      <w:r w:rsidR="0040693C">
        <w:rPr>
          <w:lang w:val="uk-UA"/>
        </w:rPr>
        <w:t>виборах</w:t>
      </w:r>
      <w:r w:rsidR="005F3236" w:rsidRPr="00C56803">
        <w:rPr>
          <w:lang w:val="uk-UA"/>
        </w:rPr>
        <w:t xml:space="preserve"> та </w:t>
      </w:r>
      <w:r>
        <w:rPr>
          <w:lang w:val="uk-UA"/>
        </w:rPr>
        <w:t xml:space="preserve">закликати представників влади до обов’язкового </w:t>
      </w:r>
      <w:r w:rsidR="005F3236" w:rsidRPr="00C56803">
        <w:rPr>
          <w:lang w:val="uk-UA"/>
        </w:rPr>
        <w:t xml:space="preserve">громадського обговорення виборчих систем, які </w:t>
      </w:r>
      <w:r w:rsidR="0040693C">
        <w:rPr>
          <w:lang w:val="uk-UA"/>
        </w:rPr>
        <w:t>пропонуються або можуть бути запропоновані для впровадження на загальнодержавних або місцевих виборах</w:t>
      </w:r>
      <w:r w:rsidR="005F3236" w:rsidRPr="00C56803">
        <w:rPr>
          <w:lang w:val="uk-UA"/>
        </w:rPr>
        <w:t xml:space="preserve">. </w:t>
      </w:r>
    </w:p>
    <w:p w14:paraId="3412FA58" w14:textId="21A13A21" w:rsidR="00C4594B" w:rsidRPr="000817C0" w:rsidRDefault="001A7F9D" w:rsidP="00C4594B">
      <w:pPr>
        <w:pStyle w:val="ListParagraph"/>
        <w:tabs>
          <w:tab w:val="left" w:pos="1155"/>
        </w:tabs>
        <w:spacing w:after="0"/>
        <w:jc w:val="both"/>
        <w:rPr>
          <w:lang w:val="ru-RU"/>
        </w:rPr>
      </w:pPr>
      <w:r>
        <w:rPr>
          <w:lang w:val="uk-UA"/>
        </w:rPr>
        <w:t xml:space="preserve">Може бути </w:t>
      </w:r>
      <w:r w:rsidR="00C4594B" w:rsidRPr="00C56803">
        <w:rPr>
          <w:lang w:val="uk-UA"/>
        </w:rPr>
        <w:t>розглянут</w:t>
      </w:r>
      <w:r>
        <w:rPr>
          <w:lang w:val="uk-UA"/>
        </w:rPr>
        <w:t>а</w:t>
      </w:r>
      <w:r w:rsidR="00C4594B" w:rsidRPr="00C56803">
        <w:rPr>
          <w:lang w:val="uk-UA"/>
        </w:rPr>
        <w:t xml:space="preserve"> </w:t>
      </w:r>
      <w:r w:rsidR="00884414">
        <w:rPr>
          <w:lang w:val="uk-UA"/>
        </w:rPr>
        <w:t xml:space="preserve">можливість </w:t>
      </w:r>
      <w:r w:rsidR="00C4594B" w:rsidRPr="00C56803">
        <w:rPr>
          <w:lang w:val="uk-UA"/>
        </w:rPr>
        <w:t>застосування мажоритарної виборчої системи у багатомандатних округах</w:t>
      </w:r>
      <w:r w:rsidR="0040693C">
        <w:rPr>
          <w:lang w:val="uk-UA"/>
        </w:rPr>
        <w:t xml:space="preserve"> (т.зв. “системи єдиного неперехідного голосу”)</w:t>
      </w:r>
      <w:r w:rsidR="00C4594B" w:rsidRPr="00C56803">
        <w:rPr>
          <w:lang w:val="uk-UA"/>
        </w:rPr>
        <w:t xml:space="preserve"> на виборах обласних, районних, сільських та селищних рад, а також на виборах </w:t>
      </w:r>
      <w:r w:rsidR="0040693C">
        <w:rPr>
          <w:lang w:val="uk-UA"/>
        </w:rPr>
        <w:t xml:space="preserve">рад </w:t>
      </w:r>
      <w:r w:rsidR="00C4594B" w:rsidRPr="00C56803">
        <w:rPr>
          <w:lang w:val="uk-UA"/>
        </w:rPr>
        <w:t>об‘єднаних громад</w:t>
      </w:r>
      <w:r w:rsidR="00884414">
        <w:rPr>
          <w:lang w:val="uk-UA"/>
        </w:rPr>
        <w:t xml:space="preserve">. Окрім цього, право висування кандидатів у депутати місцевих рад </w:t>
      </w:r>
      <w:r>
        <w:rPr>
          <w:lang w:val="uk-UA"/>
        </w:rPr>
        <w:t xml:space="preserve">має бути надано </w:t>
      </w:r>
      <w:r w:rsidR="006D7CCB">
        <w:rPr>
          <w:lang w:val="uk-UA"/>
        </w:rPr>
        <w:t xml:space="preserve">місцевим </w:t>
      </w:r>
      <w:r w:rsidR="00884414">
        <w:rPr>
          <w:lang w:val="uk-UA"/>
        </w:rPr>
        <w:t>організованим групам виборців.</w:t>
      </w:r>
    </w:p>
    <w:p w14:paraId="2FAF2470" w14:textId="77777777" w:rsidR="001A7F9D" w:rsidRPr="000817C0" w:rsidRDefault="001A7F9D" w:rsidP="00C4594B">
      <w:pPr>
        <w:pStyle w:val="ListParagraph"/>
        <w:tabs>
          <w:tab w:val="left" w:pos="1155"/>
        </w:tabs>
        <w:spacing w:after="0"/>
        <w:jc w:val="both"/>
        <w:rPr>
          <w:lang w:val="ru-RU"/>
        </w:rPr>
      </w:pPr>
    </w:p>
    <w:p w14:paraId="74BD6E13" w14:textId="77777777" w:rsidR="001A7F9D" w:rsidRPr="001A7F9D" w:rsidRDefault="00F34A98" w:rsidP="00BB1770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 w:rsidRPr="00C56803">
        <w:rPr>
          <w:lang w:val="uk-UA"/>
        </w:rPr>
        <w:t>Мажоритарна виборча система абсолютної більшості, яка застосувалась на виборах міських голів в містах</w:t>
      </w:r>
      <w:r w:rsidR="0040693C">
        <w:rPr>
          <w:lang w:val="uk-UA"/>
        </w:rPr>
        <w:t xml:space="preserve"> з 90 000</w:t>
      </w:r>
      <w:r w:rsidR="003C5DB3">
        <w:rPr>
          <w:lang w:val="uk-UA"/>
        </w:rPr>
        <w:t xml:space="preserve"> і більше виборців</w:t>
      </w:r>
      <w:r w:rsidRPr="00C56803">
        <w:rPr>
          <w:lang w:val="uk-UA"/>
        </w:rPr>
        <w:t>, продемонструвала свою ефективність</w:t>
      </w:r>
      <w:r w:rsidR="001A7F9D" w:rsidRPr="001A7F9D">
        <w:rPr>
          <w:lang w:val="ru-RU"/>
        </w:rPr>
        <w:t>.</w:t>
      </w:r>
    </w:p>
    <w:p w14:paraId="571AE027" w14:textId="2058BCE8" w:rsidR="005F3236" w:rsidRDefault="001A7F9D" w:rsidP="001A7F9D">
      <w:pPr>
        <w:tabs>
          <w:tab w:val="left" w:pos="1155"/>
        </w:tabs>
        <w:spacing w:after="0"/>
        <w:ind w:left="709"/>
        <w:jc w:val="both"/>
        <w:rPr>
          <w:lang w:val="uk-UA"/>
        </w:rPr>
      </w:pPr>
      <w:r w:rsidRPr="001A7F9D">
        <w:rPr>
          <w:b/>
          <w:lang w:val="uk-UA"/>
        </w:rPr>
        <w:t xml:space="preserve">Рекомендація </w:t>
      </w:r>
      <w:r w:rsidRPr="001A7F9D">
        <w:rPr>
          <w:b/>
          <w:lang w:val="ru-RU"/>
        </w:rPr>
        <w:t>3</w:t>
      </w:r>
      <w:r w:rsidRPr="001A7F9D">
        <w:rPr>
          <w:b/>
          <w:lang w:val="uk-UA"/>
        </w:rPr>
        <w:t>:</w:t>
      </w:r>
      <w:r w:rsidRPr="001A7F9D">
        <w:rPr>
          <w:b/>
          <w:lang w:val="ru-RU"/>
        </w:rPr>
        <w:t xml:space="preserve"> </w:t>
      </w:r>
      <w:r w:rsidRPr="001A7F9D">
        <w:rPr>
          <w:lang w:val="uk-UA"/>
        </w:rPr>
        <w:t>Р</w:t>
      </w:r>
      <w:r w:rsidR="003C5DB3" w:rsidRPr="001A7F9D">
        <w:rPr>
          <w:lang w:val="uk-UA"/>
        </w:rPr>
        <w:t>озглянути можливість</w:t>
      </w:r>
      <w:r w:rsidR="00F34A98" w:rsidRPr="001A7F9D">
        <w:rPr>
          <w:lang w:val="uk-UA"/>
        </w:rPr>
        <w:t xml:space="preserve"> </w:t>
      </w:r>
      <w:r w:rsidR="003C5DB3" w:rsidRPr="001A7F9D">
        <w:rPr>
          <w:lang w:val="uk-UA"/>
        </w:rPr>
        <w:t xml:space="preserve">подальшого </w:t>
      </w:r>
      <w:r w:rsidR="00F34A98" w:rsidRPr="001A7F9D">
        <w:rPr>
          <w:lang w:val="uk-UA"/>
        </w:rPr>
        <w:t>застосування</w:t>
      </w:r>
      <w:r>
        <w:rPr>
          <w:lang w:val="ru-RU"/>
        </w:rPr>
        <w:t xml:space="preserve"> м</w:t>
      </w:r>
      <w:proofErr w:type="spellStart"/>
      <w:r w:rsidRPr="001A7F9D">
        <w:rPr>
          <w:lang w:val="uk-UA"/>
        </w:rPr>
        <w:t>ажоритар</w:t>
      </w:r>
      <w:r>
        <w:rPr>
          <w:lang w:val="uk-UA"/>
        </w:rPr>
        <w:t>ної</w:t>
      </w:r>
      <w:proofErr w:type="spellEnd"/>
      <w:r w:rsidRPr="001A7F9D">
        <w:rPr>
          <w:lang w:val="uk-UA"/>
        </w:rPr>
        <w:t xml:space="preserve"> виборч</w:t>
      </w:r>
      <w:r>
        <w:rPr>
          <w:lang w:val="uk-UA"/>
        </w:rPr>
        <w:t>ої</w:t>
      </w:r>
      <w:r w:rsidRPr="001A7F9D">
        <w:rPr>
          <w:lang w:val="uk-UA"/>
        </w:rPr>
        <w:t xml:space="preserve"> систем</w:t>
      </w:r>
      <w:r>
        <w:rPr>
          <w:lang w:val="uk-UA"/>
        </w:rPr>
        <w:t>и</w:t>
      </w:r>
      <w:r w:rsidRPr="001A7F9D">
        <w:rPr>
          <w:lang w:val="uk-UA"/>
        </w:rPr>
        <w:t xml:space="preserve"> абсолютної більшості</w:t>
      </w:r>
      <w:r w:rsidR="00F34A98" w:rsidRPr="001A7F9D">
        <w:rPr>
          <w:lang w:val="uk-UA"/>
        </w:rPr>
        <w:t xml:space="preserve"> </w:t>
      </w:r>
      <w:r w:rsidR="0040693C" w:rsidRPr="001A7F9D">
        <w:rPr>
          <w:lang w:val="uk-UA"/>
        </w:rPr>
        <w:t>на виборах міських голів</w:t>
      </w:r>
      <w:r w:rsidR="00F24319">
        <w:rPr>
          <w:lang w:val="uk-UA"/>
        </w:rPr>
        <w:t xml:space="preserve"> усіх міст</w:t>
      </w:r>
      <w:r w:rsidR="00F34A98" w:rsidRPr="001A7F9D">
        <w:rPr>
          <w:lang w:val="uk-UA"/>
        </w:rPr>
        <w:t xml:space="preserve">. </w:t>
      </w:r>
    </w:p>
    <w:p w14:paraId="4987F5F1" w14:textId="77777777" w:rsidR="001A7F9D" w:rsidRPr="001A7F9D" w:rsidRDefault="001A7F9D" w:rsidP="001A7F9D">
      <w:pPr>
        <w:tabs>
          <w:tab w:val="left" w:pos="1155"/>
        </w:tabs>
        <w:spacing w:after="0"/>
        <w:ind w:left="709"/>
        <w:jc w:val="both"/>
        <w:rPr>
          <w:lang w:val="uk-UA"/>
        </w:rPr>
      </w:pPr>
    </w:p>
    <w:p w14:paraId="310CEDC5" w14:textId="77777777" w:rsidR="0081453B" w:rsidRDefault="000D2777" w:rsidP="000D2777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 w:rsidRPr="00C56803">
        <w:rPr>
          <w:lang w:val="uk-UA"/>
        </w:rPr>
        <w:t xml:space="preserve">Багато проблем, що виникали під час виборчого процесу, були </w:t>
      </w:r>
      <w:r w:rsidR="00860E78" w:rsidRPr="00C56803">
        <w:rPr>
          <w:lang w:val="uk-UA"/>
        </w:rPr>
        <w:t>наслідком не</w:t>
      </w:r>
      <w:r w:rsidR="0040693C">
        <w:rPr>
          <w:lang w:val="uk-UA"/>
        </w:rPr>
        <w:t>навмисних</w:t>
      </w:r>
      <w:r w:rsidR="00860E78" w:rsidRPr="00C56803">
        <w:rPr>
          <w:lang w:val="uk-UA"/>
        </w:rPr>
        <w:t xml:space="preserve"> людських помилок, </w:t>
      </w:r>
      <w:r w:rsidRPr="00C56803">
        <w:rPr>
          <w:lang w:val="uk-UA"/>
        </w:rPr>
        <w:t>зокрема</w:t>
      </w:r>
      <w:r w:rsidR="00860E78" w:rsidRPr="00C56803">
        <w:rPr>
          <w:lang w:val="uk-UA"/>
        </w:rPr>
        <w:t xml:space="preserve"> при</w:t>
      </w:r>
      <w:r w:rsidRPr="00C56803">
        <w:rPr>
          <w:lang w:val="uk-UA"/>
        </w:rPr>
        <w:t xml:space="preserve"> затвердженн</w:t>
      </w:r>
      <w:r w:rsidR="00860E78" w:rsidRPr="00C56803">
        <w:rPr>
          <w:lang w:val="uk-UA"/>
        </w:rPr>
        <w:t>і</w:t>
      </w:r>
      <w:r w:rsidRPr="00C56803">
        <w:rPr>
          <w:lang w:val="uk-UA"/>
        </w:rPr>
        <w:t xml:space="preserve"> текст</w:t>
      </w:r>
      <w:r w:rsidR="00860E78" w:rsidRPr="00C56803">
        <w:rPr>
          <w:lang w:val="uk-UA"/>
        </w:rPr>
        <w:t>ів</w:t>
      </w:r>
      <w:r w:rsidRPr="00C56803">
        <w:rPr>
          <w:lang w:val="uk-UA"/>
        </w:rPr>
        <w:t xml:space="preserve"> </w:t>
      </w:r>
      <w:r w:rsidR="00860E78" w:rsidRPr="00C56803">
        <w:rPr>
          <w:lang w:val="uk-UA"/>
        </w:rPr>
        <w:t xml:space="preserve">виборчих </w:t>
      </w:r>
      <w:r w:rsidRPr="00C56803">
        <w:rPr>
          <w:lang w:val="uk-UA"/>
        </w:rPr>
        <w:t>бюлетен</w:t>
      </w:r>
      <w:r w:rsidR="00860E78" w:rsidRPr="00C56803">
        <w:rPr>
          <w:lang w:val="uk-UA"/>
        </w:rPr>
        <w:t>ів</w:t>
      </w:r>
      <w:r w:rsidRPr="00C56803">
        <w:rPr>
          <w:lang w:val="uk-UA"/>
        </w:rPr>
        <w:t xml:space="preserve"> та заповнен</w:t>
      </w:r>
      <w:r w:rsidR="00860E78" w:rsidRPr="00C56803">
        <w:rPr>
          <w:lang w:val="uk-UA"/>
        </w:rPr>
        <w:t>ні</w:t>
      </w:r>
      <w:r w:rsidRPr="00C56803">
        <w:rPr>
          <w:lang w:val="uk-UA"/>
        </w:rPr>
        <w:t xml:space="preserve"> протоколів про підрахунок голосів виборців на </w:t>
      </w:r>
      <w:r w:rsidR="0040693C">
        <w:rPr>
          <w:lang w:val="uk-UA"/>
        </w:rPr>
        <w:t>виборчих дільницях</w:t>
      </w:r>
      <w:r w:rsidRPr="00C56803">
        <w:rPr>
          <w:lang w:val="uk-UA"/>
        </w:rPr>
        <w:t>. Таких проблем можна було б уникнути або</w:t>
      </w:r>
      <w:r w:rsidR="00F922CC" w:rsidRPr="00C56803">
        <w:rPr>
          <w:lang w:val="uk-UA"/>
        </w:rPr>
        <w:t>,</w:t>
      </w:r>
      <w:r w:rsidRPr="00C56803">
        <w:rPr>
          <w:lang w:val="uk-UA"/>
        </w:rPr>
        <w:t xml:space="preserve"> принаймні</w:t>
      </w:r>
      <w:r w:rsidR="00F922CC" w:rsidRPr="00C56803">
        <w:rPr>
          <w:lang w:val="uk-UA"/>
        </w:rPr>
        <w:t>,</w:t>
      </w:r>
      <w:r w:rsidRPr="00C56803">
        <w:rPr>
          <w:lang w:val="uk-UA"/>
        </w:rPr>
        <w:t xml:space="preserve"> значною мірою </w:t>
      </w:r>
      <w:r w:rsidR="00A00A97" w:rsidRPr="00C56803">
        <w:rPr>
          <w:lang w:val="uk-UA"/>
        </w:rPr>
        <w:t xml:space="preserve">їх </w:t>
      </w:r>
      <w:r w:rsidRPr="00C56803">
        <w:rPr>
          <w:lang w:val="uk-UA"/>
        </w:rPr>
        <w:t>мінімізувати, розширивши використання інформаційн</w:t>
      </w:r>
      <w:r w:rsidR="00860E78" w:rsidRPr="00C56803">
        <w:rPr>
          <w:lang w:val="uk-UA"/>
        </w:rPr>
        <w:t>их технологій на рівні територіальних</w:t>
      </w:r>
      <w:r w:rsidR="003C5DB3">
        <w:rPr>
          <w:lang w:val="uk-UA"/>
        </w:rPr>
        <w:t xml:space="preserve"> та дільничних</w:t>
      </w:r>
      <w:r w:rsidR="00860E78" w:rsidRPr="00C56803">
        <w:rPr>
          <w:lang w:val="uk-UA"/>
        </w:rPr>
        <w:t xml:space="preserve"> виборчих комісій</w:t>
      </w:r>
      <w:r w:rsidRPr="00C56803">
        <w:rPr>
          <w:lang w:val="uk-UA"/>
        </w:rPr>
        <w:t xml:space="preserve">. </w:t>
      </w:r>
    </w:p>
    <w:p w14:paraId="3D161E5F" w14:textId="214D7CCC" w:rsidR="000D2777" w:rsidRDefault="0081453B" w:rsidP="0081453B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81453B">
        <w:rPr>
          <w:b/>
          <w:lang w:val="uk-UA"/>
        </w:rPr>
        <w:lastRenderedPageBreak/>
        <w:t xml:space="preserve">Рекомендація </w:t>
      </w:r>
      <w:r>
        <w:rPr>
          <w:b/>
          <w:lang w:val="uk-UA"/>
        </w:rPr>
        <w:t>4</w:t>
      </w:r>
      <w:r w:rsidRPr="0081453B">
        <w:rPr>
          <w:b/>
          <w:lang w:val="uk-UA"/>
        </w:rPr>
        <w:t>:</w:t>
      </w:r>
      <w:r w:rsidRPr="0081453B">
        <w:rPr>
          <w:lang w:val="uk-UA"/>
        </w:rPr>
        <w:t xml:space="preserve"> </w:t>
      </w:r>
      <w:r>
        <w:rPr>
          <w:lang w:val="uk-UA"/>
        </w:rPr>
        <w:t>Розглянути</w:t>
      </w:r>
      <w:r w:rsidR="003C5DB3">
        <w:rPr>
          <w:lang w:val="uk-UA"/>
        </w:rPr>
        <w:t xml:space="preserve"> можливість </w:t>
      </w:r>
      <w:r w:rsidR="00377A66" w:rsidRPr="00C56803">
        <w:rPr>
          <w:lang w:val="uk-UA"/>
        </w:rPr>
        <w:t xml:space="preserve">використання ІАС «Вибори» </w:t>
      </w:r>
      <w:r w:rsidR="000F09FE" w:rsidRPr="00C56803">
        <w:rPr>
          <w:lang w:val="uk-UA"/>
        </w:rPr>
        <w:t xml:space="preserve">(або створити спеціальну систему «Місцеві вибори») </w:t>
      </w:r>
      <w:r w:rsidR="001275EA" w:rsidRPr="00C56803">
        <w:rPr>
          <w:lang w:val="uk-UA"/>
        </w:rPr>
        <w:t xml:space="preserve">для </w:t>
      </w:r>
      <w:r w:rsidR="003C5DB3">
        <w:rPr>
          <w:lang w:val="uk-UA"/>
        </w:rPr>
        <w:t>виготовлення електронних примірників</w:t>
      </w:r>
      <w:r w:rsidR="00377A66" w:rsidRPr="00C56803">
        <w:rPr>
          <w:lang w:val="uk-UA"/>
        </w:rPr>
        <w:t xml:space="preserve"> виборчих бюлетенів</w:t>
      </w:r>
      <w:r w:rsidR="001275EA" w:rsidRPr="00C56803">
        <w:rPr>
          <w:lang w:val="uk-UA"/>
        </w:rPr>
        <w:t xml:space="preserve">, посвідчень спостерігачів, протоколів про результати підрахунку голосів на </w:t>
      </w:r>
      <w:r w:rsidR="000F09FE" w:rsidRPr="00C56803">
        <w:rPr>
          <w:lang w:val="uk-UA"/>
        </w:rPr>
        <w:t>виборчій</w:t>
      </w:r>
      <w:r w:rsidR="001275EA" w:rsidRPr="00C56803">
        <w:rPr>
          <w:lang w:val="uk-UA"/>
        </w:rPr>
        <w:t xml:space="preserve"> дільниці. </w:t>
      </w:r>
      <w:r w:rsidR="003C5DB3">
        <w:rPr>
          <w:lang w:val="uk-UA"/>
        </w:rPr>
        <w:t xml:space="preserve">Такий підхід дозволив би </w:t>
      </w:r>
      <w:proofErr w:type="spellStart"/>
      <w:r w:rsidR="003C5DB3">
        <w:rPr>
          <w:lang w:val="uk-UA"/>
        </w:rPr>
        <w:t>покроково</w:t>
      </w:r>
      <w:proofErr w:type="spellEnd"/>
      <w:r w:rsidR="003C5DB3">
        <w:rPr>
          <w:lang w:val="uk-UA"/>
        </w:rPr>
        <w:t xml:space="preserve"> вносити</w:t>
      </w:r>
      <w:r w:rsidR="000D2777" w:rsidRPr="00C56803">
        <w:rPr>
          <w:lang w:val="uk-UA"/>
        </w:rPr>
        <w:t xml:space="preserve"> дані підрахунку голосів в систему </w:t>
      </w:r>
      <w:r w:rsidR="003C5DB3">
        <w:rPr>
          <w:lang w:val="uk-UA"/>
        </w:rPr>
        <w:t>у послідовності, визначеній Законом</w:t>
      </w:r>
      <w:r w:rsidR="000A3411">
        <w:rPr>
          <w:lang w:val="uk-UA"/>
        </w:rPr>
        <w:t>, а також про</w:t>
      </w:r>
      <w:r w:rsidR="001949DE">
        <w:rPr>
          <w:lang w:val="uk-UA"/>
        </w:rPr>
        <w:t xml:space="preserve">водити перевірку правильності </w:t>
      </w:r>
      <w:r w:rsidR="000A3411">
        <w:rPr>
          <w:lang w:val="uk-UA"/>
        </w:rPr>
        <w:t>введення таких даних</w:t>
      </w:r>
      <w:r w:rsidR="000D2777" w:rsidRPr="00C56803">
        <w:rPr>
          <w:lang w:val="uk-UA"/>
        </w:rPr>
        <w:t xml:space="preserve"> </w:t>
      </w:r>
      <w:r w:rsidR="001275EA" w:rsidRPr="00C56803">
        <w:rPr>
          <w:lang w:val="uk-UA"/>
        </w:rPr>
        <w:t xml:space="preserve">в автоматичному режимі. Це </w:t>
      </w:r>
      <w:r w:rsidR="000D2777" w:rsidRPr="00C56803">
        <w:rPr>
          <w:lang w:val="uk-UA"/>
        </w:rPr>
        <w:t xml:space="preserve">унеможливить </w:t>
      </w:r>
      <w:r w:rsidR="000F09FE" w:rsidRPr="00C56803">
        <w:rPr>
          <w:lang w:val="uk-UA"/>
        </w:rPr>
        <w:t xml:space="preserve">математичні помилки і </w:t>
      </w:r>
      <w:r w:rsidR="001275EA" w:rsidRPr="00C56803">
        <w:rPr>
          <w:lang w:val="uk-UA"/>
        </w:rPr>
        <w:t xml:space="preserve">запобігатиме внесенню </w:t>
      </w:r>
      <w:r w:rsidR="000F09FE" w:rsidRPr="00C56803">
        <w:rPr>
          <w:lang w:val="uk-UA"/>
        </w:rPr>
        <w:t xml:space="preserve">несанкціонованих </w:t>
      </w:r>
      <w:r w:rsidR="000D2777" w:rsidRPr="00C56803">
        <w:rPr>
          <w:lang w:val="uk-UA"/>
        </w:rPr>
        <w:t xml:space="preserve">змін до </w:t>
      </w:r>
      <w:r w:rsidR="000F09FE" w:rsidRPr="00C56803">
        <w:rPr>
          <w:lang w:val="uk-UA"/>
        </w:rPr>
        <w:t>прот</w:t>
      </w:r>
      <w:r w:rsidR="0002058B" w:rsidRPr="00C56803">
        <w:rPr>
          <w:lang w:val="uk-UA"/>
        </w:rPr>
        <w:t>о</w:t>
      </w:r>
      <w:r w:rsidR="000F09FE" w:rsidRPr="00C56803">
        <w:rPr>
          <w:lang w:val="uk-UA"/>
        </w:rPr>
        <w:t>колів</w:t>
      </w:r>
      <w:r w:rsidR="000D2777" w:rsidRPr="00C56803">
        <w:rPr>
          <w:lang w:val="uk-UA"/>
        </w:rPr>
        <w:t xml:space="preserve">. Такий підхід </w:t>
      </w:r>
      <w:r w:rsidR="00BF4EAA">
        <w:rPr>
          <w:lang w:val="uk-UA"/>
        </w:rPr>
        <w:t xml:space="preserve">також </w:t>
      </w:r>
      <w:r w:rsidR="000D2777" w:rsidRPr="00C56803">
        <w:rPr>
          <w:lang w:val="uk-UA"/>
        </w:rPr>
        <w:t xml:space="preserve">дозволить </w:t>
      </w:r>
      <w:r w:rsidR="0002058B" w:rsidRPr="00C56803">
        <w:rPr>
          <w:lang w:val="uk-UA"/>
        </w:rPr>
        <w:t xml:space="preserve">покращити </w:t>
      </w:r>
      <w:r w:rsidR="000D2777" w:rsidRPr="00C56803">
        <w:rPr>
          <w:lang w:val="uk-UA"/>
        </w:rPr>
        <w:t>якість протоколів про підрахунок голосів виборців</w:t>
      </w:r>
      <w:r w:rsidR="000F09FE" w:rsidRPr="00C56803">
        <w:rPr>
          <w:lang w:val="uk-UA"/>
        </w:rPr>
        <w:t xml:space="preserve"> і мінімізує потребу в їх подальшому уточненні</w:t>
      </w:r>
      <w:r w:rsidR="000D2777" w:rsidRPr="00C56803">
        <w:rPr>
          <w:lang w:val="uk-UA"/>
        </w:rPr>
        <w:t xml:space="preserve">. </w:t>
      </w:r>
      <w:r>
        <w:rPr>
          <w:lang w:val="uk-UA"/>
        </w:rPr>
        <w:t>І</w:t>
      </w:r>
      <w:r w:rsidR="0002058B" w:rsidRPr="00C56803">
        <w:rPr>
          <w:lang w:val="uk-UA"/>
        </w:rPr>
        <w:t xml:space="preserve">нші можливості </w:t>
      </w:r>
      <w:r w:rsidR="00A00A97" w:rsidRPr="00C56803">
        <w:rPr>
          <w:lang w:val="uk-UA"/>
        </w:rPr>
        <w:t xml:space="preserve">застосування </w:t>
      </w:r>
      <w:r w:rsidR="0002058B" w:rsidRPr="00C56803">
        <w:rPr>
          <w:lang w:val="uk-UA"/>
        </w:rPr>
        <w:t>інформаційних технологій</w:t>
      </w:r>
      <w:r>
        <w:rPr>
          <w:lang w:val="uk-UA"/>
        </w:rPr>
        <w:t xml:space="preserve"> також можуть бути розглянуті</w:t>
      </w:r>
      <w:r w:rsidR="00A00A97" w:rsidRPr="00C56803">
        <w:rPr>
          <w:lang w:val="uk-UA"/>
        </w:rPr>
        <w:t>,</w:t>
      </w:r>
      <w:r w:rsidR="0002058B" w:rsidRPr="00C56803">
        <w:rPr>
          <w:lang w:val="uk-UA"/>
        </w:rPr>
        <w:t xml:space="preserve"> зокрема</w:t>
      </w:r>
      <w:r>
        <w:rPr>
          <w:lang w:val="uk-UA"/>
        </w:rPr>
        <w:t>,</w:t>
      </w:r>
      <w:r w:rsidR="0002058B" w:rsidRPr="00C56803">
        <w:rPr>
          <w:lang w:val="uk-UA"/>
        </w:rPr>
        <w:t xml:space="preserve"> </w:t>
      </w:r>
      <w:r w:rsidR="000D2777" w:rsidRPr="00C56803">
        <w:rPr>
          <w:lang w:val="uk-UA"/>
        </w:rPr>
        <w:t>використання спеціальних сканерів</w:t>
      </w:r>
      <w:r w:rsidR="00A00A97" w:rsidRPr="00C56803">
        <w:rPr>
          <w:lang w:val="uk-UA"/>
        </w:rPr>
        <w:t xml:space="preserve"> для підрахунку голосів</w:t>
      </w:r>
      <w:r>
        <w:rPr>
          <w:lang w:val="uk-UA"/>
        </w:rPr>
        <w:t>.</w:t>
      </w:r>
      <w:r w:rsidR="000D2777" w:rsidRPr="00C56803">
        <w:rPr>
          <w:lang w:val="uk-UA"/>
        </w:rPr>
        <w:t xml:space="preserve"> </w:t>
      </w:r>
      <w:r>
        <w:rPr>
          <w:lang w:val="uk-UA"/>
        </w:rPr>
        <w:t>Т</w:t>
      </w:r>
      <w:r w:rsidR="000D2777" w:rsidRPr="00C56803">
        <w:rPr>
          <w:lang w:val="uk-UA"/>
        </w:rPr>
        <w:t>ому це питання могло б стати темою подальшого експертного обговорення.</w:t>
      </w:r>
    </w:p>
    <w:p w14:paraId="13B841A7" w14:textId="77777777" w:rsidR="00EF7CAF" w:rsidRPr="00C56803" w:rsidRDefault="00EF7CAF" w:rsidP="0081453B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1C2B3B4C" w14:textId="77777777" w:rsidR="00EF7CAF" w:rsidRDefault="000D2777" w:rsidP="000D2777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 w:rsidRPr="00C56803">
        <w:rPr>
          <w:lang w:val="uk-UA"/>
        </w:rPr>
        <w:t>Відповідно до Закону України «Про місцеві вибори» територіальні виборчі комісії</w:t>
      </w:r>
      <w:r w:rsidR="00BF4EAA">
        <w:rPr>
          <w:lang w:val="uk-UA"/>
        </w:rPr>
        <w:t xml:space="preserve"> (ТВК)</w:t>
      </w:r>
      <w:r w:rsidRPr="00C56803">
        <w:rPr>
          <w:lang w:val="uk-UA"/>
        </w:rPr>
        <w:t xml:space="preserve"> є постійно діючими колегіальними органами. </w:t>
      </w:r>
      <w:r w:rsidR="00665C28" w:rsidRPr="00C56803">
        <w:rPr>
          <w:lang w:val="uk-UA"/>
        </w:rPr>
        <w:t>Проте, ф</w:t>
      </w:r>
      <w:r w:rsidRPr="00C56803">
        <w:rPr>
          <w:lang w:val="uk-UA"/>
        </w:rPr>
        <w:t xml:space="preserve">актично фінансування діяльності </w:t>
      </w:r>
      <w:r w:rsidR="00BF4EAA">
        <w:rPr>
          <w:lang w:val="uk-UA"/>
        </w:rPr>
        <w:t>ТВК</w:t>
      </w:r>
      <w:r w:rsidRPr="00C56803">
        <w:rPr>
          <w:lang w:val="uk-UA"/>
        </w:rPr>
        <w:t xml:space="preserve"> припиняється після </w:t>
      </w:r>
      <w:r w:rsidR="00BF4EAA">
        <w:rPr>
          <w:lang w:val="uk-UA"/>
        </w:rPr>
        <w:t>офіційного оприлюднення</w:t>
      </w:r>
      <w:r w:rsidR="00BF4EAA" w:rsidRPr="00C56803">
        <w:rPr>
          <w:lang w:val="uk-UA"/>
        </w:rPr>
        <w:t xml:space="preserve"> </w:t>
      </w:r>
      <w:r w:rsidRPr="00C56803">
        <w:rPr>
          <w:lang w:val="uk-UA"/>
        </w:rPr>
        <w:t xml:space="preserve">результатів виборів, хоча </w:t>
      </w:r>
      <w:r w:rsidR="00BF4EAA">
        <w:rPr>
          <w:lang w:val="uk-UA"/>
        </w:rPr>
        <w:t>ТВК</w:t>
      </w:r>
      <w:r w:rsidRPr="00C56803">
        <w:rPr>
          <w:lang w:val="uk-UA"/>
        </w:rPr>
        <w:t xml:space="preserve"> зобов’язана здійснювати свої повноваження й після цього, зокрема, </w:t>
      </w:r>
      <w:r w:rsidR="00BF4EAA">
        <w:rPr>
          <w:lang w:val="uk-UA"/>
        </w:rPr>
        <w:t xml:space="preserve">здійснити підготовку до </w:t>
      </w:r>
      <w:r w:rsidRPr="00C56803">
        <w:rPr>
          <w:lang w:val="uk-UA"/>
        </w:rPr>
        <w:t xml:space="preserve">відкриття першої сесії ради відповідного рівня, </w:t>
      </w:r>
      <w:r w:rsidR="00BF4EAA">
        <w:rPr>
          <w:lang w:val="uk-UA"/>
        </w:rPr>
        <w:t>подати звіт</w:t>
      </w:r>
      <w:r w:rsidR="00BF4EAA" w:rsidRPr="00C56803">
        <w:rPr>
          <w:lang w:val="uk-UA"/>
        </w:rPr>
        <w:t xml:space="preserve"> </w:t>
      </w:r>
      <w:r w:rsidRPr="00C56803">
        <w:rPr>
          <w:lang w:val="uk-UA"/>
        </w:rPr>
        <w:t xml:space="preserve">про використання коштів, передати до архівної установи виборчі документи, тощо. Окрім цього </w:t>
      </w:r>
      <w:r w:rsidR="00BF4EAA">
        <w:rPr>
          <w:lang w:val="uk-UA"/>
        </w:rPr>
        <w:t>ТВК</w:t>
      </w:r>
      <w:r w:rsidRPr="00C56803">
        <w:rPr>
          <w:lang w:val="uk-UA"/>
        </w:rPr>
        <w:t xml:space="preserve"> відповідають за організацію та проведення проміжних виборів, але, зазвичай, не отримують на це відповідного фінансування. </w:t>
      </w:r>
    </w:p>
    <w:p w14:paraId="1497F310" w14:textId="34B963F2" w:rsidR="000D2777" w:rsidRDefault="00EF7CAF" w:rsidP="00EF7CAF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EF7CAF">
        <w:rPr>
          <w:b/>
          <w:lang w:val="uk-UA"/>
        </w:rPr>
        <w:t>Рекомендація 5:</w:t>
      </w:r>
      <w:r w:rsidRPr="00EF7CAF">
        <w:rPr>
          <w:lang w:val="uk-UA"/>
        </w:rPr>
        <w:t xml:space="preserve"> </w:t>
      </w:r>
      <w:r>
        <w:rPr>
          <w:lang w:val="uk-UA"/>
        </w:rPr>
        <w:t>Р</w:t>
      </w:r>
      <w:r w:rsidR="000D2777" w:rsidRPr="00C56803">
        <w:rPr>
          <w:lang w:val="uk-UA"/>
        </w:rPr>
        <w:t xml:space="preserve">озглянути можливість фінансування </w:t>
      </w:r>
      <w:r w:rsidR="00BF4EAA">
        <w:rPr>
          <w:lang w:val="uk-UA"/>
        </w:rPr>
        <w:t>ТВК</w:t>
      </w:r>
      <w:r w:rsidR="000D2777" w:rsidRPr="00C56803">
        <w:rPr>
          <w:lang w:val="uk-UA"/>
        </w:rPr>
        <w:t xml:space="preserve"> на постійні</w:t>
      </w:r>
      <w:r w:rsidR="007D0942" w:rsidRPr="00C56803">
        <w:rPr>
          <w:lang w:val="uk-UA"/>
        </w:rPr>
        <w:t>й</w:t>
      </w:r>
      <w:r w:rsidR="000D2777" w:rsidRPr="00C56803">
        <w:rPr>
          <w:lang w:val="uk-UA"/>
        </w:rPr>
        <w:t xml:space="preserve"> основі</w:t>
      </w:r>
      <w:r w:rsidR="00BF4EAA">
        <w:rPr>
          <w:lang w:val="uk-UA"/>
        </w:rPr>
        <w:t xml:space="preserve">. Зокрема, варто було б передбачити </w:t>
      </w:r>
      <w:r w:rsidR="000D2777" w:rsidRPr="00C56803">
        <w:rPr>
          <w:lang w:val="uk-UA"/>
        </w:rPr>
        <w:t>надання</w:t>
      </w:r>
      <w:r w:rsidR="00BF4EAA">
        <w:rPr>
          <w:lang w:val="uk-UA"/>
        </w:rPr>
        <w:t xml:space="preserve"> ТВК приміщення у постійне користування, а також передбачити оплату праці на постійній основі принаймні для одного члена ТВК.</w:t>
      </w:r>
    </w:p>
    <w:p w14:paraId="040E666C" w14:textId="77777777" w:rsidR="00EF7CAF" w:rsidRPr="00C56803" w:rsidRDefault="00EF7CAF" w:rsidP="00EF7CAF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1E74CB7D" w14:textId="77777777" w:rsidR="00EF7CAF" w:rsidRDefault="000D2777" w:rsidP="000D2777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 w:rsidRPr="00C56803">
        <w:rPr>
          <w:lang w:val="uk-UA"/>
        </w:rPr>
        <w:t>Виборчий процес під час місцевих виборів організовують більш ніж 10</w:t>
      </w:r>
      <w:r w:rsidR="00EF7CAF">
        <w:rPr>
          <w:lang w:val="uk-UA"/>
        </w:rPr>
        <w:t xml:space="preserve"> </w:t>
      </w:r>
      <w:r w:rsidRPr="00C56803">
        <w:rPr>
          <w:lang w:val="uk-UA"/>
        </w:rPr>
        <w:t xml:space="preserve">000 </w:t>
      </w:r>
      <w:r w:rsidR="00BF4EAA">
        <w:rPr>
          <w:lang w:val="uk-UA"/>
        </w:rPr>
        <w:t>ТВК</w:t>
      </w:r>
      <w:r w:rsidRPr="00C56803">
        <w:rPr>
          <w:lang w:val="uk-UA"/>
        </w:rPr>
        <w:t xml:space="preserve"> та близько 30</w:t>
      </w:r>
      <w:r w:rsidR="00EF7CAF">
        <w:rPr>
          <w:lang w:val="uk-UA"/>
        </w:rPr>
        <w:t xml:space="preserve"> </w:t>
      </w:r>
      <w:r w:rsidRPr="00C56803">
        <w:rPr>
          <w:lang w:val="uk-UA"/>
        </w:rPr>
        <w:t>000 дільничних виборчих комісій</w:t>
      </w:r>
      <w:r w:rsidR="00BF4EAA">
        <w:rPr>
          <w:lang w:val="uk-UA"/>
        </w:rPr>
        <w:t xml:space="preserve"> (ДВК)</w:t>
      </w:r>
      <w:r w:rsidR="007D0942" w:rsidRPr="00C56803">
        <w:rPr>
          <w:lang w:val="uk-UA"/>
        </w:rPr>
        <w:t xml:space="preserve">. Зважаючи </w:t>
      </w:r>
      <w:r w:rsidRPr="00C56803">
        <w:rPr>
          <w:lang w:val="uk-UA"/>
        </w:rPr>
        <w:t xml:space="preserve">на те, що </w:t>
      </w:r>
      <w:r w:rsidR="00BF4EAA">
        <w:rPr>
          <w:lang w:val="uk-UA"/>
        </w:rPr>
        <w:t xml:space="preserve">виборче </w:t>
      </w:r>
      <w:r w:rsidRPr="00C56803">
        <w:rPr>
          <w:lang w:val="uk-UA"/>
        </w:rPr>
        <w:t xml:space="preserve">законодавство України змінюється дуже часто, щоразу у членів виборчих комісій виникають нові проблеми, вирішення яких потребує організаційно-методичної допомоги </w:t>
      </w:r>
      <w:r w:rsidR="00C04A7D">
        <w:rPr>
          <w:lang w:val="uk-UA"/>
        </w:rPr>
        <w:t>Центральної виборчої комісії (</w:t>
      </w:r>
      <w:r w:rsidR="00BF4EAA">
        <w:rPr>
          <w:lang w:val="uk-UA"/>
        </w:rPr>
        <w:t>ЦВК</w:t>
      </w:r>
      <w:r w:rsidR="00C04A7D">
        <w:rPr>
          <w:lang w:val="uk-UA"/>
        </w:rPr>
        <w:t>)</w:t>
      </w:r>
      <w:r w:rsidRPr="00C56803">
        <w:rPr>
          <w:lang w:val="uk-UA"/>
        </w:rPr>
        <w:t xml:space="preserve">. Водночас </w:t>
      </w:r>
      <w:r w:rsidR="00BF4EAA">
        <w:rPr>
          <w:lang w:val="uk-UA"/>
        </w:rPr>
        <w:t>кількість працівників</w:t>
      </w:r>
      <w:r w:rsidR="00BF4EAA" w:rsidRPr="00C56803">
        <w:rPr>
          <w:lang w:val="uk-UA"/>
        </w:rPr>
        <w:t xml:space="preserve"> </w:t>
      </w:r>
      <w:r w:rsidRPr="00C56803">
        <w:rPr>
          <w:lang w:val="uk-UA"/>
        </w:rPr>
        <w:t xml:space="preserve">Секретаріату </w:t>
      </w:r>
      <w:r w:rsidR="00BF4EAA">
        <w:rPr>
          <w:lang w:val="uk-UA"/>
        </w:rPr>
        <w:t>ЦВК</w:t>
      </w:r>
      <w:r w:rsidRPr="00C56803">
        <w:rPr>
          <w:lang w:val="uk-UA"/>
        </w:rPr>
        <w:t xml:space="preserve"> є </w:t>
      </w:r>
      <w:r w:rsidR="00BF4EAA" w:rsidRPr="00C56803">
        <w:rPr>
          <w:lang w:val="uk-UA"/>
        </w:rPr>
        <w:t>недостатн</w:t>
      </w:r>
      <w:r w:rsidR="00BF4EAA">
        <w:rPr>
          <w:lang w:val="uk-UA"/>
        </w:rPr>
        <w:t>ьою</w:t>
      </w:r>
      <w:r w:rsidR="00BF4EAA" w:rsidRPr="00C56803">
        <w:rPr>
          <w:lang w:val="uk-UA"/>
        </w:rPr>
        <w:t xml:space="preserve"> </w:t>
      </w:r>
      <w:r w:rsidRPr="00C56803">
        <w:rPr>
          <w:lang w:val="uk-UA"/>
        </w:rPr>
        <w:t xml:space="preserve">для надання кваліфікованої, а головне оперативної допомоги, що </w:t>
      </w:r>
      <w:r w:rsidR="00BF4EAA">
        <w:rPr>
          <w:lang w:val="uk-UA"/>
        </w:rPr>
        <w:t>набуває особливого значення з урахуванням коротких строків виборчого процесу</w:t>
      </w:r>
      <w:r w:rsidRPr="00C56803">
        <w:rPr>
          <w:lang w:val="uk-UA"/>
        </w:rPr>
        <w:t xml:space="preserve">. </w:t>
      </w:r>
    </w:p>
    <w:p w14:paraId="24546A68" w14:textId="2AC794CB" w:rsidR="000D2777" w:rsidRDefault="00EF7CAF" w:rsidP="00EF7CAF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527EED">
        <w:rPr>
          <w:b/>
          <w:lang w:val="uk-UA"/>
        </w:rPr>
        <w:t>Рекомендація 6:</w:t>
      </w:r>
      <w:r w:rsidRPr="00EF7CAF">
        <w:rPr>
          <w:lang w:val="uk-UA"/>
        </w:rPr>
        <w:t xml:space="preserve"> </w:t>
      </w:r>
      <w:r>
        <w:rPr>
          <w:lang w:val="uk-UA"/>
        </w:rPr>
        <w:t>Розглянути можливість</w:t>
      </w:r>
      <w:r w:rsidR="000D2777" w:rsidRPr="00C56803">
        <w:rPr>
          <w:lang w:val="uk-UA"/>
        </w:rPr>
        <w:t xml:space="preserve"> створ</w:t>
      </w:r>
      <w:r>
        <w:rPr>
          <w:lang w:val="uk-UA"/>
        </w:rPr>
        <w:t>ення</w:t>
      </w:r>
      <w:r w:rsidR="000D2777" w:rsidRPr="00C56803">
        <w:rPr>
          <w:lang w:val="uk-UA"/>
        </w:rPr>
        <w:t xml:space="preserve"> </w:t>
      </w:r>
      <w:r w:rsidR="00F37BB4">
        <w:rPr>
          <w:lang w:val="uk-UA"/>
        </w:rPr>
        <w:t xml:space="preserve">в обласних </w:t>
      </w:r>
      <w:r w:rsidR="00155B4E">
        <w:rPr>
          <w:lang w:val="uk-UA"/>
        </w:rPr>
        <w:t xml:space="preserve">центрах </w:t>
      </w:r>
      <w:r w:rsidR="000D2777" w:rsidRPr="00C56803">
        <w:rPr>
          <w:lang w:val="uk-UA"/>
        </w:rPr>
        <w:t>представництв Центральної виборчої комісії</w:t>
      </w:r>
      <w:r w:rsidR="00A00A97" w:rsidRPr="00C56803">
        <w:rPr>
          <w:lang w:val="uk-UA"/>
        </w:rPr>
        <w:t>,</w:t>
      </w:r>
      <w:r w:rsidR="000D2777" w:rsidRPr="00C56803">
        <w:rPr>
          <w:lang w:val="uk-UA"/>
        </w:rPr>
        <w:t xml:space="preserve"> </w:t>
      </w:r>
      <w:r w:rsidR="00F37BB4" w:rsidRPr="00C56803">
        <w:rPr>
          <w:lang w:val="uk-UA"/>
        </w:rPr>
        <w:t>уповноважен</w:t>
      </w:r>
      <w:r w:rsidR="00F37BB4">
        <w:rPr>
          <w:lang w:val="uk-UA"/>
        </w:rPr>
        <w:t>их</w:t>
      </w:r>
      <w:r w:rsidR="00F37BB4" w:rsidRPr="00C56803">
        <w:rPr>
          <w:lang w:val="uk-UA"/>
        </w:rPr>
        <w:t xml:space="preserve"> </w:t>
      </w:r>
      <w:r w:rsidR="000D2777" w:rsidRPr="00C56803">
        <w:rPr>
          <w:lang w:val="uk-UA"/>
        </w:rPr>
        <w:t xml:space="preserve">на здійснення повного комплексу організаційно-методичної та консультативної підтримки територіальних виборчих комісій в межах області. </w:t>
      </w:r>
      <w:r w:rsidR="00E9226D">
        <w:rPr>
          <w:lang w:val="uk-UA"/>
        </w:rPr>
        <w:t>Не дивлячись на те, що м</w:t>
      </w:r>
      <w:r w:rsidR="00155B4E">
        <w:rPr>
          <w:lang w:val="uk-UA"/>
        </w:rPr>
        <w:t xml:space="preserve">ожливість існування таких </w:t>
      </w:r>
      <w:r w:rsidR="00E9226D">
        <w:rPr>
          <w:lang w:val="uk-UA"/>
        </w:rPr>
        <w:t xml:space="preserve">регіональних </w:t>
      </w:r>
      <w:r w:rsidR="00155B4E">
        <w:rPr>
          <w:lang w:val="uk-UA"/>
        </w:rPr>
        <w:t>представництв прямо передбачена Законом “Про Центральну виборчу комісію”</w:t>
      </w:r>
      <w:r w:rsidR="00E9226D">
        <w:rPr>
          <w:lang w:val="uk-UA"/>
        </w:rPr>
        <w:t>, вони так і не були створені</w:t>
      </w:r>
      <w:r w:rsidR="00155B4E">
        <w:rPr>
          <w:lang w:val="uk-UA"/>
        </w:rPr>
        <w:t>.</w:t>
      </w:r>
    </w:p>
    <w:p w14:paraId="09DDF101" w14:textId="77777777" w:rsidR="00527EED" w:rsidRPr="00C56803" w:rsidRDefault="00527EED" w:rsidP="00EF7CAF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03DE2B76" w14:textId="77777777" w:rsidR="00527EED" w:rsidRPr="00527EED" w:rsidRDefault="00EF2E54" w:rsidP="00EF2E54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 w:rsidRPr="00C56803">
        <w:rPr>
          <w:lang w:val="uk-UA"/>
        </w:rPr>
        <w:t xml:space="preserve">Учасники </w:t>
      </w:r>
      <w:r w:rsidR="00155B4E">
        <w:rPr>
          <w:lang w:val="uk-UA"/>
        </w:rPr>
        <w:t>наголосили на необхідності</w:t>
      </w:r>
      <w:r w:rsidRPr="00C56803">
        <w:rPr>
          <w:lang w:val="uk-UA"/>
        </w:rPr>
        <w:t xml:space="preserve"> покращення рівня підготовки членів виборчих комісій</w:t>
      </w:r>
      <w:r w:rsidR="00155B4E">
        <w:rPr>
          <w:lang w:val="uk-UA"/>
        </w:rPr>
        <w:t xml:space="preserve"> з питань виборів</w:t>
      </w:r>
      <w:r w:rsidRPr="00C56803">
        <w:rPr>
          <w:lang w:val="uk-UA"/>
        </w:rPr>
        <w:t>. На жаль, політичні партії та кандидати недостатньо відповідально підходять до процесу відбору кандидатур</w:t>
      </w:r>
      <w:r w:rsidR="00155B4E">
        <w:rPr>
          <w:lang w:val="uk-UA"/>
        </w:rPr>
        <w:t xml:space="preserve"> до складу виборчих комісій.</w:t>
      </w:r>
      <w:r w:rsidRPr="00C56803">
        <w:rPr>
          <w:lang w:val="uk-UA"/>
        </w:rPr>
        <w:t xml:space="preserve"> </w:t>
      </w:r>
      <w:r w:rsidR="00B834B0" w:rsidRPr="00C56803">
        <w:rPr>
          <w:lang w:val="uk-UA"/>
        </w:rPr>
        <w:t>У той же час</w:t>
      </w:r>
      <w:r w:rsidRPr="00C56803">
        <w:rPr>
          <w:lang w:val="uk-UA"/>
        </w:rPr>
        <w:t xml:space="preserve">, </w:t>
      </w:r>
      <w:r w:rsidR="00155B4E">
        <w:rPr>
          <w:lang w:val="uk-UA"/>
        </w:rPr>
        <w:t>через короткі</w:t>
      </w:r>
      <w:r w:rsidRPr="00C56803">
        <w:rPr>
          <w:lang w:val="uk-UA"/>
        </w:rPr>
        <w:t xml:space="preserve"> строки виборчого процесу </w:t>
      </w:r>
      <w:r w:rsidR="00155B4E">
        <w:rPr>
          <w:lang w:val="uk-UA"/>
        </w:rPr>
        <w:t>ЦВК</w:t>
      </w:r>
      <w:r w:rsidRPr="00C56803">
        <w:rPr>
          <w:lang w:val="uk-UA"/>
        </w:rPr>
        <w:t xml:space="preserve"> за допомогою міжнародних організацій не завжди може забезпечити достатню підготовку всіх членів комісій. Більше того</w:t>
      </w:r>
      <w:r w:rsidR="00155B4E">
        <w:rPr>
          <w:lang w:val="uk-UA"/>
        </w:rPr>
        <w:t>,</w:t>
      </w:r>
      <w:r w:rsidRPr="00C56803">
        <w:rPr>
          <w:lang w:val="uk-UA"/>
        </w:rPr>
        <w:t xml:space="preserve"> часті заміни членів виборчих комісій після проведення навчання певною мірою нівелюють зусилля</w:t>
      </w:r>
      <w:r w:rsidR="00155B4E">
        <w:rPr>
          <w:lang w:val="uk-UA"/>
        </w:rPr>
        <w:t xml:space="preserve"> щодо покращення рівня підготовки членів комісій з питань виборів</w:t>
      </w:r>
      <w:r w:rsidRPr="00C56803">
        <w:rPr>
          <w:lang w:val="uk-UA"/>
        </w:rPr>
        <w:t xml:space="preserve">, </w:t>
      </w:r>
      <w:r w:rsidR="00155B4E">
        <w:rPr>
          <w:lang w:val="uk-UA"/>
        </w:rPr>
        <w:t>адже</w:t>
      </w:r>
      <w:r w:rsidRPr="00C56803">
        <w:rPr>
          <w:lang w:val="uk-UA"/>
        </w:rPr>
        <w:t xml:space="preserve"> до  дня виборів у </w:t>
      </w:r>
      <w:r w:rsidRPr="00C56803">
        <w:rPr>
          <w:lang w:val="uk-UA"/>
        </w:rPr>
        <w:lastRenderedPageBreak/>
        <w:t>складі комісій залишається лише частина членів виборчих комісій</w:t>
      </w:r>
      <w:r w:rsidR="00155B4E">
        <w:rPr>
          <w:lang w:val="uk-UA"/>
        </w:rPr>
        <w:t xml:space="preserve">, які попередньо </w:t>
      </w:r>
      <w:r w:rsidRPr="00C56803">
        <w:rPr>
          <w:lang w:val="uk-UA"/>
        </w:rPr>
        <w:t xml:space="preserve"> пройшли навчання (що, звичайно, негативно </w:t>
      </w:r>
      <w:r w:rsidR="00155B4E">
        <w:rPr>
          <w:lang w:val="uk-UA"/>
        </w:rPr>
        <w:t>впливає на якість</w:t>
      </w:r>
      <w:r w:rsidRPr="00C56803">
        <w:rPr>
          <w:lang w:val="uk-UA"/>
        </w:rPr>
        <w:t xml:space="preserve"> організації виборчого процесу). </w:t>
      </w:r>
    </w:p>
    <w:p w14:paraId="5582D718" w14:textId="7D642A54" w:rsidR="00EF2E54" w:rsidRDefault="00527EED" w:rsidP="00527EED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527EED">
        <w:rPr>
          <w:b/>
          <w:lang w:val="uk-UA"/>
        </w:rPr>
        <w:t xml:space="preserve">Рекомендація </w:t>
      </w:r>
      <w:r w:rsidRPr="00BA20CC">
        <w:rPr>
          <w:b/>
          <w:lang w:val="uk-UA"/>
        </w:rPr>
        <w:t>7</w:t>
      </w:r>
      <w:r w:rsidRPr="00527EED">
        <w:rPr>
          <w:b/>
          <w:lang w:val="uk-UA"/>
        </w:rPr>
        <w:t>:</w:t>
      </w:r>
      <w:r w:rsidRPr="00527EED">
        <w:rPr>
          <w:lang w:val="uk-UA"/>
        </w:rPr>
        <w:t xml:space="preserve"> </w:t>
      </w:r>
      <w:r>
        <w:rPr>
          <w:lang w:val="uk-UA"/>
        </w:rPr>
        <w:t>У</w:t>
      </w:r>
      <w:r w:rsidRPr="00C56803">
        <w:rPr>
          <w:lang w:val="uk-UA"/>
        </w:rPr>
        <w:t>творити спеціальний навчальний центр</w:t>
      </w:r>
      <w:r w:rsidRPr="00C56803" w:rsidDel="00B834B0">
        <w:rPr>
          <w:lang w:val="uk-UA"/>
        </w:rPr>
        <w:t xml:space="preserve"> </w:t>
      </w:r>
      <w:r w:rsidRPr="00C56803">
        <w:rPr>
          <w:lang w:val="uk-UA"/>
        </w:rPr>
        <w:t xml:space="preserve">при </w:t>
      </w:r>
      <w:r>
        <w:rPr>
          <w:lang w:val="uk-UA"/>
        </w:rPr>
        <w:t>ЦВК</w:t>
      </w:r>
      <w:r w:rsidRPr="00C56803">
        <w:rPr>
          <w:lang w:val="uk-UA"/>
        </w:rPr>
        <w:t xml:space="preserve"> </w:t>
      </w:r>
      <w:r>
        <w:rPr>
          <w:lang w:val="uk-UA"/>
        </w:rPr>
        <w:t xml:space="preserve">для </w:t>
      </w:r>
      <w:r w:rsidR="00EF2E54" w:rsidRPr="00C56803">
        <w:rPr>
          <w:lang w:val="uk-UA"/>
        </w:rPr>
        <w:t>навчання членів виборчих комісій або осіб, які виявили бажання стати членами виборчих комісій, у міжвиборчий період</w:t>
      </w:r>
      <w:r w:rsidR="00B834B0" w:rsidRPr="00C56803">
        <w:rPr>
          <w:lang w:val="uk-UA"/>
        </w:rPr>
        <w:t xml:space="preserve">. </w:t>
      </w:r>
      <w:r w:rsidR="00EF2E54" w:rsidRPr="00C56803">
        <w:rPr>
          <w:lang w:val="uk-UA"/>
        </w:rPr>
        <w:t xml:space="preserve">. Особи, які пройшли навчання, мають скласти іспит, за результатами якого їм видається </w:t>
      </w:r>
      <w:r w:rsidR="001949DE">
        <w:rPr>
          <w:lang w:val="uk-UA"/>
        </w:rPr>
        <w:t>ві</w:t>
      </w:r>
      <w:r w:rsidR="00155B4E">
        <w:rPr>
          <w:lang w:val="uk-UA"/>
        </w:rPr>
        <w:t xml:space="preserve">дповідний </w:t>
      </w:r>
      <w:r w:rsidR="00EF2E54" w:rsidRPr="00C56803">
        <w:rPr>
          <w:lang w:val="uk-UA"/>
        </w:rPr>
        <w:t>сертифікат</w:t>
      </w:r>
      <w:r w:rsidR="00155B4E">
        <w:rPr>
          <w:lang w:val="uk-UA"/>
        </w:rPr>
        <w:t xml:space="preserve"> про проходження навчання</w:t>
      </w:r>
      <w:r w:rsidR="00EF2E54" w:rsidRPr="00C56803">
        <w:rPr>
          <w:lang w:val="uk-UA"/>
        </w:rPr>
        <w:t xml:space="preserve">. </w:t>
      </w:r>
      <w:r w:rsidR="00155B4E">
        <w:rPr>
          <w:lang w:val="uk-UA"/>
        </w:rPr>
        <w:t>Ті, хто</w:t>
      </w:r>
      <w:r w:rsidR="00EF2E54" w:rsidRPr="00C56803">
        <w:rPr>
          <w:lang w:val="uk-UA"/>
        </w:rPr>
        <w:t xml:space="preserve"> отримали </w:t>
      </w:r>
      <w:r w:rsidR="00155B4E">
        <w:rPr>
          <w:lang w:val="uk-UA"/>
        </w:rPr>
        <w:t>цей сертифікат</w:t>
      </w:r>
      <w:r w:rsidR="00EF2E54" w:rsidRPr="00C56803">
        <w:rPr>
          <w:lang w:val="uk-UA"/>
        </w:rPr>
        <w:t xml:space="preserve"> мають бути внесені до єдиної бази</w:t>
      </w:r>
      <w:r w:rsidR="00155B4E">
        <w:rPr>
          <w:lang w:val="uk-UA"/>
        </w:rPr>
        <w:t xml:space="preserve"> даних. В</w:t>
      </w:r>
      <w:r w:rsidR="00EF2E54" w:rsidRPr="00C56803">
        <w:rPr>
          <w:lang w:val="uk-UA"/>
        </w:rPr>
        <w:t xml:space="preserve"> подальшому </w:t>
      </w:r>
      <w:r w:rsidR="00155B4E">
        <w:rPr>
          <w:lang w:val="uk-UA"/>
        </w:rPr>
        <w:t>варто було б передбачити, що партії, їхні</w:t>
      </w:r>
      <w:r w:rsidR="001949DE">
        <w:rPr>
          <w:lang w:val="uk-UA"/>
        </w:rPr>
        <w:t xml:space="preserve"> місцеві організації та кандида</w:t>
      </w:r>
      <w:r w:rsidR="00155B4E">
        <w:rPr>
          <w:lang w:val="uk-UA"/>
        </w:rPr>
        <w:t xml:space="preserve">ти на відповідних виборах можуть висувати кандидатури до складу комісій лише з числа осіб, включених до цієї бази. </w:t>
      </w:r>
    </w:p>
    <w:p w14:paraId="75ABCAC3" w14:textId="77777777" w:rsidR="00C77DB9" w:rsidRPr="00C56803" w:rsidRDefault="00C77DB9" w:rsidP="00527EED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5A8E85C3" w14:textId="77777777" w:rsidR="00C77DB9" w:rsidRDefault="009063F3" w:rsidP="000D2777">
      <w:pPr>
        <w:pStyle w:val="ListParagraph"/>
        <w:numPr>
          <w:ilvl w:val="0"/>
          <w:numId w:val="2"/>
        </w:numPr>
        <w:jc w:val="both"/>
        <w:rPr>
          <w:lang w:val="uk-UA"/>
        </w:rPr>
      </w:pPr>
      <w:r w:rsidRPr="00C56803">
        <w:rPr>
          <w:lang w:val="uk-UA"/>
        </w:rPr>
        <w:t xml:space="preserve">За результатами </w:t>
      </w:r>
      <w:r w:rsidR="000D2777" w:rsidRPr="00C56803">
        <w:rPr>
          <w:lang w:val="uk-UA"/>
        </w:rPr>
        <w:t>декількох опитуван</w:t>
      </w:r>
      <w:r w:rsidRPr="00C56803">
        <w:rPr>
          <w:lang w:val="uk-UA"/>
        </w:rPr>
        <w:t>ь</w:t>
      </w:r>
      <w:r w:rsidR="000D2777" w:rsidRPr="00C56803">
        <w:rPr>
          <w:lang w:val="uk-UA"/>
        </w:rPr>
        <w:t xml:space="preserve"> і фокус-груп, проведених </w:t>
      </w:r>
      <w:r w:rsidRPr="00C56803">
        <w:rPr>
          <w:lang w:val="uk-UA"/>
        </w:rPr>
        <w:t>К</w:t>
      </w:r>
      <w:r w:rsidR="000D2777" w:rsidRPr="00C56803">
        <w:rPr>
          <w:lang w:val="uk-UA"/>
        </w:rPr>
        <w:t>оординатор</w:t>
      </w:r>
      <w:r w:rsidRPr="00C56803">
        <w:rPr>
          <w:lang w:val="uk-UA"/>
        </w:rPr>
        <w:t>ом</w:t>
      </w:r>
      <w:r w:rsidR="000D2777" w:rsidRPr="00C56803">
        <w:rPr>
          <w:lang w:val="uk-UA"/>
        </w:rPr>
        <w:t xml:space="preserve"> проектів ОБСЄ в Україні та Міжнародною фундацією виборчих систем (IFES), </w:t>
      </w:r>
      <w:r w:rsidRPr="00C56803">
        <w:rPr>
          <w:lang w:val="uk-UA"/>
        </w:rPr>
        <w:t xml:space="preserve">було з’ясовано, що </w:t>
      </w:r>
      <w:r w:rsidR="000D2777" w:rsidRPr="00C56803">
        <w:rPr>
          <w:lang w:val="uk-UA"/>
        </w:rPr>
        <w:t>громадяни України</w:t>
      </w:r>
      <w:r w:rsidR="00F95FC1" w:rsidRPr="00C56803">
        <w:rPr>
          <w:lang w:val="uk-UA"/>
        </w:rPr>
        <w:t xml:space="preserve"> </w:t>
      </w:r>
      <w:r w:rsidR="000D2777" w:rsidRPr="00C56803">
        <w:rPr>
          <w:lang w:val="uk-UA"/>
        </w:rPr>
        <w:t xml:space="preserve">не </w:t>
      </w:r>
      <w:r w:rsidRPr="00C56803">
        <w:rPr>
          <w:lang w:val="uk-UA"/>
        </w:rPr>
        <w:t xml:space="preserve">достатньо </w:t>
      </w:r>
      <w:r w:rsidR="000D2777" w:rsidRPr="00C56803">
        <w:rPr>
          <w:lang w:val="uk-UA"/>
        </w:rPr>
        <w:t xml:space="preserve">розуміють </w:t>
      </w:r>
      <w:r w:rsidR="00611387" w:rsidRPr="00C56803">
        <w:rPr>
          <w:lang w:val="uk-UA"/>
        </w:rPr>
        <w:t xml:space="preserve">особливості нового виборчого </w:t>
      </w:r>
      <w:r w:rsidR="000D2777" w:rsidRPr="00C56803">
        <w:rPr>
          <w:lang w:val="uk-UA"/>
        </w:rPr>
        <w:t>закон</w:t>
      </w:r>
      <w:r w:rsidR="00611387" w:rsidRPr="00C56803">
        <w:rPr>
          <w:lang w:val="uk-UA"/>
        </w:rPr>
        <w:t>одавства</w:t>
      </w:r>
      <w:r w:rsidRPr="00C56803">
        <w:rPr>
          <w:lang w:val="uk-UA"/>
        </w:rPr>
        <w:t xml:space="preserve">, </w:t>
      </w:r>
      <w:r w:rsidR="00155B4E">
        <w:rPr>
          <w:lang w:val="uk-UA"/>
        </w:rPr>
        <w:t>насамперед – нову виборчу систему для місцевих виборів</w:t>
      </w:r>
      <w:r w:rsidR="000D2777" w:rsidRPr="00C56803">
        <w:rPr>
          <w:lang w:val="uk-UA"/>
        </w:rPr>
        <w:t xml:space="preserve">. Така дезорієнтація могла позначитися на явці виборців і </w:t>
      </w:r>
      <w:r w:rsidR="00155B4E">
        <w:rPr>
          <w:lang w:val="uk-UA"/>
        </w:rPr>
        <w:t>вплинути</w:t>
      </w:r>
      <w:r w:rsidR="00155B4E" w:rsidRPr="00C56803">
        <w:rPr>
          <w:lang w:val="uk-UA"/>
        </w:rPr>
        <w:t xml:space="preserve"> </w:t>
      </w:r>
      <w:r w:rsidR="000D2777" w:rsidRPr="00C56803">
        <w:rPr>
          <w:lang w:val="uk-UA"/>
        </w:rPr>
        <w:t xml:space="preserve">на прийняття громадськістю (і кандидатами) результатів виборів. </w:t>
      </w:r>
      <w:r w:rsidR="00F02F42" w:rsidRPr="00C56803">
        <w:rPr>
          <w:lang w:val="uk-UA"/>
        </w:rPr>
        <w:t xml:space="preserve">Щоб запобігти цьому, </w:t>
      </w:r>
      <w:r w:rsidR="00155B4E">
        <w:rPr>
          <w:lang w:val="uk-UA"/>
        </w:rPr>
        <w:t>ЦВК</w:t>
      </w:r>
      <w:r w:rsidR="00F02F42" w:rsidRPr="00C56803">
        <w:rPr>
          <w:lang w:val="uk-UA"/>
        </w:rPr>
        <w:t xml:space="preserve"> за підтримки Координатор</w:t>
      </w:r>
      <w:r w:rsidR="00F95FC1" w:rsidRPr="00C56803">
        <w:rPr>
          <w:lang w:val="uk-UA"/>
        </w:rPr>
        <w:t>а</w:t>
      </w:r>
      <w:r w:rsidR="00F02F42" w:rsidRPr="00C56803">
        <w:rPr>
          <w:lang w:val="uk-UA"/>
        </w:rPr>
        <w:t xml:space="preserve"> проектів ОБСЄ в Україн</w:t>
      </w:r>
      <w:r w:rsidR="00155B4E">
        <w:rPr>
          <w:lang w:val="uk-UA"/>
        </w:rPr>
        <w:t>і</w:t>
      </w:r>
      <w:r w:rsidR="00F02F42" w:rsidRPr="00C56803">
        <w:rPr>
          <w:lang w:val="uk-UA"/>
        </w:rPr>
        <w:t xml:space="preserve"> та </w:t>
      </w:r>
      <w:r w:rsidR="00F02F42" w:rsidRPr="00C56803">
        <w:t>IFES</w:t>
      </w:r>
      <w:r w:rsidR="00F02F42" w:rsidRPr="00C56803">
        <w:rPr>
          <w:lang w:val="uk-UA"/>
        </w:rPr>
        <w:t xml:space="preserve"> було виготовлено низку просвітницьких матеріалів, які </w:t>
      </w:r>
      <w:r w:rsidR="00901BE8" w:rsidRPr="00C56803">
        <w:rPr>
          <w:lang w:val="uk-UA"/>
        </w:rPr>
        <w:t>отримали статус матеріалів</w:t>
      </w:r>
      <w:r w:rsidR="00F02F42" w:rsidRPr="00C56803">
        <w:rPr>
          <w:lang w:val="uk-UA"/>
        </w:rPr>
        <w:t xml:space="preserve"> соціальної реклами. </w:t>
      </w:r>
      <w:r w:rsidR="00901BE8" w:rsidRPr="00C56803">
        <w:rPr>
          <w:lang w:val="uk-UA"/>
        </w:rPr>
        <w:t>Проте, в</w:t>
      </w:r>
      <w:r w:rsidR="000D2777" w:rsidRPr="00C56803">
        <w:rPr>
          <w:lang w:val="uk-UA"/>
        </w:rPr>
        <w:t xml:space="preserve">ідповідно до чинного законодавства приватні телеканали не зобов’язані розміщувати соціальні ролики, які є найбільш ефективним </w:t>
      </w:r>
      <w:r w:rsidR="00F922CC" w:rsidRPr="00C56803">
        <w:rPr>
          <w:lang w:val="uk-UA"/>
        </w:rPr>
        <w:t xml:space="preserve">інструментом </w:t>
      </w:r>
      <w:r w:rsidR="000D2777" w:rsidRPr="00C56803">
        <w:rPr>
          <w:lang w:val="uk-UA"/>
        </w:rPr>
        <w:t xml:space="preserve">просвіти виборців. </w:t>
      </w:r>
      <w:r w:rsidR="00901BE8" w:rsidRPr="00C56803">
        <w:rPr>
          <w:lang w:val="uk-UA"/>
        </w:rPr>
        <w:t xml:space="preserve">Як наслідок, більша частина виборців </w:t>
      </w:r>
      <w:r w:rsidR="0096791E">
        <w:rPr>
          <w:lang w:val="uk-UA"/>
        </w:rPr>
        <w:t xml:space="preserve">так і </w:t>
      </w:r>
      <w:r w:rsidR="00901BE8" w:rsidRPr="00C56803">
        <w:rPr>
          <w:lang w:val="uk-UA"/>
        </w:rPr>
        <w:t xml:space="preserve">не змогла побачити просвітницькі ролики, </w:t>
      </w:r>
      <w:r w:rsidR="00C80A22" w:rsidRPr="00C56803">
        <w:rPr>
          <w:lang w:val="uk-UA"/>
        </w:rPr>
        <w:t xml:space="preserve">і, відповідно, підвищити </w:t>
      </w:r>
      <w:r w:rsidR="00611387" w:rsidRPr="00C56803">
        <w:rPr>
          <w:lang w:val="uk-UA"/>
        </w:rPr>
        <w:t xml:space="preserve">рівень </w:t>
      </w:r>
      <w:r w:rsidR="00C80A22" w:rsidRPr="00C56803">
        <w:rPr>
          <w:lang w:val="uk-UA"/>
        </w:rPr>
        <w:t>сво</w:t>
      </w:r>
      <w:r w:rsidR="00611387" w:rsidRPr="00C56803">
        <w:rPr>
          <w:lang w:val="uk-UA"/>
        </w:rPr>
        <w:t>єї</w:t>
      </w:r>
      <w:r w:rsidR="00C80A22" w:rsidRPr="00C56803">
        <w:rPr>
          <w:lang w:val="uk-UA"/>
        </w:rPr>
        <w:t xml:space="preserve"> </w:t>
      </w:r>
      <w:r w:rsidR="00901BE8" w:rsidRPr="00C56803">
        <w:rPr>
          <w:lang w:val="uk-UA"/>
        </w:rPr>
        <w:t>обізнан</w:t>
      </w:r>
      <w:r w:rsidR="00611387" w:rsidRPr="00C56803">
        <w:rPr>
          <w:lang w:val="uk-UA"/>
        </w:rPr>
        <w:t>ості</w:t>
      </w:r>
      <w:r w:rsidR="00901BE8" w:rsidRPr="00C56803">
        <w:rPr>
          <w:lang w:val="uk-UA"/>
        </w:rPr>
        <w:t xml:space="preserve">. </w:t>
      </w:r>
    </w:p>
    <w:p w14:paraId="1782A038" w14:textId="7E55E608" w:rsidR="000D2777" w:rsidRPr="00C56803" w:rsidRDefault="00C77DB9" w:rsidP="00C77DB9">
      <w:pPr>
        <w:pStyle w:val="ListParagraph"/>
        <w:jc w:val="both"/>
        <w:rPr>
          <w:lang w:val="uk-UA"/>
        </w:rPr>
      </w:pPr>
      <w:r w:rsidRPr="00C77DB9">
        <w:rPr>
          <w:b/>
          <w:lang w:val="uk-UA"/>
        </w:rPr>
        <w:t>Рекомендація 8:</w:t>
      </w:r>
      <w:r w:rsidRPr="00C77DB9">
        <w:rPr>
          <w:lang w:val="uk-UA"/>
        </w:rPr>
        <w:t xml:space="preserve"> </w:t>
      </w:r>
      <w:r>
        <w:rPr>
          <w:lang w:val="uk-UA"/>
        </w:rPr>
        <w:t>Внести зміни до законодавства з тим, щоб п</w:t>
      </w:r>
      <w:r w:rsidR="0096791E">
        <w:rPr>
          <w:lang w:val="uk-UA"/>
        </w:rPr>
        <w:t>ередбачити обов’язок приватних телерадіокомпаній</w:t>
      </w:r>
      <w:r w:rsidR="000D2777" w:rsidRPr="00C56803">
        <w:rPr>
          <w:lang w:val="uk-UA"/>
        </w:rPr>
        <w:t xml:space="preserve"> </w:t>
      </w:r>
      <w:r w:rsidR="0096791E">
        <w:rPr>
          <w:lang w:val="uk-UA"/>
        </w:rPr>
        <w:t xml:space="preserve">безоплатно </w:t>
      </w:r>
      <w:r w:rsidR="000D2777" w:rsidRPr="00C56803">
        <w:rPr>
          <w:lang w:val="uk-UA"/>
        </w:rPr>
        <w:t xml:space="preserve">розміщувати </w:t>
      </w:r>
      <w:r w:rsidR="00611387" w:rsidRPr="00C56803">
        <w:rPr>
          <w:lang w:val="uk-UA"/>
        </w:rPr>
        <w:t xml:space="preserve">в період виборчого процесу </w:t>
      </w:r>
      <w:r w:rsidR="000D2777" w:rsidRPr="00C56803">
        <w:rPr>
          <w:lang w:val="uk-UA"/>
        </w:rPr>
        <w:t>матері</w:t>
      </w:r>
      <w:r w:rsidR="00901BE8" w:rsidRPr="00C56803">
        <w:rPr>
          <w:lang w:val="uk-UA"/>
        </w:rPr>
        <w:t>а</w:t>
      </w:r>
      <w:r w:rsidR="000D2777" w:rsidRPr="00C56803">
        <w:rPr>
          <w:lang w:val="uk-UA"/>
        </w:rPr>
        <w:t>ли просвіт</w:t>
      </w:r>
      <w:r w:rsidR="00901BE8" w:rsidRPr="00C56803">
        <w:rPr>
          <w:lang w:val="uk-UA"/>
        </w:rPr>
        <w:t>и</w:t>
      </w:r>
      <w:r w:rsidR="000D2777" w:rsidRPr="00C56803">
        <w:rPr>
          <w:lang w:val="uk-UA"/>
        </w:rPr>
        <w:t xml:space="preserve"> виборців, виготовлені </w:t>
      </w:r>
      <w:r w:rsidR="00901BE8" w:rsidRPr="00C56803">
        <w:rPr>
          <w:lang w:val="uk-UA"/>
        </w:rPr>
        <w:t xml:space="preserve">або погоджені </w:t>
      </w:r>
      <w:r w:rsidR="0096791E">
        <w:rPr>
          <w:lang w:val="uk-UA"/>
        </w:rPr>
        <w:t>ЦВК</w:t>
      </w:r>
      <w:r w:rsidR="000D2777" w:rsidRPr="00C56803">
        <w:rPr>
          <w:lang w:val="uk-UA"/>
        </w:rPr>
        <w:t xml:space="preserve">. </w:t>
      </w:r>
    </w:p>
    <w:p w14:paraId="0949386C" w14:textId="77777777" w:rsidR="003F05C6" w:rsidRDefault="003F05C6" w:rsidP="000D2777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590643ED" w14:textId="266096F3" w:rsidR="000D2777" w:rsidRPr="003F05C6" w:rsidRDefault="003F05C6" w:rsidP="003F05C6">
      <w:pPr>
        <w:pStyle w:val="ListParagraph"/>
        <w:tabs>
          <w:tab w:val="left" w:pos="1155"/>
        </w:tabs>
        <w:spacing w:after="0"/>
        <w:jc w:val="center"/>
        <w:rPr>
          <w:b/>
          <w:lang w:val="uk-UA"/>
        </w:rPr>
      </w:pPr>
      <w:r w:rsidRPr="003F05C6">
        <w:rPr>
          <w:b/>
          <w:lang w:val="uk-UA"/>
        </w:rPr>
        <w:t xml:space="preserve">Інші </w:t>
      </w:r>
      <w:r w:rsidR="00C77DB9">
        <w:rPr>
          <w:b/>
          <w:lang w:val="uk-UA"/>
        </w:rPr>
        <w:t xml:space="preserve">висновки та </w:t>
      </w:r>
      <w:r w:rsidRPr="003F05C6">
        <w:rPr>
          <w:b/>
          <w:lang w:val="uk-UA"/>
        </w:rPr>
        <w:t>рекомендації</w:t>
      </w:r>
    </w:p>
    <w:p w14:paraId="6068B9E1" w14:textId="77777777" w:rsidR="003F05C6" w:rsidRPr="003F05C6" w:rsidRDefault="003F05C6" w:rsidP="000D2777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628BB873" w14:textId="77777777" w:rsidR="00C77DB9" w:rsidRDefault="00F34A98" w:rsidP="00BB1770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 xml:space="preserve">Серйозні дискусії викликало питання </w:t>
      </w:r>
      <w:r w:rsidR="0096791E">
        <w:rPr>
          <w:lang w:val="uk-UA"/>
        </w:rPr>
        <w:t xml:space="preserve">визначення меж </w:t>
      </w:r>
      <w:r>
        <w:rPr>
          <w:lang w:val="uk-UA"/>
        </w:rPr>
        <w:t xml:space="preserve">виборчих округів, зокрема, проблема </w:t>
      </w:r>
      <w:proofErr w:type="spellStart"/>
      <w:r>
        <w:rPr>
          <w:lang w:val="uk-UA"/>
        </w:rPr>
        <w:t>джер</w:t>
      </w:r>
      <w:r w:rsidR="0096791E">
        <w:rPr>
          <w:lang w:val="uk-UA"/>
        </w:rPr>
        <w:t>р</w:t>
      </w:r>
      <w:r>
        <w:rPr>
          <w:lang w:val="uk-UA"/>
        </w:rPr>
        <w:t>імендерингу</w:t>
      </w:r>
      <w:proofErr w:type="spellEnd"/>
      <w:r w:rsidR="00C90DD7">
        <w:rPr>
          <w:lang w:val="uk-UA"/>
        </w:rPr>
        <w:t xml:space="preserve">, тобто </w:t>
      </w:r>
      <w:r w:rsidR="0028716F">
        <w:rPr>
          <w:lang w:val="uk-UA"/>
        </w:rPr>
        <w:t>маніпуляцій</w:t>
      </w:r>
      <w:r w:rsidR="009D0FBE" w:rsidRPr="00D944B9">
        <w:rPr>
          <w:lang w:val="ru-RU"/>
        </w:rPr>
        <w:t xml:space="preserve"> </w:t>
      </w:r>
      <w:r w:rsidR="009D0FBE">
        <w:rPr>
          <w:lang w:val="uk-UA"/>
        </w:rPr>
        <w:t>із межами виборчих округів</w:t>
      </w:r>
      <w:r w:rsidR="001A54A6">
        <w:rPr>
          <w:lang w:val="uk-UA"/>
        </w:rPr>
        <w:t>,</w:t>
      </w:r>
      <w:r w:rsidR="00C90DD7">
        <w:rPr>
          <w:lang w:val="uk-UA"/>
        </w:rPr>
        <w:t xml:space="preserve"> </w:t>
      </w:r>
      <w:r w:rsidR="009D0FBE">
        <w:rPr>
          <w:lang w:val="uk-UA"/>
        </w:rPr>
        <w:t xml:space="preserve">що </w:t>
      </w:r>
      <w:r w:rsidR="0028716F">
        <w:rPr>
          <w:lang w:val="uk-UA"/>
        </w:rPr>
        <w:t xml:space="preserve">мають </w:t>
      </w:r>
      <w:r w:rsidR="001A54A6">
        <w:rPr>
          <w:lang w:val="uk-UA"/>
        </w:rPr>
        <w:t>з</w:t>
      </w:r>
      <w:r w:rsidR="0063148E">
        <w:rPr>
          <w:lang w:val="uk-UA"/>
        </w:rPr>
        <w:t xml:space="preserve">а  </w:t>
      </w:r>
      <w:r w:rsidR="001A54A6">
        <w:rPr>
          <w:lang w:val="uk-UA"/>
        </w:rPr>
        <w:t>мету</w:t>
      </w:r>
      <w:r w:rsidR="0028716F">
        <w:rPr>
          <w:lang w:val="uk-UA"/>
        </w:rPr>
        <w:t xml:space="preserve"> сконцентрувати </w:t>
      </w:r>
      <w:r w:rsidR="00C90DD7">
        <w:rPr>
          <w:lang w:val="uk-UA"/>
        </w:rPr>
        <w:t>електоральн</w:t>
      </w:r>
      <w:r w:rsidR="0028716F">
        <w:rPr>
          <w:lang w:val="uk-UA"/>
        </w:rPr>
        <w:t>у</w:t>
      </w:r>
      <w:r w:rsidR="00C90DD7">
        <w:rPr>
          <w:lang w:val="uk-UA"/>
        </w:rPr>
        <w:t xml:space="preserve"> баз</w:t>
      </w:r>
      <w:r w:rsidR="0028716F">
        <w:rPr>
          <w:lang w:val="uk-UA"/>
        </w:rPr>
        <w:t>у</w:t>
      </w:r>
      <w:r w:rsidR="00C90DD7">
        <w:rPr>
          <w:lang w:val="uk-UA"/>
        </w:rPr>
        <w:t xml:space="preserve"> одного кандидата/партії в одному окрузі або </w:t>
      </w:r>
      <w:r w:rsidR="0028716F">
        <w:rPr>
          <w:lang w:val="uk-UA"/>
        </w:rPr>
        <w:t xml:space="preserve">розпорошити </w:t>
      </w:r>
      <w:r w:rsidR="00C90DD7">
        <w:rPr>
          <w:lang w:val="uk-UA"/>
        </w:rPr>
        <w:t xml:space="preserve">електорат політичних конкурентів між декількома округами </w:t>
      </w:r>
      <w:r w:rsidR="0028716F">
        <w:rPr>
          <w:lang w:val="uk-UA"/>
        </w:rPr>
        <w:t xml:space="preserve">так, щоб </w:t>
      </w:r>
      <w:r w:rsidR="00C90DD7">
        <w:rPr>
          <w:lang w:val="uk-UA"/>
        </w:rPr>
        <w:t xml:space="preserve">у жодному з них вони не мали </w:t>
      </w:r>
      <w:r w:rsidR="0028716F">
        <w:rPr>
          <w:lang w:val="uk-UA"/>
        </w:rPr>
        <w:t xml:space="preserve">достатньої </w:t>
      </w:r>
      <w:r w:rsidR="00C90DD7">
        <w:rPr>
          <w:lang w:val="uk-UA"/>
        </w:rPr>
        <w:t xml:space="preserve">підтримки виборців. </w:t>
      </w:r>
      <w:r w:rsidR="00F3068A" w:rsidRPr="00F3068A">
        <w:rPr>
          <w:lang w:val="uk-UA"/>
        </w:rPr>
        <w:t xml:space="preserve">Законом про місцеві вибори не встановлені чіткі вимоги до </w:t>
      </w:r>
      <w:r w:rsidR="00C90DD7">
        <w:rPr>
          <w:lang w:val="uk-UA"/>
        </w:rPr>
        <w:t>визначення меж</w:t>
      </w:r>
      <w:r w:rsidR="00F3068A" w:rsidRPr="00F3068A">
        <w:rPr>
          <w:lang w:val="uk-UA"/>
        </w:rPr>
        <w:t xml:space="preserve"> виборчих округів для проведення місцевих виборів. </w:t>
      </w:r>
      <w:r w:rsidR="00C90DD7">
        <w:rPr>
          <w:lang w:val="uk-UA"/>
        </w:rPr>
        <w:t>Хоча</w:t>
      </w:r>
      <w:r w:rsidR="00F3068A" w:rsidRPr="00F3068A">
        <w:rPr>
          <w:lang w:val="uk-UA"/>
        </w:rPr>
        <w:t xml:space="preserve"> </w:t>
      </w:r>
      <w:r w:rsidR="00C90DD7">
        <w:rPr>
          <w:lang w:val="uk-UA"/>
        </w:rPr>
        <w:t>за З</w:t>
      </w:r>
      <w:r w:rsidR="00F3068A" w:rsidRPr="00F3068A">
        <w:rPr>
          <w:lang w:val="uk-UA"/>
        </w:rPr>
        <w:t>акон</w:t>
      </w:r>
      <w:r w:rsidR="00C90DD7">
        <w:rPr>
          <w:lang w:val="uk-UA"/>
        </w:rPr>
        <w:t>ом</w:t>
      </w:r>
      <w:r w:rsidR="00F3068A" w:rsidRPr="00F3068A">
        <w:rPr>
          <w:lang w:val="uk-UA"/>
        </w:rPr>
        <w:t xml:space="preserve"> виборчі округи повинні бути утворені з приблизно однаковою кількістю виборців, </w:t>
      </w:r>
      <w:r w:rsidR="00C90DD7">
        <w:rPr>
          <w:lang w:val="uk-UA"/>
        </w:rPr>
        <w:t xml:space="preserve">він не передбачив </w:t>
      </w:r>
      <w:r w:rsidR="00F3068A" w:rsidRPr="00F3068A">
        <w:rPr>
          <w:lang w:val="uk-UA"/>
        </w:rPr>
        <w:t xml:space="preserve">максимального відхилення </w:t>
      </w:r>
      <w:r w:rsidR="00C90DD7">
        <w:rPr>
          <w:lang w:val="uk-UA"/>
        </w:rPr>
        <w:t>у</w:t>
      </w:r>
      <w:r w:rsidR="00C90DD7" w:rsidRPr="00F3068A">
        <w:rPr>
          <w:lang w:val="uk-UA"/>
        </w:rPr>
        <w:t xml:space="preserve"> </w:t>
      </w:r>
      <w:r w:rsidR="00F3068A" w:rsidRPr="00F3068A">
        <w:rPr>
          <w:lang w:val="uk-UA"/>
        </w:rPr>
        <w:t xml:space="preserve">кількості виборців </w:t>
      </w:r>
      <w:r w:rsidR="00C90DD7">
        <w:rPr>
          <w:lang w:val="uk-UA"/>
        </w:rPr>
        <w:t>між різними округами</w:t>
      </w:r>
      <w:r w:rsidR="00F3068A" w:rsidRPr="00F3068A">
        <w:rPr>
          <w:lang w:val="uk-UA"/>
        </w:rPr>
        <w:t xml:space="preserve">. </w:t>
      </w:r>
      <w:r w:rsidR="00C90DD7">
        <w:rPr>
          <w:lang w:val="uk-UA"/>
        </w:rPr>
        <w:t xml:space="preserve">Крім того, Закон не передбачив принципу нерозривності (зв’язності) меж округів при проведенні виборів за пропорційною системою. В результаті округи у ряді випадків було утворено з порушенням принципу нерозривності їхніх меж, а відхилення між кількістю виборців в округах в деяких випадках були надзвичайно високими і сягали 700% від середньої кількості виборців в округах на відповідних виборах. </w:t>
      </w:r>
      <w:r w:rsidR="00F3068A" w:rsidRPr="00F3068A">
        <w:rPr>
          <w:lang w:val="uk-UA"/>
        </w:rPr>
        <w:t xml:space="preserve">За даними громадянської мережі ОПОРА, майже в половині </w:t>
      </w:r>
      <w:r w:rsidR="00C90DD7">
        <w:rPr>
          <w:lang w:val="uk-UA"/>
        </w:rPr>
        <w:t>територіальних виборчих округів, утворених на виборах</w:t>
      </w:r>
      <w:r w:rsidR="00F3068A" w:rsidRPr="00F3068A">
        <w:rPr>
          <w:lang w:val="uk-UA"/>
        </w:rPr>
        <w:t xml:space="preserve"> до обласних рад, відхилення </w:t>
      </w:r>
      <w:r w:rsidR="00C90DD7">
        <w:rPr>
          <w:lang w:val="uk-UA"/>
        </w:rPr>
        <w:t xml:space="preserve">у кількостях виборців </w:t>
      </w:r>
      <w:r w:rsidR="00F3068A" w:rsidRPr="00F3068A">
        <w:rPr>
          <w:lang w:val="uk-UA"/>
        </w:rPr>
        <w:t xml:space="preserve">становили 15%, </w:t>
      </w:r>
      <w:r w:rsidR="00C90DD7">
        <w:rPr>
          <w:lang w:val="uk-UA"/>
        </w:rPr>
        <w:t>тобто досягли максимальної величини, передбаченої</w:t>
      </w:r>
      <w:r w:rsidR="00F3068A" w:rsidRPr="00F3068A">
        <w:rPr>
          <w:lang w:val="uk-UA"/>
        </w:rPr>
        <w:t xml:space="preserve"> Кодексом належної практики у виборчих справах Венеціанської комісії.</w:t>
      </w:r>
      <w:r w:rsidR="00C90DD7">
        <w:rPr>
          <w:lang w:val="uk-UA"/>
        </w:rPr>
        <w:t xml:space="preserve"> </w:t>
      </w:r>
    </w:p>
    <w:p w14:paraId="2CAFE453" w14:textId="191D2118" w:rsidR="00F34A98" w:rsidRDefault="00C77DB9" w:rsidP="00C77DB9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A8227F">
        <w:rPr>
          <w:b/>
          <w:lang w:val="uk-UA"/>
        </w:rPr>
        <w:lastRenderedPageBreak/>
        <w:t>Рекомендація 9:</w:t>
      </w:r>
      <w:r w:rsidRPr="00C77DB9">
        <w:rPr>
          <w:lang w:val="uk-UA"/>
        </w:rPr>
        <w:t xml:space="preserve"> </w:t>
      </w:r>
      <w:r>
        <w:rPr>
          <w:lang w:val="uk-UA"/>
        </w:rPr>
        <w:t xml:space="preserve">Законодавчо має бути передбачено </w:t>
      </w:r>
      <w:r w:rsidR="00F3068A">
        <w:rPr>
          <w:lang w:val="uk-UA"/>
        </w:rPr>
        <w:t xml:space="preserve">необхідність </w:t>
      </w:r>
      <w:r w:rsidR="00F34A98" w:rsidRPr="00F34A98">
        <w:rPr>
          <w:lang w:val="uk-UA"/>
        </w:rPr>
        <w:t>дотрим</w:t>
      </w:r>
      <w:r w:rsidR="00F3068A">
        <w:rPr>
          <w:lang w:val="uk-UA"/>
        </w:rPr>
        <w:t>ання</w:t>
      </w:r>
      <w:r w:rsidR="00F34A98" w:rsidRPr="00F34A98">
        <w:rPr>
          <w:lang w:val="uk-UA"/>
        </w:rPr>
        <w:t xml:space="preserve"> принцип</w:t>
      </w:r>
      <w:r w:rsidR="00A8227F">
        <w:rPr>
          <w:lang w:val="uk-UA"/>
        </w:rPr>
        <w:t>у</w:t>
      </w:r>
      <w:r w:rsidR="00F34A98" w:rsidRPr="00F34A98">
        <w:rPr>
          <w:lang w:val="uk-UA"/>
        </w:rPr>
        <w:t xml:space="preserve"> нерозривності меж </w:t>
      </w:r>
      <w:r w:rsidR="00C90DD7">
        <w:rPr>
          <w:lang w:val="uk-UA"/>
        </w:rPr>
        <w:t xml:space="preserve">округів </w:t>
      </w:r>
      <w:r w:rsidR="00F34A98" w:rsidRPr="00F34A98">
        <w:rPr>
          <w:lang w:val="uk-UA"/>
        </w:rPr>
        <w:t xml:space="preserve">з обов`язковим </w:t>
      </w:r>
      <w:r w:rsidR="00C90DD7">
        <w:rPr>
          <w:lang w:val="uk-UA"/>
        </w:rPr>
        <w:t xml:space="preserve">урахуванням </w:t>
      </w:r>
      <w:r w:rsidR="00F34A98" w:rsidRPr="00F34A98">
        <w:rPr>
          <w:lang w:val="uk-UA"/>
        </w:rPr>
        <w:t>адміністративно</w:t>
      </w:r>
      <w:r w:rsidR="00C90DD7">
        <w:rPr>
          <w:lang w:val="uk-UA"/>
        </w:rPr>
        <w:t>-</w:t>
      </w:r>
      <w:r w:rsidR="00F34A98" w:rsidRPr="00F34A98">
        <w:rPr>
          <w:lang w:val="uk-UA"/>
        </w:rPr>
        <w:t>територіального устрою</w:t>
      </w:r>
      <w:r w:rsidR="00F3068A">
        <w:rPr>
          <w:lang w:val="uk-UA"/>
        </w:rPr>
        <w:t xml:space="preserve"> при </w:t>
      </w:r>
      <w:r w:rsidR="00682E7D">
        <w:rPr>
          <w:lang w:val="uk-UA"/>
        </w:rPr>
        <w:t xml:space="preserve">утворенні </w:t>
      </w:r>
      <w:r w:rsidR="00F3068A">
        <w:rPr>
          <w:lang w:val="uk-UA"/>
        </w:rPr>
        <w:t>округів і</w:t>
      </w:r>
      <w:r w:rsidR="00682E7D">
        <w:rPr>
          <w:lang w:val="uk-UA"/>
        </w:rPr>
        <w:t xml:space="preserve"> </w:t>
      </w:r>
      <w:r w:rsidR="00F3068A">
        <w:rPr>
          <w:lang w:val="uk-UA"/>
        </w:rPr>
        <w:t xml:space="preserve">з відхиленням </w:t>
      </w:r>
      <w:r w:rsidR="00682E7D">
        <w:rPr>
          <w:lang w:val="uk-UA"/>
        </w:rPr>
        <w:t xml:space="preserve">у </w:t>
      </w:r>
      <w:r w:rsidR="00F3068A">
        <w:rPr>
          <w:lang w:val="uk-UA"/>
        </w:rPr>
        <w:t>кількості виборців</w:t>
      </w:r>
      <w:r w:rsidR="00682E7D">
        <w:rPr>
          <w:lang w:val="uk-UA"/>
        </w:rPr>
        <w:t xml:space="preserve"> між округами у межах</w:t>
      </w:r>
      <w:r w:rsidR="00F3068A">
        <w:rPr>
          <w:lang w:val="uk-UA"/>
        </w:rPr>
        <w:t xml:space="preserve"> не більше 15%</w:t>
      </w:r>
      <w:r w:rsidR="00682E7D">
        <w:rPr>
          <w:lang w:val="uk-UA"/>
        </w:rPr>
        <w:t xml:space="preserve"> від середньої кількості виборців</w:t>
      </w:r>
      <w:r w:rsidR="00F3068A">
        <w:rPr>
          <w:lang w:val="uk-UA"/>
        </w:rPr>
        <w:t xml:space="preserve">. </w:t>
      </w:r>
      <w:r w:rsidR="00682E7D">
        <w:rPr>
          <w:lang w:val="uk-UA"/>
        </w:rPr>
        <w:t>З метою запобігання</w:t>
      </w:r>
      <w:r w:rsidR="00F3068A">
        <w:rPr>
          <w:lang w:val="uk-UA"/>
        </w:rPr>
        <w:t xml:space="preserve"> </w:t>
      </w:r>
      <w:proofErr w:type="spellStart"/>
      <w:r w:rsidR="00F3068A">
        <w:rPr>
          <w:lang w:val="uk-UA"/>
        </w:rPr>
        <w:t>джер</w:t>
      </w:r>
      <w:r w:rsidR="00682E7D">
        <w:rPr>
          <w:lang w:val="uk-UA"/>
        </w:rPr>
        <w:t>р</w:t>
      </w:r>
      <w:r w:rsidR="00F3068A">
        <w:rPr>
          <w:lang w:val="uk-UA"/>
        </w:rPr>
        <w:t>імендерінгу</w:t>
      </w:r>
      <w:proofErr w:type="spellEnd"/>
      <w:r w:rsidR="00F3068A">
        <w:rPr>
          <w:lang w:val="uk-UA"/>
        </w:rPr>
        <w:t xml:space="preserve"> </w:t>
      </w:r>
      <w:r w:rsidR="00682E7D">
        <w:rPr>
          <w:lang w:val="uk-UA"/>
        </w:rPr>
        <w:t xml:space="preserve">рекомендовано передбачити обов’язковість утворення округів задовго до початку виборчого процесу чергових виборів, наприклад, за </w:t>
      </w:r>
      <w:r w:rsidR="00F3068A">
        <w:rPr>
          <w:lang w:val="uk-UA"/>
        </w:rPr>
        <w:t xml:space="preserve">180 днів до дня голосування. </w:t>
      </w:r>
      <w:r w:rsidR="004D645A">
        <w:rPr>
          <w:lang w:val="uk-UA"/>
        </w:rPr>
        <w:t>Також пропону</w:t>
      </w:r>
      <w:r w:rsidR="00E53346">
        <w:rPr>
          <w:lang w:val="uk-UA"/>
        </w:rPr>
        <w:t>ється</w:t>
      </w:r>
      <w:r w:rsidR="004D645A">
        <w:rPr>
          <w:lang w:val="uk-UA"/>
        </w:rPr>
        <w:t xml:space="preserve"> використання </w:t>
      </w:r>
      <w:proofErr w:type="spellStart"/>
      <w:r w:rsidR="001949DE">
        <w:rPr>
          <w:lang w:val="uk-UA"/>
        </w:rPr>
        <w:t>гео</w:t>
      </w:r>
      <w:r w:rsidR="004D645A">
        <w:rPr>
          <w:lang w:val="uk-UA"/>
        </w:rPr>
        <w:t>інформаційних</w:t>
      </w:r>
      <w:proofErr w:type="spellEnd"/>
      <w:r w:rsidR="004D645A">
        <w:rPr>
          <w:lang w:val="uk-UA"/>
        </w:rPr>
        <w:t xml:space="preserve"> систем д</w:t>
      </w:r>
      <w:r w:rsidR="00C0549E">
        <w:rPr>
          <w:lang w:val="uk-UA"/>
        </w:rPr>
        <w:t xml:space="preserve">ля </w:t>
      </w:r>
      <w:r w:rsidR="004D645A">
        <w:rPr>
          <w:lang w:val="uk-UA"/>
        </w:rPr>
        <w:t xml:space="preserve">покращення якості і </w:t>
      </w:r>
      <w:r w:rsidR="00C0549E">
        <w:rPr>
          <w:lang w:val="uk-UA"/>
        </w:rPr>
        <w:t xml:space="preserve">підвищення прозорості </w:t>
      </w:r>
      <w:r w:rsidR="004D645A">
        <w:rPr>
          <w:lang w:val="uk-UA"/>
        </w:rPr>
        <w:t xml:space="preserve">процесу </w:t>
      </w:r>
      <w:r w:rsidR="00682E7D">
        <w:rPr>
          <w:lang w:val="uk-UA"/>
        </w:rPr>
        <w:t>утворення</w:t>
      </w:r>
      <w:r w:rsidR="004D645A">
        <w:rPr>
          <w:lang w:val="uk-UA"/>
        </w:rPr>
        <w:t xml:space="preserve"> виборчих округів.</w:t>
      </w:r>
    </w:p>
    <w:p w14:paraId="3E77A07B" w14:textId="77777777" w:rsidR="00A8227F" w:rsidRDefault="00A8227F" w:rsidP="00C77DB9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0E54617C" w14:textId="77777777" w:rsidR="00A8227F" w:rsidRDefault="000A3249" w:rsidP="00BB1770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>Відповідно до Закону України «Про місцеві вибори» технічні описки та неточності</w:t>
      </w:r>
      <w:r w:rsidR="00682E7D">
        <w:rPr>
          <w:lang w:val="uk-UA"/>
        </w:rPr>
        <w:t xml:space="preserve"> у протоколі про підрахунок голосів/про підсумки голосування</w:t>
      </w:r>
      <w:r>
        <w:rPr>
          <w:lang w:val="uk-UA"/>
        </w:rPr>
        <w:t xml:space="preserve"> є підставою для склад</w:t>
      </w:r>
      <w:r w:rsidR="00682E7D">
        <w:rPr>
          <w:lang w:val="uk-UA"/>
        </w:rPr>
        <w:t>а</w:t>
      </w:r>
      <w:r>
        <w:rPr>
          <w:lang w:val="uk-UA"/>
        </w:rPr>
        <w:t>ння уточненого протоколу</w:t>
      </w:r>
      <w:r w:rsidR="00682E7D">
        <w:rPr>
          <w:lang w:val="uk-UA"/>
        </w:rPr>
        <w:t>. На практиці, складання протоколів із позначкою “Уточнений” у ряді випадків супроводжувалось внесенням змін до т.зв. змістовної частини протоколів, тобто частини, в якій фіксувал</w:t>
      </w:r>
      <w:r w:rsidR="00C04A7D">
        <w:rPr>
          <w:lang w:val="uk-UA"/>
        </w:rPr>
        <w:t>а</w:t>
      </w:r>
      <w:r w:rsidR="00682E7D">
        <w:rPr>
          <w:lang w:val="uk-UA"/>
        </w:rPr>
        <w:t>сь кільк</w:t>
      </w:r>
      <w:r w:rsidR="00C04A7D">
        <w:rPr>
          <w:lang w:val="uk-UA"/>
        </w:rPr>
        <w:t>і</w:t>
      </w:r>
      <w:r w:rsidR="00682E7D">
        <w:rPr>
          <w:lang w:val="uk-UA"/>
        </w:rPr>
        <w:t>ст</w:t>
      </w:r>
      <w:r w:rsidR="00C04A7D">
        <w:rPr>
          <w:lang w:val="uk-UA"/>
        </w:rPr>
        <w:t>ь</w:t>
      </w:r>
      <w:r w:rsidR="00682E7D">
        <w:rPr>
          <w:lang w:val="uk-UA"/>
        </w:rPr>
        <w:t xml:space="preserve"> голосів на підтримку певних кандидатів і партій. Такі зміни до протоколів у деяких випадках призводили до спотворення змісту волевиявлення виборців. </w:t>
      </w:r>
      <w:r>
        <w:rPr>
          <w:lang w:val="uk-UA"/>
        </w:rPr>
        <w:t xml:space="preserve"> </w:t>
      </w:r>
    </w:p>
    <w:p w14:paraId="72D71A18" w14:textId="0E9A6ADE" w:rsidR="005D15FE" w:rsidRDefault="00A8227F" w:rsidP="00A8227F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A8227F">
        <w:rPr>
          <w:b/>
          <w:lang w:val="uk-UA"/>
        </w:rPr>
        <w:t>Рекомендація 10:</w:t>
      </w:r>
      <w:r w:rsidRPr="00A8227F">
        <w:rPr>
          <w:lang w:val="uk-UA"/>
        </w:rPr>
        <w:t xml:space="preserve"> </w:t>
      </w:r>
      <w:r>
        <w:rPr>
          <w:lang w:val="uk-UA"/>
        </w:rPr>
        <w:t xml:space="preserve">Внести зміни до законодавства, у яких </w:t>
      </w:r>
      <w:r w:rsidR="00682E7D">
        <w:rPr>
          <w:lang w:val="uk-UA"/>
        </w:rPr>
        <w:t>передбачити</w:t>
      </w:r>
      <w:r>
        <w:rPr>
          <w:lang w:val="uk-UA"/>
        </w:rPr>
        <w:t>, що</w:t>
      </w:r>
      <w:r w:rsidR="00682E7D">
        <w:rPr>
          <w:lang w:val="uk-UA"/>
        </w:rPr>
        <w:t xml:space="preserve"> зміст всіх неточностей та описок </w:t>
      </w:r>
      <w:r>
        <w:rPr>
          <w:lang w:val="uk-UA"/>
        </w:rPr>
        <w:t xml:space="preserve">встановлюється </w:t>
      </w:r>
      <w:r w:rsidR="00682E7D">
        <w:rPr>
          <w:lang w:val="uk-UA"/>
        </w:rPr>
        <w:t>безпосередньо на засіданні ТВК</w:t>
      </w:r>
      <w:r w:rsidR="00E25626">
        <w:rPr>
          <w:lang w:val="uk-UA"/>
        </w:rPr>
        <w:t xml:space="preserve"> та</w:t>
      </w:r>
      <w:r w:rsidR="00682E7D">
        <w:rPr>
          <w:lang w:val="uk-UA"/>
        </w:rPr>
        <w:t xml:space="preserve"> фікс</w:t>
      </w:r>
      <w:r w:rsidR="00E25626">
        <w:rPr>
          <w:lang w:val="uk-UA"/>
        </w:rPr>
        <w:t>ується</w:t>
      </w:r>
      <w:r w:rsidR="00682E7D">
        <w:rPr>
          <w:lang w:val="uk-UA"/>
        </w:rPr>
        <w:t xml:space="preserve"> у протоколі засідання ТВК</w:t>
      </w:r>
      <w:r w:rsidR="00E25626">
        <w:rPr>
          <w:lang w:val="uk-UA"/>
        </w:rPr>
        <w:t>.</w:t>
      </w:r>
      <w:r w:rsidR="00682E7D">
        <w:rPr>
          <w:lang w:val="uk-UA"/>
        </w:rPr>
        <w:t xml:space="preserve"> </w:t>
      </w:r>
      <w:r w:rsidR="00E25626">
        <w:rPr>
          <w:lang w:val="uk-UA"/>
        </w:rPr>
        <w:t>Це</w:t>
      </w:r>
      <w:r w:rsidR="00682E7D">
        <w:rPr>
          <w:lang w:val="uk-UA"/>
        </w:rPr>
        <w:t xml:space="preserve"> дозволило б усунути необхідність складанн</w:t>
      </w:r>
      <w:r w:rsidR="00E25626">
        <w:rPr>
          <w:lang w:val="uk-UA"/>
        </w:rPr>
        <w:t>я</w:t>
      </w:r>
      <w:r w:rsidR="00682E7D">
        <w:rPr>
          <w:lang w:val="uk-UA"/>
        </w:rPr>
        <w:t xml:space="preserve"> уточнених протоколів загалом.</w:t>
      </w:r>
    </w:p>
    <w:p w14:paraId="2030B024" w14:textId="77777777" w:rsidR="00E25626" w:rsidRDefault="00E25626" w:rsidP="00A8227F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06E22721" w14:textId="77777777" w:rsidR="00E25626" w:rsidRDefault="005F256E" w:rsidP="00BB1770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 xml:space="preserve">Досить часто для </w:t>
      </w:r>
      <w:r w:rsidR="005522EE">
        <w:rPr>
          <w:lang w:val="uk-UA"/>
        </w:rPr>
        <w:t xml:space="preserve">маніпуляцій з результатами </w:t>
      </w:r>
      <w:r>
        <w:rPr>
          <w:lang w:val="uk-UA"/>
        </w:rPr>
        <w:t xml:space="preserve">волевиявлення виборців використовувалась можливість повторного підрахунку голосів виборців. </w:t>
      </w:r>
    </w:p>
    <w:p w14:paraId="4110F1AC" w14:textId="55029253" w:rsidR="005F256E" w:rsidRDefault="00E25626" w:rsidP="00E25626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E25626">
        <w:rPr>
          <w:b/>
          <w:lang w:val="uk-UA"/>
        </w:rPr>
        <w:t>Рекомендація 11:</w:t>
      </w:r>
      <w:r w:rsidRPr="00E25626">
        <w:rPr>
          <w:lang w:val="uk-UA"/>
        </w:rPr>
        <w:t xml:space="preserve"> </w:t>
      </w:r>
      <w:r>
        <w:rPr>
          <w:lang w:val="uk-UA"/>
        </w:rPr>
        <w:t>Чітко</w:t>
      </w:r>
      <w:r w:rsidR="005F256E">
        <w:rPr>
          <w:lang w:val="uk-UA"/>
        </w:rPr>
        <w:t xml:space="preserve"> визначити </w:t>
      </w:r>
      <w:r>
        <w:rPr>
          <w:lang w:val="uk-UA"/>
        </w:rPr>
        <w:t xml:space="preserve">у виборчому законодавстві </w:t>
      </w:r>
      <w:r w:rsidR="005F256E">
        <w:rPr>
          <w:lang w:val="uk-UA"/>
        </w:rPr>
        <w:t xml:space="preserve">підстави для повторного підрахунку голосів виборців та порядок його проведення. </w:t>
      </w:r>
    </w:p>
    <w:p w14:paraId="45E4850B" w14:textId="77777777" w:rsidR="00E25626" w:rsidRDefault="00E25626" w:rsidP="00E25626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6AD0D913" w14:textId="77777777" w:rsidR="00E25626" w:rsidRDefault="005522EE" w:rsidP="00BB1770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>Ч</w:t>
      </w:r>
      <w:r w:rsidR="00263BD3">
        <w:rPr>
          <w:lang w:val="uk-UA"/>
        </w:rPr>
        <w:t xml:space="preserve">ерез </w:t>
      </w:r>
      <w:r w:rsidR="00037C5B">
        <w:rPr>
          <w:lang w:val="uk-UA"/>
        </w:rPr>
        <w:t xml:space="preserve">неоднозначне тлумачення </w:t>
      </w:r>
      <w:r w:rsidR="00263BD3">
        <w:rPr>
          <w:lang w:val="uk-UA"/>
        </w:rPr>
        <w:t>положень Закону України «Про місцеві вибори» в частині реєстрації офіційних спостерігачів</w:t>
      </w:r>
      <w:r w:rsidR="00037C5B">
        <w:rPr>
          <w:lang w:val="uk-UA"/>
        </w:rPr>
        <w:t>,</w:t>
      </w:r>
      <w:r w:rsidR="00263BD3">
        <w:rPr>
          <w:lang w:val="uk-UA"/>
        </w:rPr>
        <w:t xml:space="preserve"> </w:t>
      </w:r>
      <w:r w:rsidR="00037C5B">
        <w:rPr>
          <w:lang w:val="uk-UA"/>
        </w:rPr>
        <w:t>ТВК</w:t>
      </w:r>
      <w:r w:rsidR="00263BD3">
        <w:rPr>
          <w:lang w:val="uk-UA"/>
        </w:rPr>
        <w:t xml:space="preserve"> іноді неправомірно відмовляли у реєстрац</w:t>
      </w:r>
      <w:r w:rsidR="00BB1770">
        <w:rPr>
          <w:lang w:val="uk-UA"/>
        </w:rPr>
        <w:t>ії</w:t>
      </w:r>
      <w:r>
        <w:rPr>
          <w:lang w:val="uk-UA"/>
        </w:rPr>
        <w:t xml:space="preserve"> спостерігачів</w:t>
      </w:r>
      <w:r w:rsidR="00037C5B">
        <w:rPr>
          <w:lang w:val="uk-UA"/>
        </w:rPr>
        <w:t>.</w:t>
      </w:r>
      <w:r w:rsidR="00BB1770">
        <w:rPr>
          <w:lang w:val="uk-UA"/>
        </w:rPr>
        <w:t xml:space="preserve"> </w:t>
      </w:r>
      <w:r w:rsidR="00037C5B">
        <w:rPr>
          <w:lang w:val="uk-UA"/>
        </w:rPr>
        <w:t xml:space="preserve">Також актуальною була і проблема </w:t>
      </w:r>
      <w:r w:rsidR="00BB1770">
        <w:rPr>
          <w:lang w:val="uk-UA"/>
        </w:rPr>
        <w:t xml:space="preserve"> </w:t>
      </w:r>
      <w:r w:rsidR="00037C5B">
        <w:rPr>
          <w:lang w:val="uk-UA"/>
        </w:rPr>
        <w:t>допуску</w:t>
      </w:r>
      <w:r w:rsidR="00BB1770">
        <w:rPr>
          <w:lang w:val="uk-UA"/>
        </w:rPr>
        <w:t xml:space="preserve"> спостерігачів до спостереження за всіма етапами виборчого процесу, а не лише тими, що відбуваються під час засідання виборчої комісії. </w:t>
      </w:r>
    </w:p>
    <w:p w14:paraId="42141D24" w14:textId="5EB46586" w:rsidR="00263BD3" w:rsidRPr="000817C0" w:rsidRDefault="00E25626" w:rsidP="00E25626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E25626">
        <w:rPr>
          <w:b/>
          <w:lang w:val="uk-UA"/>
        </w:rPr>
        <w:t>Рекомендація 12:</w:t>
      </w:r>
      <w:r w:rsidRPr="00E25626">
        <w:rPr>
          <w:lang w:val="uk-UA"/>
        </w:rPr>
        <w:t xml:space="preserve"> </w:t>
      </w:r>
      <w:r w:rsidR="00D14293">
        <w:rPr>
          <w:lang w:val="uk-UA"/>
        </w:rPr>
        <w:t>У</w:t>
      </w:r>
      <w:r w:rsidR="00BB1770">
        <w:rPr>
          <w:lang w:val="uk-UA"/>
        </w:rPr>
        <w:t xml:space="preserve">точнити процедуру реєстрації офіційних спостерігачів та усунути недоліки в регулюванні їх статусу, зокрема, надавши спостерігачам </w:t>
      </w:r>
      <w:r w:rsidR="00037C5B">
        <w:rPr>
          <w:lang w:val="uk-UA"/>
        </w:rPr>
        <w:t xml:space="preserve">можливість </w:t>
      </w:r>
      <w:r w:rsidR="00BB1770">
        <w:rPr>
          <w:lang w:val="uk-UA"/>
        </w:rPr>
        <w:t>бути присутнім</w:t>
      </w:r>
      <w:r w:rsidR="00037C5B">
        <w:rPr>
          <w:lang w:val="uk-UA"/>
        </w:rPr>
        <w:t>и</w:t>
      </w:r>
      <w:r w:rsidR="00BB1770">
        <w:rPr>
          <w:lang w:val="uk-UA"/>
        </w:rPr>
        <w:t xml:space="preserve"> у приміщенні виборчих комісій не лише під час засідань, але й під час прийому документів від суб’єктів виборчого процесу, чергування у приміщенні виборчої комісії тощо. </w:t>
      </w:r>
    </w:p>
    <w:p w14:paraId="635EDD39" w14:textId="77777777" w:rsidR="00D14293" w:rsidRPr="000817C0" w:rsidRDefault="00D14293" w:rsidP="00E25626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4959C9F2" w14:textId="77777777" w:rsidR="00D14293" w:rsidRPr="00D14293" w:rsidRDefault="005522EE" w:rsidP="00BB1770">
      <w:pPr>
        <w:pStyle w:val="ListParagraph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Запровадження </w:t>
      </w:r>
      <w:r w:rsidR="00BB1770" w:rsidRPr="00BB1770">
        <w:rPr>
          <w:lang w:val="uk-UA"/>
        </w:rPr>
        <w:t xml:space="preserve">гендерних квот без механізму </w:t>
      </w:r>
      <w:r>
        <w:rPr>
          <w:lang w:val="uk-UA"/>
        </w:rPr>
        <w:t xml:space="preserve">забезпечення </w:t>
      </w:r>
      <w:r w:rsidR="00BB1770" w:rsidRPr="00BB1770">
        <w:rPr>
          <w:lang w:val="uk-UA"/>
        </w:rPr>
        <w:t xml:space="preserve">їх застосування виглядало скоріше гарним наміром, </w:t>
      </w:r>
      <w:r>
        <w:rPr>
          <w:lang w:val="uk-UA"/>
        </w:rPr>
        <w:t>а</w:t>
      </w:r>
      <w:r w:rsidR="00BB1770" w:rsidRPr="00BB1770">
        <w:rPr>
          <w:lang w:val="uk-UA"/>
        </w:rPr>
        <w:t xml:space="preserve">ніж </w:t>
      </w:r>
      <w:r>
        <w:rPr>
          <w:lang w:val="uk-UA"/>
        </w:rPr>
        <w:t xml:space="preserve">реальними </w:t>
      </w:r>
      <w:r w:rsidR="00BB1770" w:rsidRPr="00BB1770">
        <w:rPr>
          <w:lang w:val="uk-UA"/>
        </w:rPr>
        <w:t>ді</w:t>
      </w:r>
      <w:r>
        <w:rPr>
          <w:lang w:val="uk-UA"/>
        </w:rPr>
        <w:t>ями</w:t>
      </w:r>
      <w:r w:rsidR="00BB1770" w:rsidRPr="00BB1770">
        <w:rPr>
          <w:lang w:val="uk-UA"/>
        </w:rPr>
        <w:t xml:space="preserve">. </w:t>
      </w:r>
      <w:r w:rsidR="00037C5B">
        <w:rPr>
          <w:lang w:val="uk-UA"/>
        </w:rPr>
        <w:t>Рівні права</w:t>
      </w:r>
      <w:r w:rsidR="00BB1770" w:rsidRPr="00BB1770">
        <w:rPr>
          <w:lang w:val="uk-UA"/>
        </w:rPr>
        <w:t xml:space="preserve"> та </w:t>
      </w:r>
      <w:r w:rsidR="00037C5B" w:rsidRPr="00BB1770">
        <w:rPr>
          <w:lang w:val="uk-UA"/>
        </w:rPr>
        <w:t>можливост</w:t>
      </w:r>
      <w:r w:rsidR="00037C5B">
        <w:rPr>
          <w:lang w:val="uk-UA"/>
        </w:rPr>
        <w:t>і</w:t>
      </w:r>
      <w:r w:rsidR="00037C5B" w:rsidRPr="00BB1770">
        <w:rPr>
          <w:lang w:val="uk-UA"/>
        </w:rPr>
        <w:t xml:space="preserve"> </w:t>
      </w:r>
      <w:r w:rsidR="00BB1770" w:rsidRPr="00BB1770">
        <w:rPr>
          <w:lang w:val="uk-UA"/>
        </w:rPr>
        <w:t xml:space="preserve">жінок і чоловіків на виборах </w:t>
      </w:r>
      <w:r w:rsidR="00037C5B">
        <w:rPr>
          <w:lang w:val="uk-UA"/>
        </w:rPr>
        <w:t>закріплено у</w:t>
      </w:r>
      <w:r w:rsidR="00BB1770" w:rsidRPr="00BB1770">
        <w:rPr>
          <w:lang w:val="uk-UA"/>
        </w:rPr>
        <w:t xml:space="preserve"> трьох Законах: «Про забезпечення рівних прав та можливостей жінок і чоловіків»,  «Про політичні партії в Україні», «Про місцеві вибори». </w:t>
      </w:r>
      <w:r w:rsidR="00037C5B">
        <w:rPr>
          <w:lang w:val="uk-UA"/>
        </w:rPr>
        <w:t xml:space="preserve">Жоден з цих законів не передбачає </w:t>
      </w:r>
      <w:r w:rsidR="00BB1770" w:rsidRPr="00BB1770">
        <w:rPr>
          <w:lang w:val="uk-UA"/>
        </w:rPr>
        <w:t xml:space="preserve">ефективних механізмів застосування </w:t>
      </w:r>
      <w:r w:rsidR="00037C5B">
        <w:rPr>
          <w:lang w:val="uk-UA"/>
        </w:rPr>
        <w:t xml:space="preserve">гендерної </w:t>
      </w:r>
      <w:r w:rsidR="00BB1770" w:rsidRPr="00BB1770">
        <w:rPr>
          <w:lang w:val="uk-UA"/>
        </w:rPr>
        <w:t xml:space="preserve">квоти на </w:t>
      </w:r>
      <w:r w:rsidR="00037C5B">
        <w:rPr>
          <w:lang w:val="uk-UA"/>
        </w:rPr>
        <w:t>загальнодержавних або місцевих виборах</w:t>
      </w:r>
      <w:r w:rsidR="00BB1770" w:rsidRPr="00BB1770">
        <w:rPr>
          <w:lang w:val="uk-UA"/>
        </w:rPr>
        <w:t>. Зокрема, невнесення до статуту</w:t>
      </w:r>
      <w:r w:rsidR="00037C5B">
        <w:rPr>
          <w:lang w:val="uk-UA"/>
        </w:rPr>
        <w:t xml:space="preserve"> партії</w:t>
      </w:r>
      <w:r w:rsidR="00BB1770" w:rsidRPr="00BB1770">
        <w:rPr>
          <w:lang w:val="uk-UA"/>
        </w:rPr>
        <w:t xml:space="preserve"> положення про квоту, так само як </w:t>
      </w:r>
      <w:r w:rsidR="00037C5B">
        <w:rPr>
          <w:lang w:val="uk-UA"/>
        </w:rPr>
        <w:t xml:space="preserve">і </w:t>
      </w:r>
      <w:r w:rsidR="00BB1770" w:rsidRPr="00BB1770">
        <w:rPr>
          <w:lang w:val="uk-UA"/>
        </w:rPr>
        <w:t xml:space="preserve">порушення </w:t>
      </w:r>
      <w:r w:rsidR="00037C5B">
        <w:rPr>
          <w:lang w:val="uk-UA"/>
        </w:rPr>
        <w:t>цього положення у випадку його закріплення у статуті</w:t>
      </w:r>
      <w:r w:rsidR="00BB1770" w:rsidRPr="00BB1770">
        <w:rPr>
          <w:lang w:val="uk-UA"/>
        </w:rPr>
        <w:t xml:space="preserve">, не є підставою для відмови в реєстрації списку кандидатів. </w:t>
      </w:r>
      <w:r w:rsidR="00BB1770" w:rsidRPr="00BB1770">
        <w:rPr>
          <w:lang w:val="uk-UA"/>
        </w:rPr>
        <w:lastRenderedPageBreak/>
        <w:t xml:space="preserve">Недотримання квоти не </w:t>
      </w:r>
      <w:r w:rsidR="00037C5B">
        <w:rPr>
          <w:lang w:val="uk-UA"/>
        </w:rPr>
        <w:t>є підставою</w:t>
      </w:r>
      <w:r w:rsidR="00BB1770" w:rsidRPr="00BB1770">
        <w:rPr>
          <w:lang w:val="uk-UA"/>
        </w:rPr>
        <w:t xml:space="preserve"> для відмови у реєстрації списків кандидатів</w:t>
      </w:r>
      <w:r w:rsidR="00037C5B">
        <w:rPr>
          <w:lang w:val="uk-UA"/>
        </w:rPr>
        <w:t xml:space="preserve"> і на місцевих виборах</w:t>
      </w:r>
      <w:r w:rsidR="00BB1770" w:rsidRPr="00BB1770">
        <w:rPr>
          <w:lang w:val="uk-UA"/>
        </w:rPr>
        <w:t xml:space="preserve">. </w:t>
      </w:r>
    </w:p>
    <w:p w14:paraId="37BA0FF1" w14:textId="33287D52" w:rsidR="00D14293" w:rsidRPr="00D14293" w:rsidRDefault="00D14293" w:rsidP="00D14293">
      <w:pPr>
        <w:pStyle w:val="ListParagraph"/>
        <w:jc w:val="both"/>
        <w:rPr>
          <w:lang w:val="ru-RU"/>
        </w:rPr>
      </w:pPr>
      <w:r w:rsidRPr="00D14293">
        <w:rPr>
          <w:b/>
          <w:lang w:val="uk-UA"/>
        </w:rPr>
        <w:t xml:space="preserve">Рекомендація </w:t>
      </w:r>
      <w:r w:rsidRPr="00D14293">
        <w:rPr>
          <w:b/>
          <w:lang w:val="ru-RU"/>
        </w:rPr>
        <w:t>13</w:t>
      </w:r>
      <w:r w:rsidRPr="00D14293">
        <w:rPr>
          <w:lang w:val="uk-UA"/>
        </w:rPr>
        <w:t xml:space="preserve">: </w:t>
      </w:r>
      <w:r w:rsidR="00037C5B">
        <w:rPr>
          <w:lang w:val="uk-UA"/>
        </w:rPr>
        <w:t>Незалежно від того, які саме виборчі системи застосовуватимуться на парламентських або місцевих виборах, законодавство має сприяти підвищенню представництва</w:t>
      </w:r>
      <w:r w:rsidR="00C56803">
        <w:rPr>
          <w:lang w:val="uk-UA"/>
        </w:rPr>
        <w:t xml:space="preserve"> жінок у </w:t>
      </w:r>
      <w:r w:rsidR="00BB1770" w:rsidRPr="00BB1770">
        <w:rPr>
          <w:lang w:val="uk-UA"/>
        </w:rPr>
        <w:t xml:space="preserve">виборних </w:t>
      </w:r>
      <w:r w:rsidR="00C56803">
        <w:rPr>
          <w:lang w:val="uk-UA"/>
        </w:rPr>
        <w:t>органах</w:t>
      </w:r>
      <w:r w:rsidR="00037C5B">
        <w:rPr>
          <w:lang w:val="uk-UA"/>
        </w:rPr>
        <w:t xml:space="preserve"> (</w:t>
      </w:r>
      <w:r w:rsidR="00BB1770" w:rsidRPr="00BB1770">
        <w:rPr>
          <w:lang w:val="uk-UA"/>
        </w:rPr>
        <w:t xml:space="preserve">як на </w:t>
      </w:r>
      <w:r w:rsidR="00C56803">
        <w:rPr>
          <w:lang w:val="uk-UA"/>
        </w:rPr>
        <w:t>національному</w:t>
      </w:r>
      <w:r w:rsidR="00BB1770" w:rsidRPr="00BB1770">
        <w:rPr>
          <w:lang w:val="uk-UA"/>
        </w:rPr>
        <w:t>, так і на місцевому рівні</w:t>
      </w:r>
      <w:r w:rsidR="00037C5B">
        <w:rPr>
          <w:lang w:val="uk-UA"/>
        </w:rPr>
        <w:t xml:space="preserve">), а також передбачати механізми забезпечення виконання </w:t>
      </w:r>
      <w:r w:rsidR="008416D9">
        <w:rPr>
          <w:lang w:val="uk-UA"/>
        </w:rPr>
        <w:t xml:space="preserve">відповідних </w:t>
      </w:r>
      <w:r w:rsidR="00BB1770" w:rsidRPr="00BB1770">
        <w:rPr>
          <w:lang w:val="uk-UA"/>
        </w:rPr>
        <w:t>положен</w:t>
      </w:r>
      <w:r w:rsidR="008416D9">
        <w:rPr>
          <w:lang w:val="uk-UA"/>
        </w:rPr>
        <w:t>ь</w:t>
      </w:r>
      <w:r w:rsidR="00BB1770" w:rsidRPr="00BB1770">
        <w:rPr>
          <w:lang w:val="uk-UA"/>
        </w:rPr>
        <w:t xml:space="preserve"> закон</w:t>
      </w:r>
      <w:r w:rsidR="008416D9">
        <w:rPr>
          <w:lang w:val="uk-UA"/>
        </w:rPr>
        <w:t>одавства</w:t>
      </w:r>
      <w:r w:rsidR="00BB1770" w:rsidRPr="00BB1770">
        <w:rPr>
          <w:lang w:val="uk-UA"/>
        </w:rPr>
        <w:t>.</w:t>
      </w:r>
    </w:p>
    <w:p w14:paraId="335C9446" w14:textId="77777777" w:rsidR="00D14293" w:rsidRPr="00D14293" w:rsidRDefault="00D14293" w:rsidP="00D14293">
      <w:pPr>
        <w:pStyle w:val="ListParagraph"/>
        <w:jc w:val="both"/>
        <w:rPr>
          <w:lang w:val="ru-RU"/>
        </w:rPr>
      </w:pPr>
    </w:p>
    <w:p w14:paraId="01B100F9" w14:textId="77777777" w:rsidR="00D14293" w:rsidRPr="00D14293" w:rsidRDefault="00037C5B" w:rsidP="00BB1770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>Законом</w:t>
      </w:r>
      <w:r w:rsidR="00BB1770">
        <w:rPr>
          <w:lang w:val="uk-UA"/>
        </w:rPr>
        <w:t xml:space="preserve"> «Про місцеві вибори» підстави для відмови у реєстрації кандидатів у депутати т</w:t>
      </w:r>
      <w:r w:rsidR="00454378">
        <w:rPr>
          <w:lang w:val="uk-UA"/>
        </w:rPr>
        <w:t xml:space="preserve">а </w:t>
      </w:r>
      <w:r>
        <w:rPr>
          <w:lang w:val="uk-UA"/>
        </w:rPr>
        <w:t xml:space="preserve">кандидатів </w:t>
      </w:r>
      <w:r w:rsidR="00454378">
        <w:rPr>
          <w:lang w:val="uk-UA"/>
        </w:rPr>
        <w:t>на посади сільських, селищних, міських голів</w:t>
      </w:r>
      <w:r>
        <w:rPr>
          <w:lang w:val="uk-UA"/>
        </w:rPr>
        <w:t xml:space="preserve"> визначено нечітко. На практиці це призвело </w:t>
      </w:r>
      <w:r w:rsidR="00454378">
        <w:rPr>
          <w:lang w:val="uk-UA"/>
        </w:rPr>
        <w:t xml:space="preserve">до </w:t>
      </w:r>
      <w:r>
        <w:rPr>
          <w:lang w:val="uk-UA"/>
        </w:rPr>
        <w:t>неоднозначного</w:t>
      </w:r>
      <w:r w:rsidR="00D523E8">
        <w:rPr>
          <w:lang w:val="uk-UA"/>
        </w:rPr>
        <w:t xml:space="preserve"> </w:t>
      </w:r>
      <w:r w:rsidR="00454378">
        <w:rPr>
          <w:lang w:val="uk-UA"/>
        </w:rPr>
        <w:t>застосування</w:t>
      </w:r>
      <w:r>
        <w:rPr>
          <w:lang w:val="uk-UA"/>
        </w:rPr>
        <w:t xml:space="preserve"> відповідних норм Закону</w:t>
      </w:r>
      <w:r w:rsidR="00454378">
        <w:rPr>
          <w:lang w:val="uk-UA"/>
        </w:rPr>
        <w:t xml:space="preserve">. </w:t>
      </w:r>
    </w:p>
    <w:p w14:paraId="01A611AA" w14:textId="5E01D081" w:rsidR="00F53BB6" w:rsidRPr="000817C0" w:rsidRDefault="00D14293" w:rsidP="00D14293">
      <w:pPr>
        <w:pStyle w:val="ListParagraph"/>
        <w:tabs>
          <w:tab w:val="left" w:pos="1155"/>
        </w:tabs>
        <w:spacing w:after="0"/>
        <w:jc w:val="both"/>
        <w:rPr>
          <w:lang w:val="ru-RU"/>
        </w:rPr>
      </w:pPr>
      <w:r w:rsidRPr="00D14293">
        <w:rPr>
          <w:b/>
          <w:lang w:val="uk-UA"/>
        </w:rPr>
        <w:t xml:space="preserve">Рекомендація </w:t>
      </w:r>
      <w:r w:rsidRPr="00D14293">
        <w:rPr>
          <w:b/>
          <w:lang w:val="ru-RU"/>
        </w:rPr>
        <w:t>14</w:t>
      </w:r>
      <w:r w:rsidRPr="00D14293">
        <w:rPr>
          <w:b/>
          <w:lang w:val="uk-UA"/>
        </w:rPr>
        <w:t>:</w:t>
      </w:r>
      <w:r w:rsidRPr="00D14293">
        <w:rPr>
          <w:lang w:val="uk-UA"/>
        </w:rPr>
        <w:t xml:space="preserve"> </w:t>
      </w:r>
      <w:r w:rsidR="000E5A6D">
        <w:rPr>
          <w:lang w:val="uk-UA"/>
        </w:rPr>
        <w:t xml:space="preserve">У Законі необхідно визначити </w:t>
      </w:r>
      <w:r w:rsidR="00454378">
        <w:rPr>
          <w:lang w:val="uk-UA"/>
        </w:rPr>
        <w:t xml:space="preserve">чіткий </w:t>
      </w:r>
      <w:r w:rsidR="000E5A6D">
        <w:rPr>
          <w:lang w:val="uk-UA"/>
        </w:rPr>
        <w:t xml:space="preserve">і </w:t>
      </w:r>
      <w:r w:rsidR="00454378">
        <w:rPr>
          <w:lang w:val="uk-UA"/>
        </w:rPr>
        <w:t>виключний перелік підстав для відмови в реєстрації кандидатів</w:t>
      </w:r>
      <w:r w:rsidR="000E5A6D">
        <w:rPr>
          <w:lang w:val="uk-UA"/>
        </w:rPr>
        <w:t>. Цей перелік не повинен містити</w:t>
      </w:r>
      <w:r w:rsidR="00454378">
        <w:rPr>
          <w:lang w:val="uk-UA"/>
        </w:rPr>
        <w:t xml:space="preserve"> оціночних понять</w:t>
      </w:r>
      <w:r w:rsidR="000E5A6D">
        <w:rPr>
          <w:lang w:val="uk-UA"/>
        </w:rPr>
        <w:t xml:space="preserve"> та нечітких формулювань</w:t>
      </w:r>
      <w:r w:rsidR="00454378">
        <w:rPr>
          <w:lang w:val="uk-UA"/>
        </w:rPr>
        <w:t xml:space="preserve">, </w:t>
      </w:r>
      <w:r w:rsidR="000E5A6D">
        <w:rPr>
          <w:lang w:val="uk-UA"/>
        </w:rPr>
        <w:t xml:space="preserve">що </w:t>
      </w:r>
      <w:r w:rsidR="00454378">
        <w:rPr>
          <w:lang w:val="uk-UA"/>
        </w:rPr>
        <w:t xml:space="preserve">дозволить </w:t>
      </w:r>
      <w:r w:rsidR="000E5A6D">
        <w:rPr>
          <w:lang w:val="uk-UA"/>
        </w:rPr>
        <w:t xml:space="preserve">зменшити ризики </w:t>
      </w:r>
      <w:r w:rsidR="00454378">
        <w:rPr>
          <w:lang w:val="uk-UA"/>
        </w:rPr>
        <w:t>неправомірних відмов у реєстрації кандидатів</w:t>
      </w:r>
      <w:r w:rsidR="000E5A6D">
        <w:rPr>
          <w:lang w:val="uk-UA"/>
        </w:rPr>
        <w:t xml:space="preserve"> на виборах</w:t>
      </w:r>
      <w:r w:rsidR="00454378">
        <w:rPr>
          <w:lang w:val="uk-UA"/>
        </w:rPr>
        <w:t xml:space="preserve">. </w:t>
      </w:r>
    </w:p>
    <w:p w14:paraId="06A8D21D" w14:textId="77777777" w:rsidR="00D14293" w:rsidRPr="000817C0" w:rsidRDefault="00D14293" w:rsidP="00D14293">
      <w:pPr>
        <w:pStyle w:val="ListParagraph"/>
        <w:tabs>
          <w:tab w:val="left" w:pos="1155"/>
        </w:tabs>
        <w:spacing w:after="0"/>
        <w:jc w:val="both"/>
        <w:rPr>
          <w:lang w:val="ru-RU"/>
        </w:rPr>
      </w:pPr>
    </w:p>
    <w:p w14:paraId="53B61834" w14:textId="77777777" w:rsidR="003048BE" w:rsidRPr="003048BE" w:rsidRDefault="005B2023" w:rsidP="005B2023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 xml:space="preserve">Через недосконалість визначення </w:t>
      </w:r>
      <w:r w:rsidR="000E5A6D">
        <w:rPr>
          <w:lang w:val="uk-UA"/>
        </w:rPr>
        <w:t>понять “</w:t>
      </w:r>
      <w:r>
        <w:rPr>
          <w:lang w:val="uk-UA"/>
        </w:rPr>
        <w:t>політична реклама</w:t>
      </w:r>
      <w:r w:rsidR="000E5A6D">
        <w:rPr>
          <w:lang w:val="uk-UA"/>
        </w:rPr>
        <w:t>”</w:t>
      </w:r>
      <w:r>
        <w:rPr>
          <w:lang w:val="uk-UA"/>
        </w:rPr>
        <w:t xml:space="preserve"> та </w:t>
      </w:r>
      <w:r w:rsidR="000E5A6D">
        <w:rPr>
          <w:lang w:val="uk-UA"/>
        </w:rPr>
        <w:t>“</w:t>
      </w:r>
      <w:r>
        <w:rPr>
          <w:lang w:val="uk-UA"/>
        </w:rPr>
        <w:t>передвиборна агітація</w:t>
      </w:r>
      <w:r w:rsidR="000E5A6D">
        <w:rPr>
          <w:lang w:val="uk-UA"/>
        </w:rPr>
        <w:t>”</w:t>
      </w:r>
      <w:r>
        <w:rPr>
          <w:lang w:val="uk-UA"/>
        </w:rPr>
        <w:t xml:space="preserve"> </w:t>
      </w:r>
      <w:r w:rsidR="000E5A6D">
        <w:rPr>
          <w:lang w:val="uk-UA"/>
        </w:rPr>
        <w:t>партії та кандидати</w:t>
      </w:r>
      <w:r>
        <w:rPr>
          <w:lang w:val="uk-UA"/>
        </w:rPr>
        <w:t xml:space="preserve"> досить часто зловживають своїми правами, зокрема, проводять </w:t>
      </w:r>
      <w:r w:rsidR="000E5A6D">
        <w:rPr>
          <w:lang w:val="uk-UA"/>
        </w:rPr>
        <w:t xml:space="preserve">передвиборну </w:t>
      </w:r>
      <w:r>
        <w:rPr>
          <w:lang w:val="uk-UA"/>
        </w:rPr>
        <w:t>агітацію поза межами виборчого процесу та/або з використанням коштів</w:t>
      </w:r>
      <w:r w:rsidR="000E5A6D">
        <w:rPr>
          <w:lang w:val="uk-UA"/>
        </w:rPr>
        <w:t>, інших ніж кошти їхніх виборчих фондів</w:t>
      </w:r>
      <w:r>
        <w:rPr>
          <w:lang w:val="uk-UA"/>
        </w:rPr>
        <w:t xml:space="preserve">. </w:t>
      </w:r>
    </w:p>
    <w:p w14:paraId="5B004A6C" w14:textId="5E89F402" w:rsidR="00454378" w:rsidRDefault="003048BE" w:rsidP="003048BE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3048BE">
        <w:rPr>
          <w:b/>
          <w:lang w:val="uk-UA"/>
        </w:rPr>
        <w:t xml:space="preserve">Рекомендація 15: </w:t>
      </w:r>
      <w:r>
        <w:rPr>
          <w:lang w:val="uk-UA"/>
        </w:rPr>
        <w:t>В</w:t>
      </w:r>
      <w:r w:rsidR="005B2023" w:rsidRPr="005B2023">
        <w:rPr>
          <w:lang w:val="uk-UA"/>
        </w:rPr>
        <w:t xml:space="preserve">ідповідальність партій та кандидатів за порушення строків ведення агітації та розміщення агітації без </w:t>
      </w:r>
      <w:r>
        <w:rPr>
          <w:lang w:val="uk-UA"/>
        </w:rPr>
        <w:t xml:space="preserve">зазначення </w:t>
      </w:r>
      <w:r w:rsidR="005B2023" w:rsidRPr="005B2023">
        <w:rPr>
          <w:lang w:val="uk-UA"/>
        </w:rPr>
        <w:t>вихідних д</w:t>
      </w:r>
      <w:r w:rsidR="005B2023">
        <w:rPr>
          <w:lang w:val="uk-UA"/>
        </w:rPr>
        <w:t>аних</w:t>
      </w:r>
      <w:r>
        <w:rPr>
          <w:lang w:val="uk-UA"/>
        </w:rPr>
        <w:t>, які вимагаються Законом (відомості про тираж, установу, яка здійснила друк тощо),</w:t>
      </w:r>
      <w:r w:rsidRPr="003048BE">
        <w:rPr>
          <w:lang w:val="uk-UA"/>
        </w:rPr>
        <w:t xml:space="preserve"> </w:t>
      </w:r>
      <w:r>
        <w:rPr>
          <w:lang w:val="uk-UA"/>
        </w:rPr>
        <w:t>має бути більш суворою</w:t>
      </w:r>
      <w:r w:rsidR="00FC0BDA">
        <w:rPr>
          <w:lang w:val="uk-UA"/>
        </w:rPr>
        <w:t>.</w:t>
      </w:r>
      <w:r w:rsidR="000E5A6D">
        <w:rPr>
          <w:lang w:val="uk-UA"/>
        </w:rPr>
        <w:t xml:space="preserve"> </w:t>
      </w:r>
      <w:r w:rsidR="00FC0BDA">
        <w:rPr>
          <w:lang w:val="uk-UA"/>
        </w:rPr>
        <w:t xml:space="preserve">Має бути </w:t>
      </w:r>
      <w:r w:rsidR="000E5A6D">
        <w:rPr>
          <w:lang w:val="uk-UA"/>
        </w:rPr>
        <w:t>передбач</w:t>
      </w:r>
      <w:r w:rsidR="00FC0BDA">
        <w:rPr>
          <w:lang w:val="uk-UA"/>
        </w:rPr>
        <w:t>ена</w:t>
      </w:r>
      <w:r w:rsidR="000E5A6D">
        <w:rPr>
          <w:lang w:val="uk-UA"/>
        </w:rPr>
        <w:t xml:space="preserve"> обов’язковість незалежного аудиту виборчої фінансової звітності</w:t>
      </w:r>
      <w:r w:rsidR="00FC0BDA">
        <w:rPr>
          <w:lang w:val="uk-UA"/>
        </w:rPr>
        <w:t>.</w:t>
      </w:r>
      <w:r w:rsidR="005B2023">
        <w:rPr>
          <w:lang w:val="uk-UA"/>
        </w:rPr>
        <w:t xml:space="preserve"> </w:t>
      </w:r>
      <w:r w:rsidR="00FC0BDA">
        <w:rPr>
          <w:lang w:val="uk-UA"/>
        </w:rPr>
        <w:t xml:space="preserve">Мають бути </w:t>
      </w:r>
      <w:r w:rsidR="000E5A6D">
        <w:rPr>
          <w:lang w:val="uk-UA"/>
        </w:rPr>
        <w:t>встанов</w:t>
      </w:r>
      <w:r w:rsidR="00FC0BDA">
        <w:rPr>
          <w:lang w:val="uk-UA"/>
        </w:rPr>
        <w:t>лені</w:t>
      </w:r>
      <w:r w:rsidR="000E5A6D">
        <w:rPr>
          <w:lang w:val="uk-UA"/>
        </w:rPr>
        <w:t xml:space="preserve"> пропорційні, ефективні та превентивні санкції</w:t>
      </w:r>
      <w:r w:rsidR="005B2023" w:rsidRPr="005B2023">
        <w:rPr>
          <w:lang w:val="uk-UA"/>
        </w:rPr>
        <w:t xml:space="preserve"> за розміщення матеріалів</w:t>
      </w:r>
      <w:r w:rsidR="000E5A6D">
        <w:rPr>
          <w:lang w:val="uk-UA"/>
        </w:rPr>
        <w:t>, які мають ознаки прихованої політичної реклами</w:t>
      </w:r>
      <w:r w:rsidR="00A57136">
        <w:rPr>
          <w:lang w:val="uk-UA"/>
        </w:rPr>
        <w:t xml:space="preserve">. </w:t>
      </w:r>
    </w:p>
    <w:p w14:paraId="0390D457" w14:textId="77777777" w:rsidR="00FC0BDA" w:rsidRDefault="00FC0BDA" w:rsidP="003048BE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662EAD13" w14:textId="77777777" w:rsidR="00FC0BDA" w:rsidRDefault="00A57136" w:rsidP="005B2023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 xml:space="preserve">Через відсутність ефективного механізму контролю за фінансуванням </w:t>
      </w:r>
      <w:r w:rsidR="000E5A6D">
        <w:rPr>
          <w:lang w:val="uk-UA"/>
        </w:rPr>
        <w:t>передвиборної агітації</w:t>
      </w:r>
      <w:r>
        <w:rPr>
          <w:lang w:val="uk-UA"/>
        </w:rPr>
        <w:t xml:space="preserve"> політичні партії та </w:t>
      </w:r>
      <w:r w:rsidR="000E5A6D">
        <w:rPr>
          <w:lang w:val="uk-UA"/>
        </w:rPr>
        <w:t>кандидати активно фінансують свою передвиборну агітацію за рахунок інших, ніж кошти виборчих фондів, коштів.</w:t>
      </w:r>
      <w:r>
        <w:rPr>
          <w:lang w:val="uk-UA"/>
        </w:rPr>
        <w:t xml:space="preserve"> </w:t>
      </w:r>
    </w:p>
    <w:p w14:paraId="3533FCC2" w14:textId="504265C8" w:rsidR="00A57136" w:rsidRDefault="00FC0BDA" w:rsidP="00FC0BDA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FC0BDA">
        <w:rPr>
          <w:b/>
          <w:lang w:val="uk-UA"/>
        </w:rPr>
        <w:t>Рекомендація 16</w:t>
      </w:r>
      <w:r w:rsidRPr="00FC0BDA">
        <w:rPr>
          <w:lang w:val="uk-UA"/>
        </w:rPr>
        <w:t xml:space="preserve">: </w:t>
      </w:r>
      <w:r>
        <w:rPr>
          <w:lang w:val="uk-UA"/>
        </w:rPr>
        <w:t>П</w:t>
      </w:r>
      <w:r w:rsidR="000E5A6D">
        <w:rPr>
          <w:lang w:val="uk-UA"/>
        </w:rPr>
        <w:t>ередб</w:t>
      </w:r>
      <w:r w:rsidR="001949DE">
        <w:rPr>
          <w:lang w:val="uk-UA"/>
        </w:rPr>
        <w:t>а</w:t>
      </w:r>
      <w:r w:rsidR="000E5A6D">
        <w:rPr>
          <w:lang w:val="uk-UA"/>
        </w:rPr>
        <w:t>чити дієві механізми незалежного державного контролю за фінансуванням передвиборної агітації. Це дозволи</w:t>
      </w:r>
      <w:r>
        <w:rPr>
          <w:lang w:val="uk-UA"/>
        </w:rPr>
        <w:t>ть</w:t>
      </w:r>
      <w:r w:rsidR="000E5A6D">
        <w:rPr>
          <w:lang w:val="uk-UA"/>
        </w:rPr>
        <w:t xml:space="preserve">, серед іншого, </w:t>
      </w:r>
      <w:r w:rsidR="00A57136">
        <w:rPr>
          <w:lang w:val="uk-UA"/>
        </w:rPr>
        <w:t xml:space="preserve">вчасно виявляти порушення та оперативно реагувати на них. </w:t>
      </w:r>
    </w:p>
    <w:p w14:paraId="297E501E" w14:textId="77777777" w:rsidR="00FC0BDA" w:rsidRDefault="00FC0BDA" w:rsidP="00FC0BDA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6DD46477" w14:textId="77777777" w:rsidR="00FC0BDA" w:rsidRDefault="00A57136" w:rsidP="00015C92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 w:rsidRPr="00A57136">
        <w:rPr>
          <w:lang w:val="uk-UA"/>
        </w:rPr>
        <w:t xml:space="preserve">Відповідно до Закону України «Про місцеві вибори» </w:t>
      </w:r>
      <w:r w:rsidR="002E2369" w:rsidRPr="00A57136">
        <w:rPr>
          <w:lang w:val="uk-UA"/>
        </w:rPr>
        <w:t xml:space="preserve">відповідальність </w:t>
      </w:r>
      <w:r w:rsidRPr="00A57136">
        <w:rPr>
          <w:lang w:val="uk-UA"/>
        </w:rPr>
        <w:t xml:space="preserve">за порушення правил </w:t>
      </w:r>
      <w:r w:rsidR="000E5A6D">
        <w:rPr>
          <w:lang w:val="uk-UA"/>
        </w:rPr>
        <w:t>здійснення</w:t>
      </w:r>
      <w:r w:rsidR="000E5A6D" w:rsidRPr="00A57136">
        <w:rPr>
          <w:lang w:val="uk-UA"/>
        </w:rPr>
        <w:t xml:space="preserve"> </w:t>
      </w:r>
      <w:r w:rsidRPr="00A57136">
        <w:rPr>
          <w:lang w:val="uk-UA"/>
        </w:rPr>
        <w:t>передвибор</w:t>
      </w:r>
      <w:r w:rsidR="000E5A6D">
        <w:rPr>
          <w:lang w:val="uk-UA"/>
        </w:rPr>
        <w:t>н</w:t>
      </w:r>
      <w:r w:rsidRPr="00A57136">
        <w:rPr>
          <w:lang w:val="uk-UA"/>
        </w:rPr>
        <w:t>ої агітації</w:t>
      </w:r>
      <w:r w:rsidR="00E82578">
        <w:rPr>
          <w:lang w:val="uk-UA"/>
        </w:rPr>
        <w:t xml:space="preserve"> у більшості випадків</w:t>
      </w:r>
      <w:r w:rsidRPr="00A57136">
        <w:rPr>
          <w:lang w:val="uk-UA"/>
        </w:rPr>
        <w:t xml:space="preserve"> несуть лише партії та кандидати</w:t>
      </w:r>
      <w:r w:rsidR="00E82578">
        <w:rPr>
          <w:lang w:val="uk-UA"/>
        </w:rPr>
        <w:t>. Це</w:t>
      </w:r>
      <w:r w:rsidRPr="00A57136">
        <w:rPr>
          <w:lang w:val="uk-UA"/>
        </w:rPr>
        <w:t xml:space="preserve"> дозволяє безперешкодно залучати до агітації сторонніх осіб, які не є учасниками виборчого процесу. </w:t>
      </w:r>
    </w:p>
    <w:p w14:paraId="26747685" w14:textId="2E56223A" w:rsidR="005B2023" w:rsidRDefault="00FC0BDA" w:rsidP="00FC0BDA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FC0BDA">
        <w:rPr>
          <w:b/>
          <w:lang w:val="uk-UA"/>
        </w:rPr>
        <w:t>Рекомендація 17:</w:t>
      </w:r>
      <w:r w:rsidRPr="00FC0BDA">
        <w:rPr>
          <w:lang w:val="uk-UA"/>
        </w:rPr>
        <w:t xml:space="preserve"> </w:t>
      </w:r>
      <w:r>
        <w:rPr>
          <w:lang w:val="uk-UA"/>
        </w:rPr>
        <w:t>С</w:t>
      </w:r>
      <w:r w:rsidR="00A57136" w:rsidRPr="00A57136">
        <w:rPr>
          <w:lang w:val="uk-UA"/>
        </w:rPr>
        <w:t>анкції щодо порушення передвибор</w:t>
      </w:r>
      <w:r w:rsidR="007D0108">
        <w:rPr>
          <w:lang w:val="uk-UA"/>
        </w:rPr>
        <w:t>н</w:t>
      </w:r>
      <w:r w:rsidR="00A57136" w:rsidRPr="00A57136">
        <w:rPr>
          <w:lang w:val="uk-UA"/>
        </w:rPr>
        <w:t xml:space="preserve">ої агітації </w:t>
      </w:r>
      <w:r>
        <w:rPr>
          <w:lang w:val="uk-UA"/>
        </w:rPr>
        <w:t xml:space="preserve">повинні поширюватися </w:t>
      </w:r>
      <w:r w:rsidR="00A57136" w:rsidRPr="00A57136">
        <w:rPr>
          <w:lang w:val="uk-UA"/>
        </w:rPr>
        <w:t xml:space="preserve">не тільки на партії та кандидатів, а також на </w:t>
      </w:r>
      <w:r w:rsidR="001949DE">
        <w:rPr>
          <w:lang w:val="uk-UA"/>
        </w:rPr>
        <w:t>всіх тих, хто прямо або опо</w:t>
      </w:r>
      <w:r w:rsidR="00E82578">
        <w:rPr>
          <w:lang w:val="uk-UA"/>
        </w:rPr>
        <w:t>середковано залучений до розміщення матеріалів передвиборної агітації та політичної реклами</w:t>
      </w:r>
      <w:r w:rsidR="00A57136">
        <w:rPr>
          <w:lang w:val="uk-UA"/>
        </w:rPr>
        <w:t xml:space="preserve">, </w:t>
      </w:r>
      <w:r w:rsidR="00E82578">
        <w:rPr>
          <w:lang w:val="uk-UA"/>
        </w:rPr>
        <w:t>у тому числі на</w:t>
      </w:r>
      <w:r w:rsidR="00A57136" w:rsidRPr="00A57136">
        <w:rPr>
          <w:lang w:val="uk-UA"/>
        </w:rPr>
        <w:t xml:space="preserve"> посередників, замовників, вик</w:t>
      </w:r>
      <w:r w:rsidR="00A57136">
        <w:rPr>
          <w:lang w:val="uk-UA"/>
        </w:rPr>
        <w:t>онавців, рекламні аген</w:t>
      </w:r>
      <w:r w:rsidR="00E82578">
        <w:rPr>
          <w:lang w:val="uk-UA"/>
        </w:rPr>
        <w:t>тства</w:t>
      </w:r>
      <w:r w:rsidR="00A57136">
        <w:rPr>
          <w:lang w:val="uk-UA"/>
        </w:rPr>
        <w:t xml:space="preserve">, тощо. </w:t>
      </w:r>
    </w:p>
    <w:p w14:paraId="2EC4B5A1" w14:textId="77777777" w:rsidR="00FC0BDA" w:rsidRDefault="00FC0BDA" w:rsidP="00FC0BDA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4B78BE66" w14:textId="77777777" w:rsidR="00FC0BDA" w:rsidRDefault="00D8663D" w:rsidP="00D8663D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>У Законі «Про місцеві вибори» відсутнє виз</w:t>
      </w:r>
      <w:r w:rsidRPr="00D8663D">
        <w:rPr>
          <w:lang w:val="uk-UA"/>
        </w:rPr>
        <w:t>начення поняття виборчого документу</w:t>
      </w:r>
      <w:r w:rsidR="00046E89">
        <w:rPr>
          <w:lang w:val="uk-UA"/>
        </w:rPr>
        <w:t xml:space="preserve"> </w:t>
      </w:r>
      <w:r w:rsidRPr="00D8663D">
        <w:rPr>
          <w:lang w:val="uk-UA"/>
        </w:rPr>
        <w:t xml:space="preserve">(наприклад, подання </w:t>
      </w:r>
      <w:r w:rsidR="00E82578">
        <w:rPr>
          <w:lang w:val="uk-UA"/>
        </w:rPr>
        <w:t>щодо кандидатур до складу комісії</w:t>
      </w:r>
      <w:r w:rsidRPr="00D8663D">
        <w:rPr>
          <w:lang w:val="uk-UA"/>
        </w:rPr>
        <w:t xml:space="preserve">, подання про внесення кандидатур спостерігачів, заява про згоду балотуватися, заява про згоду виконувати </w:t>
      </w:r>
      <w:r w:rsidRPr="00D8663D">
        <w:rPr>
          <w:lang w:val="uk-UA"/>
        </w:rPr>
        <w:lastRenderedPageBreak/>
        <w:t>обов’язки голови, заступника голови чи секретаря виборчої комісії,  згода бути офіційним спостерігачем, постанови та</w:t>
      </w:r>
      <w:r w:rsidR="00046E89">
        <w:rPr>
          <w:lang w:val="uk-UA"/>
        </w:rPr>
        <w:t xml:space="preserve"> рішення виборчих комісій</w:t>
      </w:r>
      <w:r w:rsidR="00884414">
        <w:rPr>
          <w:lang w:val="uk-UA"/>
        </w:rPr>
        <w:t>,</w:t>
      </w:r>
      <w:r w:rsidR="00046E89">
        <w:rPr>
          <w:lang w:val="uk-UA"/>
        </w:rPr>
        <w:t xml:space="preserve"> тощо</w:t>
      </w:r>
      <w:r w:rsidR="00E82578">
        <w:rPr>
          <w:lang w:val="uk-UA"/>
        </w:rPr>
        <w:t xml:space="preserve"> прямо не віднесені до виборчих документів</w:t>
      </w:r>
      <w:r w:rsidR="00046E89">
        <w:rPr>
          <w:lang w:val="uk-UA"/>
        </w:rPr>
        <w:t xml:space="preserve">), що спричиняє неможливість притягнення до кримінальної відповідальності за </w:t>
      </w:r>
      <w:r w:rsidR="00E82578">
        <w:rPr>
          <w:lang w:val="uk-UA"/>
        </w:rPr>
        <w:t xml:space="preserve">фальсифікацію виборчих документів (стаття 158 Кримінального кодексу України). </w:t>
      </w:r>
    </w:p>
    <w:p w14:paraId="5CF39033" w14:textId="313631A0" w:rsidR="00D8663D" w:rsidRDefault="00FC0BDA" w:rsidP="00FC0BDA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FC0BDA">
        <w:rPr>
          <w:b/>
          <w:lang w:val="uk-UA"/>
        </w:rPr>
        <w:t>Рекомендація 18:</w:t>
      </w:r>
      <w:r w:rsidRPr="00FC0BDA">
        <w:rPr>
          <w:lang w:val="uk-UA"/>
        </w:rPr>
        <w:t xml:space="preserve"> </w:t>
      </w:r>
      <w:r w:rsidR="0054507E">
        <w:rPr>
          <w:lang w:val="uk-UA"/>
        </w:rPr>
        <w:t>П</w:t>
      </w:r>
      <w:r w:rsidR="00046E89">
        <w:rPr>
          <w:lang w:val="uk-UA"/>
        </w:rPr>
        <w:t>оняття «виборчий документ»</w:t>
      </w:r>
      <w:r w:rsidR="00E82578">
        <w:rPr>
          <w:lang w:val="uk-UA"/>
        </w:rPr>
        <w:t xml:space="preserve"> </w:t>
      </w:r>
      <w:r w:rsidR="0054507E">
        <w:rPr>
          <w:lang w:val="uk-UA"/>
        </w:rPr>
        <w:t xml:space="preserve">повинно бути чітко визначено </w:t>
      </w:r>
      <w:r w:rsidR="00E82578">
        <w:rPr>
          <w:lang w:val="uk-UA"/>
        </w:rPr>
        <w:t>у відповідн</w:t>
      </w:r>
      <w:r w:rsidR="0054507E">
        <w:rPr>
          <w:lang w:val="uk-UA"/>
        </w:rPr>
        <w:t>ому виборчому законодавстві</w:t>
      </w:r>
      <w:r w:rsidR="00046E89">
        <w:rPr>
          <w:lang w:val="uk-UA"/>
        </w:rPr>
        <w:t xml:space="preserve">. </w:t>
      </w:r>
    </w:p>
    <w:p w14:paraId="7D3C947F" w14:textId="77777777" w:rsidR="0054507E" w:rsidRDefault="0054507E" w:rsidP="00FC0BDA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1819BF14" w14:textId="77777777" w:rsidR="0054507E" w:rsidRDefault="00046E89" w:rsidP="00D8663D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 xml:space="preserve">Відповідно до Закону «Про місцеві вибори» </w:t>
      </w:r>
      <w:r w:rsidR="00E82578">
        <w:rPr>
          <w:lang w:val="uk-UA"/>
        </w:rPr>
        <w:t>не всі документи, що подаються для реєстрації кандидатів на виборах, повинні подаватись в електронному вигляді. Н</w:t>
      </w:r>
      <w:r>
        <w:rPr>
          <w:lang w:val="uk-UA"/>
        </w:rPr>
        <w:t xml:space="preserve">а практиці це призводить до неможливості ефективного виконання своїх обов’язків членами </w:t>
      </w:r>
      <w:r w:rsidR="00E82578">
        <w:rPr>
          <w:lang w:val="uk-UA"/>
        </w:rPr>
        <w:t>ТВК, у тому числі в частині оприлюднення відповідних документів.</w:t>
      </w:r>
      <w:r>
        <w:rPr>
          <w:lang w:val="uk-UA"/>
        </w:rPr>
        <w:t xml:space="preserve"> </w:t>
      </w:r>
      <w:r w:rsidR="00E82578">
        <w:rPr>
          <w:lang w:val="uk-UA"/>
        </w:rPr>
        <w:t>З</w:t>
      </w:r>
      <w:r>
        <w:rPr>
          <w:lang w:val="uk-UA"/>
        </w:rPr>
        <w:t xml:space="preserve">окрема, через технічні та часові </w:t>
      </w:r>
      <w:r w:rsidR="00EF2E54">
        <w:rPr>
          <w:lang w:val="uk-UA"/>
        </w:rPr>
        <w:t>обмеження</w:t>
      </w:r>
      <w:r w:rsidR="00E82578">
        <w:rPr>
          <w:lang w:val="uk-UA"/>
        </w:rPr>
        <w:t xml:space="preserve"> часто видається неможливим </w:t>
      </w:r>
      <w:r>
        <w:rPr>
          <w:lang w:val="uk-UA"/>
        </w:rPr>
        <w:t>опублікувати декларації</w:t>
      </w:r>
      <w:r w:rsidR="00E82578">
        <w:rPr>
          <w:lang w:val="uk-UA"/>
        </w:rPr>
        <w:t xml:space="preserve"> кандидатів про майно, доходи, витрати і зобов’язання фінансового характеру</w:t>
      </w:r>
      <w:r>
        <w:rPr>
          <w:lang w:val="uk-UA"/>
        </w:rPr>
        <w:t xml:space="preserve">. </w:t>
      </w:r>
    </w:p>
    <w:p w14:paraId="06EFE419" w14:textId="071AA6E3" w:rsidR="00046E89" w:rsidRDefault="0054507E" w:rsidP="0054507E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54507E">
        <w:rPr>
          <w:b/>
          <w:lang w:val="uk-UA"/>
        </w:rPr>
        <w:t xml:space="preserve">Рекомендація </w:t>
      </w:r>
      <w:r w:rsidR="00246909">
        <w:rPr>
          <w:b/>
          <w:lang w:val="uk-UA"/>
        </w:rPr>
        <w:t>19</w:t>
      </w:r>
      <w:r w:rsidRPr="0054507E">
        <w:rPr>
          <w:b/>
          <w:lang w:val="uk-UA"/>
        </w:rPr>
        <w:t>:</w:t>
      </w:r>
      <w:r w:rsidRPr="0054507E">
        <w:rPr>
          <w:lang w:val="uk-UA"/>
        </w:rPr>
        <w:t xml:space="preserve"> </w:t>
      </w:r>
      <w:r>
        <w:rPr>
          <w:lang w:val="uk-UA"/>
        </w:rPr>
        <w:t>Ч</w:t>
      </w:r>
      <w:r w:rsidR="00E82578">
        <w:rPr>
          <w:lang w:val="uk-UA"/>
        </w:rPr>
        <w:t xml:space="preserve">ітко закріпити у виборчому законодавстві обов’язок подання всіх </w:t>
      </w:r>
      <w:r w:rsidR="006B60D6">
        <w:rPr>
          <w:lang w:val="uk-UA"/>
        </w:rPr>
        <w:t>документів, необхідних для реєстрації кандидатів, як у паперовому, так і в електронному вигляді.</w:t>
      </w:r>
    </w:p>
    <w:p w14:paraId="3DE34787" w14:textId="77777777" w:rsidR="0054507E" w:rsidRDefault="0054507E" w:rsidP="0054507E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533BCE0C" w14:textId="77777777" w:rsidR="0054507E" w:rsidRDefault="006B60D6" w:rsidP="0022631F">
      <w:pPr>
        <w:pStyle w:val="ListParagraph"/>
        <w:numPr>
          <w:ilvl w:val="0"/>
          <w:numId w:val="2"/>
        </w:numPr>
        <w:tabs>
          <w:tab w:val="left" w:pos="1155"/>
        </w:tabs>
        <w:spacing w:after="0"/>
        <w:jc w:val="both"/>
        <w:rPr>
          <w:lang w:val="uk-UA"/>
        </w:rPr>
      </w:pPr>
      <w:r>
        <w:rPr>
          <w:lang w:val="uk-UA"/>
        </w:rPr>
        <w:t>Згідно із Законом</w:t>
      </w:r>
      <w:r w:rsidR="00A65537">
        <w:rPr>
          <w:lang w:val="uk-UA"/>
        </w:rPr>
        <w:t xml:space="preserve"> «Про місцеві вибори» приміщення для голосування має бути </w:t>
      </w:r>
      <w:r>
        <w:rPr>
          <w:lang w:val="uk-UA"/>
        </w:rPr>
        <w:t xml:space="preserve">обладнане </w:t>
      </w:r>
      <w:r w:rsidR="00A65537">
        <w:rPr>
          <w:lang w:val="uk-UA"/>
        </w:rPr>
        <w:t>достатньою кількістю кабін для таємного голосування</w:t>
      </w:r>
      <w:r>
        <w:rPr>
          <w:lang w:val="uk-UA"/>
        </w:rPr>
        <w:t>. Обладнання такими кабінами приміщень для голосування забезпечується</w:t>
      </w:r>
      <w:r w:rsidR="00A65537">
        <w:rPr>
          <w:lang w:val="uk-UA"/>
        </w:rPr>
        <w:t xml:space="preserve"> </w:t>
      </w:r>
      <w:r>
        <w:rPr>
          <w:lang w:val="uk-UA"/>
        </w:rPr>
        <w:t>місцевими органами</w:t>
      </w:r>
      <w:r w:rsidR="00D763CB">
        <w:rPr>
          <w:lang w:val="uk-UA"/>
        </w:rPr>
        <w:t xml:space="preserve"> </w:t>
      </w:r>
      <w:r w:rsidR="00A65537">
        <w:rPr>
          <w:lang w:val="uk-UA"/>
        </w:rPr>
        <w:t xml:space="preserve">виконавчої влади та </w:t>
      </w:r>
      <w:r w:rsidR="00D763CB">
        <w:rPr>
          <w:lang w:val="uk-UA"/>
        </w:rPr>
        <w:t>орган</w:t>
      </w:r>
      <w:r>
        <w:rPr>
          <w:lang w:val="uk-UA"/>
        </w:rPr>
        <w:t>ами</w:t>
      </w:r>
      <w:r w:rsidR="00D763CB">
        <w:rPr>
          <w:lang w:val="uk-UA"/>
        </w:rPr>
        <w:t xml:space="preserve"> </w:t>
      </w:r>
      <w:r w:rsidR="00A65537">
        <w:rPr>
          <w:lang w:val="uk-UA"/>
        </w:rPr>
        <w:t>місцевого самоврядування. При цьому</w:t>
      </w:r>
      <w:r w:rsidR="00D763CB">
        <w:rPr>
          <w:lang w:val="uk-UA"/>
        </w:rPr>
        <w:t>,</w:t>
      </w:r>
      <w:r w:rsidR="00A65537">
        <w:rPr>
          <w:lang w:val="uk-UA"/>
        </w:rPr>
        <w:t xml:space="preserve"> за відсутності єдиного механізму вирішення цього питання</w:t>
      </w:r>
      <w:r w:rsidR="00D763CB">
        <w:rPr>
          <w:lang w:val="uk-UA"/>
        </w:rPr>
        <w:t xml:space="preserve">, </w:t>
      </w:r>
      <w:r w:rsidR="0022631F">
        <w:rPr>
          <w:lang w:val="uk-UA"/>
        </w:rPr>
        <w:t>такі кабіни</w:t>
      </w:r>
      <w:r w:rsidR="00D763CB">
        <w:rPr>
          <w:lang w:val="uk-UA"/>
        </w:rPr>
        <w:t>, як правило, щоразу</w:t>
      </w:r>
      <w:r w:rsidR="0022631F">
        <w:rPr>
          <w:lang w:val="uk-UA"/>
        </w:rPr>
        <w:t xml:space="preserve"> виготовляються наново, що зумовлює неефективне </w:t>
      </w:r>
      <w:r>
        <w:rPr>
          <w:lang w:val="uk-UA"/>
        </w:rPr>
        <w:t xml:space="preserve">використання </w:t>
      </w:r>
      <w:r w:rsidR="0022631F">
        <w:rPr>
          <w:lang w:val="uk-UA"/>
        </w:rPr>
        <w:t xml:space="preserve">бюджетних коштів. </w:t>
      </w:r>
    </w:p>
    <w:p w14:paraId="3C0E5851" w14:textId="71D78F80" w:rsidR="00046E89" w:rsidRDefault="0054507E" w:rsidP="0054507E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  <w:r w:rsidRPr="0054507E">
        <w:rPr>
          <w:b/>
          <w:lang w:val="uk-UA"/>
        </w:rPr>
        <w:t>Рекомендація 20:</w:t>
      </w:r>
      <w:r w:rsidRPr="0054507E">
        <w:rPr>
          <w:lang w:val="uk-UA"/>
        </w:rPr>
        <w:t xml:space="preserve"> </w:t>
      </w:r>
      <w:r w:rsidR="00930748">
        <w:rPr>
          <w:lang w:val="uk-UA"/>
        </w:rPr>
        <w:t>Р</w:t>
      </w:r>
      <w:r>
        <w:rPr>
          <w:lang w:val="uk-UA"/>
        </w:rPr>
        <w:t xml:space="preserve">озглянути можливість </w:t>
      </w:r>
      <w:r w:rsidR="00D763CB">
        <w:rPr>
          <w:lang w:val="uk-UA"/>
        </w:rPr>
        <w:t xml:space="preserve"> </w:t>
      </w:r>
      <w:r w:rsidR="0022631F" w:rsidRPr="0022631F">
        <w:rPr>
          <w:lang w:val="uk-UA"/>
        </w:rPr>
        <w:t>використання одноразових картонних перегородок</w:t>
      </w:r>
      <w:r w:rsidR="006B60D6">
        <w:rPr>
          <w:lang w:val="uk-UA"/>
        </w:rPr>
        <w:t xml:space="preserve">, які встановлюватимуться у спосіб, </w:t>
      </w:r>
      <w:r>
        <w:rPr>
          <w:lang w:val="uk-UA"/>
        </w:rPr>
        <w:t xml:space="preserve">що </w:t>
      </w:r>
      <w:r w:rsidR="006B60D6">
        <w:rPr>
          <w:lang w:val="uk-UA"/>
        </w:rPr>
        <w:t>забезпечуватиме зручність голосування і дотримання принципу його таємності</w:t>
      </w:r>
      <w:r w:rsidR="0022631F" w:rsidRPr="0022631F">
        <w:rPr>
          <w:lang w:val="uk-UA"/>
        </w:rPr>
        <w:t>.</w:t>
      </w:r>
    </w:p>
    <w:p w14:paraId="73F43AD4" w14:textId="77777777" w:rsidR="0054507E" w:rsidRDefault="0054507E" w:rsidP="0054507E">
      <w:pPr>
        <w:pStyle w:val="ListParagraph"/>
        <w:tabs>
          <w:tab w:val="left" w:pos="1155"/>
        </w:tabs>
        <w:spacing w:after="0"/>
        <w:jc w:val="both"/>
        <w:rPr>
          <w:lang w:val="uk-UA"/>
        </w:rPr>
      </w:pPr>
    </w:p>
    <w:p w14:paraId="355D8BD6" w14:textId="77777777" w:rsidR="0054507E" w:rsidRDefault="00C6083D" w:rsidP="00CE7A2F">
      <w:pPr>
        <w:pStyle w:val="ListParagraph"/>
        <w:numPr>
          <w:ilvl w:val="0"/>
          <w:numId w:val="2"/>
        </w:numPr>
        <w:jc w:val="both"/>
        <w:rPr>
          <w:lang w:val="uk-UA"/>
        </w:rPr>
      </w:pPr>
      <w:r w:rsidRPr="00C6083D">
        <w:rPr>
          <w:lang w:val="uk-UA"/>
        </w:rPr>
        <w:t>За даними У</w:t>
      </w:r>
      <w:r w:rsidR="00E467DC">
        <w:rPr>
          <w:lang w:val="uk-UA"/>
        </w:rPr>
        <w:t xml:space="preserve">правління </w:t>
      </w:r>
      <w:r w:rsidRPr="00C6083D">
        <w:rPr>
          <w:lang w:val="uk-UA"/>
        </w:rPr>
        <w:t>В</w:t>
      </w:r>
      <w:r w:rsidR="00E467DC">
        <w:rPr>
          <w:lang w:val="uk-UA"/>
        </w:rPr>
        <w:t xml:space="preserve">ерховного комісара </w:t>
      </w:r>
      <w:r w:rsidRPr="00C6083D">
        <w:rPr>
          <w:lang w:val="uk-UA"/>
        </w:rPr>
        <w:t xml:space="preserve">ООН </w:t>
      </w:r>
      <w:r w:rsidR="00E467DC">
        <w:rPr>
          <w:lang w:val="uk-UA"/>
        </w:rPr>
        <w:t xml:space="preserve">у справах біженців </w:t>
      </w:r>
      <w:r w:rsidRPr="00C6083D">
        <w:rPr>
          <w:lang w:val="uk-UA"/>
        </w:rPr>
        <w:t>станом на вересень 2015 року, кількість внутрішньо переміщених осіб в Україні (ВПО) досяг</w:t>
      </w:r>
      <w:r w:rsidR="006B60D6">
        <w:rPr>
          <w:lang w:val="uk-UA"/>
        </w:rPr>
        <w:t>ла</w:t>
      </w:r>
      <w:r w:rsidRPr="00C6083D">
        <w:rPr>
          <w:lang w:val="uk-UA"/>
        </w:rPr>
        <w:t xml:space="preserve"> 1,43 мільйона осіб. Багато ВПО не могли голосувати в день виборів з огляду на </w:t>
      </w:r>
      <w:r w:rsidR="006B60D6">
        <w:rPr>
          <w:lang w:val="uk-UA"/>
        </w:rPr>
        <w:t xml:space="preserve">неможливість голосування на місцевих виборах за місцем перебування без зміни виборчої адреси. </w:t>
      </w:r>
    </w:p>
    <w:p w14:paraId="0D5EEEF9" w14:textId="5B24D789" w:rsidR="00C6083D" w:rsidRDefault="0054507E" w:rsidP="0054507E">
      <w:pPr>
        <w:pStyle w:val="ListParagraph"/>
        <w:jc w:val="both"/>
        <w:rPr>
          <w:lang w:val="uk-UA"/>
        </w:rPr>
      </w:pPr>
      <w:r w:rsidRPr="0054507E">
        <w:rPr>
          <w:b/>
          <w:lang w:val="uk-UA"/>
        </w:rPr>
        <w:t>Рекомендація 21:</w:t>
      </w:r>
      <w:r w:rsidRPr="0054507E">
        <w:rPr>
          <w:lang w:val="uk-UA"/>
        </w:rPr>
        <w:t xml:space="preserve"> </w:t>
      </w:r>
      <w:r w:rsidR="00930748">
        <w:rPr>
          <w:lang w:val="uk-UA"/>
        </w:rPr>
        <w:t>Р</w:t>
      </w:r>
      <w:r w:rsidR="008416D9">
        <w:rPr>
          <w:lang w:val="uk-UA"/>
        </w:rPr>
        <w:t xml:space="preserve">озглянути можливість </w:t>
      </w:r>
      <w:r w:rsidR="00CE7A2F">
        <w:rPr>
          <w:lang w:val="uk-UA"/>
        </w:rPr>
        <w:t xml:space="preserve">уточнення </w:t>
      </w:r>
      <w:r w:rsidR="006B60D6">
        <w:rPr>
          <w:lang w:val="uk-UA"/>
        </w:rPr>
        <w:t>законодавчого</w:t>
      </w:r>
      <w:r w:rsidR="008416D9" w:rsidRPr="00C6083D">
        <w:rPr>
          <w:lang w:val="uk-UA"/>
        </w:rPr>
        <w:t xml:space="preserve"> визначення поняття “член територіальної громади” та критеріїв </w:t>
      </w:r>
      <w:r w:rsidR="00E467DC">
        <w:rPr>
          <w:lang w:val="uk-UA"/>
        </w:rPr>
        <w:t>визначення приналежності</w:t>
      </w:r>
      <w:r w:rsidR="006B60D6">
        <w:rPr>
          <w:lang w:val="uk-UA"/>
        </w:rPr>
        <w:t xml:space="preserve"> особи до тієї чи іншої </w:t>
      </w:r>
      <w:r w:rsidR="008416D9" w:rsidRPr="00C6083D">
        <w:rPr>
          <w:lang w:val="uk-UA"/>
        </w:rPr>
        <w:t>територіальної громади (</w:t>
      </w:r>
      <w:r w:rsidR="00287EAC">
        <w:rPr>
          <w:lang w:val="uk-UA"/>
        </w:rPr>
        <w:t xml:space="preserve">такими критеріями можуть бути, зокрема, місце </w:t>
      </w:r>
      <w:r w:rsidR="008416D9" w:rsidRPr="00C6083D">
        <w:rPr>
          <w:lang w:val="uk-UA"/>
        </w:rPr>
        <w:t>сплат</w:t>
      </w:r>
      <w:r w:rsidR="00287EAC">
        <w:rPr>
          <w:lang w:val="uk-UA"/>
        </w:rPr>
        <w:t>и</w:t>
      </w:r>
      <w:r w:rsidR="008416D9" w:rsidRPr="00C6083D">
        <w:rPr>
          <w:lang w:val="uk-UA"/>
        </w:rPr>
        <w:t xml:space="preserve"> податків, термін пр</w:t>
      </w:r>
      <w:r w:rsidR="008416D9">
        <w:rPr>
          <w:lang w:val="uk-UA"/>
        </w:rPr>
        <w:t xml:space="preserve">оживання, </w:t>
      </w:r>
      <w:r w:rsidR="00287EAC">
        <w:rPr>
          <w:lang w:val="uk-UA"/>
        </w:rPr>
        <w:t>місце роботи</w:t>
      </w:r>
      <w:r w:rsidR="008416D9" w:rsidRPr="00C6083D">
        <w:rPr>
          <w:lang w:val="uk-UA"/>
        </w:rPr>
        <w:t>, тощо).</w:t>
      </w:r>
      <w:r w:rsidR="00CE7A2F">
        <w:rPr>
          <w:lang w:val="uk-UA"/>
        </w:rPr>
        <w:t xml:space="preserve"> Також н</w:t>
      </w:r>
      <w:r w:rsidR="00C6083D" w:rsidRPr="00CE7A2F">
        <w:rPr>
          <w:lang w:val="uk-UA"/>
        </w:rPr>
        <w:t xml:space="preserve">еобхідно розглянути конкретні заходи </w:t>
      </w:r>
      <w:r w:rsidR="00CE7A2F">
        <w:rPr>
          <w:lang w:val="uk-UA"/>
        </w:rPr>
        <w:t>для забезпечення права голосу</w:t>
      </w:r>
      <w:r w:rsidR="00287EAC">
        <w:rPr>
          <w:lang w:val="uk-UA"/>
        </w:rPr>
        <w:t xml:space="preserve"> на виборах </w:t>
      </w:r>
      <w:r w:rsidR="00CE7A2F">
        <w:rPr>
          <w:lang w:val="uk-UA"/>
        </w:rPr>
        <w:t xml:space="preserve">трудових </w:t>
      </w:r>
      <w:r w:rsidR="00C6083D" w:rsidRPr="00CE7A2F">
        <w:rPr>
          <w:lang w:val="uk-UA"/>
        </w:rPr>
        <w:t>мігрант</w:t>
      </w:r>
      <w:r w:rsidR="00CE7A2F">
        <w:rPr>
          <w:lang w:val="uk-UA"/>
        </w:rPr>
        <w:t>ів</w:t>
      </w:r>
      <w:r w:rsidR="00C6083D" w:rsidRPr="00CE7A2F">
        <w:rPr>
          <w:lang w:val="uk-UA"/>
        </w:rPr>
        <w:t xml:space="preserve"> та </w:t>
      </w:r>
      <w:r w:rsidR="00CE7A2F" w:rsidRPr="00CE7A2F">
        <w:rPr>
          <w:lang w:val="uk-UA"/>
        </w:rPr>
        <w:t>інш</w:t>
      </w:r>
      <w:r w:rsidR="00CE7A2F">
        <w:rPr>
          <w:lang w:val="uk-UA"/>
        </w:rPr>
        <w:t>их</w:t>
      </w:r>
      <w:r w:rsidR="00CE7A2F" w:rsidRPr="00CE7A2F">
        <w:rPr>
          <w:lang w:val="uk-UA"/>
        </w:rPr>
        <w:t xml:space="preserve"> </w:t>
      </w:r>
      <w:r w:rsidR="008E0F32">
        <w:rPr>
          <w:lang w:val="uk-UA"/>
        </w:rPr>
        <w:t>громадян</w:t>
      </w:r>
      <w:r w:rsidR="00C6083D" w:rsidRPr="00CE7A2F">
        <w:rPr>
          <w:lang w:val="uk-UA"/>
        </w:rPr>
        <w:t xml:space="preserve">, які проживають на певній території упродовж </w:t>
      </w:r>
      <w:r w:rsidR="003F05C6">
        <w:rPr>
          <w:lang w:val="uk-UA"/>
        </w:rPr>
        <w:t xml:space="preserve">тривалого </w:t>
      </w:r>
      <w:r w:rsidR="00C6083D" w:rsidRPr="00CE7A2F">
        <w:rPr>
          <w:lang w:val="uk-UA"/>
        </w:rPr>
        <w:t xml:space="preserve">періоду часу. </w:t>
      </w:r>
      <w:r w:rsidR="00287EAC">
        <w:rPr>
          <w:lang w:val="uk-UA"/>
        </w:rPr>
        <w:t xml:space="preserve">Разом з тим, впровадження таких заходів </w:t>
      </w:r>
      <w:r w:rsidR="006B41C5">
        <w:rPr>
          <w:lang w:val="uk-UA"/>
        </w:rPr>
        <w:t>потребує урахування ризиків т.зв. “виборчого туризму” та потенційних зловживань</w:t>
      </w:r>
      <w:r w:rsidR="00C6083D" w:rsidRPr="00CE7A2F">
        <w:rPr>
          <w:lang w:val="uk-UA"/>
        </w:rPr>
        <w:t xml:space="preserve">. </w:t>
      </w:r>
    </w:p>
    <w:p w14:paraId="4BBB10D5" w14:textId="77777777" w:rsidR="007D6614" w:rsidRPr="00CE7A2F" w:rsidRDefault="007D6614" w:rsidP="0054507E">
      <w:pPr>
        <w:pStyle w:val="ListParagraph"/>
        <w:jc w:val="both"/>
        <w:rPr>
          <w:lang w:val="uk-UA"/>
        </w:rPr>
      </w:pPr>
    </w:p>
    <w:p w14:paraId="6527BE2B" w14:textId="77777777" w:rsidR="00930748" w:rsidRDefault="00251C07" w:rsidP="00251C07">
      <w:pPr>
        <w:pStyle w:val="ListParagraph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Під час виборчого процесу на місцевих виборах виборці з інвалідністю </w:t>
      </w:r>
      <w:r w:rsidR="006B41C5">
        <w:rPr>
          <w:lang w:val="uk-UA"/>
        </w:rPr>
        <w:t>мали обмежені можливості щодо участі у виборах. Зокрема,</w:t>
      </w:r>
      <w:r>
        <w:rPr>
          <w:lang w:val="uk-UA"/>
        </w:rPr>
        <w:t xml:space="preserve"> більшість виборчих дільниць є недоступними для людей на інвалідних візках</w:t>
      </w:r>
      <w:r w:rsidR="006B41C5">
        <w:rPr>
          <w:lang w:val="uk-UA"/>
        </w:rPr>
        <w:t>, в той час як</w:t>
      </w:r>
      <w:r>
        <w:rPr>
          <w:lang w:val="uk-UA"/>
        </w:rPr>
        <w:t xml:space="preserve"> виборчі документи, навчальні та просвітницькі матеріали є недостатньо доступними для людей з вадами зору. </w:t>
      </w:r>
    </w:p>
    <w:p w14:paraId="0E028E3E" w14:textId="2F6D9BA1" w:rsidR="00251C07" w:rsidRDefault="00930748" w:rsidP="00930748">
      <w:pPr>
        <w:pStyle w:val="ListParagraph"/>
        <w:jc w:val="both"/>
        <w:rPr>
          <w:lang w:val="uk-UA"/>
        </w:rPr>
      </w:pPr>
      <w:r w:rsidRPr="00930748">
        <w:rPr>
          <w:b/>
          <w:lang w:val="uk-UA"/>
        </w:rPr>
        <w:lastRenderedPageBreak/>
        <w:t>Рекомендація 22:</w:t>
      </w:r>
      <w:r w:rsidRPr="00930748">
        <w:rPr>
          <w:lang w:val="uk-UA"/>
        </w:rPr>
        <w:t xml:space="preserve"> </w:t>
      </w:r>
      <w:r w:rsidR="00251C07">
        <w:rPr>
          <w:lang w:val="uk-UA"/>
        </w:rPr>
        <w:t xml:space="preserve"> </w:t>
      </w:r>
      <w:r w:rsidR="00246909">
        <w:rPr>
          <w:lang w:val="uk-UA"/>
        </w:rPr>
        <w:t xml:space="preserve">Закликати представників влади </w:t>
      </w:r>
      <w:r w:rsidR="00251C07">
        <w:rPr>
          <w:lang w:val="uk-UA"/>
        </w:rPr>
        <w:t>вжити заходів</w:t>
      </w:r>
      <w:r w:rsidR="00F84579">
        <w:rPr>
          <w:lang w:val="uk-UA"/>
        </w:rPr>
        <w:t xml:space="preserve"> для підвищення рівня участі </w:t>
      </w:r>
      <w:r w:rsidR="00251C07">
        <w:rPr>
          <w:lang w:val="uk-UA"/>
        </w:rPr>
        <w:t>виборц</w:t>
      </w:r>
      <w:r w:rsidR="00F84579">
        <w:rPr>
          <w:lang w:val="uk-UA"/>
        </w:rPr>
        <w:t>ів</w:t>
      </w:r>
      <w:r w:rsidR="00251C07">
        <w:rPr>
          <w:lang w:val="uk-UA"/>
        </w:rPr>
        <w:t xml:space="preserve"> з інвалідністю у виборчому процесі</w:t>
      </w:r>
      <w:r w:rsidR="00F84579">
        <w:rPr>
          <w:lang w:val="uk-UA"/>
        </w:rPr>
        <w:t>. З</w:t>
      </w:r>
      <w:r w:rsidR="00251C07">
        <w:rPr>
          <w:lang w:val="uk-UA"/>
        </w:rPr>
        <w:t xml:space="preserve">окрема, </w:t>
      </w:r>
      <w:r w:rsidR="00F84579">
        <w:rPr>
          <w:lang w:val="uk-UA"/>
        </w:rPr>
        <w:t xml:space="preserve">рекомендується </w:t>
      </w:r>
      <w:r w:rsidR="00251C07">
        <w:rPr>
          <w:lang w:val="uk-UA"/>
        </w:rPr>
        <w:t>по можливості змінити розташування виборчих дільниць, які є недоступними для людей з обмеженими фізичними можливостями</w:t>
      </w:r>
      <w:r w:rsidR="001A54A6">
        <w:rPr>
          <w:lang w:val="uk-UA"/>
        </w:rPr>
        <w:t>,</w:t>
      </w:r>
      <w:r w:rsidR="00251C07">
        <w:rPr>
          <w:lang w:val="uk-UA"/>
        </w:rPr>
        <w:t xml:space="preserve"> на ті, які є більш доступними</w:t>
      </w:r>
      <w:r w:rsidR="00F84579">
        <w:rPr>
          <w:lang w:val="uk-UA"/>
        </w:rPr>
        <w:t xml:space="preserve">, а також </w:t>
      </w:r>
      <w:r w:rsidR="00251C07">
        <w:rPr>
          <w:lang w:val="uk-UA"/>
        </w:rPr>
        <w:t xml:space="preserve">адаптувати </w:t>
      </w:r>
      <w:proofErr w:type="spellStart"/>
      <w:r w:rsidR="00251C07">
        <w:rPr>
          <w:lang w:val="uk-UA"/>
        </w:rPr>
        <w:t>веб-</w:t>
      </w:r>
      <w:r w:rsidR="004960F3">
        <w:rPr>
          <w:lang w:val="uk-UA"/>
        </w:rPr>
        <w:t>сторінки</w:t>
      </w:r>
      <w:proofErr w:type="spellEnd"/>
      <w:r w:rsidR="00251C07">
        <w:rPr>
          <w:lang w:val="uk-UA"/>
        </w:rPr>
        <w:t>, на яких розміщується інформація про вибори, відповідно до вимог встановлених</w:t>
      </w:r>
      <w:r w:rsidR="00251C07" w:rsidRPr="00251C07">
        <w:rPr>
          <w:lang w:val="uk-UA"/>
        </w:rPr>
        <w:t xml:space="preserve"> постановою Кабінету Міністрів України від 26 вересня 2013 р. № 730</w:t>
      </w:r>
      <w:r w:rsidR="00251C07">
        <w:rPr>
          <w:lang w:val="uk-UA"/>
        </w:rPr>
        <w:t xml:space="preserve">. </w:t>
      </w:r>
    </w:p>
    <w:p w14:paraId="34271080" w14:textId="77777777" w:rsidR="007D6614" w:rsidRDefault="007D6614" w:rsidP="00930748">
      <w:pPr>
        <w:pStyle w:val="ListParagraph"/>
        <w:jc w:val="both"/>
        <w:rPr>
          <w:lang w:val="uk-UA"/>
        </w:rPr>
      </w:pPr>
    </w:p>
    <w:p w14:paraId="59B0CF45" w14:textId="69004DF1" w:rsidR="007D6614" w:rsidRPr="007D6614" w:rsidRDefault="007D6614" w:rsidP="007D6614">
      <w:pPr>
        <w:pStyle w:val="CommentText"/>
        <w:jc w:val="both"/>
        <w:rPr>
          <w:lang w:val="uk-UA"/>
        </w:rPr>
      </w:pPr>
      <w:r w:rsidRPr="007D6614">
        <w:rPr>
          <w:noProof/>
          <w:sz w:val="22"/>
          <w:szCs w:val="22"/>
          <w:lang w:val="uk-UA"/>
        </w:rPr>
        <w:t>Зміст цього документа і рекомендації, що містяться в ньому, були розроблені на основі співпраці і не обов'язково відображають точку зору організаторів конференції або організацій, що підтримували проведення конференції.</w:t>
      </w:r>
    </w:p>
    <w:sectPr w:rsidR="007D6614" w:rsidRPr="007D6614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20635" w14:textId="77777777" w:rsidR="00FA1B9E" w:rsidRDefault="00FA1B9E" w:rsidP="001375F7">
      <w:pPr>
        <w:spacing w:after="0" w:line="240" w:lineRule="auto"/>
      </w:pPr>
      <w:r>
        <w:separator/>
      </w:r>
    </w:p>
  </w:endnote>
  <w:endnote w:type="continuationSeparator" w:id="0">
    <w:p w14:paraId="4997DA38" w14:textId="77777777" w:rsidR="00FA1B9E" w:rsidRDefault="00FA1B9E" w:rsidP="00137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546798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411E490A" w14:textId="05A78914" w:rsidR="005B6B65" w:rsidRPr="00915AC1" w:rsidRDefault="005B6B65">
        <w:pPr>
          <w:pStyle w:val="Footer"/>
          <w:jc w:val="right"/>
          <w:rPr>
            <w:rFonts w:cstheme="minorHAnsi"/>
          </w:rPr>
        </w:pPr>
        <w:r w:rsidRPr="00915AC1">
          <w:rPr>
            <w:rFonts w:cstheme="minorHAnsi"/>
          </w:rPr>
          <w:fldChar w:fldCharType="begin"/>
        </w:r>
        <w:r w:rsidRPr="00915AC1">
          <w:rPr>
            <w:rFonts w:cstheme="minorHAnsi"/>
          </w:rPr>
          <w:instrText xml:space="preserve"> PAGE   \* MERGEFORMAT </w:instrText>
        </w:r>
        <w:r w:rsidRPr="00915AC1">
          <w:rPr>
            <w:rFonts w:cstheme="minorHAnsi"/>
          </w:rPr>
          <w:fldChar w:fldCharType="separate"/>
        </w:r>
        <w:r w:rsidR="00915AC1">
          <w:rPr>
            <w:rFonts w:cstheme="minorHAnsi"/>
            <w:noProof/>
          </w:rPr>
          <w:t>1</w:t>
        </w:r>
        <w:r w:rsidRPr="00915AC1">
          <w:rPr>
            <w:rFonts w:cstheme="minorHAnsi"/>
            <w:noProof/>
          </w:rPr>
          <w:fldChar w:fldCharType="end"/>
        </w:r>
      </w:p>
    </w:sdtContent>
  </w:sdt>
  <w:p w14:paraId="4D5A8E90" w14:textId="77777777" w:rsidR="005B6B65" w:rsidRDefault="005B6B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4A99A" w14:textId="77777777" w:rsidR="00FA1B9E" w:rsidRDefault="00FA1B9E" w:rsidP="001375F7">
      <w:pPr>
        <w:spacing w:after="0" w:line="240" w:lineRule="auto"/>
      </w:pPr>
      <w:r>
        <w:separator/>
      </w:r>
    </w:p>
  </w:footnote>
  <w:footnote w:type="continuationSeparator" w:id="0">
    <w:p w14:paraId="5E2F763C" w14:textId="77777777" w:rsidR="00FA1B9E" w:rsidRDefault="00FA1B9E" w:rsidP="00137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C7B92"/>
    <w:multiLevelType w:val="hybridMultilevel"/>
    <w:tmpl w:val="2B84E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F4EBD"/>
    <w:multiLevelType w:val="hybridMultilevel"/>
    <w:tmpl w:val="3EB4E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D5"/>
    <w:rsid w:val="00015C92"/>
    <w:rsid w:val="0002058B"/>
    <w:rsid w:val="00037C5B"/>
    <w:rsid w:val="00046E89"/>
    <w:rsid w:val="00080BC2"/>
    <w:rsid w:val="000817C0"/>
    <w:rsid w:val="000A3249"/>
    <w:rsid w:val="000A3411"/>
    <w:rsid w:val="000D2777"/>
    <w:rsid w:val="000D7CAC"/>
    <w:rsid w:val="000E5A6D"/>
    <w:rsid w:val="000F09FE"/>
    <w:rsid w:val="001150B0"/>
    <w:rsid w:val="001275EA"/>
    <w:rsid w:val="001375F7"/>
    <w:rsid w:val="00155B4E"/>
    <w:rsid w:val="001572E6"/>
    <w:rsid w:val="001779E7"/>
    <w:rsid w:val="001949DE"/>
    <w:rsid w:val="001A54A6"/>
    <w:rsid w:val="001A7F9D"/>
    <w:rsid w:val="00200D88"/>
    <w:rsid w:val="0022631F"/>
    <w:rsid w:val="002405C9"/>
    <w:rsid w:val="00246909"/>
    <w:rsid w:val="00251C07"/>
    <w:rsid w:val="00263BD3"/>
    <w:rsid w:val="00287020"/>
    <w:rsid w:val="0028716F"/>
    <w:rsid w:val="00287EAC"/>
    <w:rsid w:val="002C3614"/>
    <w:rsid w:val="002E2369"/>
    <w:rsid w:val="002E49EE"/>
    <w:rsid w:val="003048BE"/>
    <w:rsid w:val="00377A66"/>
    <w:rsid w:val="003C5DB3"/>
    <w:rsid w:val="003E5C4D"/>
    <w:rsid w:val="003F05C6"/>
    <w:rsid w:val="003F3076"/>
    <w:rsid w:val="0040693C"/>
    <w:rsid w:val="00424EC8"/>
    <w:rsid w:val="00441C5D"/>
    <w:rsid w:val="00454378"/>
    <w:rsid w:val="00456372"/>
    <w:rsid w:val="00480898"/>
    <w:rsid w:val="00484309"/>
    <w:rsid w:val="004960F3"/>
    <w:rsid w:val="004C609A"/>
    <w:rsid w:val="004D645A"/>
    <w:rsid w:val="005063AF"/>
    <w:rsid w:val="005275F6"/>
    <w:rsid w:val="00527EED"/>
    <w:rsid w:val="0054507E"/>
    <w:rsid w:val="005522EE"/>
    <w:rsid w:val="00592CD5"/>
    <w:rsid w:val="005B2023"/>
    <w:rsid w:val="005B6B65"/>
    <w:rsid w:val="005D15FE"/>
    <w:rsid w:val="005F256E"/>
    <w:rsid w:val="005F3236"/>
    <w:rsid w:val="00611387"/>
    <w:rsid w:val="0063148E"/>
    <w:rsid w:val="00665C28"/>
    <w:rsid w:val="00682E7D"/>
    <w:rsid w:val="006A1808"/>
    <w:rsid w:val="006B41C5"/>
    <w:rsid w:val="006B5554"/>
    <w:rsid w:val="006B60D6"/>
    <w:rsid w:val="006C3BCD"/>
    <w:rsid w:val="006D7CCB"/>
    <w:rsid w:val="00722F77"/>
    <w:rsid w:val="0072308A"/>
    <w:rsid w:val="0076472E"/>
    <w:rsid w:val="00786B57"/>
    <w:rsid w:val="007D0108"/>
    <w:rsid w:val="007D0942"/>
    <w:rsid w:val="007D6614"/>
    <w:rsid w:val="00803891"/>
    <w:rsid w:val="008129A0"/>
    <w:rsid w:val="0081453B"/>
    <w:rsid w:val="008206B1"/>
    <w:rsid w:val="008416D9"/>
    <w:rsid w:val="00860E78"/>
    <w:rsid w:val="00862470"/>
    <w:rsid w:val="00884414"/>
    <w:rsid w:val="00891DE3"/>
    <w:rsid w:val="008E0F32"/>
    <w:rsid w:val="00901BE8"/>
    <w:rsid w:val="009063F3"/>
    <w:rsid w:val="00915AC1"/>
    <w:rsid w:val="00930748"/>
    <w:rsid w:val="00953FA2"/>
    <w:rsid w:val="0096791E"/>
    <w:rsid w:val="00994544"/>
    <w:rsid w:val="009D0FBE"/>
    <w:rsid w:val="009D38A2"/>
    <w:rsid w:val="009F7C8B"/>
    <w:rsid w:val="00A00A97"/>
    <w:rsid w:val="00A21EC8"/>
    <w:rsid w:val="00A25B5C"/>
    <w:rsid w:val="00A57136"/>
    <w:rsid w:val="00A65537"/>
    <w:rsid w:val="00A8227F"/>
    <w:rsid w:val="00AC063C"/>
    <w:rsid w:val="00AC7EE2"/>
    <w:rsid w:val="00AD7C88"/>
    <w:rsid w:val="00B050CA"/>
    <w:rsid w:val="00B75D59"/>
    <w:rsid w:val="00B834B0"/>
    <w:rsid w:val="00BA20CC"/>
    <w:rsid w:val="00BB1770"/>
    <w:rsid w:val="00BE3BD5"/>
    <w:rsid w:val="00BF4EAA"/>
    <w:rsid w:val="00C04A7D"/>
    <w:rsid w:val="00C0549E"/>
    <w:rsid w:val="00C4594B"/>
    <w:rsid w:val="00C56803"/>
    <w:rsid w:val="00C6083D"/>
    <w:rsid w:val="00C77DB9"/>
    <w:rsid w:val="00C80A22"/>
    <w:rsid w:val="00C90DD7"/>
    <w:rsid w:val="00CE7A2F"/>
    <w:rsid w:val="00D0483D"/>
    <w:rsid w:val="00D14293"/>
    <w:rsid w:val="00D14F9C"/>
    <w:rsid w:val="00D523E8"/>
    <w:rsid w:val="00D763CB"/>
    <w:rsid w:val="00D8663D"/>
    <w:rsid w:val="00D944B9"/>
    <w:rsid w:val="00E25626"/>
    <w:rsid w:val="00E467DC"/>
    <w:rsid w:val="00E47819"/>
    <w:rsid w:val="00E53346"/>
    <w:rsid w:val="00E82578"/>
    <w:rsid w:val="00E9226D"/>
    <w:rsid w:val="00EB20D3"/>
    <w:rsid w:val="00EF2E54"/>
    <w:rsid w:val="00EF7CAF"/>
    <w:rsid w:val="00F02F42"/>
    <w:rsid w:val="00F24319"/>
    <w:rsid w:val="00F3068A"/>
    <w:rsid w:val="00F34A98"/>
    <w:rsid w:val="00F37BB4"/>
    <w:rsid w:val="00F53BB6"/>
    <w:rsid w:val="00F8231E"/>
    <w:rsid w:val="00F84579"/>
    <w:rsid w:val="00F922CC"/>
    <w:rsid w:val="00F93E61"/>
    <w:rsid w:val="00F95FC1"/>
    <w:rsid w:val="00FA1B9E"/>
    <w:rsid w:val="00FC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7F25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B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B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614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75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75F7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375F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375F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75F7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375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523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23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23E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3E8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B6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B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B6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B65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B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B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614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75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75F7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375F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375F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75F7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375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523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23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23E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3E8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B6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B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B6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B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39252-453D-4295-A01D-4C377CF8A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3235</Words>
  <Characters>18444</Characters>
  <Application>Microsoft Office Word</Application>
  <DocSecurity>0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OSCE</Company>
  <LinksUpToDate>false</LinksUpToDate>
  <CharactersWithSpaces>21636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Yuliya Shypilova</dc:creator>
  <cp:lastModifiedBy>ZUBAR Inna</cp:lastModifiedBy>
  <cp:revision>4</cp:revision>
  <dcterms:created xsi:type="dcterms:W3CDTF">2016-03-04T10:04:00Z</dcterms:created>
  <dcterms:modified xsi:type="dcterms:W3CDTF">2016-04-04T12:44:00Z</dcterms:modified>
</cp:coreProperties>
</file>