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83" w:rsidRDefault="00350683" w:rsidP="00350683">
      <w:pPr>
        <w:jc w:val="center"/>
        <w:rPr>
          <w:rFonts w:ascii="Garamond" w:hAnsi="Garamond" w:cs="Tahoma"/>
          <w:b/>
          <w:color w:val="000000"/>
          <w:sz w:val="24"/>
          <w:szCs w:val="24"/>
        </w:rPr>
      </w:pPr>
      <w:proofErr w:type="gramStart"/>
      <w:r>
        <w:rPr>
          <w:rFonts w:ascii="Garamond" w:hAnsi="Garamond" w:cs="Tahoma"/>
          <w:b/>
          <w:color w:val="000000"/>
          <w:sz w:val="24"/>
          <w:szCs w:val="24"/>
        </w:rPr>
        <w:t>APPENDIX  II</w:t>
      </w:r>
      <w:proofErr w:type="gramEnd"/>
    </w:p>
    <w:p w:rsidR="00350683" w:rsidRDefault="00350683" w:rsidP="00350683">
      <w:pPr>
        <w:jc w:val="center"/>
        <w:rPr>
          <w:rFonts w:ascii="Garamond" w:hAnsi="Garamond" w:cs="Tahoma"/>
          <w:color w:val="000000"/>
        </w:rPr>
      </w:pPr>
    </w:p>
    <w:tbl>
      <w:tblPr>
        <w:tblW w:w="10488" w:type="dxa"/>
        <w:tblInd w:w="-975" w:type="dxa"/>
        <w:tblLayout w:type="fixed"/>
        <w:tblLook w:val="0000" w:firstRow="0" w:lastRow="0" w:firstColumn="0" w:lastColumn="0" w:noHBand="0" w:noVBand="0"/>
      </w:tblPr>
      <w:tblGrid>
        <w:gridCol w:w="4788"/>
        <w:gridCol w:w="1140"/>
        <w:gridCol w:w="1026"/>
        <w:gridCol w:w="1197"/>
        <w:gridCol w:w="1197"/>
        <w:gridCol w:w="1140"/>
      </w:tblGrid>
      <w:tr w:rsidR="00350683" w:rsidTr="00AB031E">
        <w:trPr>
          <w:trHeight w:val="270"/>
        </w:trPr>
        <w:tc>
          <w:tcPr>
            <w:tcW w:w="10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83" w:rsidRDefault="00350683" w:rsidP="00350683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bookmarkStart w:id="0" w:name="RANGE!A1:F41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         ESTIMATED BUDGET</w:t>
            </w:r>
            <w:bookmarkEnd w:id="0"/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83" w:rsidRDefault="00350683" w:rsidP="00AB031E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Activity: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83" w:rsidRDefault="00350683" w:rsidP="00AB031E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 xml:space="preserve">Place: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83" w:rsidRDefault="00350683" w:rsidP="00AB031E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Date: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83" w:rsidRDefault="00350683" w:rsidP="00AB031E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Administrator responsible: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</w:tr>
      <w:tr w:rsidR="00350683" w:rsidTr="00AB031E">
        <w:trPr>
          <w:trHeight w:val="765"/>
        </w:trPr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Payments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Average unit rate               (€)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# of participants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Estimated </w:t>
            </w: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br/>
              <w:t xml:space="preserve"> budget (€)</w:t>
            </w:r>
          </w:p>
        </w:tc>
      </w:tr>
      <w:tr w:rsidR="00350683" w:rsidTr="00AB031E">
        <w:trPr>
          <w:trHeight w:val="300"/>
        </w:trPr>
        <w:tc>
          <w:tcPr>
            <w:tcW w:w="4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1. Per diems </w:t>
            </w: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1.1 Hotel expenses (nights x unit rate x participants)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night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1.2 Lunches (lunches x unit rate x participants)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lunch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1.3 Dinners (dinners x unit rate x participants)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dinner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1.4 Coffee breaks (breaks x unit rate x participants)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break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Subtotal Per diems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2. Travel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34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2.1 National participants (return trip x unit rate x participants)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trip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2.2 Local transport (coach hire)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day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2.3 Local transport (taxi) (trips x unit rate x participants)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trip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Subtotal Travel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3. Rent of hall, interpretation and translation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3.1 Rent of hall (days x unit rate)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day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3.2 Rent of interpretation equipment (days x unit rate)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day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3.3 Interpretation services (days x unit rate x interpreters)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day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3.4 Translation (pages x unit rate)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page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Subtotal Rent of hall, interpretation and translation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4. Publications and printed material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4.1 Publications (editing) (item x unit rate)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item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4.2 Publications (printing) (item x unit rate x copies)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item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Subtotal Publications and printed material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5. Other (specify)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7300A6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5.1 Human resources</w:t>
            </w:r>
            <w:bookmarkStart w:id="1" w:name="_GoBack"/>
            <w:bookmarkEnd w:id="1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specify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5.2 specify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specify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Subtotal Other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6. Administrative fees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6.1 Stationery supplies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event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6.2 Other services (</w:t>
            </w:r>
            <w:proofErr w:type="spellStart"/>
            <w:r>
              <w:rPr>
                <w:rFonts w:ascii="Garamond" w:hAnsi="Garamond" w:cs="Arial"/>
                <w:color w:val="000000"/>
                <w:sz w:val="18"/>
                <w:szCs w:val="18"/>
              </w:rPr>
              <w:t>tel</w:t>
            </w:r>
            <w:proofErr w:type="spellEnd"/>
            <w:r>
              <w:rPr>
                <w:rFonts w:ascii="Garamond" w:hAnsi="Garamond" w:cs="Arial"/>
                <w:color w:val="000000"/>
                <w:sz w:val="18"/>
                <w:szCs w:val="18"/>
              </w:rPr>
              <w:t>/fax, mail, copies)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Per event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27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000000"/>
                <w:sz w:val="18"/>
                <w:szCs w:val="18"/>
              </w:rPr>
              <w:t>Subtotal Administrative fees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</w:tr>
      <w:tr w:rsidR="00350683" w:rsidTr="00AB031E">
        <w:trPr>
          <w:trHeight w:val="435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>Total project costs (1-6)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0683" w:rsidRDefault="00350683" w:rsidP="00AB031E">
            <w:pPr>
              <w:jc w:val="right"/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8"/>
                <w:szCs w:val="18"/>
              </w:rPr>
              <w:t xml:space="preserve">0  </w:t>
            </w:r>
          </w:p>
        </w:tc>
      </w:tr>
      <w:tr w:rsidR="00350683" w:rsidTr="00AB031E">
        <w:trPr>
          <w:trHeight w:val="106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b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Notes:</w:t>
            </w:r>
            <w:r>
              <w:rPr>
                <w:rFonts w:ascii="Garamond" w:hAnsi="Garamond" w:cs="Arial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350683" w:rsidRDefault="00350683" w:rsidP="00AB031E">
            <w:pPr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 xml:space="preserve">Different </w:t>
            </w:r>
            <w:proofErr w:type="gramStart"/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lines</w:t>
            </w:r>
            <w:proofErr w:type="gramEnd"/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 xml:space="preserve"> to take into account differences of unit rates or number of participants in each event (lunch, journeys, </w:t>
            </w:r>
            <w:proofErr w:type="spellStart"/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). Average unit rate can be used but not average number of participants!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</w:tr>
      <w:tr w:rsidR="00350683" w:rsidTr="00AB031E">
        <w:trPr>
          <w:trHeight w:val="25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83" w:rsidRDefault="00CB4227" w:rsidP="00AB031E">
            <w:pPr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</w:tr>
      <w:tr w:rsidR="00350683" w:rsidTr="00AB031E">
        <w:trPr>
          <w:trHeight w:val="30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83" w:rsidRDefault="00350683" w:rsidP="00AB031E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</w:tr>
    </w:tbl>
    <w:p w:rsidR="00350683" w:rsidRDefault="00350683" w:rsidP="00350683">
      <w:pPr>
        <w:ind w:hanging="62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I certify that this is the budget proposed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>I accept the proposed budget</w:t>
      </w:r>
    </w:p>
    <w:p w:rsidR="00350683" w:rsidRDefault="00350683" w:rsidP="00350683">
      <w:pPr>
        <w:ind w:right="-807" w:hanging="62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Name of the representative of the Beneficiary ...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 xml:space="preserve">Name of the representative of the </w:t>
      </w:r>
    </w:p>
    <w:p w:rsidR="00350683" w:rsidRDefault="00350683" w:rsidP="00350683">
      <w:pPr>
        <w:ind w:right="-807" w:hanging="62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(</w:t>
      </w:r>
      <w:proofErr w:type="gramStart"/>
      <w:r>
        <w:rPr>
          <w:rFonts w:ascii="Garamond" w:hAnsi="Garamond"/>
          <w:i/>
          <w:color w:val="000000"/>
          <w:sz w:val="22"/>
          <w:szCs w:val="22"/>
        </w:rPr>
        <w:t>followed</w:t>
      </w:r>
      <w:proofErr w:type="gramEnd"/>
      <w:r>
        <w:rPr>
          <w:rFonts w:ascii="Garamond" w:hAnsi="Garamond"/>
          <w:i/>
          <w:color w:val="000000"/>
          <w:sz w:val="22"/>
          <w:szCs w:val="22"/>
        </w:rPr>
        <w:t xml:space="preserve"> by capacity, e.g. Director</w:t>
      </w:r>
      <w:r>
        <w:rPr>
          <w:rFonts w:ascii="Garamond" w:hAnsi="Garamond"/>
          <w:color w:val="000000"/>
          <w:sz w:val="22"/>
          <w:szCs w:val="22"/>
        </w:rPr>
        <w:t>)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 xml:space="preserve">Council of </w:t>
      </w:r>
      <w:smartTag w:uri="urn:schemas-microsoft-com:office:smarttags" w:element="place">
        <w:r>
          <w:rPr>
            <w:rFonts w:ascii="Garamond" w:hAnsi="Garamond"/>
            <w:color w:val="000000"/>
            <w:sz w:val="22"/>
            <w:szCs w:val="22"/>
          </w:rPr>
          <w:t>Europe</w:t>
        </w:r>
      </w:smartTag>
    </w:p>
    <w:p w:rsidR="00350683" w:rsidRDefault="00350683" w:rsidP="00350683">
      <w:pPr>
        <w:ind w:hanging="62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Signature …………….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>Signature</w:t>
      </w:r>
      <w:proofErr w:type="gramStart"/>
      <w:r>
        <w:rPr>
          <w:rFonts w:ascii="Garamond" w:hAnsi="Garamond"/>
          <w:color w:val="000000"/>
          <w:sz w:val="22"/>
          <w:szCs w:val="22"/>
        </w:rPr>
        <w:t>:.........................</w:t>
      </w:r>
      <w:proofErr w:type="gramEnd"/>
    </w:p>
    <w:p w:rsidR="00350683" w:rsidRDefault="00350683" w:rsidP="00350683">
      <w:pPr>
        <w:ind w:hanging="62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Date: …………………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>Date: ……………………</w:t>
      </w:r>
    </w:p>
    <w:p w:rsidR="00773141" w:rsidRDefault="00773141"/>
    <w:sectPr w:rsidR="0077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83"/>
    <w:rsid w:val="00350683"/>
    <w:rsid w:val="007300A6"/>
    <w:rsid w:val="00773141"/>
    <w:rsid w:val="00901D41"/>
    <w:rsid w:val="00C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SIINO Grazia-Alessandra</dc:creator>
  <cp:lastModifiedBy>SIINO Grazia-Alessandra</cp:lastModifiedBy>
  <cp:revision>3</cp:revision>
  <dcterms:created xsi:type="dcterms:W3CDTF">2016-01-26T11:15:00Z</dcterms:created>
  <dcterms:modified xsi:type="dcterms:W3CDTF">2016-01-29T09:54:00Z</dcterms:modified>
</cp:coreProperties>
</file>